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7B29" w14:textId="77777777" w:rsidR="0074696E" w:rsidRPr="00B30BA3" w:rsidRDefault="00904AB4" w:rsidP="00EC40D5">
      <w:pPr>
        <w:pStyle w:val="Sectionbreakfirstpage"/>
      </w:pPr>
      <w:r w:rsidRPr="00B30BA3">
        <w:drawing>
          <wp:anchor distT="0" distB="0" distL="114300" distR="114300" simplePos="0" relativeHeight="251658240" behindDoc="1" locked="1" layoutInCell="1" allowOverlap="0" wp14:anchorId="573D3809" wp14:editId="629B932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5C9CF27" w14:textId="77777777" w:rsidR="00A62D44" w:rsidRPr="00B30BA3" w:rsidRDefault="00A62D44" w:rsidP="00EC40D5">
      <w:pPr>
        <w:pStyle w:val="Sectionbreakfirstpage"/>
        <w:sectPr w:rsidR="00A62D44" w:rsidRPr="00B30BA3" w:rsidSect="0064637D">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30BA3" w14:paraId="70623CB7" w14:textId="77777777" w:rsidTr="00B07FF7">
        <w:trPr>
          <w:trHeight w:val="622"/>
        </w:trPr>
        <w:tc>
          <w:tcPr>
            <w:tcW w:w="10348" w:type="dxa"/>
            <w:tcMar>
              <w:top w:w="1531" w:type="dxa"/>
              <w:left w:w="0" w:type="dxa"/>
              <w:right w:w="0" w:type="dxa"/>
            </w:tcMar>
          </w:tcPr>
          <w:p w14:paraId="6A1CDD4A" w14:textId="09C43125" w:rsidR="003B5733" w:rsidRPr="00B30BA3" w:rsidRDefault="00330AB4" w:rsidP="003B5733">
            <w:pPr>
              <w:pStyle w:val="Documenttitle"/>
            </w:pPr>
            <w:r w:rsidRPr="00B30BA3">
              <w:t>Pharmacy self-assessment checklist for pharmacotherapy service delivery</w:t>
            </w:r>
          </w:p>
        </w:tc>
      </w:tr>
      <w:tr w:rsidR="003B5733" w:rsidRPr="00B30BA3" w14:paraId="0098FFE9" w14:textId="77777777" w:rsidTr="00B07FF7">
        <w:tc>
          <w:tcPr>
            <w:tcW w:w="10348" w:type="dxa"/>
          </w:tcPr>
          <w:p w14:paraId="03C03AB6" w14:textId="50DD5E9F" w:rsidR="003B5733" w:rsidRPr="00F35801" w:rsidRDefault="00EA2DF9" w:rsidP="003F787E">
            <w:pPr>
              <w:pStyle w:val="Documentsubtitle"/>
            </w:pPr>
            <w:r w:rsidRPr="00F35801">
              <w:rPr>
                <w:color w:val="595959" w:themeColor="text1" w:themeTint="A6"/>
              </w:rPr>
              <w:t>Completion mand</w:t>
            </w:r>
            <w:r w:rsidR="00E2366F" w:rsidRPr="00F35801">
              <w:rPr>
                <w:color w:val="595959" w:themeColor="text1" w:themeTint="A6"/>
              </w:rPr>
              <w:t>at</w:t>
            </w:r>
            <w:r w:rsidRPr="00F35801">
              <w:rPr>
                <w:color w:val="595959" w:themeColor="text1" w:themeTint="A6"/>
              </w:rPr>
              <w:t>ory for</w:t>
            </w:r>
            <w:r w:rsidR="00E2366F" w:rsidRPr="00F35801">
              <w:rPr>
                <w:color w:val="595959" w:themeColor="text1" w:themeTint="A6"/>
              </w:rPr>
              <w:t xml:space="preserve"> approval</w:t>
            </w:r>
            <w:r w:rsidR="000F2B9D" w:rsidRPr="00F35801">
              <w:rPr>
                <w:color w:val="595959" w:themeColor="text1" w:themeTint="A6"/>
              </w:rPr>
              <w:t xml:space="preserve"> to provide opioid pharmacotherapy services.</w:t>
            </w:r>
          </w:p>
        </w:tc>
      </w:tr>
      <w:tr w:rsidR="003B5733" w:rsidRPr="00B30BA3" w14:paraId="370D5847" w14:textId="77777777" w:rsidTr="00B07FF7">
        <w:tc>
          <w:tcPr>
            <w:tcW w:w="10348" w:type="dxa"/>
          </w:tcPr>
          <w:p w14:paraId="089E2C12" w14:textId="77777777" w:rsidR="003B5733" w:rsidRPr="00B30BA3" w:rsidRDefault="00CE59DA" w:rsidP="001E5058">
            <w:pPr>
              <w:pStyle w:val="Bannermarking"/>
            </w:pPr>
            <w:r>
              <w:fldChar w:fldCharType="begin"/>
            </w:r>
            <w:r>
              <w:instrText>FILLIN  "Type the protective marking" \d OFFICIAL \o  \* MERGEFORMAT</w:instrText>
            </w:r>
            <w:r>
              <w:fldChar w:fldCharType="separate"/>
            </w:r>
            <w:r w:rsidR="0051146C" w:rsidRPr="00B30BA3">
              <w:t>OFFICIAL</w:t>
            </w:r>
            <w:r>
              <w:fldChar w:fldCharType="end"/>
            </w:r>
          </w:p>
        </w:tc>
      </w:tr>
    </w:tbl>
    <w:p w14:paraId="6D4FF902" w14:textId="1719800C" w:rsidR="007173CA" w:rsidRPr="00B30BA3" w:rsidRDefault="007173CA" w:rsidP="00D079AA">
      <w:pPr>
        <w:pStyle w:val="Body"/>
      </w:pPr>
    </w:p>
    <w:p w14:paraId="3010B9FD" w14:textId="77777777" w:rsidR="00580394" w:rsidRPr="00B30BA3" w:rsidRDefault="00580394" w:rsidP="007173CA">
      <w:pPr>
        <w:pStyle w:val="Body"/>
        <w:sectPr w:rsidR="00580394" w:rsidRPr="00B30BA3" w:rsidSect="0064637D">
          <w:headerReference w:type="default" r:id="rId18"/>
          <w:type w:val="continuous"/>
          <w:pgSz w:w="11906" w:h="16838" w:code="9"/>
          <w:pgMar w:top="1418" w:right="851" w:bottom="1418" w:left="851" w:header="851" w:footer="851" w:gutter="0"/>
          <w:cols w:space="340"/>
          <w:titlePg/>
          <w:docGrid w:linePitch="360"/>
        </w:sect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39"/>
        <w:gridCol w:w="2604"/>
        <w:gridCol w:w="60"/>
        <w:gridCol w:w="4983"/>
      </w:tblGrid>
      <w:tr w:rsidR="00AF0FD0" w:rsidRPr="00B30BA3" w14:paraId="5595292B" w14:textId="77777777" w:rsidTr="00573491">
        <w:tc>
          <w:tcPr>
            <w:tcW w:w="2439" w:type="dxa"/>
          </w:tcPr>
          <w:p w14:paraId="3820311B" w14:textId="77777777" w:rsidR="00AF0FD0" w:rsidRPr="00B30BA3" w:rsidRDefault="00AF0FD0" w:rsidP="003F787E">
            <w:pPr>
              <w:pStyle w:val="DHHSbody"/>
            </w:pPr>
            <w:bookmarkStart w:id="0" w:name="_Hlk41913885"/>
            <w:r w:rsidRPr="00B30BA3">
              <w:t>Pharmacy Name</w:t>
            </w:r>
          </w:p>
        </w:tc>
        <w:sdt>
          <w:sdtPr>
            <w:id w:val="1901406566"/>
            <w:placeholder>
              <w:docPart w:val="05CE9A9B244247C0B488BA5556054CA8"/>
            </w:placeholder>
            <w:showingPlcHdr/>
          </w:sdtPr>
          <w:sdtEndPr/>
          <w:sdtContent>
            <w:tc>
              <w:tcPr>
                <w:tcW w:w="7647" w:type="dxa"/>
                <w:gridSpan w:val="3"/>
              </w:tcPr>
              <w:p w14:paraId="4608AB01" w14:textId="77777777" w:rsidR="00AF0FD0" w:rsidRPr="00B30BA3" w:rsidRDefault="00AF0FD0" w:rsidP="003F787E">
                <w:pPr>
                  <w:pStyle w:val="DHHSbody"/>
                </w:pPr>
                <w:r w:rsidRPr="00B30BA3">
                  <w:rPr>
                    <w:rStyle w:val="PlaceholderText"/>
                  </w:rPr>
                  <w:t>Click or tap here to enter text.</w:t>
                </w:r>
              </w:p>
            </w:tc>
          </w:sdtContent>
        </w:sdt>
      </w:tr>
      <w:tr w:rsidR="00AF0FD0" w:rsidRPr="00B30BA3" w14:paraId="60F92295" w14:textId="77777777" w:rsidTr="00573491">
        <w:tc>
          <w:tcPr>
            <w:tcW w:w="2439" w:type="dxa"/>
          </w:tcPr>
          <w:p w14:paraId="56592E5C" w14:textId="77777777" w:rsidR="00AF0FD0" w:rsidRPr="00B30BA3" w:rsidRDefault="00AF0FD0" w:rsidP="003F787E">
            <w:pPr>
              <w:pStyle w:val="DHHSbody"/>
            </w:pPr>
            <w:r w:rsidRPr="00B30BA3">
              <w:t>Pharmacy Address</w:t>
            </w:r>
          </w:p>
        </w:tc>
        <w:sdt>
          <w:sdtPr>
            <w:id w:val="-641736437"/>
            <w:placeholder>
              <w:docPart w:val="E03BCD1A1AB141748979C27BA7856205"/>
            </w:placeholder>
            <w:showingPlcHdr/>
          </w:sdtPr>
          <w:sdtEndPr/>
          <w:sdtContent>
            <w:tc>
              <w:tcPr>
                <w:tcW w:w="7647" w:type="dxa"/>
                <w:gridSpan w:val="3"/>
              </w:tcPr>
              <w:p w14:paraId="36547429" w14:textId="77777777" w:rsidR="00AF0FD0" w:rsidRPr="00B30BA3" w:rsidRDefault="00AF0FD0" w:rsidP="003F787E">
                <w:pPr>
                  <w:pStyle w:val="DHHSbody"/>
                </w:pPr>
                <w:r w:rsidRPr="00B30BA3">
                  <w:rPr>
                    <w:rStyle w:val="PlaceholderText"/>
                  </w:rPr>
                  <w:t>Click or tap here to enter text.</w:t>
                </w:r>
              </w:p>
            </w:tc>
          </w:sdtContent>
        </w:sdt>
      </w:tr>
      <w:tr w:rsidR="00AF0FD0" w:rsidRPr="00B30BA3" w14:paraId="488928DE" w14:textId="77777777" w:rsidTr="00573491">
        <w:tc>
          <w:tcPr>
            <w:tcW w:w="5103" w:type="dxa"/>
            <w:gridSpan w:val="3"/>
          </w:tcPr>
          <w:p w14:paraId="50B0983A" w14:textId="77777777" w:rsidR="00AF0FD0" w:rsidRPr="00B30BA3" w:rsidRDefault="00AF0FD0" w:rsidP="003F787E">
            <w:pPr>
              <w:pStyle w:val="DHHSbody"/>
            </w:pPr>
            <w:r w:rsidRPr="00B30BA3">
              <w:t xml:space="preserve">Phone Number  </w:t>
            </w:r>
            <w:sdt>
              <w:sdtPr>
                <w:id w:val="-1905756123"/>
                <w:placeholder>
                  <w:docPart w:val="16013F65254B47AAA72BBA0A2F42A9A6"/>
                </w:placeholder>
                <w:showingPlcHdr/>
              </w:sdtPr>
              <w:sdtEndPr/>
              <w:sdtContent>
                <w:r w:rsidRPr="00B30BA3">
                  <w:rPr>
                    <w:rStyle w:val="PlaceholderText"/>
                  </w:rPr>
                  <w:t>Click or tap here to enter text.</w:t>
                </w:r>
              </w:sdtContent>
            </w:sdt>
          </w:p>
        </w:tc>
        <w:tc>
          <w:tcPr>
            <w:tcW w:w="4983" w:type="dxa"/>
          </w:tcPr>
          <w:p w14:paraId="21CCCAB4" w14:textId="0D3114CE" w:rsidR="00AF0FD0" w:rsidRPr="00B30BA3" w:rsidRDefault="00FD7086" w:rsidP="003F787E">
            <w:pPr>
              <w:pStyle w:val="DHHSbody"/>
            </w:pPr>
            <w:r>
              <w:t>E</w:t>
            </w:r>
            <w:r w:rsidR="00AF0FD0" w:rsidRPr="00B30BA3">
              <w:t xml:space="preserve">mail    </w:t>
            </w:r>
            <w:sdt>
              <w:sdtPr>
                <w:id w:val="-1851721183"/>
                <w:placeholder>
                  <w:docPart w:val="16013F65254B47AAA72BBA0A2F42A9A6"/>
                </w:placeholder>
                <w:showingPlcHdr/>
              </w:sdtPr>
              <w:sdtEndPr/>
              <w:sdtContent>
                <w:r w:rsidR="00AF0FD0" w:rsidRPr="00B30BA3">
                  <w:rPr>
                    <w:rStyle w:val="PlaceholderText"/>
                  </w:rPr>
                  <w:t>Click or tap here to enter text.</w:t>
                </w:r>
              </w:sdtContent>
            </w:sdt>
          </w:p>
        </w:tc>
      </w:tr>
      <w:tr w:rsidR="00AF0FD0" w:rsidRPr="00B30BA3" w14:paraId="75E2AC4B" w14:textId="77777777" w:rsidTr="00573491">
        <w:tc>
          <w:tcPr>
            <w:tcW w:w="5103" w:type="dxa"/>
            <w:gridSpan w:val="3"/>
          </w:tcPr>
          <w:p w14:paraId="50F19F72" w14:textId="3BD8106F" w:rsidR="00AF0FD0" w:rsidRPr="00B30BA3" w:rsidRDefault="00AF0FD0" w:rsidP="003F787E">
            <w:pPr>
              <w:pStyle w:val="DHHSbody"/>
            </w:pPr>
            <w:r w:rsidRPr="00B30BA3">
              <w:t xml:space="preserve">Name of </w:t>
            </w:r>
            <w:r w:rsidR="004362E7" w:rsidRPr="00B30BA3">
              <w:t>p</w:t>
            </w:r>
            <w:r w:rsidRPr="00B30BA3">
              <w:t>harmacist completing assessment</w:t>
            </w:r>
          </w:p>
        </w:tc>
        <w:sdt>
          <w:sdtPr>
            <w:id w:val="-1977441715"/>
            <w:placeholder>
              <w:docPart w:val="2BBAABC92F79418AAA272C65E5307B81"/>
            </w:placeholder>
            <w:showingPlcHdr/>
          </w:sdtPr>
          <w:sdtEndPr/>
          <w:sdtContent>
            <w:tc>
              <w:tcPr>
                <w:tcW w:w="4983" w:type="dxa"/>
              </w:tcPr>
              <w:p w14:paraId="607EA73D" w14:textId="77777777" w:rsidR="00AF0FD0" w:rsidRPr="00B30BA3" w:rsidRDefault="00AF0FD0" w:rsidP="003F787E">
                <w:pPr>
                  <w:pStyle w:val="DHHSbody"/>
                </w:pPr>
                <w:r w:rsidRPr="00B30BA3">
                  <w:rPr>
                    <w:rStyle w:val="PlaceholderText"/>
                  </w:rPr>
                  <w:t>Click or tap here to enter text.</w:t>
                </w:r>
              </w:p>
            </w:tc>
          </w:sdtContent>
        </w:sdt>
      </w:tr>
      <w:tr w:rsidR="00AF0FD0" w:rsidRPr="00B30BA3" w14:paraId="13C61144" w14:textId="77777777" w:rsidTr="00573491">
        <w:tc>
          <w:tcPr>
            <w:tcW w:w="5103" w:type="dxa"/>
            <w:gridSpan w:val="3"/>
          </w:tcPr>
          <w:p w14:paraId="13F8B0FC" w14:textId="77777777" w:rsidR="00AF0FD0" w:rsidRPr="00B30BA3" w:rsidRDefault="00AF0FD0" w:rsidP="003F787E">
            <w:pPr>
              <w:pStyle w:val="DHHSbody"/>
            </w:pPr>
            <w:r w:rsidRPr="00B30BA3">
              <w:t>AHPRA registration number</w:t>
            </w:r>
          </w:p>
        </w:tc>
        <w:sdt>
          <w:sdtPr>
            <w:id w:val="228962304"/>
            <w:placeholder>
              <w:docPart w:val="826369243EAC4E4F91D6CD17E1E93EC2"/>
            </w:placeholder>
            <w:showingPlcHdr/>
          </w:sdtPr>
          <w:sdtEndPr/>
          <w:sdtContent>
            <w:tc>
              <w:tcPr>
                <w:tcW w:w="4983" w:type="dxa"/>
              </w:tcPr>
              <w:p w14:paraId="46AA7136" w14:textId="77777777" w:rsidR="00AF0FD0" w:rsidRPr="00B30BA3" w:rsidRDefault="00AF0FD0" w:rsidP="003F787E">
                <w:pPr>
                  <w:pStyle w:val="DHHSbody"/>
                </w:pPr>
                <w:r w:rsidRPr="00B30BA3">
                  <w:rPr>
                    <w:rStyle w:val="PlaceholderText"/>
                  </w:rPr>
                  <w:t>Click or tap here to enter text.</w:t>
                </w:r>
              </w:p>
            </w:tc>
          </w:sdtContent>
        </w:sdt>
      </w:tr>
      <w:tr w:rsidR="00B052EE" w:rsidRPr="00B30BA3" w14:paraId="44008634" w14:textId="77777777" w:rsidTr="00573491">
        <w:trPr>
          <w:trHeight w:val="990"/>
        </w:trPr>
        <w:tc>
          <w:tcPr>
            <w:tcW w:w="10086" w:type="dxa"/>
            <w:gridSpan w:val="4"/>
          </w:tcPr>
          <w:p w14:paraId="5B96D1EE" w14:textId="3378C4A9" w:rsidR="00B052EE" w:rsidRPr="00B30BA3" w:rsidRDefault="00B052EE" w:rsidP="003F787E">
            <w:pPr>
              <w:pStyle w:val="DHHSbody"/>
            </w:pPr>
            <w:r w:rsidRPr="00B30BA3">
              <w:t>As the nominated pharmacist regularly and usually in charge</w:t>
            </w:r>
            <w:r w:rsidR="003E3335">
              <w:t xml:space="preserve"> (PRUIC)</w:t>
            </w:r>
            <w:r w:rsidRPr="00B30BA3">
              <w:t xml:space="preserve"> of pharmacotherapy service delivery at </w:t>
            </w:r>
            <w:r w:rsidR="003E3335">
              <w:t>…………………</w:t>
            </w:r>
            <w:r w:rsidR="00ED6A68">
              <w:t>…………</w:t>
            </w:r>
            <w:r w:rsidR="003E3335">
              <w:t xml:space="preserve">.. </w:t>
            </w:r>
            <w:r w:rsidRPr="00B30BA3">
              <w:t xml:space="preserve">pharmacy, I declare that I have read and understand the self-assessment checklist set out below. I will ensure that any pharmacists working under my supervision are familiar with the content of the checklist. </w:t>
            </w:r>
            <w:r w:rsidR="003E3335">
              <w:t>Those areas of practice to which I have responded “no” will be addressed in a timely manner, to ensure our pharmacy offers pharmacotherapy services at the professional level expected.</w:t>
            </w:r>
          </w:p>
        </w:tc>
      </w:tr>
      <w:tr w:rsidR="003E3335" w:rsidRPr="00B30BA3" w14:paraId="6F2D48D5" w14:textId="77777777" w:rsidTr="003E3335">
        <w:trPr>
          <w:trHeight w:val="449"/>
        </w:trPr>
        <w:tc>
          <w:tcPr>
            <w:tcW w:w="5043" w:type="dxa"/>
            <w:gridSpan w:val="2"/>
          </w:tcPr>
          <w:p w14:paraId="1BF9C16A" w14:textId="280016C6" w:rsidR="003E3335" w:rsidRPr="00B30BA3" w:rsidRDefault="003E3335" w:rsidP="003F787E">
            <w:pPr>
              <w:pStyle w:val="DHHSbody"/>
            </w:pPr>
            <w:r w:rsidRPr="00B30BA3">
              <w:t>Date assessment completed</w:t>
            </w:r>
          </w:p>
        </w:tc>
        <w:tc>
          <w:tcPr>
            <w:tcW w:w="5043" w:type="dxa"/>
            <w:gridSpan w:val="2"/>
          </w:tcPr>
          <w:p w14:paraId="5A183EC7" w14:textId="6EB20ED5" w:rsidR="003E3335" w:rsidRPr="00B30BA3" w:rsidRDefault="00CE59DA" w:rsidP="003F787E">
            <w:pPr>
              <w:pStyle w:val="DHHSbody"/>
            </w:pPr>
            <w:sdt>
              <w:sdtPr>
                <w:id w:val="-1434351527"/>
                <w:placeholder>
                  <w:docPart w:val="A5B1B3C489904A738F8D5902A9DE618A"/>
                </w:placeholder>
                <w:showingPlcHdr/>
                <w:date>
                  <w:dateFormat w:val="d/MM/yyyy"/>
                  <w:lid w:val="en-AU"/>
                  <w:storeMappedDataAs w:val="dateTime"/>
                  <w:calendar w:val="gregorian"/>
                </w:date>
              </w:sdtPr>
              <w:sdtEndPr/>
              <w:sdtContent>
                <w:r w:rsidR="003E3335" w:rsidRPr="00B30BA3">
                  <w:rPr>
                    <w:rStyle w:val="PlaceholderText"/>
                  </w:rPr>
                  <w:t>Click or tap to enter a date.</w:t>
                </w:r>
              </w:sdtContent>
            </w:sdt>
          </w:p>
        </w:tc>
      </w:tr>
      <w:tr w:rsidR="00B03704" w:rsidRPr="00B30BA3" w14:paraId="509A8A0F" w14:textId="77777777" w:rsidTr="003C188E">
        <w:trPr>
          <w:trHeight w:val="448"/>
        </w:trPr>
        <w:tc>
          <w:tcPr>
            <w:tcW w:w="5043" w:type="dxa"/>
            <w:gridSpan w:val="2"/>
          </w:tcPr>
          <w:p w14:paraId="6E86BD42" w14:textId="52403199" w:rsidR="00B03704" w:rsidRDefault="00B03704" w:rsidP="003F787E">
            <w:pPr>
              <w:pStyle w:val="DHHSbody"/>
            </w:pPr>
            <w:r>
              <w:t>Signature</w:t>
            </w:r>
          </w:p>
        </w:tc>
        <w:tc>
          <w:tcPr>
            <w:tcW w:w="5043" w:type="dxa"/>
            <w:gridSpan w:val="2"/>
          </w:tcPr>
          <w:p w14:paraId="1215278A" w14:textId="66656FDA" w:rsidR="00B03704" w:rsidRDefault="00CE59DA" w:rsidP="003F787E">
            <w:pPr>
              <w:pStyle w:val="DHHSbody"/>
            </w:pPr>
            <w:r>
              <w:pict w14:anchorId="03BB8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3in;height:41.15pt">
                  <v:imagedata r:id="rId19" o:title=""/>
                  <o:lock v:ext="edit" ungrouping="t" rotation="t" cropping="t" verticies="t" text="t" grouping="t"/>
                  <o:signatureline v:ext="edit" id="{238B740B-9098-4FFE-A091-6303A81E2486}" provid="{00000000-0000-0000-0000-000000000000}" issignatureline="t"/>
                </v:shape>
              </w:pict>
            </w:r>
          </w:p>
        </w:tc>
      </w:tr>
      <w:tr w:rsidR="00B03704" w:rsidRPr="00B30BA3" w14:paraId="508FC679" w14:textId="77777777" w:rsidTr="00B03704">
        <w:trPr>
          <w:trHeight w:val="251"/>
        </w:trPr>
        <w:tc>
          <w:tcPr>
            <w:tcW w:w="10086" w:type="dxa"/>
            <w:gridSpan w:val="4"/>
          </w:tcPr>
          <w:p w14:paraId="5349C823" w14:textId="77777777" w:rsidR="00B03704" w:rsidRDefault="00B03704" w:rsidP="003F787E">
            <w:pPr>
              <w:pStyle w:val="DHHSbody"/>
            </w:pPr>
          </w:p>
        </w:tc>
      </w:tr>
    </w:tbl>
    <w:bookmarkEnd w:id="0"/>
    <w:p w14:paraId="0689012D" w14:textId="4CC85A43" w:rsidR="00EE29AD" w:rsidRPr="00F35801" w:rsidRDefault="003E1759" w:rsidP="00573491">
      <w:pPr>
        <w:pStyle w:val="Heading1"/>
        <w:spacing w:before="120"/>
        <w:rPr>
          <w:b/>
          <w:bCs w:val="0"/>
          <w:color w:val="595959" w:themeColor="text1" w:themeTint="A6"/>
          <w:sz w:val="30"/>
          <w:szCs w:val="30"/>
        </w:rPr>
      </w:pPr>
      <w:r w:rsidRPr="63D2B899">
        <w:rPr>
          <w:b/>
          <w:color w:val="595959" w:themeColor="text1" w:themeTint="A6"/>
          <w:sz w:val="30"/>
          <w:szCs w:val="30"/>
        </w:rPr>
        <w:t>Introductory notes</w:t>
      </w:r>
    </w:p>
    <w:p w14:paraId="7B5FA66E" w14:textId="78B77FEC" w:rsidR="63D2B899" w:rsidRDefault="63D2B899">
      <w:r w:rsidRPr="63D2B899">
        <w:rPr>
          <w:rFonts w:eastAsia="Arial" w:cs="Arial"/>
          <w:sz w:val="20"/>
        </w:rPr>
        <w:t>Methadone and buprenorphine are the medications commonly in opioid replacement pharmacotherapy for the treatment of opioid use disorder and is variously known as Opioid Replacement Therapy (ORT), Opioid Agonist Therapy (OAT) and Medication-Assisted Treatment of Opioid Dependence (MATOD).</w:t>
      </w:r>
    </w:p>
    <w:p w14:paraId="4A4E6E00" w14:textId="6E7E9D71" w:rsidR="63D2B899" w:rsidRDefault="63D2B899">
      <w:r w:rsidRPr="63D2B899">
        <w:rPr>
          <w:rFonts w:eastAsia="Arial" w:cs="Arial"/>
          <w:sz w:val="20"/>
        </w:rPr>
        <w:t xml:space="preserve">For reasons of consistency across the Victorian Department of Health (the </w:t>
      </w:r>
      <w:r w:rsidR="005319A0">
        <w:rPr>
          <w:rFonts w:eastAsia="Arial" w:cs="Arial"/>
          <w:sz w:val="20"/>
        </w:rPr>
        <w:t>d</w:t>
      </w:r>
      <w:r w:rsidRPr="63D2B899">
        <w:rPr>
          <w:rFonts w:eastAsia="Arial" w:cs="Arial"/>
          <w:sz w:val="20"/>
        </w:rPr>
        <w:t>epartment) documents, the term “pharmacotherapy” is used to refer both to this program, and the opioid replacement medications used by people enrolled on this program.</w:t>
      </w:r>
    </w:p>
    <w:p w14:paraId="5494689A" w14:textId="44414D41" w:rsidR="63D2B899" w:rsidRDefault="63D2B899">
      <w:r w:rsidRPr="63D2B899">
        <w:rPr>
          <w:rFonts w:eastAsia="Arial" w:cs="Arial"/>
          <w:sz w:val="20"/>
        </w:rPr>
        <w:t xml:space="preserve">This document has been prepared by the </w:t>
      </w:r>
      <w:r w:rsidR="005319A0">
        <w:rPr>
          <w:rFonts w:eastAsia="Arial" w:cs="Arial"/>
          <w:sz w:val="20"/>
        </w:rPr>
        <w:t>d</w:t>
      </w:r>
      <w:r w:rsidRPr="63D2B899">
        <w:rPr>
          <w:rFonts w:eastAsia="Arial" w:cs="Arial"/>
          <w:sz w:val="20"/>
        </w:rPr>
        <w:t>epartment to assist pharmacists to understand both the legislative requirements and best practice policy that are applicable to pharmacotherapy service delivery.</w:t>
      </w:r>
    </w:p>
    <w:p w14:paraId="6841856B" w14:textId="6F6A88D5" w:rsidR="63D2B899" w:rsidRDefault="63D2B899">
      <w:r w:rsidRPr="63D2B899">
        <w:rPr>
          <w:rFonts w:eastAsia="Arial" w:cs="Arial"/>
          <w:sz w:val="20"/>
        </w:rPr>
        <w:t xml:space="preserve">Pharmacotherapy medications are Schedule 8 poisons under </w:t>
      </w:r>
      <w:hyperlink r:id="rId20">
        <w:r w:rsidRPr="63D2B899">
          <w:rPr>
            <w:rStyle w:val="Hyperlink"/>
            <w:rFonts w:eastAsia="Arial" w:cs="Arial"/>
            <w:sz w:val="20"/>
          </w:rPr>
          <w:t>The Poisons Standard</w:t>
        </w:r>
      </w:hyperlink>
      <w:r w:rsidRPr="63D2B899">
        <w:rPr>
          <w:rFonts w:eastAsia="Arial" w:cs="Arial"/>
          <w:sz w:val="20"/>
        </w:rPr>
        <w:t xml:space="preserve">. Victorian legislation sets out requirements in relation to scheduled poisons, including pharmacotherapy, in the </w:t>
      </w:r>
      <w:r w:rsidRPr="63D2B899">
        <w:rPr>
          <w:rFonts w:eastAsia="Arial" w:cs="Arial"/>
          <w:i/>
          <w:iCs/>
          <w:sz w:val="20"/>
        </w:rPr>
        <w:t>Drugs Poisons and Controlled Substances Act 1981</w:t>
      </w:r>
      <w:r w:rsidRPr="63D2B899">
        <w:rPr>
          <w:rFonts w:eastAsia="Arial" w:cs="Arial"/>
          <w:sz w:val="20"/>
        </w:rPr>
        <w:t xml:space="preserve"> (the Act). The safe and secure storage, sale, supply, prescribing, administration and use of pharmacotherapy is facilitated under the Drugs Poisons and Controlled Substances Regulations 2017 (the Regulations).</w:t>
      </w:r>
    </w:p>
    <w:p w14:paraId="0BE950E4" w14:textId="37D003A8" w:rsidR="63D2B899" w:rsidRDefault="63D2B899" w:rsidP="63D2B899">
      <w:pPr>
        <w:pStyle w:val="DHHSbody"/>
      </w:pPr>
    </w:p>
    <w:p w14:paraId="5B6864B7" w14:textId="77777777" w:rsidR="006B2C45" w:rsidRPr="00F35801" w:rsidRDefault="006B2C45" w:rsidP="006B2C45">
      <w:pPr>
        <w:pStyle w:val="Heading2"/>
        <w:rPr>
          <w:sz w:val="30"/>
          <w:szCs w:val="26"/>
        </w:rPr>
      </w:pPr>
      <w:r w:rsidRPr="00F35801">
        <w:rPr>
          <w:sz w:val="30"/>
          <w:szCs w:val="26"/>
        </w:rPr>
        <w:lastRenderedPageBreak/>
        <w:t>The regulations</w:t>
      </w:r>
    </w:p>
    <w:p w14:paraId="4EEC9812" w14:textId="1CAF1AE5" w:rsidR="006B2C45" w:rsidRPr="00B30BA3" w:rsidRDefault="006B2C45" w:rsidP="006B2C45">
      <w:pPr>
        <w:pStyle w:val="Body"/>
        <w:rPr>
          <w:sz w:val="20"/>
        </w:rPr>
      </w:pPr>
      <w:r w:rsidRPr="00B30BA3">
        <w:rPr>
          <w:sz w:val="20"/>
        </w:rPr>
        <w:t>Requirements</w:t>
      </w:r>
      <w:r w:rsidR="008C483F">
        <w:rPr>
          <w:sz w:val="20"/>
        </w:rPr>
        <w:t xml:space="preserve"> under the Regulations</w:t>
      </w:r>
      <w:r w:rsidRPr="00B30BA3">
        <w:rPr>
          <w:sz w:val="20"/>
        </w:rPr>
        <w:t xml:space="preserve"> </w:t>
      </w:r>
      <w:r w:rsidR="000E0654">
        <w:rPr>
          <w:sz w:val="20"/>
        </w:rPr>
        <w:t>for</w:t>
      </w:r>
      <w:r w:rsidRPr="00B30BA3">
        <w:rPr>
          <w:sz w:val="20"/>
        </w:rPr>
        <w:t xml:space="preserve"> </w:t>
      </w:r>
      <w:r w:rsidR="004A631A" w:rsidRPr="00B30BA3">
        <w:rPr>
          <w:sz w:val="20"/>
        </w:rPr>
        <w:t>pharmacotherapy</w:t>
      </w:r>
      <w:r w:rsidRPr="00B30BA3">
        <w:rPr>
          <w:sz w:val="20"/>
        </w:rPr>
        <w:t xml:space="preserve"> are the same as for other Schedule 8 poisons. In this document </w:t>
      </w:r>
      <w:r w:rsidR="004D5419">
        <w:rPr>
          <w:sz w:val="20"/>
        </w:rPr>
        <w:t xml:space="preserve">where </w:t>
      </w:r>
      <w:r w:rsidRPr="00B30BA3">
        <w:rPr>
          <w:sz w:val="20"/>
        </w:rPr>
        <w:t xml:space="preserve">the </w:t>
      </w:r>
      <w:r w:rsidR="004D5419">
        <w:rPr>
          <w:sz w:val="20"/>
        </w:rPr>
        <w:t>word</w:t>
      </w:r>
      <w:r w:rsidRPr="00B30BA3">
        <w:rPr>
          <w:sz w:val="20"/>
        </w:rPr>
        <w:t xml:space="preserve"> </w:t>
      </w:r>
      <w:r w:rsidR="004D5419">
        <w:rPr>
          <w:sz w:val="20"/>
        </w:rPr>
        <w:t>“</w:t>
      </w:r>
      <w:r w:rsidRPr="00B30BA3">
        <w:rPr>
          <w:b/>
          <w:color w:val="FF0000"/>
          <w:sz w:val="20"/>
        </w:rPr>
        <w:t>MUST</w:t>
      </w:r>
      <w:r w:rsidR="004D5419" w:rsidRPr="002C2C64">
        <w:rPr>
          <w:bCs/>
          <w:sz w:val="20"/>
        </w:rPr>
        <w:t>”</w:t>
      </w:r>
      <w:r w:rsidRPr="00B30BA3">
        <w:rPr>
          <w:sz w:val="20"/>
        </w:rPr>
        <w:t xml:space="preserve"> is used</w:t>
      </w:r>
      <w:r w:rsidR="00F12BE1">
        <w:rPr>
          <w:sz w:val="20"/>
        </w:rPr>
        <w:t>,</w:t>
      </w:r>
      <w:r w:rsidRPr="00B30BA3">
        <w:rPr>
          <w:sz w:val="20"/>
        </w:rPr>
        <w:t xml:space="preserve"> </w:t>
      </w:r>
      <w:r w:rsidR="00F12BE1">
        <w:rPr>
          <w:sz w:val="20"/>
        </w:rPr>
        <w:t>it refers to a practice that is required by legislation</w:t>
      </w:r>
      <w:r w:rsidR="00041E6A" w:rsidRPr="00B30BA3">
        <w:rPr>
          <w:sz w:val="20"/>
        </w:rPr>
        <w:t>.</w:t>
      </w:r>
    </w:p>
    <w:p w14:paraId="6592D157" w14:textId="77777777" w:rsidR="006B2C45" w:rsidRPr="00F35801" w:rsidRDefault="006B2C45" w:rsidP="006B2C45">
      <w:pPr>
        <w:pStyle w:val="Heading2"/>
        <w:rPr>
          <w:sz w:val="30"/>
          <w:szCs w:val="26"/>
        </w:rPr>
      </w:pPr>
      <w:r w:rsidRPr="00F35801">
        <w:rPr>
          <w:sz w:val="30"/>
          <w:szCs w:val="26"/>
        </w:rPr>
        <w:t>The policy</w:t>
      </w:r>
    </w:p>
    <w:p w14:paraId="462BEB9C" w14:textId="04A78894" w:rsidR="00B03704" w:rsidRDefault="006B2C45" w:rsidP="63D2B899">
      <w:pPr>
        <w:rPr>
          <w:rStyle w:val="Hyperlink"/>
          <w:rFonts w:eastAsia="Arial" w:cs="Arial"/>
        </w:rPr>
      </w:pPr>
      <w:r w:rsidRPr="63D2B899">
        <w:rPr>
          <w:rFonts w:eastAsia="Arial" w:cs="Arial"/>
          <w:sz w:val="20"/>
        </w:rPr>
        <w:t xml:space="preserve">Victoria’s </w:t>
      </w:r>
      <w:hyperlink r:id="rId21" w:history="1">
        <w:r w:rsidR="00312A89" w:rsidRPr="63D2B899">
          <w:rPr>
            <w:rStyle w:val="Hyperlink"/>
            <w:rFonts w:eastAsia="Arial" w:cs="Arial"/>
            <w:sz w:val="20"/>
          </w:rPr>
          <w:t>Policy for maintenance pharmacotherapy for opioid dependence</w:t>
        </w:r>
      </w:hyperlink>
      <w:r w:rsidR="00312A89" w:rsidRPr="63D2B899">
        <w:rPr>
          <w:rFonts w:eastAsia="Arial" w:cs="Arial"/>
          <w:sz w:val="20"/>
        </w:rPr>
        <w:t xml:space="preserve"> </w:t>
      </w:r>
      <w:r w:rsidRPr="63D2B899">
        <w:rPr>
          <w:rStyle w:val="Emphasis"/>
          <w:rFonts w:eastAsia="Arial" w:cs="Arial"/>
          <w:i w:val="0"/>
          <w:iCs w:val="0"/>
          <w:sz w:val="20"/>
          <w:shd w:val="clear" w:color="auto" w:fill="FFFFFF"/>
        </w:rPr>
        <w:t>(the policy)</w:t>
      </w:r>
      <w:r w:rsidRPr="63D2B899">
        <w:rPr>
          <w:rStyle w:val="Emphasis"/>
          <w:rFonts w:eastAsia="Arial" w:cs="Arial"/>
          <w:color w:val="505050"/>
          <w:sz w:val="20"/>
          <w:shd w:val="clear" w:color="auto" w:fill="FFFFFF"/>
        </w:rPr>
        <w:t xml:space="preserve"> </w:t>
      </w:r>
      <w:r w:rsidRPr="63D2B899">
        <w:rPr>
          <w:rFonts w:eastAsia="Arial" w:cs="Arial"/>
          <w:sz w:val="20"/>
        </w:rPr>
        <w:t>has been developed in accordance with input from health pr</w:t>
      </w:r>
      <w:r w:rsidR="008358D4" w:rsidRPr="63D2B899">
        <w:rPr>
          <w:rFonts w:eastAsia="Arial" w:cs="Arial"/>
          <w:sz w:val="20"/>
        </w:rPr>
        <w:t>ofessionals</w:t>
      </w:r>
      <w:r w:rsidRPr="63D2B899">
        <w:rPr>
          <w:rFonts w:eastAsia="Arial" w:cs="Arial"/>
          <w:sz w:val="20"/>
        </w:rPr>
        <w:t xml:space="preserve"> with expertise in treating patients</w:t>
      </w:r>
      <w:r w:rsidR="00576EA2" w:rsidRPr="63D2B899">
        <w:rPr>
          <w:rFonts w:eastAsia="Arial" w:cs="Arial"/>
          <w:sz w:val="20"/>
        </w:rPr>
        <w:t xml:space="preserve"> with opioid use disorder</w:t>
      </w:r>
      <w:r w:rsidRPr="63D2B899">
        <w:rPr>
          <w:rFonts w:eastAsia="Arial" w:cs="Arial"/>
          <w:sz w:val="20"/>
        </w:rPr>
        <w:t xml:space="preserve"> to minimise the risks associated with </w:t>
      </w:r>
      <w:r w:rsidR="005300BE" w:rsidRPr="63D2B899">
        <w:rPr>
          <w:rFonts w:eastAsia="Arial" w:cs="Arial"/>
          <w:sz w:val="20"/>
        </w:rPr>
        <w:t>pharmacotherapy</w:t>
      </w:r>
      <w:r w:rsidRPr="63D2B899">
        <w:rPr>
          <w:rFonts w:eastAsia="Arial" w:cs="Arial"/>
          <w:sz w:val="20"/>
        </w:rPr>
        <w:t xml:space="preserve">. It should be read in conjunction with the </w:t>
      </w:r>
      <w:hyperlink r:id="rId22" w:history="1">
        <w:r w:rsidR="00B03704" w:rsidRPr="63D2B899">
          <w:rPr>
            <w:rStyle w:val="Hyperlink"/>
            <w:rFonts w:eastAsia="Arial" w:cs="Arial"/>
            <w:sz w:val="20"/>
          </w:rPr>
          <w:t>National guidelines for medication-assisted treatment of opioid dependence</w:t>
        </w:r>
      </w:hyperlink>
      <w:r w:rsidR="00B03704" w:rsidRPr="63D2B899">
        <w:rPr>
          <w:rStyle w:val="Hyperlink"/>
          <w:rFonts w:eastAsia="Arial" w:cs="Arial"/>
        </w:rPr>
        <w:t>.</w:t>
      </w:r>
    </w:p>
    <w:p w14:paraId="6000E91E" w14:textId="1DFA91CC" w:rsidR="006B2C45" w:rsidRPr="00B30BA3" w:rsidRDefault="006B2C45" w:rsidP="63D2B899">
      <w:pPr>
        <w:pStyle w:val="DHHSbody"/>
        <w:rPr>
          <w:rFonts w:eastAsia="Arial" w:cs="Arial"/>
        </w:rPr>
      </w:pPr>
      <w:r w:rsidRPr="63D2B899">
        <w:rPr>
          <w:rFonts w:eastAsia="Arial" w:cs="Arial"/>
        </w:rPr>
        <w:t xml:space="preserve">The </w:t>
      </w:r>
      <w:r w:rsidR="008358D4" w:rsidRPr="63D2B899">
        <w:rPr>
          <w:rFonts w:eastAsia="Arial" w:cs="Arial"/>
        </w:rPr>
        <w:t>p</w:t>
      </w:r>
      <w:r w:rsidRPr="63D2B899">
        <w:rPr>
          <w:rFonts w:eastAsia="Arial" w:cs="Arial"/>
        </w:rPr>
        <w:t xml:space="preserve">olicy contains general </w:t>
      </w:r>
      <w:r w:rsidR="008358D4" w:rsidRPr="63D2B899">
        <w:rPr>
          <w:rFonts w:eastAsia="Arial" w:cs="Arial"/>
        </w:rPr>
        <w:t xml:space="preserve">best practice </w:t>
      </w:r>
      <w:r w:rsidRPr="63D2B899">
        <w:rPr>
          <w:rFonts w:eastAsia="Arial" w:cs="Arial"/>
        </w:rPr>
        <w:t>advice, which is intended to assist health pr</w:t>
      </w:r>
      <w:r w:rsidR="00E356F3" w:rsidRPr="63D2B899">
        <w:rPr>
          <w:rFonts w:eastAsia="Arial" w:cs="Arial"/>
        </w:rPr>
        <w:t>ofessionals</w:t>
      </w:r>
      <w:r w:rsidRPr="63D2B899">
        <w:rPr>
          <w:rFonts w:eastAsia="Arial" w:cs="Arial"/>
        </w:rPr>
        <w:t xml:space="preserve"> manage patients in a safe, appropriate and lawful manner. However, the </w:t>
      </w:r>
      <w:r w:rsidR="00E356F3" w:rsidRPr="63D2B899">
        <w:rPr>
          <w:rFonts w:eastAsia="Arial" w:cs="Arial"/>
        </w:rPr>
        <w:t>p</w:t>
      </w:r>
      <w:r w:rsidRPr="63D2B899">
        <w:rPr>
          <w:rFonts w:eastAsia="Arial" w:cs="Arial"/>
        </w:rPr>
        <w:t>olicy cannot address every clinical situation and is not intended to replace professional judgement in individual cases.</w:t>
      </w:r>
    </w:p>
    <w:p w14:paraId="1DFC0C93" w14:textId="3D427A27" w:rsidR="006B2C45" w:rsidRPr="00B30BA3" w:rsidRDefault="006B2C45" w:rsidP="63D2B899">
      <w:pPr>
        <w:pStyle w:val="DHHSbody"/>
        <w:rPr>
          <w:rFonts w:eastAsia="Arial" w:cs="Arial"/>
        </w:rPr>
      </w:pPr>
      <w:r w:rsidRPr="63D2B899">
        <w:rPr>
          <w:rFonts w:eastAsia="Arial" w:cs="Arial"/>
        </w:rPr>
        <w:t xml:space="preserve">It is expected that pharmacists will generally act in a manner consistent with the </w:t>
      </w:r>
      <w:r w:rsidR="00E356F3" w:rsidRPr="63D2B899">
        <w:rPr>
          <w:rFonts w:eastAsia="Arial" w:cs="Arial"/>
        </w:rPr>
        <w:t>p</w:t>
      </w:r>
      <w:r w:rsidRPr="63D2B899">
        <w:rPr>
          <w:rFonts w:eastAsia="Arial" w:cs="Arial"/>
        </w:rPr>
        <w:t>olicy and will vary from it only if there is sufficient justification in an individual case.</w:t>
      </w:r>
    </w:p>
    <w:p w14:paraId="697B33B9" w14:textId="7B11B7F7" w:rsidR="006B2C45" w:rsidRPr="00B30BA3" w:rsidRDefault="006B2C45" w:rsidP="63D2B899">
      <w:pPr>
        <w:pStyle w:val="DHHSbody"/>
        <w:rPr>
          <w:rFonts w:eastAsia="Arial" w:cs="Arial"/>
        </w:rPr>
      </w:pPr>
      <w:r w:rsidRPr="63D2B899">
        <w:rPr>
          <w:rFonts w:eastAsia="Arial" w:cs="Arial"/>
        </w:rPr>
        <w:t xml:space="preserve">A pharmacist is </w:t>
      </w:r>
      <w:r w:rsidRPr="63D2B899">
        <w:rPr>
          <w:rFonts w:eastAsia="Arial" w:cs="Arial"/>
          <w:b/>
          <w:bCs/>
        </w:rPr>
        <w:t>not</w:t>
      </w:r>
      <w:r w:rsidRPr="63D2B899">
        <w:rPr>
          <w:rFonts w:eastAsia="Arial" w:cs="Arial"/>
        </w:rPr>
        <w:t xml:space="preserve"> obliged to vary from the</w:t>
      </w:r>
      <w:r w:rsidRPr="63D2B899">
        <w:rPr>
          <w:rFonts w:eastAsia="Arial" w:cs="Arial"/>
          <w:b/>
          <w:bCs/>
        </w:rPr>
        <w:t xml:space="preserve"> </w:t>
      </w:r>
      <w:r w:rsidR="00E356F3" w:rsidRPr="63D2B899">
        <w:rPr>
          <w:rFonts w:eastAsia="Arial" w:cs="Arial"/>
          <w:b/>
          <w:bCs/>
        </w:rPr>
        <w:t>p</w:t>
      </w:r>
      <w:r w:rsidRPr="63D2B899">
        <w:rPr>
          <w:rFonts w:eastAsia="Arial" w:cs="Arial"/>
          <w:b/>
          <w:bCs/>
        </w:rPr>
        <w:t>olicy</w:t>
      </w:r>
      <w:r w:rsidRPr="63D2B899">
        <w:rPr>
          <w:rFonts w:eastAsia="Arial" w:cs="Arial"/>
        </w:rPr>
        <w:t xml:space="preserve"> and </w:t>
      </w:r>
      <w:r w:rsidR="006D377A" w:rsidRPr="63D2B899">
        <w:rPr>
          <w:rFonts w:eastAsia="Arial" w:cs="Arial"/>
          <w:b/>
          <w:bCs/>
          <w:color w:val="FF0000"/>
        </w:rPr>
        <w:t>MUST NOT</w:t>
      </w:r>
      <w:r w:rsidRPr="63D2B899">
        <w:rPr>
          <w:rFonts w:eastAsia="Arial" w:cs="Arial"/>
          <w:color w:val="FF0000"/>
        </w:rPr>
        <w:t xml:space="preserve"> </w:t>
      </w:r>
      <w:r w:rsidRPr="63D2B899">
        <w:rPr>
          <w:rFonts w:eastAsia="Arial" w:cs="Arial"/>
        </w:rPr>
        <w:t xml:space="preserve">vary from </w:t>
      </w:r>
      <w:r w:rsidRPr="63D2B899">
        <w:rPr>
          <w:rFonts w:eastAsia="Arial" w:cs="Arial"/>
          <w:b/>
          <w:bCs/>
        </w:rPr>
        <w:t>regulatory requirements</w:t>
      </w:r>
      <w:r w:rsidRPr="63D2B899">
        <w:rPr>
          <w:rFonts w:eastAsia="Arial" w:cs="Arial"/>
        </w:rPr>
        <w:t xml:space="preserve"> merely because a prescriber gives instructions to do so.  </w:t>
      </w:r>
    </w:p>
    <w:p w14:paraId="2750A220" w14:textId="1FABC834" w:rsidR="006B2C45" w:rsidRDefault="008F5158" w:rsidP="63D2B899">
      <w:pPr>
        <w:pStyle w:val="DHHSbody"/>
        <w:rPr>
          <w:rFonts w:eastAsia="Arial" w:cs="Arial"/>
        </w:rPr>
      </w:pPr>
      <w:r w:rsidRPr="63D2B899">
        <w:rPr>
          <w:rFonts w:eastAsia="Arial" w:cs="Arial"/>
        </w:rPr>
        <w:t>P</w:t>
      </w:r>
      <w:r w:rsidR="006B2C45" w:rsidRPr="63D2B899">
        <w:rPr>
          <w:rFonts w:eastAsia="Arial" w:cs="Arial"/>
        </w:rPr>
        <w:t xml:space="preserve">harmacists are advised to consider the “Principles of Pharmacotherapy Administration” (contained </w:t>
      </w:r>
      <w:r w:rsidR="00236F4E" w:rsidRPr="63D2B899">
        <w:rPr>
          <w:rFonts w:eastAsia="Arial" w:cs="Arial"/>
        </w:rPr>
        <w:t xml:space="preserve">within </w:t>
      </w:r>
      <w:r w:rsidR="006B2C45" w:rsidRPr="63D2B899">
        <w:rPr>
          <w:rFonts w:eastAsia="Arial" w:cs="Arial"/>
        </w:rPr>
        <w:t xml:space="preserve">Appendix 7 of the </w:t>
      </w:r>
      <w:r w:rsidR="00080E81" w:rsidRPr="63D2B899">
        <w:rPr>
          <w:rFonts w:eastAsia="Arial" w:cs="Arial"/>
        </w:rPr>
        <w:t>p</w:t>
      </w:r>
      <w:r w:rsidR="006B2C45" w:rsidRPr="63D2B899">
        <w:rPr>
          <w:rFonts w:eastAsia="Arial" w:cs="Arial"/>
        </w:rPr>
        <w:t>olicy</w:t>
      </w:r>
      <w:r w:rsidR="00236F4E" w:rsidRPr="63D2B899">
        <w:rPr>
          <w:rFonts w:eastAsia="Arial" w:cs="Arial"/>
        </w:rPr>
        <w:t xml:space="preserve"> – Certification of pharmacists to administer doses</w:t>
      </w:r>
      <w:r w:rsidR="006B2C45" w:rsidRPr="63D2B899">
        <w:rPr>
          <w:rFonts w:eastAsia="Arial" w:cs="Arial"/>
        </w:rPr>
        <w:t xml:space="preserve">) </w:t>
      </w:r>
      <w:r w:rsidR="00C600C6" w:rsidRPr="63D2B899">
        <w:rPr>
          <w:rFonts w:eastAsia="Arial" w:cs="Arial"/>
        </w:rPr>
        <w:t xml:space="preserve">to support their clinical decision making </w:t>
      </w:r>
      <w:r w:rsidR="0060141E" w:rsidRPr="63D2B899">
        <w:rPr>
          <w:rFonts w:eastAsia="Arial" w:cs="Arial"/>
        </w:rPr>
        <w:t>in varying</w:t>
      </w:r>
      <w:r w:rsidR="00BE2D7E" w:rsidRPr="63D2B899">
        <w:rPr>
          <w:rFonts w:eastAsia="Arial" w:cs="Arial"/>
        </w:rPr>
        <w:t xml:space="preserve"> from the policy</w:t>
      </w:r>
      <w:r w:rsidR="00865310" w:rsidRPr="63D2B899">
        <w:rPr>
          <w:rFonts w:eastAsia="Arial" w:cs="Arial"/>
        </w:rPr>
        <w:t xml:space="preserve"> and</w:t>
      </w:r>
      <w:r w:rsidR="00BE2D7E" w:rsidRPr="63D2B899">
        <w:rPr>
          <w:rFonts w:eastAsia="Arial" w:cs="Arial"/>
        </w:rPr>
        <w:t xml:space="preserve"> situation</w:t>
      </w:r>
      <w:r w:rsidR="0060141E" w:rsidRPr="63D2B899">
        <w:rPr>
          <w:rFonts w:eastAsia="Arial" w:cs="Arial"/>
        </w:rPr>
        <w:t>s</w:t>
      </w:r>
      <w:r w:rsidR="00BE2D7E" w:rsidRPr="63D2B899">
        <w:rPr>
          <w:rFonts w:eastAsia="Arial" w:cs="Arial"/>
        </w:rPr>
        <w:t xml:space="preserve"> that </w:t>
      </w:r>
      <w:r w:rsidR="0060141E" w:rsidRPr="63D2B899">
        <w:rPr>
          <w:rFonts w:eastAsia="Arial" w:cs="Arial"/>
        </w:rPr>
        <w:t>are</w:t>
      </w:r>
      <w:r w:rsidR="00BE2D7E" w:rsidRPr="63D2B899">
        <w:rPr>
          <w:rFonts w:eastAsia="Arial" w:cs="Arial"/>
        </w:rPr>
        <w:t xml:space="preserve"> not specifically addressed in the policy</w:t>
      </w:r>
      <w:r w:rsidR="00865310" w:rsidRPr="63D2B899">
        <w:rPr>
          <w:rFonts w:eastAsia="Arial" w:cs="Arial"/>
        </w:rPr>
        <w:t>. R</w:t>
      </w:r>
      <w:r w:rsidR="006B2C45" w:rsidRPr="63D2B899">
        <w:rPr>
          <w:rFonts w:eastAsia="Arial" w:cs="Arial"/>
        </w:rPr>
        <w:t xml:space="preserve">easons for any actions that are not consistent with the </w:t>
      </w:r>
      <w:r w:rsidR="003B6655" w:rsidRPr="63D2B899">
        <w:rPr>
          <w:rFonts w:eastAsia="Arial" w:cs="Arial"/>
        </w:rPr>
        <w:t>p</w:t>
      </w:r>
      <w:r w:rsidR="006B2C45" w:rsidRPr="63D2B899">
        <w:rPr>
          <w:rFonts w:eastAsia="Arial" w:cs="Arial"/>
        </w:rPr>
        <w:t>olicy</w:t>
      </w:r>
      <w:r w:rsidR="00865310" w:rsidRPr="63D2B899">
        <w:rPr>
          <w:rFonts w:eastAsia="Arial" w:cs="Arial"/>
        </w:rPr>
        <w:t xml:space="preserve"> should be documented</w:t>
      </w:r>
      <w:r w:rsidR="006B2C45" w:rsidRPr="63D2B899">
        <w:rPr>
          <w:rFonts w:eastAsia="Arial" w:cs="Arial"/>
        </w:rPr>
        <w:t xml:space="preserve">. </w:t>
      </w:r>
    </w:p>
    <w:p w14:paraId="4BF8F529" w14:textId="412F9220" w:rsidR="00AA793D" w:rsidRPr="00AA793D" w:rsidRDefault="00AA793D" w:rsidP="63D2B899">
      <w:pPr>
        <w:pStyle w:val="Body"/>
        <w:rPr>
          <w:rFonts w:eastAsia="Arial" w:cs="Arial"/>
          <w:sz w:val="20"/>
        </w:rPr>
      </w:pPr>
      <w:r w:rsidRPr="63D2B899">
        <w:rPr>
          <w:rFonts w:eastAsia="Arial" w:cs="Arial"/>
          <w:sz w:val="20"/>
        </w:rPr>
        <w:t>In this document where the word</w:t>
      </w:r>
      <w:r w:rsidR="00AA7947" w:rsidRPr="63D2B899">
        <w:rPr>
          <w:rFonts w:eastAsia="Arial" w:cs="Arial"/>
          <w:sz w:val="20"/>
        </w:rPr>
        <w:t>s</w:t>
      </w:r>
      <w:r w:rsidRPr="63D2B899">
        <w:rPr>
          <w:rFonts w:eastAsia="Arial" w:cs="Arial"/>
          <w:sz w:val="20"/>
        </w:rPr>
        <w:t xml:space="preserve"> “</w:t>
      </w:r>
      <w:r w:rsidRPr="63D2B899">
        <w:rPr>
          <w:rFonts w:eastAsia="Arial" w:cs="Arial"/>
          <w:b/>
          <w:bCs/>
          <w:sz w:val="20"/>
        </w:rPr>
        <w:t>SHOULD</w:t>
      </w:r>
      <w:r w:rsidRPr="63D2B899">
        <w:rPr>
          <w:rFonts w:eastAsia="Arial" w:cs="Arial"/>
          <w:sz w:val="20"/>
        </w:rPr>
        <w:t>”</w:t>
      </w:r>
      <w:r w:rsidR="00AA7947" w:rsidRPr="63D2B899">
        <w:rPr>
          <w:rFonts w:eastAsia="Arial" w:cs="Arial"/>
          <w:sz w:val="20"/>
        </w:rPr>
        <w:t xml:space="preserve"> or “</w:t>
      </w:r>
      <w:r w:rsidR="00AA7947" w:rsidRPr="63D2B899">
        <w:rPr>
          <w:rFonts w:eastAsia="Arial" w:cs="Arial"/>
          <w:b/>
          <w:bCs/>
          <w:sz w:val="20"/>
        </w:rPr>
        <w:t>RECOMMENDED</w:t>
      </w:r>
      <w:r w:rsidR="00AA7947" w:rsidRPr="63D2B899">
        <w:rPr>
          <w:rFonts w:eastAsia="Arial" w:cs="Arial"/>
          <w:sz w:val="20"/>
        </w:rPr>
        <w:t>”</w:t>
      </w:r>
      <w:r w:rsidRPr="63D2B899">
        <w:rPr>
          <w:rFonts w:eastAsia="Arial" w:cs="Arial"/>
          <w:sz w:val="20"/>
        </w:rPr>
        <w:t xml:space="preserve"> </w:t>
      </w:r>
      <w:r w:rsidR="00AA7947" w:rsidRPr="63D2B899">
        <w:rPr>
          <w:rFonts w:eastAsia="Arial" w:cs="Arial"/>
          <w:sz w:val="20"/>
        </w:rPr>
        <w:t>are</w:t>
      </w:r>
      <w:r w:rsidRPr="63D2B899">
        <w:rPr>
          <w:rFonts w:eastAsia="Arial" w:cs="Arial"/>
          <w:sz w:val="20"/>
        </w:rPr>
        <w:t xml:space="preserve"> used, it refers to a practice that is </w:t>
      </w:r>
      <w:r w:rsidR="00C8362A" w:rsidRPr="63D2B899">
        <w:rPr>
          <w:rFonts w:eastAsia="Arial" w:cs="Arial"/>
          <w:sz w:val="20"/>
        </w:rPr>
        <w:t>best practice policy advice</w:t>
      </w:r>
      <w:r w:rsidRPr="63D2B899">
        <w:rPr>
          <w:rFonts w:eastAsia="Arial" w:cs="Arial"/>
          <w:sz w:val="20"/>
        </w:rPr>
        <w:t>.</w:t>
      </w:r>
    </w:p>
    <w:p w14:paraId="13628977" w14:textId="3907B155" w:rsidR="00A62D44" w:rsidRPr="00F35801" w:rsidRDefault="00ED53B5" w:rsidP="001E0C5D">
      <w:pPr>
        <w:pStyle w:val="Heading2"/>
        <w:rPr>
          <w:sz w:val="30"/>
          <w:szCs w:val="26"/>
        </w:rPr>
      </w:pPr>
      <w:r w:rsidRPr="00F35801">
        <w:rPr>
          <w:sz w:val="30"/>
          <w:szCs w:val="26"/>
        </w:rPr>
        <w:t>Explanatory notes</w:t>
      </w:r>
    </w:p>
    <w:p w14:paraId="03B2EF91" w14:textId="1722ACBD" w:rsidR="0023016D" w:rsidRPr="00B30BA3" w:rsidRDefault="0023016D" w:rsidP="63D2B899">
      <w:pPr>
        <w:pStyle w:val="DHHSbody"/>
        <w:rPr>
          <w:b/>
          <w:bCs/>
        </w:rPr>
      </w:pPr>
      <w:r>
        <w:t xml:space="preserve">This self-assessment checklist is designed to be read in conjunction with the </w:t>
      </w:r>
      <w:r w:rsidR="00BE0C11">
        <w:t>Victorian policy for maintenance pharmacotherapy for opioid dependence.</w:t>
      </w:r>
    </w:p>
    <w:p w14:paraId="01A30726" w14:textId="0F908A40" w:rsidR="63D2B899" w:rsidRDefault="63D2B899">
      <w:r w:rsidRPr="63D2B899">
        <w:rPr>
          <w:rFonts w:eastAsia="Arial" w:cs="Arial"/>
          <w:b/>
          <w:bCs/>
          <w:sz w:val="20"/>
        </w:rPr>
        <w:t>Methadone</w:t>
      </w:r>
      <w:r w:rsidRPr="63D2B899">
        <w:rPr>
          <w:rFonts w:eastAsia="Arial" w:cs="Arial"/>
          <w:sz w:val="20"/>
        </w:rPr>
        <w:t xml:space="preserve"> applies to either of the available liquid formulations, which both contain 5 mg/mL of methadone hydrochloride. Methadone Syrup (Aspen) contains preservatives and other excipients; Biodone Forte</w:t>
      </w:r>
      <w:r w:rsidRPr="63D2B899">
        <w:rPr>
          <w:rFonts w:eastAsia="Arial" w:cs="Arial"/>
          <w:sz w:val="20"/>
          <w:vertAlign w:val="superscript"/>
        </w:rPr>
        <w:t>®</w:t>
      </w:r>
      <w:r w:rsidRPr="63D2B899">
        <w:rPr>
          <w:rFonts w:eastAsia="Arial" w:cs="Arial"/>
          <w:sz w:val="20"/>
        </w:rPr>
        <w:t xml:space="preserve"> contains colouring and purified water. </w:t>
      </w:r>
    </w:p>
    <w:p w14:paraId="7644F985" w14:textId="5F2DD3AD" w:rsidR="63D2B899" w:rsidRDefault="63D2B899">
      <w:r w:rsidRPr="63D2B899">
        <w:rPr>
          <w:rFonts w:eastAsia="Arial" w:cs="Arial"/>
          <w:b/>
          <w:bCs/>
          <w:sz w:val="20"/>
        </w:rPr>
        <w:t>Buprenorphine</w:t>
      </w:r>
      <w:r w:rsidRPr="63D2B899">
        <w:rPr>
          <w:rFonts w:eastAsia="Arial" w:cs="Arial"/>
          <w:sz w:val="20"/>
        </w:rPr>
        <w:t xml:space="preserve"> applies to either Suboxone</w:t>
      </w:r>
      <w:r w:rsidRPr="63D2B899">
        <w:rPr>
          <w:rFonts w:eastAsia="Arial" w:cs="Arial"/>
          <w:sz w:val="20"/>
          <w:vertAlign w:val="superscript"/>
        </w:rPr>
        <w:t>®</w:t>
      </w:r>
      <w:r w:rsidRPr="63D2B899">
        <w:rPr>
          <w:rFonts w:eastAsia="Arial" w:cs="Arial"/>
          <w:sz w:val="20"/>
        </w:rPr>
        <w:t xml:space="preserve"> or Subutex</w:t>
      </w:r>
      <w:r w:rsidRPr="63D2B899">
        <w:rPr>
          <w:rFonts w:eastAsia="Arial" w:cs="Arial"/>
          <w:sz w:val="20"/>
          <w:vertAlign w:val="superscript"/>
        </w:rPr>
        <w:t>®</w:t>
      </w:r>
      <w:r w:rsidRPr="63D2B899">
        <w:rPr>
          <w:rFonts w:eastAsia="Arial" w:cs="Arial"/>
          <w:sz w:val="20"/>
        </w:rPr>
        <w:t xml:space="preserve"> unless otherwise indicated. </w:t>
      </w:r>
    </w:p>
    <w:p w14:paraId="5369DC8C" w14:textId="09EDDD3C" w:rsidR="63D2B899" w:rsidRDefault="63D2B899">
      <w:r w:rsidRPr="63D2B899">
        <w:rPr>
          <w:rFonts w:eastAsia="Arial" w:cs="Arial"/>
          <w:b/>
          <w:bCs/>
          <w:sz w:val="20"/>
        </w:rPr>
        <w:t>Long-acting injectable</w:t>
      </w:r>
      <w:r w:rsidRPr="63D2B899">
        <w:rPr>
          <w:rFonts w:eastAsia="Arial" w:cs="Arial"/>
          <w:sz w:val="20"/>
        </w:rPr>
        <w:t xml:space="preserve"> </w:t>
      </w:r>
      <w:r w:rsidRPr="63D2B899">
        <w:rPr>
          <w:rFonts w:eastAsia="Arial" w:cs="Arial"/>
          <w:b/>
          <w:bCs/>
          <w:sz w:val="20"/>
        </w:rPr>
        <w:t>buprenorphine (LAIB)</w:t>
      </w:r>
      <w:r w:rsidRPr="63D2B899">
        <w:rPr>
          <w:rFonts w:eastAsia="Arial" w:cs="Arial"/>
          <w:sz w:val="20"/>
        </w:rPr>
        <w:t xml:space="preserve"> apply to both Buvidal</w:t>
      </w:r>
      <w:r w:rsidRPr="63D2B899">
        <w:rPr>
          <w:rFonts w:eastAsia="Arial" w:cs="Arial"/>
          <w:sz w:val="20"/>
          <w:vertAlign w:val="superscript"/>
        </w:rPr>
        <w:t>®</w:t>
      </w:r>
      <w:r w:rsidRPr="63D2B899">
        <w:rPr>
          <w:rFonts w:eastAsia="Arial" w:cs="Arial"/>
          <w:sz w:val="20"/>
        </w:rPr>
        <w:t xml:space="preserve"> and Sublocade</w:t>
      </w:r>
      <w:r w:rsidRPr="63D2B899">
        <w:rPr>
          <w:rFonts w:eastAsia="Arial" w:cs="Arial"/>
          <w:sz w:val="20"/>
          <w:vertAlign w:val="superscript"/>
        </w:rPr>
        <w:t>®</w:t>
      </w:r>
      <w:r w:rsidRPr="63D2B899">
        <w:rPr>
          <w:rFonts w:eastAsia="Arial" w:cs="Arial"/>
          <w:sz w:val="20"/>
        </w:rPr>
        <w:t xml:space="preserve"> unless otherwise indicated.</w:t>
      </w:r>
    </w:p>
    <w:p w14:paraId="3F3B283F" w14:textId="55E6D9BD" w:rsidR="63D2B899" w:rsidRDefault="63D2B899">
      <w:r w:rsidRPr="63D2B899">
        <w:rPr>
          <w:rFonts w:eastAsia="Arial" w:cs="Arial"/>
          <w:sz w:val="20"/>
        </w:rPr>
        <w:t>Reference to the term prescribers apply to medical and nurse practitioners.</w:t>
      </w:r>
    </w:p>
    <w:p w14:paraId="0EF6F578" w14:textId="35C6B39C" w:rsidR="63D2B899" w:rsidRDefault="63D2B899" w:rsidP="63D2B899">
      <w:pPr>
        <w:pStyle w:val="DHHSbody"/>
      </w:pPr>
    </w:p>
    <w:p w14:paraId="542FB72A" w14:textId="77777777" w:rsidR="00236F4E" w:rsidRDefault="00236F4E">
      <w:pPr>
        <w:spacing w:after="0" w:line="240" w:lineRule="auto"/>
        <w:rPr>
          <w:rFonts w:eastAsia="MS Gothic" w:cs="Arial"/>
          <w:bCs/>
          <w:color w:val="201547"/>
          <w:kern w:val="32"/>
          <w:sz w:val="40"/>
          <w:szCs w:val="40"/>
        </w:rPr>
      </w:pPr>
      <w:r>
        <w:br w:type="page"/>
      </w:r>
    </w:p>
    <w:p w14:paraId="030B7115" w14:textId="280147E4" w:rsidR="00A70178" w:rsidRPr="00B30BA3" w:rsidRDefault="00496586" w:rsidP="00FD7086">
      <w:pPr>
        <w:pStyle w:val="Heading1"/>
        <w:spacing w:before="0" w:after="0"/>
      </w:pPr>
      <w:r w:rsidRPr="00B30BA3">
        <w:lastRenderedPageBreak/>
        <w:t>Self-assessment checklist</w:t>
      </w:r>
    </w:p>
    <w:p w14:paraId="6E3E12E7" w14:textId="61288248" w:rsidR="00661B77" w:rsidRPr="00F35801" w:rsidRDefault="00661B77" w:rsidP="00FD7086">
      <w:pPr>
        <w:pStyle w:val="Heading2"/>
        <w:spacing w:before="0"/>
        <w:rPr>
          <w:sz w:val="30"/>
          <w:szCs w:val="26"/>
        </w:rPr>
      </w:pPr>
      <w:r w:rsidRPr="00F35801">
        <w:rPr>
          <w:sz w:val="30"/>
          <w:szCs w:val="26"/>
        </w:rPr>
        <w:t>Reference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9"/>
        <w:gridCol w:w="1735"/>
      </w:tblGrid>
      <w:tr w:rsidR="00174A59" w:rsidRPr="00B30BA3" w14:paraId="1F811E23" w14:textId="77777777" w:rsidTr="00573491">
        <w:tc>
          <w:tcPr>
            <w:tcW w:w="5000" w:type="pct"/>
            <w:gridSpan w:val="2"/>
            <w:tcBorders>
              <w:bottom w:val="single" w:sz="12" w:space="0" w:color="auto"/>
            </w:tcBorders>
            <w:shd w:val="clear" w:color="auto" w:fill="auto"/>
          </w:tcPr>
          <w:p w14:paraId="61700E68" w14:textId="33082851" w:rsidR="004500D0" w:rsidRPr="00B30BA3" w:rsidRDefault="004500D0" w:rsidP="00FD7086">
            <w:pPr>
              <w:pStyle w:val="DHHSbody"/>
              <w:spacing w:after="90"/>
            </w:pPr>
            <w:r w:rsidRPr="00B30BA3">
              <w:rPr>
                <w:u w:val="single"/>
              </w:rPr>
              <w:t xml:space="preserve">Victorian guidelines </w:t>
            </w:r>
          </w:p>
          <w:p w14:paraId="657D483D" w14:textId="2921D5D5" w:rsidR="00174A59" w:rsidRPr="00B30BA3" w:rsidRDefault="00174A59" w:rsidP="00FD7086">
            <w:pPr>
              <w:pStyle w:val="DHHSbody"/>
              <w:spacing w:after="90"/>
            </w:pPr>
            <w:r w:rsidRPr="00B30BA3">
              <w:t xml:space="preserve">Refer to the </w:t>
            </w:r>
            <w:hyperlink r:id="rId23" w:history="1">
              <w:r w:rsidR="003B6655" w:rsidRPr="00B30BA3">
                <w:rPr>
                  <w:rStyle w:val="Hyperlink"/>
                </w:rPr>
                <w:t>Pharmacotherapy policy in Victoria webpage</w:t>
              </w:r>
            </w:hyperlink>
            <w:r w:rsidR="003B6655" w:rsidRPr="00B30BA3">
              <w:t xml:space="preserve"> </w:t>
            </w:r>
            <w:r w:rsidRPr="00B30BA3">
              <w:t xml:space="preserve">on the Department of Health website to </w:t>
            </w:r>
            <w:r w:rsidR="00F037EF" w:rsidRPr="00B30BA3">
              <w:t>access</w:t>
            </w:r>
            <w:r w:rsidRPr="00B30BA3">
              <w:t>:</w:t>
            </w:r>
          </w:p>
          <w:p w14:paraId="12493DD4" w14:textId="77777777" w:rsidR="00174A59" w:rsidRPr="00B30BA3" w:rsidRDefault="00174A59" w:rsidP="00FD7086">
            <w:pPr>
              <w:pStyle w:val="DHHSbullet1"/>
              <w:numPr>
                <w:ilvl w:val="0"/>
                <w:numId w:val="2"/>
              </w:numPr>
              <w:spacing w:after="90"/>
            </w:pPr>
            <w:r w:rsidRPr="00B30BA3">
              <w:t>Victoria’s Policy for maintenance pharmacotherapy for opioid dependence</w:t>
            </w:r>
          </w:p>
          <w:p w14:paraId="1ED5B68C" w14:textId="77777777" w:rsidR="00174A59" w:rsidRPr="00B30BA3" w:rsidRDefault="00174A59" w:rsidP="00FD7086">
            <w:pPr>
              <w:pStyle w:val="DHHSbullet1"/>
              <w:numPr>
                <w:ilvl w:val="0"/>
                <w:numId w:val="2"/>
              </w:numPr>
              <w:spacing w:after="90"/>
            </w:pPr>
            <w:r w:rsidRPr="00B30BA3">
              <w:t>Pharmacotherapy policy addendum - long-acting injectable buprenorphine</w:t>
            </w:r>
          </w:p>
          <w:p w14:paraId="075B8BC2" w14:textId="5B824F73" w:rsidR="004D10A3" w:rsidRPr="00B30BA3" w:rsidRDefault="00CB211E" w:rsidP="00FD7086">
            <w:pPr>
              <w:pStyle w:val="Bullet1"/>
              <w:spacing w:after="90"/>
              <w:rPr>
                <w:sz w:val="20"/>
              </w:rPr>
            </w:pPr>
            <w:r w:rsidRPr="00B30BA3">
              <w:rPr>
                <w:sz w:val="20"/>
              </w:rPr>
              <w:t xml:space="preserve">Long-acting injectable </w:t>
            </w:r>
            <w:r w:rsidR="001E4767" w:rsidRPr="00B30BA3">
              <w:rPr>
                <w:sz w:val="20"/>
              </w:rPr>
              <w:t>buprenorphine - B</w:t>
            </w:r>
            <w:r w:rsidR="00174A59" w:rsidRPr="00B30BA3">
              <w:rPr>
                <w:sz w:val="20"/>
              </w:rPr>
              <w:t>rief clinical guidelines</w:t>
            </w:r>
          </w:p>
          <w:p w14:paraId="2731CCDD" w14:textId="14ADCA59" w:rsidR="001E4767" w:rsidRPr="00B30BA3" w:rsidRDefault="004D10A3" w:rsidP="00FD7086">
            <w:pPr>
              <w:pStyle w:val="Bullet1"/>
              <w:numPr>
                <w:ilvl w:val="0"/>
                <w:numId w:val="0"/>
              </w:numPr>
              <w:spacing w:after="90"/>
              <w:rPr>
                <w:sz w:val="20"/>
                <w:u w:val="single"/>
              </w:rPr>
            </w:pPr>
            <w:r w:rsidRPr="00B30BA3">
              <w:rPr>
                <w:sz w:val="20"/>
                <w:u w:val="single"/>
              </w:rPr>
              <w:t>National guidelines</w:t>
            </w:r>
          </w:p>
          <w:p w14:paraId="6A386D87" w14:textId="29C7C7EB" w:rsidR="003D7FEB" w:rsidRPr="00B30BA3" w:rsidRDefault="003D7FEB" w:rsidP="00FD7086">
            <w:pPr>
              <w:pStyle w:val="Bullet1"/>
              <w:numPr>
                <w:ilvl w:val="0"/>
                <w:numId w:val="0"/>
              </w:numPr>
              <w:spacing w:after="90"/>
              <w:rPr>
                <w:sz w:val="20"/>
              </w:rPr>
            </w:pPr>
            <w:r w:rsidRPr="00B30BA3">
              <w:rPr>
                <w:sz w:val="20"/>
              </w:rPr>
              <w:t>Refer to the</w:t>
            </w:r>
            <w:r w:rsidR="00D129F8" w:rsidRPr="00B30BA3">
              <w:rPr>
                <w:sz w:val="20"/>
              </w:rPr>
              <w:t xml:space="preserve"> </w:t>
            </w:r>
            <w:hyperlink r:id="rId24" w:history="1">
              <w:r w:rsidR="003B6655" w:rsidRPr="00B30BA3">
                <w:rPr>
                  <w:rStyle w:val="Hyperlink"/>
                  <w:sz w:val="20"/>
                </w:rPr>
                <w:t>publications page</w:t>
              </w:r>
            </w:hyperlink>
            <w:r w:rsidR="00D129F8" w:rsidRPr="00B30BA3">
              <w:rPr>
                <w:sz w:val="20"/>
              </w:rPr>
              <w:t xml:space="preserve"> on the </w:t>
            </w:r>
            <w:r w:rsidR="00F037EF" w:rsidRPr="00B30BA3">
              <w:rPr>
                <w:sz w:val="20"/>
              </w:rPr>
              <w:t>Common</w:t>
            </w:r>
            <w:r w:rsidR="003A3A42" w:rsidRPr="00B30BA3">
              <w:rPr>
                <w:sz w:val="20"/>
              </w:rPr>
              <w:t>wealth Department of Health website to access:</w:t>
            </w:r>
          </w:p>
          <w:p w14:paraId="29733355" w14:textId="6E9CFBDC" w:rsidR="004D10A3" w:rsidRPr="00B30BA3" w:rsidRDefault="004D10A3" w:rsidP="00FD7086">
            <w:pPr>
              <w:pStyle w:val="DHHSbullet1"/>
              <w:numPr>
                <w:ilvl w:val="0"/>
                <w:numId w:val="2"/>
              </w:numPr>
              <w:spacing w:after="90"/>
            </w:pPr>
            <w:r w:rsidRPr="00B30BA3">
              <w:t>the National Guidelines for Medication-Assisted Treatment of Opioid Dependence</w:t>
            </w:r>
          </w:p>
          <w:p w14:paraId="1777185E" w14:textId="77777777" w:rsidR="003B6655" w:rsidRPr="00B30BA3" w:rsidRDefault="003B6655" w:rsidP="00FD7086">
            <w:pPr>
              <w:pStyle w:val="DHHSbullet1"/>
              <w:spacing w:after="90"/>
              <w:ind w:left="0" w:firstLine="0"/>
            </w:pPr>
          </w:p>
          <w:p w14:paraId="7821DC09" w14:textId="312EC7A5" w:rsidR="00174A59" w:rsidRPr="00B30BA3" w:rsidRDefault="001E4767" w:rsidP="00FD7086">
            <w:pPr>
              <w:pStyle w:val="Bullet1"/>
              <w:numPr>
                <w:ilvl w:val="0"/>
                <w:numId w:val="0"/>
              </w:numPr>
              <w:spacing w:after="90"/>
              <w:rPr>
                <w:rFonts w:cs="Arial"/>
                <w:sz w:val="20"/>
                <w:u w:val="single"/>
              </w:rPr>
            </w:pPr>
            <w:r w:rsidRPr="00B30BA3">
              <w:rPr>
                <w:rFonts w:cs="Arial"/>
                <w:sz w:val="20"/>
                <w:u w:val="single"/>
              </w:rPr>
              <w:t>Key Contacts</w:t>
            </w:r>
          </w:p>
          <w:p w14:paraId="46033F41" w14:textId="09BFE34D" w:rsidR="00174A59" w:rsidRPr="00B30BA3" w:rsidRDefault="00174A59" w:rsidP="00FD7086">
            <w:pPr>
              <w:pStyle w:val="DHHSbullet1"/>
              <w:numPr>
                <w:ilvl w:val="0"/>
                <w:numId w:val="2"/>
              </w:numPr>
              <w:spacing w:after="90"/>
            </w:pPr>
            <w:r w:rsidRPr="00B30BA3">
              <w:t xml:space="preserve">The </w:t>
            </w:r>
            <w:hyperlink r:id="rId25" w:history="1">
              <w:r w:rsidRPr="00B30BA3">
                <w:rPr>
                  <w:rStyle w:val="Hyperlink"/>
                </w:rPr>
                <w:t>Drug and Alcohol Clinical Advisory Service (DACAS)</w:t>
              </w:r>
            </w:hyperlink>
            <w:r w:rsidRPr="00B30BA3">
              <w:t xml:space="preserve"> </w:t>
            </w:r>
            <w:r w:rsidR="00EE12A8" w:rsidRPr="00B30BA3">
              <w:t xml:space="preserve">is an addiction medicine specialist </w:t>
            </w:r>
            <w:r w:rsidR="001603E6" w:rsidRPr="00B30BA3">
              <w:t xml:space="preserve">service available </w:t>
            </w:r>
            <w:r w:rsidRPr="00B30BA3">
              <w:t>for</w:t>
            </w:r>
            <w:r w:rsidR="00266903" w:rsidRPr="00B30BA3">
              <w:t xml:space="preserve"> health professionals.</w:t>
            </w:r>
            <w:r w:rsidRPr="00B30BA3">
              <w:t xml:space="preserve"> </w:t>
            </w:r>
            <w:r w:rsidR="00266903" w:rsidRPr="00B30BA3">
              <w:t>DACAS can provide</w:t>
            </w:r>
            <w:r w:rsidRPr="00B30BA3">
              <w:t xml:space="preserve"> clinical advice</w:t>
            </w:r>
            <w:r w:rsidR="00AA45E7" w:rsidRPr="00B30BA3">
              <w:t xml:space="preserve"> for pharmacotherapy management</w:t>
            </w:r>
            <w:r w:rsidRPr="00B30BA3">
              <w:t xml:space="preserve"> (Tel: 1800 812 804)</w:t>
            </w:r>
          </w:p>
          <w:p w14:paraId="059E6F5E" w14:textId="240980C6" w:rsidR="00174A59" w:rsidRPr="00B30BA3" w:rsidRDefault="00174A59" w:rsidP="00FD7086">
            <w:pPr>
              <w:pStyle w:val="Bullet1"/>
              <w:spacing w:after="90"/>
              <w:rPr>
                <w:sz w:val="20"/>
              </w:rPr>
            </w:pPr>
            <w:r w:rsidRPr="00B30BA3">
              <w:rPr>
                <w:sz w:val="20"/>
              </w:rPr>
              <w:t xml:space="preserve">The </w:t>
            </w:r>
            <w:hyperlink r:id="rId26" w:history="1">
              <w:r w:rsidRPr="00B30BA3">
                <w:rPr>
                  <w:rStyle w:val="Hyperlink"/>
                  <w:sz w:val="20"/>
                </w:rPr>
                <w:t>Pharmacotherapy</w:t>
              </w:r>
              <w:r w:rsidR="00931BB2" w:rsidRPr="00B30BA3">
                <w:rPr>
                  <w:rStyle w:val="Hyperlink"/>
                  <w:sz w:val="20"/>
                </w:rPr>
                <w:t>,</w:t>
              </w:r>
              <w:r w:rsidRPr="00B30BA3">
                <w:rPr>
                  <w:rStyle w:val="Hyperlink"/>
                  <w:sz w:val="20"/>
                </w:rPr>
                <w:t xml:space="preserve"> Advocacy and Mediation Service (PAMS)</w:t>
              </w:r>
            </w:hyperlink>
            <w:r w:rsidRPr="00B30BA3">
              <w:rPr>
                <w:sz w:val="20"/>
              </w:rPr>
              <w:t xml:space="preserve"> </w:t>
            </w:r>
            <w:r w:rsidR="00046905" w:rsidRPr="00B30BA3">
              <w:rPr>
                <w:sz w:val="20"/>
              </w:rPr>
              <w:t xml:space="preserve">is a service provider for consumers </w:t>
            </w:r>
            <w:r w:rsidR="00403CC2" w:rsidRPr="00B30BA3">
              <w:rPr>
                <w:sz w:val="20"/>
              </w:rPr>
              <w:t>treated with</w:t>
            </w:r>
            <w:r w:rsidR="00046905" w:rsidRPr="00B30BA3">
              <w:rPr>
                <w:sz w:val="20"/>
              </w:rPr>
              <w:t xml:space="preserve"> pharmacotherapy</w:t>
            </w:r>
            <w:r w:rsidR="00403CC2" w:rsidRPr="00B30BA3">
              <w:rPr>
                <w:sz w:val="20"/>
              </w:rPr>
              <w:t xml:space="preserve">. They </w:t>
            </w:r>
            <w:r w:rsidR="009D1B37" w:rsidRPr="00B30BA3">
              <w:rPr>
                <w:sz w:val="20"/>
              </w:rPr>
              <w:t>can also provide</w:t>
            </w:r>
            <w:r w:rsidRPr="00B30BA3">
              <w:rPr>
                <w:sz w:val="20"/>
              </w:rPr>
              <w:t xml:space="preserve"> a</w:t>
            </w:r>
            <w:r w:rsidR="006A6FAB" w:rsidRPr="00B30BA3">
              <w:rPr>
                <w:sz w:val="20"/>
              </w:rPr>
              <w:t>ssistance for pharmacists</w:t>
            </w:r>
            <w:r w:rsidRPr="00B30BA3">
              <w:rPr>
                <w:sz w:val="20"/>
              </w:rPr>
              <w:t xml:space="preserve"> in </w:t>
            </w:r>
            <w:r w:rsidR="006A6FAB" w:rsidRPr="00B30BA3">
              <w:rPr>
                <w:sz w:val="20"/>
              </w:rPr>
              <w:t>resolving</w:t>
            </w:r>
            <w:r w:rsidRPr="00B30BA3">
              <w:rPr>
                <w:sz w:val="20"/>
              </w:rPr>
              <w:t xml:space="preserve"> </w:t>
            </w:r>
            <w:r w:rsidR="006A6FAB" w:rsidRPr="00B30BA3">
              <w:rPr>
                <w:sz w:val="20"/>
              </w:rPr>
              <w:t>patient</w:t>
            </w:r>
            <w:r w:rsidRPr="00B30BA3">
              <w:rPr>
                <w:sz w:val="20"/>
              </w:rPr>
              <w:t>-related issues that might arise (Tel: 1800 443 844)</w:t>
            </w:r>
          </w:p>
          <w:p w14:paraId="2A2318F4" w14:textId="31D498F0" w:rsidR="007079AF" w:rsidRPr="00B30BA3" w:rsidRDefault="00CE59DA" w:rsidP="00FD7086">
            <w:pPr>
              <w:pStyle w:val="Bullet1"/>
              <w:spacing w:after="90"/>
            </w:pPr>
            <w:hyperlink r:id="rId27" w:history="1">
              <w:r w:rsidR="00174A59" w:rsidRPr="00B30BA3">
                <w:rPr>
                  <w:rStyle w:val="Hyperlink"/>
                  <w:sz w:val="20"/>
                </w:rPr>
                <w:t>Direct</w:t>
              </w:r>
              <w:r w:rsidR="00397923" w:rsidRPr="00B30BA3">
                <w:rPr>
                  <w:rStyle w:val="Hyperlink"/>
                  <w:sz w:val="20"/>
                </w:rPr>
                <w:t>L</w:t>
              </w:r>
              <w:r w:rsidR="00174A59" w:rsidRPr="00B30BA3">
                <w:rPr>
                  <w:rStyle w:val="Hyperlink"/>
                  <w:sz w:val="20"/>
                </w:rPr>
                <w:t>ine</w:t>
              </w:r>
            </w:hyperlink>
            <w:r w:rsidR="00174A59" w:rsidRPr="00B30BA3">
              <w:rPr>
                <w:sz w:val="20"/>
              </w:rPr>
              <w:t xml:space="preserve"> is a</w:t>
            </w:r>
            <w:r w:rsidR="00397923" w:rsidRPr="00B30BA3">
              <w:rPr>
                <w:sz w:val="20"/>
              </w:rPr>
              <w:t xml:space="preserve">n </w:t>
            </w:r>
            <w:r w:rsidR="001B6B5D" w:rsidRPr="00B30BA3">
              <w:rPr>
                <w:sz w:val="20"/>
              </w:rPr>
              <w:t>Alcohol and other Drug (AOD)</w:t>
            </w:r>
            <w:r w:rsidR="00174A59" w:rsidRPr="00B30BA3">
              <w:rPr>
                <w:sz w:val="20"/>
              </w:rPr>
              <w:t xml:space="preserve"> phone counselling</w:t>
            </w:r>
            <w:r w:rsidR="001B6B5D" w:rsidRPr="00B30BA3">
              <w:rPr>
                <w:sz w:val="20"/>
              </w:rPr>
              <w:t xml:space="preserve"> and referral</w:t>
            </w:r>
            <w:r w:rsidR="00174A59" w:rsidRPr="00B30BA3">
              <w:rPr>
                <w:sz w:val="20"/>
              </w:rPr>
              <w:t xml:space="preserve"> service</w:t>
            </w:r>
            <w:r w:rsidR="001B6B5D" w:rsidRPr="00B30BA3">
              <w:rPr>
                <w:sz w:val="20"/>
              </w:rPr>
              <w:t xml:space="preserve"> provider</w:t>
            </w:r>
            <w:r w:rsidR="001F1F7A" w:rsidRPr="00B30BA3">
              <w:rPr>
                <w:sz w:val="20"/>
              </w:rPr>
              <w:t>. Directline can</w:t>
            </w:r>
            <w:r w:rsidR="00174A59" w:rsidRPr="00B30BA3">
              <w:rPr>
                <w:sz w:val="20"/>
              </w:rPr>
              <w:t xml:space="preserve"> assist</w:t>
            </w:r>
            <w:r w:rsidR="00D129F8" w:rsidRPr="00B30BA3">
              <w:rPr>
                <w:sz w:val="20"/>
              </w:rPr>
              <w:t xml:space="preserve"> consumers</w:t>
            </w:r>
            <w:r w:rsidR="00174A59" w:rsidRPr="00B30BA3">
              <w:rPr>
                <w:sz w:val="20"/>
              </w:rPr>
              <w:t xml:space="preserve"> in finding a suitable prescriber or pharmacy (Tel: 1800 888 236)</w:t>
            </w:r>
          </w:p>
        </w:tc>
      </w:tr>
      <w:tr w:rsidR="00174A59" w:rsidRPr="00B30BA3" w14:paraId="621026B6" w14:textId="77777777" w:rsidTr="00573491">
        <w:tblPrEx>
          <w:tblLook w:val="0000" w:firstRow="0" w:lastRow="0" w:firstColumn="0" w:lastColumn="0" w:noHBand="0" w:noVBand="0"/>
        </w:tblPrEx>
        <w:tc>
          <w:tcPr>
            <w:tcW w:w="4149"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76DE1DB" w14:textId="10B9AD44" w:rsidR="00174A59" w:rsidRPr="00B30BA3" w:rsidRDefault="00174A59" w:rsidP="003F787E">
            <w:pPr>
              <w:pStyle w:val="DHHSbody"/>
              <w:rPr>
                <w:rFonts w:cs="Arial"/>
              </w:rPr>
            </w:pPr>
            <w:r w:rsidRPr="00B30BA3">
              <w:rPr>
                <w:rFonts w:cs="Arial"/>
              </w:rPr>
              <w:t>Are electronic or printed versions of all reference material readily available to pharmacists</w:t>
            </w:r>
            <w:r w:rsidR="00937183" w:rsidRPr="00B30BA3">
              <w:rPr>
                <w:rFonts w:cs="Arial"/>
              </w:rPr>
              <w:t xml:space="preserve"> at your pharmacy</w:t>
            </w:r>
            <w:r w:rsidRPr="00B30BA3">
              <w:rPr>
                <w:rFonts w:cs="Arial"/>
              </w:rPr>
              <w:t>?</w:t>
            </w:r>
          </w:p>
        </w:tc>
        <w:tc>
          <w:tcPr>
            <w:tcW w:w="851" w:type="pct"/>
            <w:tcBorders>
              <w:top w:val="single" w:sz="12" w:space="0" w:color="auto"/>
              <w:left w:val="single" w:sz="12" w:space="0" w:color="auto"/>
              <w:bottom w:val="single" w:sz="12" w:space="0" w:color="auto"/>
              <w:right w:val="single" w:sz="12" w:space="0" w:color="auto"/>
            </w:tcBorders>
            <w:shd w:val="clear" w:color="auto" w:fill="auto"/>
          </w:tcPr>
          <w:p w14:paraId="0D7E70CB" w14:textId="77777777" w:rsidR="00174A59" w:rsidRPr="00B30BA3" w:rsidRDefault="00CE59DA" w:rsidP="003F787E">
            <w:pPr>
              <w:pStyle w:val="DHHSbody"/>
              <w:rPr>
                <w:rFonts w:cs="Arial"/>
                <w:b/>
              </w:rPr>
            </w:pPr>
            <w:sdt>
              <w:sdtPr>
                <w:rPr>
                  <w:rFonts w:cs="Arial"/>
                  <w:b/>
                </w:rPr>
                <w:id w:val="-1614439455"/>
                <w14:checkbox>
                  <w14:checked w14:val="0"/>
                  <w14:checkedState w14:val="2612" w14:font="MS Gothic"/>
                  <w14:uncheckedState w14:val="2610" w14:font="MS Gothic"/>
                </w14:checkbox>
              </w:sdtPr>
              <w:sdtEndPr/>
              <w:sdtContent>
                <w:r w:rsidR="00174A59" w:rsidRPr="00B30BA3">
                  <w:rPr>
                    <w:rFonts w:ascii="MS Gothic" w:eastAsia="MS Gothic" w:hAnsi="MS Gothic" w:cs="Arial"/>
                    <w:b/>
                  </w:rPr>
                  <w:t>☐</w:t>
                </w:r>
              </w:sdtContent>
            </w:sdt>
            <w:r w:rsidR="00174A59" w:rsidRPr="00B30BA3">
              <w:rPr>
                <w:rFonts w:cs="Arial"/>
                <w:b/>
              </w:rPr>
              <w:t xml:space="preserve"> Yes</w:t>
            </w:r>
          </w:p>
          <w:p w14:paraId="46B9D43E" w14:textId="77777777" w:rsidR="00174A59" w:rsidRPr="00B30BA3" w:rsidRDefault="00CE59DA" w:rsidP="003F787E">
            <w:pPr>
              <w:pStyle w:val="DHHSbody"/>
              <w:rPr>
                <w:rFonts w:cs="Arial"/>
              </w:rPr>
            </w:pPr>
            <w:sdt>
              <w:sdtPr>
                <w:rPr>
                  <w:rFonts w:cs="Arial"/>
                  <w:b/>
                  <w:bCs/>
                </w:rPr>
                <w:id w:val="1933233232"/>
                <w14:checkbox>
                  <w14:checked w14:val="0"/>
                  <w14:checkedState w14:val="2612" w14:font="MS Gothic"/>
                  <w14:uncheckedState w14:val="2610" w14:font="MS Gothic"/>
                </w14:checkbox>
              </w:sdtPr>
              <w:sdtEndPr/>
              <w:sdtContent>
                <w:r w:rsidR="00174A59" w:rsidRPr="00B30BA3">
                  <w:rPr>
                    <w:rFonts w:ascii="MS Gothic" w:eastAsia="MS Gothic" w:hAnsi="MS Gothic" w:cs="Arial"/>
                    <w:b/>
                    <w:bCs/>
                  </w:rPr>
                  <w:t>☐</w:t>
                </w:r>
              </w:sdtContent>
            </w:sdt>
            <w:r w:rsidR="00174A59" w:rsidRPr="00B30BA3">
              <w:rPr>
                <w:rFonts w:cs="Arial"/>
                <w:b/>
                <w:bCs/>
              </w:rPr>
              <w:t xml:space="preserve"> No</w:t>
            </w:r>
          </w:p>
        </w:tc>
      </w:tr>
      <w:tr w:rsidR="00174A59" w:rsidRPr="00B30BA3" w14:paraId="10102B82" w14:textId="77777777" w:rsidTr="00573491">
        <w:tblPrEx>
          <w:tblLook w:val="0000" w:firstRow="0" w:lastRow="0" w:firstColumn="0" w:lastColumn="0" w:noHBand="0" w:noVBand="0"/>
        </w:tblPrEx>
        <w:tc>
          <w:tcPr>
            <w:tcW w:w="4149"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0AA0C4E" w14:textId="5BA92BD8" w:rsidR="00174A59" w:rsidRPr="00B30BA3" w:rsidRDefault="00174A59" w:rsidP="003F787E">
            <w:pPr>
              <w:pStyle w:val="DHHSbody"/>
              <w:rPr>
                <w:rFonts w:cs="Arial"/>
              </w:rPr>
            </w:pPr>
            <w:r w:rsidRPr="00B30BA3">
              <w:rPr>
                <w:rFonts w:cs="Arial"/>
              </w:rPr>
              <w:t>Are all pharmacists at your pharmacy aware of</w:t>
            </w:r>
            <w:r w:rsidR="00937183" w:rsidRPr="00B30BA3">
              <w:rPr>
                <w:rFonts w:cs="Arial"/>
              </w:rPr>
              <w:t xml:space="preserve"> </w:t>
            </w:r>
            <w:r w:rsidR="003D7FEB" w:rsidRPr="00B30BA3">
              <w:rPr>
                <w:rFonts w:cs="Arial"/>
              </w:rPr>
              <w:t xml:space="preserve">the </w:t>
            </w:r>
            <w:r w:rsidR="00884D54" w:rsidRPr="00B30BA3">
              <w:rPr>
                <w:rFonts w:cs="Arial"/>
              </w:rPr>
              <w:t>key</w:t>
            </w:r>
            <w:r w:rsidR="00766F44" w:rsidRPr="00B30BA3">
              <w:rPr>
                <w:rFonts w:cs="Arial"/>
              </w:rPr>
              <w:t xml:space="preserve"> contact</w:t>
            </w:r>
            <w:r w:rsidR="00884D54" w:rsidRPr="00B30BA3">
              <w:rPr>
                <w:rFonts w:cs="Arial"/>
              </w:rPr>
              <w:t>s</w:t>
            </w:r>
            <w:r w:rsidR="00766F44" w:rsidRPr="00B30BA3">
              <w:rPr>
                <w:rFonts w:cs="Arial"/>
              </w:rPr>
              <w:t xml:space="preserve"> </w:t>
            </w:r>
            <w:r w:rsidR="00884D54" w:rsidRPr="00B30BA3">
              <w:rPr>
                <w:rFonts w:cs="Arial"/>
              </w:rPr>
              <w:t>that</w:t>
            </w:r>
            <w:r w:rsidR="00766F44" w:rsidRPr="00B30BA3">
              <w:rPr>
                <w:rFonts w:cs="Arial"/>
              </w:rPr>
              <w:t xml:space="preserve"> support</w:t>
            </w:r>
            <w:r w:rsidR="00884D54" w:rsidRPr="00B30BA3">
              <w:rPr>
                <w:rFonts w:cs="Arial"/>
              </w:rPr>
              <w:t xml:space="preserve"> pharmacotherapy service delivery</w:t>
            </w:r>
            <w:r w:rsidR="003D7FEB" w:rsidRPr="00B30BA3">
              <w:rPr>
                <w:rFonts w:cs="Arial"/>
              </w:rPr>
              <w:t xml:space="preserve"> in Victoria</w:t>
            </w:r>
            <w:r w:rsidR="00884D54" w:rsidRPr="00B30BA3">
              <w:rPr>
                <w:rFonts w:cs="Arial"/>
              </w:rPr>
              <w:t>?</w:t>
            </w:r>
          </w:p>
        </w:tc>
        <w:tc>
          <w:tcPr>
            <w:tcW w:w="851" w:type="pct"/>
            <w:tcBorders>
              <w:top w:val="single" w:sz="12" w:space="0" w:color="auto"/>
              <w:left w:val="single" w:sz="12" w:space="0" w:color="auto"/>
              <w:bottom w:val="single" w:sz="12" w:space="0" w:color="auto"/>
              <w:right w:val="single" w:sz="12" w:space="0" w:color="auto"/>
            </w:tcBorders>
            <w:shd w:val="clear" w:color="auto" w:fill="auto"/>
          </w:tcPr>
          <w:p w14:paraId="36A6CD4D" w14:textId="77777777" w:rsidR="00174A59" w:rsidRPr="00B30BA3" w:rsidRDefault="00CE59DA" w:rsidP="003F787E">
            <w:pPr>
              <w:pStyle w:val="DHHSbody"/>
              <w:rPr>
                <w:rFonts w:cs="Arial"/>
                <w:b/>
              </w:rPr>
            </w:pPr>
            <w:sdt>
              <w:sdtPr>
                <w:rPr>
                  <w:rFonts w:cs="Arial"/>
                  <w:b/>
                </w:rPr>
                <w:id w:val="-543743854"/>
                <w14:checkbox>
                  <w14:checked w14:val="0"/>
                  <w14:checkedState w14:val="2612" w14:font="MS Gothic"/>
                  <w14:uncheckedState w14:val="2610" w14:font="MS Gothic"/>
                </w14:checkbox>
              </w:sdtPr>
              <w:sdtEndPr/>
              <w:sdtContent>
                <w:r w:rsidR="00174A59" w:rsidRPr="00B30BA3">
                  <w:rPr>
                    <w:rFonts w:ascii="MS Gothic" w:eastAsia="MS Gothic" w:hAnsi="MS Gothic" w:cs="Arial"/>
                    <w:b/>
                  </w:rPr>
                  <w:t>☐</w:t>
                </w:r>
              </w:sdtContent>
            </w:sdt>
            <w:r w:rsidR="00174A59" w:rsidRPr="00B30BA3">
              <w:rPr>
                <w:rFonts w:cs="Arial"/>
                <w:b/>
              </w:rPr>
              <w:t xml:space="preserve"> Yes</w:t>
            </w:r>
          </w:p>
          <w:p w14:paraId="381EC8F5" w14:textId="77777777" w:rsidR="00174A59" w:rsidRPr="00B30BA3" w:rsidRDefault="00CE59DA" w:rsidP="003F787E">
            <w:pPr>
              <w:pStyle w:val="DHHSbody"/>
              <w:rPr>
                <w:rFonts w:cs="Arial"/>
              </w:rPr>
            </w:pPr>
            <w:sdt>
              <w:sdtPr>
                <w:rPr>
                  <w:rFonts w:cs="Arial"/>
                  <w:b/>
                  <w:bCs/>
                </w:rPr>
                <w:id w:val="-844394916"/>
                <w14:checkbox>
                  <w14:checked w14:val="0"/>
                  <w14:checkedState w14:val="2612" w14:font="MS Gothic"/>
                  <w14:uncheckedState w14:val="2610" w14:font="MS Gothic"/>
                </w14:checkbox>
              </w:sdtPr>
              <w:sdtEndPr/>
              <w:sdtContent>
                <w:r w:rsidR="00174A59" w:rsidRPr="00B30BA3">
                  <w:rPr>
                    <w:rFonts w:ascii="MS Gothic" w:eastAsia="MS Gothic" w:hAnsi="MS Gothic" w:cs="Arial"/>
                    <w:b/>
                    <w:bCs/>
                  </w:rPr>
                  <w:t>☐</w:t>
                </w:r>
              </w:sdtContent>
            </w:sdt>
            <w:r w:rsidR="00174A59" w:rsidRPr="00B30BA3">
              <w:rPr>
                <w:rFonts w:cs="Arial"/>
                <w:b/>
                <w:bCs/>
              </w:rPr>
              <w:t xml:space="preserve"> No</w:t>
            </w:r>
          </w:p>
        </w:tc>
      </w:tr>
    </w:tbl>
    <w:p w14:paraId="0B4C6D63" w14:textId="7A3F2ECB" w:rsidR="00661B77" w:rsidRPr="00F35801" w:rsidRDefault="00174A59" w:rsidP="00661B77">
      <w:pPr>
        <w:pStyle w:val="Heading2"/>
        <w:rPr>
          <w:sz w:val="30"/>
          <w:szCs w:val="26"/>
        </w:rPr>
      </w:pPr>
      <w:r w:rsidRPr="00F35801">
        <w:rPr>
          <w:sz w:val="30"/>
          <w:szCs w:val="26"/>
        </w:rPr>
        <w:t>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9"/>
        <w:gridCol w:w="1735"/>
      </w:tblGrid>
      <w:tr w:rsidR="00135EDF" w:rsidRPr="00B30BA3" w14:paraId="05828BEC" w14:textId="77777777" w:rsidTr="00573491">
        <w:tc>
          <w:tcPr>
            <w:tcW w:w="5000" w:type="pct"/>
            <w:gridSpan w:val="2"/>
            <w:tcBorders>
              <w:bottom w:val="single" w:sz="12" w:space="0" w:color="auto"/>
            </w:tcBorders>
            <w:shd w:val="clear" w:color="auto" w:fill="auto"/>
          </w:tcPr>
          <w:p w14:paraId="5024EB22" w14:textId="77777777" w:rsidR="00135EDF" w:rsidRPr="00B30BA3" w:rsidRDefault="00135EDF" w:rsidP="003F787E">
            <w:pPr>
              <w:pStyle w:val="DHHSbody"/>
            </w:pPr>
            <w:r w:rsidRPr="00B30BA3">
              <w:t xml:space="preserve">The </w:t>
            </w:r>
            <w:hyperlink r:id="rId28" w:history="1">
              <w:r w:rsidRPr="00B30BA3">
                <w:rPr>
                  <w:rStyle w:val="Hyperlink"/>
                </w:rPr>
                <w:t>Victorian Opioid Pharmacotherapy Program (VOPP)</w:t>
              </w:r>
            </w:hyperlink>
            <w:r w:rsidRPr="00B30BA3">
              <w:t xml:space="preserve"> is a department-funded training module offered for free by the Pharmaceutical Society of Australia (PSA). It is </w:t>
            </w:r>
            <w:r w:rsidRPr="00B30BA3">
              <w:rPr>
                <w:b/>
                <w:bCs/>
              </w:rPr>
              <w:t>strongly recommended</w:t>
            </w:r>
            <w:r w:rsidRPr="00B30BA3">
              <w:t xml:space="preserve"> that all pharmacists involved in pharmacotherapy delivery service complete this training at their earliest convenience.</w:t>
            </w:r>
          </w:p>
          <w:p w14:paraId="2033FD21" w14:textId="31A8F02D" w:rsidR="00135EDF" w:rsidRPr="00B30BA3" w:rsidRDefault="007A4D0D" w:rsidP="00573491">
            <w:pPr>
              <w:pStyle w:val="DHHSbody"/>
            </w:pPr>
            <w:r w:rsidRPr="00B30BA3">
              <w:t>Refer to the end of this document for information about the training required for pharmacist administration of long-acting injectable buprenorphine</w:t>
            </w:r>
          </w:p>
        </w:tc>
      </w:tr>
      <w:tr w:rsidR="00135EDF" w:rsidRPr="00B30BA3" w14:paraId="7842C42C" w14:textId="77777777" w:rsidTr="00573491">
        <w:tblPrEx>
          <w:tblLook w:val="0000" w:firstRow="0" w:lastRow="0" w:firstColumn="0" w:lastColumn="0" w:noHBand="0" w:noVBand="0"/>
        </w:tblPrEx>
        <w:tc>
          <w:tcPr>
            <w:tcW w:w="4149"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C3E814C" w14:textId="275396E4" w:rsidR="00135EDF" w:rsidRPr="00B30BA3" w:rsidRDefault="00135EDF" w:rsidP="003F787E">
            <w:pPr>
              <w:pStyle w:val="DHHSbody"/>
              <w:rPr>
                <w:rFonts w:cs="Arial"/>
              </w:rPr>
            </w:pPr>
            <w:r w:rsidRPr="00B30BA3">
              <w:rPr>
                <w:rFonts w:cs="Arial"/>
              </w:rPr>
              <w:t xml:space="preserve">Have all pharmacists </w:t>
            </w:r>
            <w:r w:rsidR="00005682" w:rsidRPr="00B30BA3">
              <w:rPr>
                <w:rFonts w:cs="Arial"/>
              </w:rPr>
              <w:t>in your pharmacy</w:t>
            </w:r>
            <w:r w:rsidR="00C06CA0" w:rsidRPr="00B30BA3">
              <w:rPr>
                <w:rFonts w:cs="Arial"/>
              </w:rPr>
              <w:t xml:space="preserve"> been encouraged to complete the VOPP</w:t>
            </w:r>
            <w:r w:rsidR="00D73C39" w:rsidRPr="00B30BA3">
              <w:rPr>
                <w:rFonts w:cs="Arial"/>
              </w:rPr>
              <w:t xml:space="preserve"> training module</w:t>
            </w:r>
            <w:r w:rsidR="00236F4E">
              <w:rPr>
                <w:rFonts w:cs="Arial"/>
              </w:rPr>
              <w:t>?</w:t>
            </w:r>
          </w:p>
        </w:tc>
        <w:tc>
          <w:tcPr>
            <w:tcW w:w="851" w:type="pct"/>
            <w:tcBorders>
              <w:top w:val="single" w:sz="12" w:space="0" w:color="auto"/>
              <w:left w:val="single" w:sz="12" w:space="0" w:color="auto"/>
              <w:bottom w:val="single" w:sz="12" w:space="0" w:color="auto"/>
              <w:right w:val="single" w:sz="12" w:space="0" w:color="auto"/>
            </w:tcBorders>
            <w:shd w:val="clear" w:color="auto" w:fill="auto"/>
          </w:tcPr>
          <w:p w14:paraId="04F33307" w14:textId="77777777" w:rsidR="00135EDF" w:rsidRPr="00B30BA3" w:rsidRDefault="00CE59DA" w:rsidP="003F787E">
            <w:pPr>
              <w:pStyle w:val="DHHSbody"/>
              <w:rPr>
                <w:rFonts w:cs="Arial"/>
                <w:b/>
              </w:rPr>
            </w:pPr>
            <w:sdt>
              <w:sdtPr>
                <w:rPr>
                  <w:rFonts w:cs="Arial"/>
                  <w:b/>
                </w:rPr>
                <w:id w:val="942111966"/>
                <w14:checkbox>
                  <w14:checked w14:val="0"/>
                  <w14:checkedState w14:val="2612" w14:font="MS Gothic"/>
                  <w14:uncheckedState w14:val="2610" w14:font="MS Gothic"/>
                </w14:checkbox>
              </w:sdtPr>
              <w:sdtEndPr/>
              <w:sdtContent>
                <w:r w:rsidR="00135EDF" w:rsidRPr="00B30BA3">
                  <w:rPr>
                    <w:rFonts w:ascii="MS Gothic" w:eastAsia="MS Gothic" w:hAnsi="MS Gothic" w:cs="Arial"/>
                    <w:b/>
                  </w:rPr>
                  <w:t>☐</w:t>
                </w:r>
              </w:sdtContent>
            </w:sdt>
            <w:r w:rsidR="00135EDF" w:rsidRPr="00B30BA3">
              <w:rPr>
                <w:rFonts w:cs="Arial"/>
                <w:b/>
              </w:rPr>
              <w:t xml:space="preserve"> Yes</w:t>
            </w:r>
          </w:p>
          <w:p w14:paraId="00F9551C" w14:textId="77777777" w:rsidR="00135EDF" w:rsidRPr="00B30BA3" w:rsidRDefault="00CE59DA" w:rsidP="003F787E">
            <w:pPr>
              <w:pStyle w:val="DHHSbody"/>
              <w:rPr>
                <w:rFonts w:cs="Arial"/>
              </w:rPr>
            </w:pPr>
            <w:sdt>
              <w:sdtPr>
                <w:rPr>
                  <w:rFonts w:cs="Arial"/>
                  <w:b/>
                  <w:bCs/>
                </w:rPr>
                <w:id w:val="-1642346934"/>
                <w14:checkbox>
                  <w14:checked w14:val="0"/>
                  <w14:checkedState w14:val="2612" w14:font="MS Gothic"/>
                  <w14:uncheckedState w14:val="2610" w14:font="MS Gothic"/>
                </w14:checkbox>
              </w:sdtPr>
              <w:sdtEndPr/>
              <w:sdtContent>
                <w:r w:rsidR="00135EDF" w:rsidRPr="00B30BA3">
                  <w:rPr>
                    <w:rFonts w:ascii="MS Gothic" w:eastAsia="MS Gothic" w:hAnsi="MS Gothic" w:cs="Arial"/>
                    <w:b/>
                    <w:bCs/>
                  </w:rPr>
                  <w:t>☐</w:t>
                </w:r>
              </w:sdtContent>
            </w:sdt>
            <w:r w:rsidR="00135EDF" w:rsidRPr="00B30BA3">
              <w:rPr>
                <w:rFonts w:cs="Arial"/>
                <w:b/>
                <w:bCs/>
              </w:rPr>
              <w:t xml:space="preserve"> No</w:t>
            </w:r>
          </w:p>
        </w:tc>
      </w:tr>
    </w:tbl>
    <w:p w14:paraId="6198461C" w14:textId="0C038586" w:rsidR="007D1478" w:rsidRDefault="007D1478" w:rsidP="007D1478">
      <w:pPr>
        <w:pStyle w:val="Body"/>
      </w:pPr>
    </w:p>
    <w:p w14:paraId="7E261A80" w14:textId="77777777" w:rsidR="000C5621" w:rsidRPr="00B30BA3" w:rsidRDefault="000C5621" w:rsidP="007D1478">
      <w:pPr>
        <w:pStyle w:val="Body"/>
      </w:pPr>
    </w:p>
    <w:p w14:paraId="248B0DB7" w14:textId="734C6080" w:rsidR="00BA059E" w:rsidRPr="00F35801" w:rsidRDefault="00BA059E" w:rsidP="00BA059E">
      <w:pPr>
        <w:pStyle w:val="Heading3"/>
        <w:rPr>
          <w:b/>
          <w:bCs w:val="0"/>
          <w:sz w:val="30"/>
          <w:szCs w:val="32"/>
        </w:rPr>
      </w:pPr>
      <w:r w:rsidRPr="00F35801">
        <w:rPr>
          <w:b/>
          <w:bCs w:val="0"/>
          <w:sz w:val="30"/>
          <w:szCs w:val="32"/>
        </w:rPr>
        <w:lastRenderedPageBreak/>
        <w:t xml:space="preserve">Awareness </w:t>
      </w:r>
      <w:r w:rsidR="001B149C" w:rsidRPr="00F35801">
        <w:rPr>
          <w:b/>
          <w:bCs w:val="0"/>
          <w:sz w:val="30"/>
          <w:szCs w:val="32"/>
        </w:rPr>
        <w:t>of key treatment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9"/>
        <w:gridCol w:w="1735"/>
      </w:tblGrid>
      <w:tr w:rsidR="00BA059E" w:rsidRPr="00B30BA3" w14:paraId="0C38406A" w14:textId="77777777" w:rsidTr="009444E9">
        <w:tc>
          <w:tcPr>
            <w:tcW w:w="5000" w:type="pct"/>
            <w:gridSpan w:val="2"/>
            <w:shd w:val="clear" w:color="auto" w:fill="auto"/>
          </w:tcPr>
          <w:p w14:paraId="0599DB95" w14:textId="77777777" w:rsidR="00BA059E" w:rsidRPr="00B30BA3" w:rsidRDefault="00BA059E" w:rsidP="003F787E">
            <w:pPr>
              <w:pStyle w:val="DHHSbody"/>
              <w:rPr>
                <w:rFonts w:cs="Arial"/>
              </w:rPr>
            </w:pPr>
            <w:r w:rsidRPr="00B30BA3">
              <w:rPr>
                <w:rFonts w:cs="Arial"/>
              </w:rPr>
              <w:t>Pharmacotherapy has inherent risks, associated with the vulnerability of the patients as well as the potential toxicity of the drugs, especially methadone. Those risks can be minimised when all pharmacists are fully aware of the key principles of treatment.</w:t>
            </w:r>
          </w:p>
          <w:p w14:paraId="7A899C25" w14:textId="43EEBEE2" w:rsidR="00BA059E" w:rsidRPr="00B30BA3" w:rsidRDefault="00BA059E" w:rsidP="003F787E">
            <w:pPr>
              <w:pStyle w:val="DHHSbody"/>
              <w:rPr>
                <w:rFonts w:cs="Arial"/>
              </w:rPr>
            </w:pPr>
            <w:r w:rsidRPr="00B30BA3">
              <w:rPr>
                <w:rFonts w:cs="Arial"/>
              </w:rPr>
              <w:t xml:space="preserve">The </w:t>
            </w:r>
            <w:r w:rsidR="005D7EA1" w:rsidRPr="00B30BA3">
              <w:rPr>
                <w:rFonts w:cs="Arial"/>
              </w:rPr>
              <w:t>p</w:t>
            </w:r>
            <w:r w:rsidRPr="00B30BA3">
              <w:rPr>
                <w:rFonts w:cs="Arial"/>
              </w:rPr>
              <w:t xml:space="preserve">olicy contains a </w:t>
            </w:r>
            <w:r w:rsidRPr="00B30BA3">
              <w:rPr>
                <w:rFonts w:cs="Arial"/>
                <w:i/>
                <w:iCs/>
              </w:rPr>
              <w:t>Certification Document</w:t>
            </w:r>
            <w:r w:rsidRPr="00B30BA3">
              <w:rPr>
                <w:rFonts w:cs="Arial"/>
              </w:rPr>
              <w:t xml:space="preserve"> </w:t>
            </w:r>
            <w:r w:rsidRPr="00B30BA3">
              <w:rPr>
                <w:rFonts w:cs="Arial"/>
                <w:bCs/>
              </w:rPr>
              <w:t>(</w:t>
            </w:r>
            <w:r w:rsidRPr="00B30BA3">
              <w:rPr>
                <w:rFonts w:cs="Arial"/>
              </w:rPr>
              <w:t xml:space="preserve">Appendix 7) that </w:t>
            </w:r>
            <w:r w:rsidR="00423925" w:rsidRPr="00B30BA3">
              <w:rPr>
                <w:rFonts w:cs="Arial"/>
              </w:rPr>
              <w:t>summarises pharmacotherapy</w:t>
            </w:r>
            <w:r w:rsidRPr="00B30BA3">
              <w:rPr>
                <w:rFonts w:cs="Arial"/>
              </w:rPr>
              <w:t xml:space="preserve"> key principles, for ready reference by all pharmacists, including locums.</w:t>
            </w:r>
          </w:p>
        </w:tc>
      </w:tr>
      <w:tr w:rsidR="00BA059E" w:rsidRPr="00B30BA3" w14:paraId="70716B6E" w14:textId="77777777" w:rsidTr="00573491">
        <w:tblPrEx>
          <w:tblLook w:val="0000" w:firstRow="0" w:lastRow="0" w:firstColumn="0" w:lastColumn="0" w:noHBand="0" w:noVBand="0"/>
        </w:tblPrEx>
        <w:tc>
          <w:tcPr>
            <w:tcW w:w="4149"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42738D0" w14:textId="4CD06FA3" w:rsidR="00BA059E" w:rsidRPr="00B30BA3" w:rsidRDefault="00BA059E" w:rsidP="003F787E">
            <w:pPr>
              <w:pStyle w:val="DHHSbody"/>
              <w:rPr>
                <w:rFonts w:cs="Arial"/>
              </w:rPr>
            </w:pPr>
            <w:r w:rsidRPr="00B30BA3">
              <w:rPr>
                <w:rFonts w:cs="Arial"/>
              </w:rPr>
              <w:t>Have all pharmacists read and signed a copy of the document “Certification of pharmacists administering dose</w:t>
            </w:r>
            <w:r w:rsidR="00236F4E">
              <w:rPr>
                <w:rFonts w:cs="Arial"/>
              </w:rPr>
              <w:t>s</w:t>
            </w:r>
            <w:r w:rsidRPr="00B30BA3">
              <w:rPr>
                <w:rFonts w:cs="Arial"/>
              </w:rPr>
              <w:t xml:space="preserve">” found in Appendix 7 of the </w:t>
            </w:r>
            <w:r w:rsidR="00E6739A" w:rsidRPr="00B30BA3">
              <w:rPr>
                <w:rFonts w:cs="Arial"/>
              </w:rPr>
              <w:t>p</w:t>
            </w:r>
            <w:r w:rsidRPr="00B30BA3">
              <w:rPr>
                <w:rFonts w:cs="Arial"/>
              </w:rPr>
              <w:t>olicy?</w:t>
            </w:r>
          </w:p>
        </w:tc>
        <w:tc>
          <w:tcPr>
            <w:tcW w:w="851" w:type="pct"/>
            <w:tcBorders>
              <w:top w:val="single" w:sz="12" w:space="0" w:color="auto"/>
              <w:left w:val="single" w:sz="12" w:space="0" w:color="auto"/>
              <w:bottom w:val="single" w:sz="12" w:space="0" w:color="auto"/>
              <w:right w:val="single" w:sz="12" w:space="0" w:color="auto"/>
            </w:tcBorders>
            <w:shd w:val="clear" w:color="auto" w:fill="auto"/>
          </w:tcPr>
          <w:p w14:paraId="2FBB5982" w14:textId="77777777" w:rsidR="00BA059E" w:rsidRPr="00B30BA3" w:rsidRDefault="00CE59DA" w:rsidP="003F787E">
            <w:pPr>
              <w:pStyle w:val="DHHSbody"/>
              <w:rPr>
                <w:rFonts w:cs="Arial"/>
                <w:b/>
              </w:rPr>
            </w:pPr>
            <w:sdt>
              <w:sdtPr>
                <w:rPr>
                  <w:rFonts w:cs="Arial"/>
                  <w:b/>
                </w:rPr>
                <w:id w:val="-2028406832"/>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416590D1" w14:textId="50A2854A" w:rsidR="00BA059E" w:rsidRPr="00B30BA3" w:rsidRDefault="00CE59DA" w:rsidP="003F787E">
            <w:pPr>
              <w:pStyle w:val="DHHSbody"/>
              <w:rPr>
                <w:rFonts w:cs="Arial"/>
              </w:rPr>
            </w:pPr>
            <w:sdt>
              <w:sdtPr>
                <w:rPr>
                  <w:rFonts w:cs="Arial"/>
                  <w:b/>
                  <w:bCs/>
                </w:rPr>
                <w:id w:val="1468773466"/>
                <w14:checkbox>
                  <w14:checked w14:val="0"/>
                  <w14:checkedState w14:val="2612" w14:font="MS Gothic"/>
                  <w14:uncheckedState w14:val="2610" w14:font="MS Gothic"/>
                </w14:checkbox>
              </w:sdtPr>
              <w:sdtEndPr/>
              <w:sdtContent>
                <w:r w:rsidR="00EF38D9">
                  <w:rPr>
                    <w:rFonts w:ascii="MS Gothic" w:eastAsia="MS Gothic" w:hAnsi="MS Gothic" w:cs="Arial" w:hint="eastAsia"/>
                    <w:b/>
                    <w:bCs/>
                  </w:rPr>
                  <w:t>☐</w:t>
                </w:r>
              </w:sdtContent>
            </w:sdt>
            <w:r w:rsidR="00BA059E" w:rsidRPr="00B30BA3">
              <w:rPr>
                <w:rFonts w:cs="Arial"/>
                <w:b/>
                <w:bCs/>
              </w:rPr>
              <w:t xml:space="preserve"> No</w:t>
            </w:r>
          </w:p>
        </w:tc>
      </w:tr>
    </w:tbl>
    <w:p w14:paraId="09727FDB" w14:textId="5430CB15" w:rsidR="00BA059E" w:rsidRPr="00F35801" w:rsidRDefault="00BA059E" w:rsidP="00BA059E">
      <w:pPr>
        <w:pStyle w:val="Heading2"/>
        <w:rPr>
          <w:sz w:val="30"/>
          <w:szCs w:val="26"/>
        </w:rPr>
      </w:pPr>
      <w:r w:rsidRPr="00F35801">
        <w:rPr>
          <w:sz w:val="30"/>
          <w:szCs w:val="26"/>
        </w:rPr>
        <w:t xml:space="preserve">Varying from the </w:t>
      </w:r>
      <w:r w:rsidR="00354029" w:rsidRPr="00F35801">
        <w:rPr>
          <w:sz w:val="30"/>
          <w:szCs w:val="26"/>
        </w:rPr>
        <w:t>p</w:t>
      </w:r>
      <w:r w:rsidRPr="00F35801">
        <w:rPr>
          <w:sz w:val="30"/>
          <w:szCs w:val="26"/>
        </w:rPr>
        <w:t>olicy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9"/>
        <w:gridCol w:w="1735"/>
      </w:tblGrid>
      <w:tr w:rsidR="00BA059E" w:rsidRPr="00B30BA3" w14:paraId="73178F3F" w14:textId="77777777" w:rsidTr="00573491">
        <w:tc>
          <w:tcPr>
            <w:tcW w:w="5000" w:type="pct"/>
            <w:gridSpan w:val="2"/>
            <w:tcBorders>
              <w:bottom w:val="single" w:sz="12" w:space="0" w:color="auto"/>
            </w:tcBorders>
            <w:shd w:val="clear" w:color="auto" w:fill="auto"/>
          </w:tcPr>
          <w:p w14:paraId="089FBCB8" w14:textId="4B39178B" w:rsidR="00BA059E" w:rsidRPr="00B30BA3" w:rsidRDefault="00BA059E" w:rsidP="003F787E">
            <w:pPr>
              <w:pStyle w:val="DHHSbody"/>
              <w:rPr>
                <w:rFonts w:cs="Arial"/>
              </w:rPr>
            </w:pPr>
            <w:r w:rsidRPr="00B30BA3">
              <w:rPr>
                <w:rFonts w:cs="Arial"/>
              </w:rPr>
              <w:t xml:space="preserve">The policy </w:t>
            </w:r>
            <w:r w:rsidR="00031B54">
              <w:rPr>
                <w:rFonts w:cs="Arial"/>
              </w:rPr>
              <w:t>does not</w:t>
            </w:r>
            <w:r w:rsidRPr="00B30BA3">
              <w:rPr>
                <w:rFonts w:cs="Arial"/>
              </w:rPr>
              <w:t xml:space="preserve"> replace professional judgement in </w:t>
            </w:r>
            <w:r w:rsidRPr="00B30BA3">
              <w:rPr>
                <w:rFonts w:cs="Arial"/>
                <w:b/>
              </w:rPr>
              <w:t>individual</w:t>
            </w:r>
            <w:r w:rsidRPr="00B30BA3">
              <w:rPr>
                <w:rFonts w:cs="Arial"/>
              </w:rPr>
              <w:t xml:space="preserve"> cases. If a variation from the policy is justified in an individual case, pharmacists </w:t>
            </w:r>
            <w:r w:rsidR="00A2168F">
              <w:rPr>
                <w:rFonts w:cs="Arial"/>
              </w:rPr>
              <w:t>should</w:t>
            </w:r>
            <w:r w:rsidRPr="00B30BA3">
              <w:rPr>
                <w:rFonts w:cs="Arial"/>
              </w:rPr>
              <w:t xml:space="preserve"> document reasons for the variation in patient notes.</w:t>
            </w:r>
          </w:p>
        </w:tc>
      </w:tr>
      <w:tr w:rsidR="00BA059E" w:rsidRPr="00B30BA3" w14:paraId="1435AD68" w14:textId="77777777" w:rsidTr="00573491">
        <w:tblPrEx>
          <w:tblLook w:val="0000" w:firstRow="0" w:lastRow="0" w:firstColumn="0" w:lastColumn="0" w:noHBand="0" w:noVBand="0"/>
        </w:tblPrEx>
        <w:tc>
          <w:tcPr>
            <w:tcW w:w="4149"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9DF4AC3" w14:textId="47D19BA6" w:rsidR="00BA059E" w:rsidRPr="00B30BA3" w:rsidRDefault="00BA059E" w:rsidP="003F787E">
            <w:pPr>
              <w:pStyle w:val="DHHSbody"/>
              <w:rPr>
                <w:rFonts w:cs="Arial"/>
              </w:rPr>
            </w:pPr>
            <w:r w:rsidRPr="00B30BA3">
              <w:rPr>
                <w:rFonts w:cs="Arial"/>
              </w:rPr>
              <w:t xml:space="preserve">Have all pharmacists been advised that, if a prescriber requests them to vary from the </w:t>
            </w:r>
            <w:r w:rsidR="00520E5C" w:rsidRPr="00B30BA3">
              <w:rPr>
                <w:rFonts w:cs="Arial"/>
              </w:rPr>
              <w:t>p</w:t>
            </w:r>
            <w:r w:rsidRPr="00B30BA3">
              <w:rPr>
                <w:rFonts w:cs="Arial"/>
              </w:rPr>
              <w:t xml:space="preserve">olicy, the pharmacist is required to make a professional judgement </w:t>
            </w:r>
            <w:r w:rsidRPr="00B30BA3">
              <w:rPr>
                <w:rFonts w:cs="Arial"/>
                <w:b/>
              </w:rPr>
              <w:t>and</w:t>
            </w:r>
            <w:r w:rsidRPr="00B30BA3">
              <w:rPr>
                <w:rFonts w:cs="Arial"/>
              </w:rPr>
              <w:t xml:space="preserve"> to be satisfied that the requested variation is safe and lawful before agreeing to implement the proposed variation?</w:t>
            </w:r>
          </w:p>
        </w:tc>
        <w:tc>
          <w:tcPr>
            <w:tcW w:w="851" w:type="pct"/>
            <w:tcBorders>
              <w:top w:val="single" w:sz="12" w:space="0" w:color="auto"/>
              <w:left w:val="single" w:sz="12" w:space="0" w:color="auto"/>
              <w:bottom w:val="single" w:sz="12" w:space="0" w:color="auto"/>
              <w:right w:val="single" w:sz="12" w:space="0" w:color="auto"/>
            </w:tcBorders>
            <w:shd w:val="clear" w:color="auto" w:fill="auto"/>
          </w:tcPr>
          <w:p w14:paraId="364403D1" w14:textId="77777777" w:rsidR="00BA059E" w:rsidRPr="00B30BA3" w:rsidRDefault="00CE59DA" w:rsidP="003F787E">
            <w:pPr>
              <w:pStyle w:val="DHHSbody"/>
              <w:rPr>
                <w:rFonts w:cs="Arial"/>
                <w:b/>
              </w:rPr>
            </w:pPr>
            <w:sdt>
              <w:sdtPr>
                <w:rPr>
                  <w:rFonts w:cs="Arial"/>
                  <w:b/>
                </w:rPr>
                <w:id w:val="-42905829"/>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6A532EC2" w14:textId="77777777" w:rsidR="00BA059E" w:rsidRPr="00B30BA3" w:rsidRDefault="00CE59DA" w:rsidP="003F787E">
            <w:pPr>
              <w:tabs>
                <w:tab w:val="left" w:pos="1465"/>
              </w:tabs>
            </w:pPr>
            <w:sdt>
              <w:sdtPr>
                <w:rPr>
                  <w:rFonts w:cs="Arial"/>
                  <w:b/>
                  <w:bCs/>
                </w:rPr>
                <w:id w:val="374671574"/>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1408EC71" w14:textId="77777777" w:rsidTr="00573491">
        <w:tblPrEx>
          <w:tblLook w:val="0000" w:firstRow="0" w:lastRow="0" w:firstColumn="0" w:lastColumn="0" w:noHBand="0" w:noVBand="0"/>
        </w:tblPrEx>
        <w:tc>
          <w:tcPr>
            <w:tcW w:w="4149"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A4A3BF5" w14:textId="4B618054" w:rsidR="00BA059E" w:rsidRPr="00B30BA3" w:rsidRDefault="00BA059E" w:rsidP="003F787E">
            <w:pPr>
              <w:pStyle w:val="DHHSbody"/>
              <w:rPr>
                <w:rFonts w:cs="Arial"/>
              </w:rPr>
            </w:pPr>
            <w:r w:rsidRPr="00B30BA3">
              <w:rPr>
                <w:rFonts w:cs="Arial"/>
              </w:rPr>
              <w:t xml:space="preserve">Have all pharmacists been advised to </w:t>
            </w:r>
            <w:r w:rsidR="00BC5104" w:rsidRPr="00B30BA3">
              <w:rPr>
                <w:rFonts w:cs="Arial"/>
              </w:rPr>
              <w:t xml:space="preserve">keep </w:t>
            </w:r>
            <w:r w:rsidRPr="00B30BA3">
              <w:rPr>
                <w:rFonts w:cs="Arial"/>
              </w:rPr>
              <w:t xml:space="preserve">record </w:t>
            </w:r>
            <w:r w:rsidR="00BC5104" w:rsidRPr="00B30BA3">
              <w:rPr>
                <w:rFonts w:cs="Arial"/>
              </w:rPr>
              <w:t xml:space="preserve">of </w:t>
            </w:r>
            <w:r w:rsidRPr="00B30BA3">
              <w:rPr>
                <w:rFonts w:cs="Arial"/>
              </w:rPr>
              <w:t xml:space="preserve">any variations from the </w:t>
            </w:r>
            <w:r w:rsidR="00170DB4" w:rsidRPr="00B30BA3">
              <w:rPr>
                <w:rFonts w:cs="Arial"/>
              </w:rPr>
              <w:t>p</w:t>
            </w:r>
            <w:r w:rsidRPr="00B30BA3">
              <w:rPr>
                <w:rFonts w:cs="Arial"/>
              </w:rPr>
              <w:t>olicy that can be readily retrieved if called upon to justify decisions to authorities? (e.g. Medicines and Poisons Regulation, Pharmacy Board, Coroner)</w:t>
            </w:r>
          </w:p>
        </w:tc>
        <w:tc>
          <w:tcPr>
            <w:tcW w:w="851" w:type="pct"/>
            <w:tcBorders>
              <w:top w:val="single" w:sz="12" w:space="0" w:color="auto"/>
              <w:left w:val="single" w:sz="12" w:space="0" w:color="auto"/>
              <w:bottom w:val="single" w:sz="12" w:space="0" w:color="auto"/>
              <w:right w:val="single" w:sz="12" w:space="0" w:color="auto"/>
            </w:tcBorders>
          </w:tcPr>
          <w:p w14:paraId="3CEB034A" w14:textId="77777777" w:rsidR="00BA059E" w:rsidRPr="00B30BA3" w:rsidRDefault="00CE59DA" w:rsidP="003F787E">
            <w:pPr>
              <w:pStyle w:val="DHHSbody"/>
              <w:rPr>
                <w:rFonts w:cs="Arial"/>
                <w:b/>
              </w:rPr>
            </w:pPr>
            <w:sdt>
              <w:sdtPr>
                <w:rPr>
                  <w:rFonts w:cs="Arial"/>
                  <w:b/>
                </w:rPr>
                <w:id w:val="622580515"/>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1EEA0D32" w14:textId="77777777" w:rsidR="00BA059E" w:rsidRPr="00B30BA3" w:rsidRDefault="00CE59DA" w:rsidP="003F787E">
            <w:pPr>
              <w:pStyle w:val="DHHSbody"/>
              <w:rPr>
                <w:rFonts w:cs="Arial"/>
              </w:rPr>
            </w:pPr>
            <w:sdt>
              <w:sdtPr>
                <w:rPr>
                  <w:rFonts w:cs="Arial"/>
                  <w:b/>
                  <w:bCs/>
                </w:rPr>
                <w:id w:val="1247386456"/>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bl>
    <w:p w14:paraId="5EFBE496" w14:textId="31210245" w:rsidR="00BA059E" w:rsidRPr="00F35801" w:rsidRDefault="00BA059E" w:rsidP="00BA059E">
      <w:pPr>
        <w:pStyle w:val="Heading2"/>
        <w:rPr>
          <w:sz w:val="30"/>
          <w:szCs w:val="30"/>
        </w:rPr>
      </w:pPr>
      <w:r w:rsidRPr="00F35801">
        <w:rPr>
          <w:sz w:val="30"/>
          <w:szCs w:val="30"/>
        </w:rPr>
        <w:t xml:space="preserve">Principles of </w:t>
      </w:r>
      <w:r w:rsidR="00E15919" w:rsidRPr="00F35801">
        <w:rPr>
          <w:sz w:val="30"/>
          <w:szCs w:val="30"/>
        </w:rPr>
        <w:t>pharmacotherapy</w:t>
      </w:r>
      <w:r w:rsidR="002C2C64">
        <w:rPr>
          <w:sz w:val="30"/>
          <w:szCs w:val="30"/>
        </w:rPr>
        <w:t xml:space="preserve"> – Stigma and substance use</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9"/>
        <w:gridCol w:w="1735"/>
      </w:tblGrid>
      <w:tr w:rsidR="00BA059E" w:rsidRPr="00B30BA3" w14:paraId="17435EF7" w14:textId="77777777" w:rsidTr="00573491">
        <w:tc>
          <w:tcPr>
            <w:tcW w:w="5000" w:type="pct"/>
            <w:gridSpan w:val="2"/>
            <w:tcBorders>
              <w:top w:val="single" w:sz="4" w:space="0" w:color="auto"/>
              <w:left w:val="single" w:sz="4" w:space="0" w:color="auto"/>
              <w:bottom w:val="single" w:sz="12" w:space="0" w:color="auto"/>
              <w:right w:val="single" w:sz="4" w:space="0" w:color="auto"/>
            </w:tcBorders>
            <w:shd w:val="clear" w:color="auto" w:fill="auto"/>
          </w:tcPr>
          <w:p w14:paraId="2EEA01A1" w14:textId="22BA8C36" w:rsidR="00826D8D" w:rsidRPr="002C2C64" w:rsidRDefault="00EB043A" w:rsidP="003F787E">
            <w:pPr>
              <w:rPr>
                <w:rFonts w:cs="Arial"/>
                <w:sz w:val="20"/>
              </w:rPr>
            </w:pPr>
            <w:bookmarkStart w:id="1" w:name="_Hlk77666856"/>
            <w:r w:rsidRPr="002C2C64">
              <w:rPr>
                <w:rFonts w:cs="Arial"/>
                <w:sz w:val="20"/>
              </w:rPr>
              <w:t>People living with s</w:t>
            </w:r>
            <w:r w:rsidR="00BA059E" w:rsidRPr="002C2C64">
              <w:rPr>
                <w:rFonts w:cs="Arial"/>
                <w:sz w:val="20"/>
              </w:rPr>
              <w:t xml:space="preserve">ubstance </w:t>
            </w:r>
            <w:r w:rsidR="0073457B" w:rsidRPr="002C2C64">
              <w:rPr>
                <w:rFonts w:cs="Arial"/>
                <w:sz w:val="20"/>
              </w:rPr>
              <w:t>u</w:t>
            </w:r>
            <w:r w:rsidR="00BA059E" w:rsidRPr="002C2C64">
              <w:rPr>
                <w:rFonts w:cs="Arial"/>
                <w:sz w:val="20"/>
              </w:rPr>
              <w:t>se</w:t>
            </w:r>
            <w:r w:rsidR="009927F5" w:rsidRPr="002C2C64">
              <w:rPr>
                <w:rFonts w:cs="Arial"/>
                <w:sz w:val="20"/>
              </w:rPr>
              <w:t xml:space="preserve"> or addiction</w:t>
            </w:r>
            <w:r w:rsidR="005A491D" w:rsidRPr="002C2C64">
              <w:rPr>
                <w:rFonts w:cs="Arial"/>
                <w:sz w:val="20"/>
              </w:rPr>
              <w:t xml:space="preserve"> issues</w:t>
            </w:r>
            <w:r w:rsidR="00BA059E" w:rsidRPr="002C2C64">
              <w:rPr>
                <w:rFonts w:cs="Arial"/>
                <w:sz w:val="20"/>
              </w:rPr>
              <w:t xml:space="preserve"> </w:t>
            </w:r>
            <w:r w:rsidR="005C12CB" w:rsidRPr="002C2C64">
              <w:rPr>
                <w:rFonts w:cs="Arial"/>
                <w:sz w:val="20"/>
              </w:rPr>
              <w:t>often</w:t>
            </w:r>
            <w:r w:rsidR="00BA059E" w:rsidRPr="002C2C64">
              <w:rPr>
                <w:rFonts w:cs="Arial"/>
                <w:sz w:val="20"/>
              </w:rPr>
              <w:t xml:space="preserve"> </w:t>
            </w:r>
            <w:r w:rsidR="00647C9E" w:rsidRPr="002C2C64">
              <w:rPr>
                <w:rFonts w:cs="Arial"/>
                <w:sz w:val="20"/>
              </w:rPr>
              <w:t xml:space="preserve">require long term support for these </w:t>
            </w:r>
            <w:r w:rsidR="00BA059E" w:rsidRPr="002C2C64">
              <w:rPr>
                <w:rFonts w:cs="Arial"/>
                <w:sz w:val="20"/>
              </w:rPr>
              <w:t>chronic, relapsing condition</w:t>
            </w:r>
            <w:r w:rsidR="005C12CB" w:rsidRPr="002C2C64">
              <w:rPr>
                <w:rFonts w:cs="Arial"/>
                <w:sz w:val="20"/>
              </w:rPr>
              <w:t>s</w:t>
            </w:r>
            <w:r w:rsidR="001C7AA5" w:rsidRPr="002C2C64">
              <w:rPr>
                <w:rFonts w:cs="Arial"/>
                <w:sz w:val="20"/>
              </w:rPr>
              <w:t>. An understanding</w:t>
            </w:r>
            <w:r w:rsidR="00826D8D" w:rsidRPr="002C2C64">
              <w:rPr>
                <w:rFonts w:cs="Arial"/>
                <w:sz w:val="20"/>
              </w:rPr>
              <w:t xml:space="preserve"> of this </w:t>
            </w:r>
            <w:r w:rsidR="00CA273C" w:rsidRPr="002C2C64">
              <w:rPr>
                <w:rFonts w:cs="Arial"/>
                <w:sz w:val="20"/>
              </w:rPr>
              <w:t>will help pharmacists</w:t>
            </w:r>
            <w:r w:rsidR="00BA059E" w:rsidRPr="002C2C64">
              <w:rPr>
                <w:rFonts w:cs="Arial"/>
                <w:sz w:val="20"/>
              </w:rPr>
              <w:t xml:space="preserve"> form realistic expectations of patients. </w:t>
            </w:r>
          </w:p>
          <w:p w14:paraId="5E8C3F03" w14:textId="26C9B664" w:rsidR="00BA059E" w:rsidRDefault="002C2C64" w:rsidP="003F787E">
            <w:pPr>
              <w:rPr>
                <w:rFonts w:cs="Arial"/>
                <w:sz w:val="20"/>
              </w:rPr>
            </w:pPr>
            <w:r>
              <w:rPr>
                <w:rFonts w:cs="Arial"/>
                <w:sz w:val="20"/>
              </w:rPr>
              <w:t>Pharmacotherapy is the gold-standard medical approach for the management of opioid use disorder</w:t>
            </w:r>
            <w:r w:rsidR="004B6F0D">
              <w:rPr>
                <w:rFonts w:cs="Arial"/>
                <w:sz w:val="20"/>
              </w:rPr>
              <w:t xml:space="preserve"> not only </w:t>
            </w:r>
            <w:r w:rsidR="008D0A18">
              <w:rPr>
                <w:rFonts w:cs="Arial"/>
                <w:sz w:val="20"/>
              </w:rPr>
              <w:t>in patients who have been using illicit (street) opioids, but also</w:t>
            </w:r>
            <w:r w:rsidR="004B6F0D">
              <w:rPr>
                <w:rFonts w:cs="Arial"/>
                <w:sz w:val="20"/>
              </w:rPr>
              <w:t xml:space="preserve"> in those</w:t>
            </w:r>
            <w:r w:rsidR="008D0A18">
              <w:rPr>
                <w:rFonts w:cs="Arial"/>
                <w:sz w:val="20"/>
              </w:rPr>
              <w:t xml:space="preserve"> experiencing problematic use of prescription opioids. </w:t>
            </w:r>
            <w:r w:rsidR="004B6F0D">
              <w:rPr>
                <w:rFonts w:cs="Arial"/>
                <w:color w:val="231F20"/>
                <w:sz w:val="20"/>
                <w:lang w:eastAsia="en-AU"/>
              </w:rPr>
              <w:t>It</w:t>
            </w:r>
            <w:r w:rsidR="004B6F0D" w:rsidRPr="002C2C64">
              <w:rPr>
                <w:rFonts w:cs="Arial"/>
                <w:color w:val="231F20"/>
                <w:sz w:val="20"/>
                <w:lang w:eastAsia="en-AU"/>
              </w:rPr>
              <w:t xml:space="preserve"> can prove valuable in assisting opioid-dependent people to manage physical dependence, drug craving and compulsive drug use successfully</w:t>
            </w:r>
            <w:r w:rsidR="004B6F0D" w:rsidRPr="002C2C64">
              <w:rPr>
                <w:rFonts w:cs="Arial"/>
                <w:i/>
                <w:iCs/>
                <w:color w:val="231F20"/>
                <w:sz w:val="20"/>
                <w:lang w:eastAsia="en-AU"/>
              </w:rPr>
              <w:t>.</w:t>
            </w:r>
            <w:r w:rsidR="004B6F0D">
              <w:rPr>
                <w:rFonts w:cs="Arial"/>
                <w:i/>
                <w:iCs/>
                <w:color w:val="231F20"/>
                <w:sz w:val="20"/>
                <w:lang w:eastAsia="en-AU"/>
              </w:rPr>
              <w:t xml:space="preserve"> </w:t>
            </w:r>
            <w:r w:rsidR="004B6F0D" w:rsidRPr="002C2C64">
              <w:rPr>
                <w:sz w:val="20"/>
              </w:rPr>
              <w:t>Maintenance on a pharmacotherapy program has been demonstrated to significantly reduce the risk of accidental (fatal) opioid overdose</w:t>
            </w:r>
            <w:r w:rsidR="004B6F0D">
              <w:rPr>
                <w:sz w:val="20"/>
              </w:rPr>
              <w:t>.</w:t>
            </w:r>
          </w:p>
          <w:p w14:paraId="7AE656F0" w14:textId="59B86E98" w:rsidR="00826D8D" w:rsidRPr="002C2C64" w:rsidRDefault="00826D8D" w:rsidP="00456651">
            <w:pPr>
              <w:rPr>
                <w:rFonts w:cs="Arial"/>
                <w:color w:val="231F20"/>
                <w:sz w:val="20"/>
                <w:lang w:eastAsia="en-AU"/>
              </w:rPr>
            </w:pPr>
            <w:r w:rsidRPr="002C2C64">
              <w:rPr>
                <w:rFonts w:cs="Arial"/>
                <w:sz w:val="20"/>
              </w:rPr>
              <w:t>Considering pharmacotherapy through the lens of h</w:t>
            </w:r>
            <w:r w:rsidR="00BA059E" w:rsidRPr="002C2C64">
              <w:rPr>
                <w:rFonts w:cs="Arial"/>
                <w:sz w:val="20"/>
              </w:rPr>
              <w:t xml:space="preserve">arm </w:t>
            </w:r>
            <w:r w:rsidRPr="002C2C64">
              <w:rPr>
                <w:rFonts w:cs="Arial"/>
                <w:sz w:val="20"/>
              </w:rPr>
              <w:t>m</w:t>
            </w:r>
            <w:r w:rsidR="00BA059E" w:rsidRPr="002C2C64">
              <w:rPr>
                <w:rFonts w:cs="Arial"/>
                <w:sz w:val="20"/>
              </w:rPr>
              <w:t>inimisation</w:t>
            </w:r>
            <w:r w:rsidRPr="002C2C64">
              <w:rPr>
                <w:rFonts w:cs="Arial"/>
                <w:sz w:val="20"/>
              </w:rPr>
              <w:t xml:space="preserve"> means </w:t>
            </w:r>
            <w:r w:rsidRPr="004B6F0D">
              <w:rPr>
                <w:rFonts w:cs="Arial"/>
                <w:b/>
                <w:bCs/>
                <w:sz w:val="20"/>
              </w:rPr>
              <w:t>not seeing it as a</w:t>
            </w:r>
            <w:r w:rsidRPr="002C2C64">
              <w:rPr>
                <w:rFonts w:cs="Arial"/>
                <w:sz w:val="20"/>
              </w:rPr>
              <w:t xml:space="preserve"> </w:t>
            </w:r>
            <w:r w:rsidRPr="002C2C64">
              <w:rPr>
                <w:rFonts w:cs="Arial"/>
                <w:b/>
                <w:bCs/>
                <w:sz w:val="20"/>
              </w:rPr>
              <w:t>cure</w:t>
            </w:r>
            <w:r w:rsidRPr="002C2C64">
              <w:rPr>
                <w:rFonts w:cs="Arial"/>
                <w:sz w:val="20"/>
              </w:rPr>
              <w:t xml:space="preserve">, but rather as a public health intervention which </w:t>
            </w:r>
            <w:r w:rsidR="00BA059E" w:rsidRPr="002C2C64">
              <w:rPr>
                <w:rFonts w:cs="Arial"/>
                <w:color w:val="231F20"/>
                <w:sz w:val="20"/>
                <w:lang w:eastAsia="en-AU"/>
              </w:rPr>
              <w:t>aims to improve health, social and economic outcomes for both the community and the individual</w:t>
            </w:r>
            <w:r w:rsidR="00456651" w:rsidRPr="002C2C64">
              <w:rPr>
                <w:rFonts w:cs="Arial"/>
                <w:color w:val="231F20"/>
                <w:sz w:val="20"/>
                <w:lang w:eastAsia="en-AU"/>
              </w:rPr>
              <w:t xml:space="preserve">. It is a long-term program </w:t>
            </w:r>
            <w:r w:rsidR="00BA059E" w:rsidRPr="002C2C64">
              <w:rPr>
                <w:rFonts w:cs="Arial"/>
                <w:color w:val="231F20"/>
                <w:sz w:val="20"/>
                <w:lang w:eastAsia="en-AU"/>
              </w:rPr>
              <w:t xml:space="preserve">directed at normalising the patient’s life, </w:t>
            </w:r>
            <w:r w:rsidR="00456651" w:rsidRPr="002C2C64">
              <w:rPr>
                <w:rFonts w:cs="Arial"/>
                <w:color w:val="231F20"/>
                <w:sz w:val="20"/>
                <w:lang w:eastAsia="en-AU"/>
              </w:rPr>
              <w:t xml:space="preserve">treating them with respect, </w:t>
            </w:r>
            <w:r w:rsidR="00BA059E" w:rsidRPr="002C2C64">
              <w:rPr>
                <w:rFonts w:cs="Arial"/>
                <w:color w:val="231F20"/>
                <w:sz w:val="20"/>
                <w:lang w:eastAsia="en-AU"/>
              </w:rPr>
              <w:t>integrating them back into the community and retaining them in treatment as appropriate</w:t>
            </w:r>
            <w:r w:rsidRPr="002C2C64">
              <w:rPr>
                <w:rFonts w:cs="Arial"/>
                <w:color w:val="231F20"/>
                <w:sz w:val="20"/>
                <w:lang w:eastAsia="en-AU"/>
              </w:rPr>
              <w:t>.</w:t>
            </w:r>
          </w:p>
          <w:p w14:paraId="3D70463D" w14:textId="33420370" w:rsidR="00D34789" w:rsidRPr="00D34789" w:rsidRDefault="00456651" w:rsidP="00D34789">
            <w:pPr>
              <w:rPr>
                <w:rFonts w:cs="Arial"/>
                <w:color w:val="231F20"/>
                <w:sz w:val="20"/>
                <w:lang w:eastAsia="en-AU"/>
              </w:rPr>
            </w:pPr>
            <w:r w:rsidRPr="002C2C64">
              <w:rPr>
                <w:rFonts w:cs="Arial"/>
                <w:color w:val="231F20"/>
                <w:sz w:val="20"/>
                <w:lang w:eastAsia="en-AU"/>
              </w:rPr>
              <w:t xml:space="preserve">Substance Use Disorder is a highly stigmatised health condition, and the conscious and unconscious manifestations of this stigma can create barriers for people who need to access treatment. </w:t>
            </w:r>
            <w:r w:rsidR="00BA059E" w:rsidRPr="002C2C64">
              <w:rPr>
                <w:rFonts w:cs="Arial"/>
                <w:sz w:val="20"/>
              </w:rPr>
              <w:t>As health care</w:t>
            </w:r>
            <w:r w:rsidR="00BA059E" w:rsidRPr="00D34789">
              <w:rPr>
                <w:rFonts w:cs="Arial"/>
                <w:sz w:val="20"/>
              </w:rPr>
              <w:t xml:space="preserve"> professionals, the language we use can play an enormous role in creating a safe environment for the clients on our pharmacotherapy programs. It is essential that pharmacists and pharmacy staff are mindful of the language they use and ensure that conversations with clients are non-judgemental and person-centred.</w:t>
            </w:r>
            <w:r w:rsidR="00D34789">
              <w:rPr>
                <w:rFonts w:cs="Arial"/>
                <w:sz w:val="20"/>
              </w:rPr>
              <w:t xml:space="preserve"> Resources such as </w:t>
            </w:r>
            <w:hyperlink r:id="rId29" w:tgtFrame="_blank" w:history="1">
              <w:r w:rsidR="00D34789" w:rsidRPr="00D34789">
                <w:rPr>
                  <w:rStyle w:val="Hyperlink"/>
                  <w:rFonts w:eastAsia="MS Gothic" w:cs="Arial"/>
                  <w:sz w:val="20"/>
                </w:rPr>
                <w:t>Language matters</w:t>
              </w:r>
            </w:hyperlink>
            <w:r w:rsidR="00D34789" w:rsidRPr="00D34789">
              <w:rPr>
                <w:rFonts w:cs="Arial"/>
                <w:sz w:val="20"/>
              </w:rPr>
              <w:t xml:space="preserve"> and </w:t>
            </w:r>
            <w:hyperlink r:id="rId30" w:tgtFrame="_blank" w:history="1">
              <w:r w:rsidR="00D34789" w:rsidRPr="00D34789">
                <w:rPr>
                  <w:rStyle w:val="Hyperlink"/>
                  <w:rFonts w:eastAsia="MS Gothic" w:cs="Arial"/>
                  <w:sz w:val="20"/>
                </w:rPr>
                <w:t>The Power of Words</w:t>
              </w:r>
            </w:hyperlink>
            <w:r w:rsidR="00D34789">
              <w:rPr>
                <w:rStyle w:val="Hyperlink"/>
                <w:rFonts w:eastAsia="MS Gothic" w:cs="Arial"/>
                <w:sz w:val="20"/>
              </w:rPr>
              <w:t xml:space="preserve"> </w:t>
            </w:r>
            <w:r w:rsidR="00D34789">
              <w:t xml:space="preserve">are </w:t>
            </w:r>
            <w:r w:rsidR="00BA059E" w:rsidRPr="00D34789">
              <w:rPr>
                <w:rFonts w:cs="Arial"/>
                <w:sz w:val="20"/>
              </w:rPr>
              <w:t>an excellent guide to the use of non-stigmatising language.</w:t>
            </w:r>
            <w:bookmarkEnd w:id="1"/>
          </w:p>
        </w:tc>
      </w:tr>
      <w:tr w:rsidR="00BA059E" w:rsidRPr="00B30BA3" w14:paraId="3D81187F" w14:textId="77777777" w:rsidTr="00573491">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E9EE42E" w14:textId="70D10839" w:rsidR="00BA059E" w:rsidRPr="00B30BA3" w:rsidRDefault="00D27B3A" w:rsidP="003F787E">
            <w:pPr>
              <w:pStyle w:val="DHHSbody"/>
              <w:rPr>
                <w:rFonts w:cs="Arial"/>
              </w:rPr>
            </w:pPr>
            <w:r w:rsidRPr="00B30BA3">
              <w:rPr>
                <w:rFonts w:cs="Arial"/>
                <w:shd w:val="clear" w:color="auto" w:fill="DBE5F1" w:themeFill="accent1" w:themeFillTint="33"/>
              </w:rPr>
              <w:t xml:space="preserve">Are </w:t>
            </w:r>
            <w:r w:rsidR="000A7239">
              <w:rPr>
                <w:rFonts w:cs="Arial"/>
                <w:shd w:val="clear" w:color="auto" w:fill="DBE5F1" w:themeFill="accent1" w:themeFillTint="33"/>
              </w:rPr>
              <w:t xml:space="preserve">all </w:t>
            </w:r>
            <w:r w:rsidRPr="00B30BA3">
              <w:rPr>
                <w:rFonts w:cs="Arial"/>
                <w:shd w:val="clear" w:color="auto" w:fill="DBE5F1" w:themeFill="accent1" w:themeFillTint="33"/>
              </w:rPr>
              <w:t>pharmacists at your pharmacy aware of</w:t>
            </w:r>
            <w:r w:rsidRPr="00B30BA3">
              <w:rPr>
                <w:rFonts w:cs="Arial"/>
              </w:rPr>
              <w:t xml:space="preserve"> the principles of pharmacotherapy</w:t>
            </w:r>
            <w:r w:rsidR="0087387C" w:rsidRPr="00B30BA3">
              <w:rPr>
                <w:rFonts w:cs="Arial"/>
              </w:rPr>
              <w:t xml:space="preserve"> and use of non</w:t>
            </w:r>
            <w:r w:rsidR="00447E44" w:rsidRPr="00B30BA3">
              <w:rPr>
                <w:rFonts w:cs="Arial"/>
              </w:rPr>
              <w:t>-stigmatising language</w:t>
            </w:r>
            <w:r w:rsidRPr="00B30BA3">
              <w:rPr>
                <w:rFonts w:cs="Arial"/>
              </w:rPr>
              <w:t>?</w:t>
            </w:r>
          </w:p>
        </w:tc>
        <w:tc>
          <w:tcPr>
            <w:tcW w:w="851" w:type="pct"/>
            <w:tcBorders>
              <w:top w:val="single" w:sz="12" w:space="0" w:color="auto"/>
              <w:left w:val="single" w:sz="12" w:space="0" w:color="auto"/>
              <w:bottom w:val="single" w:sz="12" w:space="0" w:color="auto"/>
              <w:right w:val="single" w:sz="12" w:space="0" w:color="auto"/>
            </w:tcBorders>
          </w:tcPr>
          <w:p w14:paraId="00A45FE7" w14:textId="77777777" w:rsidR="00BA059E" w:rsidRPr="00B30BA3" w:rsidRDefault="00CE59DA" w:rsidP="003F787E">
            <w:pPr>
              <w:pStyle w:val="DHHSbody"/>
              <w:rPr>
                <w:rFonts w:cs="Arial"/>
                <w:b/>
              </w:rPr>
            </w:pPr>
            <w:sdt>
              <w:sdtPr>
                <w:rPr>
                  <w:rFonts w:cs="Arial"/>
                  <w:b/>
                </w:rPr>
                <w:id w:val="1913114801"/>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3CFFD452" w14:textId="77777777" w:rsidR="00BA059E" w:rsidRPr="00B30BA3" w:rsidRDefault="00CE59DA" w:rsidP="003F787E">
            <w:pPr>
              <w:tabs>
                <w:tab w:val="left" w:pos="1465"/>
              </w:tabs>
            </w:pPr>
            <w:sdt>
              <w:sdtPr>
                <w:rPr>
                  <w:rFonts w:cs="Arial"/>
                  <w:b/>
                  <w:bCs/>
                </w:rPr>
                <w:id w:val="1913502460"/>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bl>
    <w:p w14:paraId="1C9582C0" w14:textId="128A4614" w:rsidR="00BA059E" w:rsidRDefault="00BA059E" w:rsidP="00BA059E">
      <w:pPr>
        <w:pStyle w:val="DHHSbody"/>
      </w:pPr>
    </w:p>
    <w:p w14:paraId="5DAF278F" w14:textId="77777777" w:rsidR="00120815" w:rsidRPr="00B30BA3" w:rsidRDefault="00120815" w:rsidP="00BA059E">
      <w:pPr>
        <w:pStyle w:val="DHHSbody"/>
      </w:pPr>
    </w:p>
    <w:p w14:paraId="7439CA0E" w14:textId="3C3EC5BC" w:rsidR="00BA059E" w:rsidRPr="008E462C" w:rsidRDefault="0010664A" w:rsidP="00BA059E">
      <w:pPr>
        <w:pStyle w:val="DHHSbody"/>
        <w:rPr>
          <w:b/>
          <w:bCs/>
          <w:color w:val="595959" w:themeColor="text1" w:themeTint="A6"/>
          <w:sz w:val="28"/>
          <w:szCs w:val="28"/>
        </w:rPr>
      </w:pPr>
      <w:r>
        <w:rPr>
          <w:b/>
          <w:bCs/>
          <w:color w:val="595959" w:themeColor="text1" w:themeTint="A6"/>
          <w:sz w:val="28"/>
          <w:szCs w:val="28"/>
        </w:rPr>
        <w:lastRenderedPageBreak/>
        <w:t>Co-occurring</w:t>
      </w:r>
      <w:r w:rsidR="00BA059E" w:rsidRPr="008E462C">
        <w:rPr>
          <w:b/>
          <w:bCs/>
          <w:color w:val="595959" w:themeColor="text1" w:themeTint="A6"/>
          <w:sz w:val="28"/>
          <w:szCs w:val="28"/>
        </w:rPr>
        <w:t xml:space="preserve"> substance use </w:t>
      </w:r>
      <w:r w:rsidR="00A83455">
        <w:rPr>
          <w:b/>
          <w:bCs/>
          <w:color w:val="595959" w:themeColor="text1" w:themeTint="A6"/>
          <w:sz w:val="28"/>
          <w:szCs w:val="28"/>
        </w:rPr>
        <w:t>or addiction</w:t>
      </w:r>
      <w:r w:rsidR="00BA059E" w:rsidRPr="008E462C">
        <w:rPr>
          <w:b/>
          <w:bCs/>
          <w:color w:val="595959" w:themeColor="text1" w:themeTint="A6"/>
          <w:sz w:val="28"/>
          <w:szCs w:val="28"/>
        </w:rPr>
        <w:t xml:space="preserve"> and mental</w:t>
      </w:r>
      <w:r w:rsidR="00707D27">
        <w:rPr>
          <w:b/>
          <w:bCs/>
          <w:color w:val="595959" w:themeColor="text1" w:themeTint="A6"/>
          <w:sz w:val="28"/>
          <w:szCs w:val="28"/>
        </w:rPr>
        <w:t xml:space="preserve"> illness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9"/>
        <w:gridCol w:w="1735"/>
      </w:tblGrid>
      <w:tr w:rsidR="00BA059E" w:rsidRPr="00B30BA3" w14:paraId="05572F29" w14:textId="77777777" w:rsidTr="00A74136">
        <w:tc>
          <w:tcPr>
            <w:tcW w:w="5000" w:type="pct"/>
            <w:gridSpan w:val="2"/>
            <w:shd w:val="clear" w:color="auto" w:fill="auto"/>
          </w:tcPr>
          <w:p w14:paraId="064B2C1C" w14:textId="0F120236" w:rsidR="00120815" w:rsidRPr="00B30BA3" w:rsidRDefault="00B52843" w:rsidP="003F787E">
            <w:pPr>
              <w:spacing w:before="100" w:beforeAutospacing="1" w:after="100"/>
              <w:rPr>
                <w:rFonts w:cs="Arial"/>
                <w:sz w:val="20"/>
              </w:rPr>
            </w:pPr>
            <w:r>
              <w:rPr>
                <w:rFonts w:cs="Arial"/>
                <w:sz w:val="20"/>
              </w:rPr>
              <w:t>People living with substance use or addiction</w:t>
            </w:r>
            <w:r w:rsidR="00296289">
              <w:rPr>
                <w:rFonts w:cs="Arial"/>
                <w:sz w:val="20"/>
              </w:rPr>
              <w:t xml:space="preserve"> have a high</w:t>
            </w:r>
            <w:r w:rsidR="009C1E68">
              <w:rPr>
                <w:rFonts w:cs="Arial"/>
                <w:sz w:val="20"/>
              </w:rPr>
              <w:t xml:space="preserve"> co-occurrence of</w:t>
            </w:r>
            <w:r w:rsidR="00550CD9">
              <w:rPr>
                <w:rFonts w:cs="Arial"/>
                <w:sz w:val="20"/>
              </w:rPr>
              <w:t xml:space="preserve"> mental illness.</w:t>
            </w:r>
            <w:r w:rsidR="001F3286">
              <w:rPr>
                <w:rFonts w:cs="Arial"/>
                <w:sz w:val="20"/>
              </w:rPr>
              <w:t xml:space="preserve"> </w:t>
            </w:r>
            <w:r w:rsidR="00BA059E" w:rsidRPr="00B30BA3">
              <w:rPr>
                <w:rFonts w:cs="Arial"/>
                <w:sz w:val="20"/>
              </w:rPr>
              <w:t>People with mental illness experience more complications from drug use than the general population</w:t>
            </w:r>
            <w:r w:rsidR="00120815">
              <w:rPr>
                <w:rFonts w:cs="Arial"/>
                <w:sz w:val="20"/>
              </w:rPr>
              <w:t>. Although a clinical assessment of “dual diagnosis” can result in a more complicated treatment regimen, outcomes are generally improved when both conditions are addressed appropriately.</w:t>
            </w:r>
          </w:p>
          <w:p w14:paraId="0BD85590" w14:textId="383B8171" w:rsidR="00BA059E" w:rsidRPr="00B30BA3" w:rsidRDefault="00120815" w:rsidP="00120815">
            <w:pPr>
              <w:pStyle w:val="Bullet1"/>
              <w:numPr>
                <w:ilvl w:val="0"/>
                <w:numId w:val="0"/>
              </w:numPr>
              <w:spacing w:after="120"/>
              <w:ind w:left="284" w:hanging="284"/>
            </w:pPr>
            <w:r w:rsidRPr="00120815">
              <w:rPr>
                <w:color w:val="FF0000"/>
                <w:sz w:val="20"/>
              </w:rPr>
              <w:t xml:space="preserve">Engagement in substance use may suggest </w:t>
            </w:r>
            <w:r w:rsidR="00BA059E" w:rsidRPr="00120815">
              <w:rPr>
                <w:color w:val="FF0000"/>
                <w:sz w:val="20"/>
              </w:rPr>
              <w:t>poor treatment adherence</w:t>
            </w:r>
            <w:r w:rsidRPr="00120815">
              <w:rPr>
                <w:color w:val="FF0000"/>
                <w:sz w:val="20"/>
              </w:rPr>
              <w:t xml:space="preserve">, or even </w:t>
            </w:r>
            <w:r w:rsidR="00BA059E" w:rsidRPr="00120815">
              <w:rPr>
                <w:color w:val="FF0000"/>
                <w:sz w:val="20"/>
              </w:rPr>
              <w:t>failure of psychiatric treatment.</w:t>
            </w:r>
          </w:p>
        </w:tc>
      </w:tr>
      <w:tr w:rsidR="00BA059E" w:rsidRPr="00B30BA3" w14:paraId="2F9323B8" w14:textId="77777777" w:rsidTr="001029B0">
        <w:tblPrEx>
          <w:tblLook w:val="0000" w:firstRow="0" w:lastRow="0" w:firstColumn="0" w:lastColumn="0" w:noHBand="0" w:noVBand="0"/>
        </w:tblPrEx>
        <w:tc>
          <w:tcPr>
            <w:tcW w:w="4149" w:type="pct"/>
            <w:shd w:val="clear" w:color="auto" w:fill="DBE5F1" w:themeFill="accent1" w:themeFillTint="33"/>
          </w:tcPr>
          <w:p w14:paraId="7CB8F40F" w14:textId="47B84711" w:rsidR="00BA059E" w:rsidRPr="00B30BA3" w:rsidRDefault="001029B0" w:rsidP="003F787E">
            <w:pPr>
              <w:pStyle w:val="DHHSbody"/>
              <w:rPr>
                <w:rFonts w:cs="Arial"/>
              </w:rPr>
            </w:pPr>
            <w:r w:rsidRPr="00B30BA3">
              <w:rPr>
                <w:rFonts w:cs="Arial"/>
              </w:rPr>
              <w:t xml:space="preserve">Are pharmacists aware </w:t>
            </w:r>
            <w:r w:rsidR="00BA059E" w:rsidRPr="00B30BA3">
              <w:rPr>
                <w:rFonts w:cs="Arial"/>
              </w:rPr>
              <w:t>that Substance Use Disorder commonly occurs alongside other mental health conditions, and that treatment</w:t>
            </w:r>
            <w:r w:rsidRPr="00B30BA3">
              <w:rPr>
                <w:rFonts w:cs="Arial"/>
              </w:rPr>
              <w:t xml:space="preserve"> of both conditions will </w:t>
            </w:r>
            <w:r w:rsidR="00BA059E" w:rsidRPr="00B30BA3">
              <w:rPr>
                <w:rFonts w:cs="Arial"/>
              </w:rPr>
              <w:t>generally improve patient outcomes?</w:t>
            </w:r>
          </w:p>
        </w:tc>
        <w:tc>
          <w:tcPr>
            <w:tcW w:w="851" w:type="pct"/>
          </w:tcPr>
          <w:p w14:paraId="5E77DE2E" w14:textId="256E562C" w:rsidR="00BA059E" w:rsidRPr="00B30BA3" w:rsidRDefault="00CE59DA" w:rsidP="003F787E">
            <w:pPr>
              <w:pStyle w:val="DHHSbody"/>
              <w:rPr>
                <w:rFonts w:cs="Arial"/>
                <w:b/>
              </w:rPr>
            </w:pPr>
            <w:sdt>
              <w:sdtPr>
                <w:rPr>
                  <w:rFonts w:cs="Arial"/>
                  <w:b/>
                </w:rPr>
                <w:id w:val="-1184517961"/>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379378EE" w14:textId="64420CAE" w:rsidR="00BA059E" w:rsidRPr="00B30BA3" w:rsidRDefault="00CE59DA" w:rsidP="003F787E">
            <w:pPr>
              <w:tabs>
                <w:tab w:val="left" w:pos="1465"/>
              </w:tabs>
            </w:pPr>
            <w:sdt>
              <w:sdtPr>
                <w:rPr>
                  <w:rFonts w:cs="Arial"/>
                  <w:b/>
                  <w:bCs/>
                </w:rPr>
                <w:id w:val="-1297299332"/>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bl>
    <w:p w14:paraId="4B49096E" w14:textId="2AD134A2" w:rsidR="00BA059E" w:rsidRPr="00B30BA3" w:rsidRDefault="00BA059E" w:rsidP="00BA059E">
      <w:pPr>
        <w:rPr>
          <w:rFonts w:cs="Arial"/>
          <w:b/>
          <w:bCs/>
          <w:sz w:val="28"/>
          <w:szCs w:val="28"/>
        </w:rPr>
      </w:pPr>
    </w:p>
    <w:p w14:paraId="36DCFC73" w14:textId="64B80B5A" w:rsidR="004E66C7" w:rsidRPr="00635DC6" w:rsidRDefault="00936F65" w:rsidP="00BA059E">
      <w:pPr>
        <w:rPr>
          <w:rFonts w:cs="Arial"/>
          <w:b/>
          <w:bCs/>
          <w:color w:val="595959" w:themeColor="text1" w:themeTint="A6"/>
          <w:sz w:val="30"/>
          <w:szCs w:val="30"/>
        </w:rPr>
      </w:pPr>
      <w:r>
        <w:rPr>
          <w:rFonts w:cs="Arial"/>
          <w:b/>
          <w:bCs/>
          <w:color w:val="595959" w:themeColor="text1" w:themeTint="A6"/>
          <w:sz w:val="30"/>
          <w:szCs w:val="30"/>
        </w:rPr>
        <w:t>I</w:t>
      </w:r>
      <w:r w:rsidR="004E66C7" w:rsidRPr="00635DC6">
        <w:rPr>
          <w:rFonts w:cs="Arial"/>
          <w:b/>
          <w:bCs/>
          <w:color w:val="595959" w:themeColor="text1" w:themeTint="A6"/>
          <w:sz w:val="30"/>
          <w:szCs w:val="30"/>
        </w:rPr>
        <w:t>nitiation o</w:t>
      </w:r>
      <w:r>
        <w:rPr>
          <w:rFonts w:cs="Arial"/>
          <w:b/>
          <w:bCs/>
          <w:color w:val="595959" w:themeColor="text1" w:themeTint="A6"/>
          <w:sz w:val="30"/>
          <w:szCs w:val="30"/>
        </w:rPr>
        <w:t>f</w:t>
      </w:r>
      <w:r w:rsidR="004E66C7" w:rsidRPr="00635DC6">
        <w:rPr>
          <w:rFonts w:cs="Arial"/>
          <w:b/>
          <w:bCs/>
          <w:color w:val="595959" w:themeColor="text1" w:themeTint="A6"/>
          <w:sz w:val="30"/>
          <w:szCs w:val="30"/>
        </w:rPr>
        <w:t xml:space="preserve"> pharmacotherapy</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216"/>
        <w:gridCol w:w="426"/>
        <w:gridCol w:w="1552"/>
      </w:tblGrid>
      <w:tr w:rsidR="00BA059E" w:rsidRPr="00B30BA3" w14:paraId="57C16DE2" w14:textId="77777777" w:rsidTr="63D2B899">
        <w:trPr>
          <w:trHeight w:val="21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C56A6E" w14:textId="77777777" w:rsidR="00BA059E" w:rsidRPr="00B30BA3" w:rsidRDefault="001029B0" w:rsidP="001029B0">
            <w:pPr>
              <w:rPr>
                <w:rFonts w:cs="Arial"/>
                <w:b/>
                <w:bCs/>
                <w:sz w:val="20"/>
              </w:rPr>
            </w:pPr>
            <w:r w:rsidRPr="00B30BA3">
              <w:rPr>
                <w:rFonts w:cs="Arial"/>
                <w:b/>
                <w:bCs/>
                <w:sz w:val="20"/>
              </w:rPr>
              <w:t>Methadone:</w:t>
            </w:r>
          </w:p>
          <w:p w14:paraId="6D09D955" w14:textId="6113A677" w:rsidR="001029B0" w:rsidRPr="00B30BA3" w:rsidRDefault="0076166D" w:rsidP="001029B0">
            <w:pPr>
              <w:rPr>
                <w:sz w:val="20"/>
              </w:rPr>
            </w:pPr>
            <w:r>
              <w:rPr>
                <w:sz w:val="20"/>
              </w:rPr>
              <w:t>Initia</w:t>
            </w:r>
            <w:r w:rsidR="005E5AC9">
              <w:rPr>
                <w:sz w:val="20"/>
              </w:rPr>
              <w:t>ting m</w:t>
            </w:r>
            <w:r w:rsidR="00033B61">
              <w:rPr>
                <w:sz w:val="20"/>
              </w:rPr>
              <w:t>ethadone</w:t>
            </w:r>
            <w:r w:rsidR="003769AD">
              <w:rPr>
                <w:sz w:val="20"/>
              </w:rPr>
              <w:t xml:space="preserve"> </w:t>
            </w:r>
            <w:r w:rsidR="005E5AC9">
              <w:rPr>
                <w:sz w:val="20"/>
              </w:rPr>
              <w:t>treatme</w:t>
            </w:r>
            <w:r w:rsidR="007D6983">
              <w:rPr>
                <w:sz w:val="20"/>
              </w:rPr>
              <w:t xml:space="preserve">nt should </w:t>
            </w:r>
            <w:r w:rsidR="00F1183D">
              <w:rPr>
                <w:sz w:val="20"/>
              </w:rPr>
              <w:t xml:space="preserve">take into </w:t>
            </w:r>
            <w:r w:rsidR="007D6983">
              <w:rPr>
                <w:sz w:val="20"/>
              </w:rPr>
              <w:t>consi</w:t>
            </w:r>
            <w:r w:rsidR="00F1183D">
              <w:rPr>
                <w:sz w:val="20"/>
              </w:rPr>
              <w:t>d</w:t>
            </w:r>
            <w:r w:rsidR="00CD7600">
              <w:rPr>
                <w:sz w:val="20"/>
              </w:rPr>
              <w:t>eration the</w:t>
            </w:r>
            <w:r w:rsidR="003B5681">
              <w:rPr>
                <w:sz w:val="20"/>
              </w:rPr>
              <w:t xml:space="preserve"> associated</w:t>
            </w:r>
            <w:r w:rsidR="003769AD">
              <w:rPr>
                <w:sz w:val="20"/>
              </w:rPr>
              <w:t xml:space="preserve"> risk</w:t>
            </w:r>
            <w:r w:rsidR="00F1183D">
              <w:rPr>
                <w:sz w:val="20"/>
              </w:rPr>
              <w:t>s</w:t>
            </w:r>
            <w:r w:rsidR="003769AD">
              <w:rPr>
                <w:sz w:val="20"/>
              </w:rPr>
              <w:t xml:space="preserve"> of tox</w:t>
            </w:r>
            <w:r w:rsidR="003B5681">
              <w:rPr>
                <w:sz w:val="20"/>
              </w:rPr>
              <w:t>i</w:t>
            </w:r>
            <w:r w:rsidR="00533830">
              <w:rPr>
                <w:sz w:val="20"/>
              </w:rPr>
              <w:t xml:space="preserve">city </w:t>
            </w:r>
            <w:r w:rsidR="00C057D7">
              <w:rPr>
                <w:sz w:val="20"/>
              </w:rPr>
              <w:t>related to its</w:t>
            </w:r>
            <w:r w:rsidR="00533830">
              <w:rPr>
                <w:sz w:val="20"/>
              </w:rPr>
              <w:t xml:space="preserve"> long half</w:t>
            </w:r>
            <w:r w:rsidR="009D44A3">
              <w:rPr>
                <w:sz w:val="20"/>
              </w:rPr>
              <w:t>-</w:t>
            </w:r>
            <w:r w:rsidR="00533830">
              <w:rPr>
                <w:sz w:val="20"/>
              </w:rPr>
              <w:t xml:space="preserve">life and narrow therapeutic </w:t>
            </w:r>
            <w:r w:rsidR="00C24BD7">
              <w:rPr>
                <w:sz w:val="20"/>
              </w:rPr>
              <w:t>window</w:t>
            </w:r>
            <w:r w:rsidR="009D44A3">
              <w:rPr>
                <w:sz w:val="20"/>
              </w:rPr>
              <w:t xml:space="preserve">. </w:t>
            </w:r>
          </w:p>
          <w:p w14:paraId="2DE381E6" w14:textId="77777777" w:rsidR="001029B0" w:rsidRPr="00B30BA3" w:rsidRDefault="001029B0" w:rsidP="001029B0">
            <w:pPr>
              <w:rPr>
                <w:rFonts w:cs="Arial"/>
                <w:sz w:val="20"/>
              </w:rPr>
            </w:pPr>
            <w:r w:rsidRPr="00B30BA3">
              <w:rPr>
                <w:rFonts w:cs="Arial"/>
                <w:sz w:val="20"/>
              </w:rPr>
              <w:t xml:space="preserve">A similar risk exists for patients who are </w:t>
            </w:r>
            <w:r w:rsidRPr="00B30BA3">
              <w:rPr>
                <w:rFonts w:cs="Arial"/>
                <w:b/>
                <w:bCs/>
                <w:i/>
                <w:iCs/>
                <w:sz w:val="20"/>
              </w:rPr>
              <w:t xml:space="preserve">resuming </w:t>
            </w:r>
            <w:r w:rsidRPr="00B30BA3">
              <w:rPr>
                <w:rFonts w:cs="Arial"/>
                <w:sz w:val="20"/>
              </w:rPr>
              <w:t xml:space="preserve">treatment – there is a risk of a reduction in tolerance to methadone if a patient misses </w:t>
            </w:r>
            <w:r w:rsidRPr="00B30BA3">
              <w:rPr>
                <w:rFonts w:cs="Arial"/>
                <w:b/>
                <w:bCs/>
                <w:i/>
                <w:iCs/>
                <w:sz w:val="20"/>
              </w:rPr>
              <w:t>four or more consecutive doses</w:t>
            </w:r>
            <w:r w:rsidRPr="00B30BA3">
              <w:rPr>
                <w:rFonts w:cs="Arial"/>
                <w:sz w:val="20"/>
              </w:rPr>
              <w:t xml:space="preserve">. </w:t>
            </w:r>
          </w:p>
          <w:p w14:paraId="375F07FF" w14:textId="1816229C" w:rsidR="002436DE" w:rsidRPr="00B30BA3" w:rsidRDefault="001029B0" w:rsidP="002436DE">
            <w:pPr>
              <w:rPr>
                <w:rFonts w:ascii="Times New Roman" w:hAnsi="Times New Roman"/>
                <w:sz w:val="20"/>
              </w:rPr>
            </w:pPr>
            <w:r w:rsidRPr="00B30BA3">
              <w:rPr>
                <w:sz w:val="20"/>
              </w:rPr>
              <w:t>Most common starting dose is 20-30mg</w:t>
            </w:r>
            <w:r w:rsidR="002436DE" w:rsidRPr="00B30BA3">
              <w:rPr>
                <w:sz w:val="20"/>
              </w:rPr>
              <w:t xml:space="preserve"> - it is strongly recommended that an initial prescribed dose should not exceed 40mg daily</w:t>
            </w:r>
            <w:r w:rsidR="00A11EB0">
              <w:rPr>
                <w:sz w:val="20"/>
              </w:rPr>
              <w:t>.</w:t>
            </w:r>
            <w:r w:rsidR="00C4513D">
              <w:rPr>
                <w:sz w:val="20"/>
              </w:rPr>
              <w:t xml:space="preserve"> T</w:t>
            </w:r>
            <w:r w:rsidR="002436DE" w:rsidRPr="00B30BA3">
              <w:rPr>
                <w:sz w:val="20"/>
              </w:rPr>
              <w:t>he prescriber should be</w:t>
            </w:r>
            <w:r w:rsidR="002436DE" w:rsidRPr="00B30BA3">
              <w:rPr>
                <w:rFonts w:ascii="Times New Roman" w:hAnsi="Times New Roman"/>
                <w:sz w:val="20"/>
              </w:rPr>
              <w:t xml:space="preserve"> </w:t>
            </w:r>
            <w:r w:rsidR="002436DE" w:rsidRPr="00B30BA3">
              <w:rPr>
                <w:sz w:val="20"/>
              </w:rPr>
              <w:t>consulted before administration</w:t>
            </w:r>
            <w:r w:rsidR="00C4513D">
              <w:rPr>
                <w:sz w:val="20"/>
              </w:rPr>
              <w:t xml:space="preserve"> of &gt;40mg daily </w:t>
            </w:r>
            <w:r w:rsidR="009F7F7F">
              <w:rPr>
                <w:sz w:val="20"/>
              </w:rPr>
              <w:t>for new or resuming treatment</w:t>
            </w:r>
            <w:r w:rsidR="002436DE" w:rsidRPr="00B30BA3">
              <w:rPr>
                <w:sz w:val="20"/>
              </w:rPr>
              <w:t xml:space="preserve"> and, if there are concerns, the pharmacist and/or prescriber may need to discuss the case with DACAS.</w:t>
            </w:r>
          </w:p>
          <w:p w14:paraId="3BA047DA" w14:textId="661922B0" w:rsidR="001029B0" w:rsidRPr="00B30BA3" w:rsidRDefault="001029B0" w:rsidP="001029B0">
            <w:pPr>
              <w:rPr>
                <w:sz w:val="20"/>
              </w:rPr>
            </w:pPr>
            <w:r w:rsidRPr="00B30BA3">
              <w:rPr>
                <w:sz w:val="20"/>
              </w:rPr>
              <w:t>Dose should be increased gradually - 5-10mg every 3 days, subject to assessment</w:t>
            </w:r>
            <w:r w:rsidR="004F6C77">
              <w:rPr>
                <w:sz w:val="20"/>
              </w:rPr>
              <w:t>.</w:t>
            </w:r>
          </w:p>
          <w:p w14:paraId="2E002CBF" w14:textId="58003A72" w:rsidR="001029B0" w:rsidRPr="00B30BA3" w:rsidRDefault="001029B0" w:rsidP="00223BB4">
            <w:pPr>
              <w:rPr>
                <w:color w:val="FF0000"/>
              </w:rPr>
            </w:pPr>
            <w:r w:rsidRPr="00B30BA3">
              <w:rPr>
                <w:sz w:val="20"/>
              </w:rPr>
              <w:t xml:space="preserve">This slow initial titration may result in some patients experiencing discomfort and withdrawal symptoms, which can incentivise multi-drug or alcohol use to manage the symptoms. </w:t>
            </w:r>
            <w:r w:rsidRPr="00B30BA3">
              <w:rPr>
                <w:i/>
                <w:iCs/>
                <w:sz w:val="20"/>
              </w:rPr>
              <w:t>It is essential that the dangers of this combination be communicated effectively to patients starting on the program.</w:t>
            </w:r>
          </w:p>
        </w:tc>
      </w:tr>
      <w:tr w:rsidR="00223BB4" w:rsidRPr="00B30BA3" w14:paraId="44CF5F46" w14:textId="77777777" w:rsidTr="63D2B899">
        <w:trPr>
          <w:trHeight w:hRule="exact" w:val="792"/>
        </w:trPr>
        <w:tc>
          <w:tcPr>
            <w:tcW w:w="4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4016A" w14:textId="467E4A48" w:rsidR="00223BB4" w:rsidRPr="00A408DB" w:rsidRDefault="45329107" w:rsidP="63D2B899">
            <w:pPr>
              <w:rPr>
                <w:rFonts w:cs="Arial"/>
                <w:sz w:val="20"/>
              </w:rPr>
            </w:pPr>
            <w:r w:rsidRPr="63D2B899">
              <w:rPr>
                <w:rFonts w:cs="Arial"/>
                <w:sz w:val="20"/>
              </w:rPr>
              <w:t>Are pharmacists aware that methadone has a narrow therapeutic window, which requires a low initial dosage which is then slowly titrated up to the maintenance dose?</w:t>
            </w:r>
          </w:p>
        </w:tc>
        <w:tc>
          <w:tcPr>
            <w:tcW w:w="761" w:type="pct"/>
            <w:tcBorders>
              <w:top w:val="single" w:sz="4" w:space="0" w:color="auto"/>
              <w:left w:val="single" w:sz="4" w:space="0" w:color="auto"/>
              <w:right w:val="single" w:sz="4" w:space="0" w:color="auto"/>
            </w:tcBorders>
            <w:shd w:val="clear" w:color="auto" w:fill="auto"/>
          </w:tcPr>
          <w:p w14:paraId="32CBF208" w14:textId="77777777" w:rsidR="00223BB4" w:rsidRPr="00B30BA3" w:rsidRDefault="00CE59DA" w:rsidP="001029B0">
            <w:pPr>
              <w:pStyle w:val="DHHSbody"/>
              <w:rPr>
                <w:rFonts w:cs="Arial"/>
                <w:b/>
              </w:rPr>
            </w:pPr>
            <w:sdt>
              <w:sdtPr>
                <w:rPr>
                  <w:rFonts w:cs="Arial"/>
                  <w:b/>
                </w:rPr>
                <w:id w:val="-1773471204"/>
                <w14:checkbox>
                  <w14:checked w14:val="0"/>
                  <w14:checkedState w14:val="2612" w14:font="MS Gothic"/>
                  <w14:uncheckedState w14:val="2610" w14:font="MS Gothic"/>
                </w14:checkbox>
              </w:sdtPr>
              <w:sdtEndPr/>
              <w:sdtContent>
                <w:r w:rsidR="00223BB4" w:rsidRPr="00B30BA3">
                  <w:rPr>
                    <w:rFonts w:ascii="MS Gothic" w:eastAsia="MS Gothic" w:hAnsi="MS Gothic" w:cs="Arial"/>
                    <w:b/>
                  </w:rPr>
                  <w:t>☐</w:t>
                </w:r>
              </w:sdtContent>
            </w:sdt>
            <w:r w:rsidR="00223BB4" w:rsidRPr="00B30BA3">
              <w:rPr>
                <w:rFonts w:cs="Arial"/>
                <w:b/>
              </w:rPr>
              <w:t xml:space="preserve"> Yes</w:t>
            </w:r>
          </w:p>
          <w:p w14:paraId="4C85D1D3" w14:textId="5510FA57" w:rsidR="00223BB4" w:rsidRPr="00B30BA3" w:rsidRDefault="00CE59DA" w:rsidP="001029B0">
            <w:pPr>
              <w:rPr>
                <w:rFonts w:cs="Arial"/>
                <w:b/>
                <w:bCs/>
              </w:rPr>
            </w:pPr>
            <w:sdt>
              <w:sdtPr>
                <w:rPr>
                  <w:rFonts w:cs="Arial"/>
                  <w:b/>
                  <w:bCs/>
                </w:rPr>
                <w:id w:val="1851904283"/>
                <w14:checkbox>
                  <w14:checked w14:val="0"/>
                  <w14:checkedState w14:val="2612" w14:font="MS Gothic"/>
                  <w14:uncheckedState w14:val="2610" w14:font="MS Gothic"/>
                </w14:checkbox>
              </w:sdtPr>
              <w:sdtEndPr/>
              <w:sdtContent>
                <w:r w:rsidR="00223BB4" w:rsidRPr="00B30BA3">
                  <w:rPr>
                    <w:rFonts w:ascii="MS Gothic" w:eastAsia="MS Gothic" w:hAnsi="MS Gothic" w:cs="Arial"/>
                    <w:b/>
                    <w:bCs/>
                  </w:rPr>
                  <w:t>☐</w:t>
                </w:r>
              </w:sdtContent>
            </w:sdt>
            <w:r w:rsidR="00223BB4" w:rsidRPr="00B30BA3">
              <w:rPr>
                <w:rFonts w:cs="Arial"/>
                <w:b/>
                <w:bCs/>
              </w:rPr>
              <w:t xml:space="preserve"> No</w:t>
            </w:r>
          </w:p>
        </w:tc>
      </w:tr>
      <w:tr w:rsidR="00223BB4" w:rsidRPr="00B30BA3" w14:paraId="1AE42FD6" w14:textId="77777777" w:rsidTr="63D2B899">
        <w:trPr>
          <w:trHeight w:val="1050"/>
        </w:trPr>
        <w:tc>
          <w:tcPr>
            <w:tcW w:w="4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0CDCDB" w14:textId="666AED3B" w:rsidR="00223BB4" w:rsidRPr="00A408DB" w:rsidRDefault="45329107" w:rsidP="63D2B899">
            <w:pPr>
              <w:rPr>
                <w:rFonts w:cs="Arial"/>
                <w:sz w:val="20"/>
              </w:rPr>
            </w:pPr>
            <w:r w:rsidRPr="63D2B899">
              <w:rPr>
                <w:rFonts w:cs="Arial"/>
                <w:sz w:val="20"/>
              </w:rPr>
              <w:t>Are pharmacists aware that patients who are stabilising on their methadone dose are at a high risk of overdose as a result of the withdrawal symptoms which can result from slow initial titration?</w:t>
            </w:r>
          </w:p>
        </w:tc>
        <w:tc>
          <w:tcPr>
            <w:tcW w:w="761" w:type="pct"/>
            <w:tcBorders>
              <w:left w:val="single" w:sz="4" w:space="0" w:color="auto"/>
              <w:bottom w:val="single" w:sz="4" w:space="0" w:color="auto"/>
              <w:right w:val="single" w:sz="4" w:space="0" w:color="auto"/>
            </w:tcBorders>
            <w:shd w:val="clear" w:color="auto" w:fill="auto"/>
          </w:tcPr>
          <w:p w14:paraId="27E97812" w14:textId="77777777" w:rsidR="00223BB4" w:rsidRPr="00B30BA3" w:rsidRDefault="00CE59DA" w:rsidP="00223BB4">
            <w:pPr>
              <w:pStyle w:val="DHHSbody"/>
              <w:rPr>
                <w:rFonts w:cs="Arial"/>
                <w:b/>
              </w:rPr>
            </w:pPr>
            <w:sdt>
              <w:sdtPr>
                <w:rPr>
                  <w:rFonts w:cs="Arial"/>
                  <w:b/>
                </w:rPr>
                <w:id w:val="-565102774"/>
                <w14:checkbox>
                  <w14:checked w14:val="0"/>
                  <w14:checkedState w14:val="2612" w14:font="MS Gothic"/>
                  <w14:uncheckedState w14:val="2610" w14:font="MS Gothic"/>
                </w14:checkbox>
              </w:sdtPr>
              <w:sdtEndPr/>
              <w:sdtContent>
                <w:r w:rsidR="00223BB4" w:rsidRPr="00B30BA3">
                  <w:rPr>
                    <w:rFonts w:ascii="MS Gothic" w:eastAsia="MS Gothic" w:hAnsi="MS Gothic" w:cs="Arial"/>
                    <w:b/>
                  </w:rPr>
                  <w:t>☐</w:t>
                </w:r>
              </w:sdtContent>
            </w:sdt>
            <w:r w:rsidR="00223BB4" w:rsidRPr="00B30BA3">
              <w:rPr>
                <w:rFonts w:cs="Arial"/>
                <w:b/>
              </w:rPr>
              <w:t xml:space="preserve"> Yes</w:t>
            </w:r>
          </w:p>
          <w:p w14:paraId="4581AD5A" w14:textId="42B00C7A" w:rsidR="00223BB4" w:rsidRPr="00B30BA3" w:rsidRDefault="00CE59DA" w:rsidP="00223BB4">
            <w:pPr>
              <w:pStyle w:val="DHHSbody"/>
              <w:rPr>
                <w:rFonts w:cs="Arial"/>
                <w:b/>
              </w:rPr>
            </w:pPr>
            <w:sdt>
              <w:sdtPr>
                <w:rPr>
                  <w:rFonts w:cs="Arial"/>
                  <w:b/>
                  <w:bCs/>
                </w:rPr>
                <w:id w:val="1812216927"/>
                <w14:checkbox>
                  <w14:checked w14:val="0"/>
                  <w14:checkedState w14:val="2612" w14:font="MS Gothic"/>
                  <w14:uncheckedState w14:val="2610" w14:font="MS Gothic"/>
                </w14:checkbox>
              </w:sdtPr>
              <w:sdtEndPr/>
              <w:sdtContent>
                <w:r w:rsidR="00223BB4" w:rsidRPr="00B30BA3">
                  <w:rPr>
                    <w:rFonts w:ascii="MS Gothic" w:eastAsia="MS Gothic" w:hAnsi="MS Gothic" w:cs="Arial"/>
                    <w:b/>
                    <w:bCs/>
                  </w:rPr>
                  <w:t>☐</w:t>
                </w:r>
              </w:sdtContent>
            </w:sdt>
            <w:r w:rsidR="00223BB4" w:rsidRPr="00B30BA3">
              <w:rPr>
                <w:rFonts w:cs="Arial"/>
                <w:b/>
                <w:bCs/>
              </w:rPr>
              <w:t xml:space="preserve"> No</w:t>
            </w:r>
          </w:p>
        </w:tc>
      </w:tr>
      <w:tr w:rsidR="00BE315C" w:rsidRPr="00B30BA3" w14:paraId="0EF6BF09" w14:textId="77777777" w:rsidTr="63D2B899">
        <w:trPr>
          <w:trHeight w:val="1050"/>
        </w:trPr>
        <w:tc>
          <w:tcPr>
            <w:tcW w:w="4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2024B8" w14:textId="243A750B" w:rsidR="00BE315C" w:rsidRPr="00B30BA3" w:rsidRDefault="00BE315C" w:rsidP="00BE315C">
            <w:pPr>
              <w:rPr>
                <w:rFonts w:cs="Arial"/>
                <w:sz w:val="20"/>
              </w:rPr>
            </w:pPr>
            <w:r w:rsidRPr="00B30BA3">
              <w:rPr>
                <w:rFonts w:cs="Arial"/>
                <w:bCs/>
                <w:sz w:val="20"/>
              </w:rPr>
              <w:t xml:space="preserve">Have all pharmacists been informed of the need to communicate with prescribers if a patient appears to be commencing </w:t>
            </w:r>
            <w:r w:rsidRPr="00B30BA3">
              <w:rPr>
                <w:rFonts w:cs="Arial"/>
                <w:b/>
                <w:bCs/>
                <w:sz w:val="20"/>
              </w:rPr>
              <w:t>or recommencing</w:t>
            </w:r>
            <w:r w:rsidRPr="00B30BA3">
              <w:rPr>
                <w:rFonts w:cs="Arial"/>
                <w:bCs/>
                <w:sz w:val="20"/>
              </w:rPr>
              <w:t xml:space="preserve"> </w:t>
            </w:r>
            <w:r w:rsidR="00132ACC">
              <w:rPr>
                <w:rFonts w:cs="Arial"/>
                <w:bCs/>
                <w:sz w:val="20"/>
              </w:rPr>
              <w:t>pharmacotherapy</w:t>
            </w:r>
            <w:r w:rsidR="00132ACC" w:rsidRPr="00B30BA3">
              <w:rPr>
                <w:rFonts w:cs="Arial"/>
                <w:bCs/>
                <w:sz w:val="20"/>
              </w:rPr>
              <w:t xml:space="preserve"> </w:t>
            </w:r>
            <w:r w:rsidRPr="00B30BA3">
              <w:rPr>
                <w:rFonts w:cs="Arial"/>
                <w:bCs/>
                <w:sz w:val="20"/>
              </w:rPr>
              <w:t xml:space="preserve">with a methadone dose that exceeds 40 mg daily? </w:t>
            </w:r>
            <w:r w:rsidRPr="00B30BA3">
              <w:rPr>
                <w:rFonts w:cs="Arial"/>
                <w:b/>
                <w:bCs/>
                <w:sz w:val="20"/>
              </w:rPr>
              <w:t>Note</w:t>
            </w:r>
            <w:r w:rsidRPr="00B30BA3">
              <w:rPr>
                <w:rFonts w:cs="Arial"/>
                <w:bCs/>
                <w:sz w:val="20"/>
              </w:rPr>
              <w:t>: This includes when a patient resumes after missing 4 consecutive doses.</w:t>
            </w:r>
          </w:p>
        </w:tc>
        <w:tc>
          <w:tcPr>
            <w:tcW w:w="761" w:type="pct"/>
            <w:tcBorders>
              <w:left w:val="single" w:sz="4" w:space="0" w:color="auto"/>
              <w:bottom w:val="single" w:sz="4" w:space="0" w:color="auto"/>
              <w:right w:val="single" w:sz="4" w:space="0" w:color="auto"/>
            </w:tcBorders>
            <w:shd w:val="clear" w:color="auto" w:fill="auto"/>
          </w:tcPr>
          <w:p w14:paraId="2530107A" w14:textId="77777777" w:rsidR="00BE315C" w:rsidRPr="00B30BA3" w:rsidRDefault="00CE59DA" w:rsidP="00BE315C">
            <w:pPr>
              <w:pStyle w:val="DHHSbody"/>
              <w:rPr>
                <w:rFonts w:cs="Arial"/>
                <w:b/>
              </w:rPr>
            </w:pPr>
            <w:sdt>
              <w:sdtPr>
                <w:rPr>
                  <w:rFonts w:cs="Arial"/>
                  <w:b/>
                </w:rPr>
                <w:id w:val="1621106990"/>
                <w14:checkbox>
                  <w14:checked w14:val="0"/>
                  <w14:checkedState w14:val="2612" w14:font="MS Gothic"/>
                  <w14:uncheckedState w14:val="2610" w14:font="MS Gothic"/>
                </w14:checkbox>
              </w:sdtPr>
              <w:sdtEndPr/>
              <w:sdtContent>
                <w:r w:rsidR="00BE315C" w:rsidRPr="00B30BA3">
                  <w:rPr>
                    <w:rFonts w:ascii="MS Gothic" w:eastAsia="MS Gothic" w:hAnsi="MS Gothic" w:cs="Arial"/>
                    <w:b/>
                  </w:rPr>
                  <w:t>☐</w:t>
                </w:r>
              </w:sdtContent>
            </w:sdt>
            <w:r w:rsidR="00BE315C" w:rsidRPr="00B30BA3">
              <w:rPr>
                <w:rFonts w:cs="Arial"/>
                <w:b/>
              </w:rPr>
              <w:t xml:space="preserve"> Yes</w:t>
            </w:r>
          </w:p>
          <w:p w14:paraId="742D7537" w14:textId="3FF4D384" w:rsidR="00BE315C" w:rsidRPr="00B30BA3" w:rsidRDefault="00CE59DA" w:rsidP="00BE315C">
            <w:pPr>
              <w:pStyle w:val="DHHSbody"/>
              <w:rPr>
                <w:rFonts w:cs="Arial"/>
                <w:b/>
              </w:rPr>
            </w:pPr>
            <w:sdt>
              <w:sdtPr>
                <w:rPr>
                  <w:rFonts w:cs="Arial"/>
                  <w:b/>
                  <w:bCs/>
                </w:rPr>
                <w:id w:val="1120958294"/>
                <w14:checkbox>
                  <w14:checked w14:val="0"/>
                  <w14:checkedState w14:val="2612" w14:font="MS Gothic"/>
                  <w14:uncheckedState w14:val="2610" w14:font="MS Gothic"/>
                </w14:checkbox>
              </w:sdtPr>
              <w:sdtEndPr/>
              <w:sdtContent>
                <w:r w:rsidR="00BE315C" w:rsidRPr="00B30BA3">
                  <w:rPr>
                    <w:rFonts w:ascii="MS Gothic" w:eastAsia="MS Gothic" w:hAnsi="MS Gothic" w:cs="Arial"/>
                    <w:b/>
                    <w:bCs/>
                  </w:rPr>
                  <w:t>☐</w:t>
                </w:r>
              </w:sdtContent>
            </w:sdt>
            <w:r w:rsidR="00BE315C" w:rsidRPr="00B30BA3">
              <w:rPr>
                <w:rFonts w:cs="Arial"/>
                <w:b/>
                <w:bCs/>
              </w:rPr>
              <w:t xml:space="preserve"> No</w:t>
            </w:r>
          </w:p>
        </w:tc>
      </w:tr>
      <w:tr w:rsidR="00BE315C" w:rsidRPr="00B30BA3" w14:paraId="54041EC0" w14:textId="77777777" w:rsidTr="63D2B899">
        <w:trPr>
          <w:trHeight w:val="393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BA2C86" w14:textId="1EB5909F" w:rsidR="00BE315C" w:rsidRPr="00B30BA3" w:rsidRDefault="3D16F8EC" w:rsidP="63D2B899">
            <w:pPr>
              <w:rPr>
                <w:rFonts w:eastAsia="Arial" w:cs="Arial"/>
                <w:b/>
                <w:bCs/>
                <w:sz w:val="20"/>
              </w:rPr>
            </w:pPr>
            <w:r w:rsidRPr="63D2B899">
              <w:rPr>
                <w:rFonts w:eastAsia="Arial" w:cs="Arial"/>
                <w:b/>
                <w:bCs/>
                <w:sz w:val="20"/>
              </w:rPr>
              <w:lastRenderedPageBreak/>
              <w:t>Buprenorphine</w:t>
            </w:r>
          </w:p>
          <w:p w14:paraId="78FE1B43" w14:textId="2CE5BE83" w:rsidR="00120815" w:rsidRPr="00B30BA3" w:rsidRDefault="02C6511D" w:rsidP="63D2B899">
            <w:pPr>
              <w:rPr>
                <w:rFonts w:eastAsia="Arial" w:cs="Arial"/>
                <w:sz w:val="20"/>
              </w:rPr>
            </w:pPr>
            <w:r w:rsidRPr="63D2B899">
              <w:rPr>
                <w:rFonts w:eastAsia="Arial" w:cs="Arial"/>
                <w:sz w:val="20"/>
              </w:rPr>
              <w:t>The p</w:t>
            </w:r>
            <w:r w:rsidR="3D16F8EC" w:rsidRPr="63D2B899">
              <w:rPr>
                <w:rFonts w:eastAsia="Arial" w:cs="Arial"/>
                <w:sz w:val="20"/>
              </w:rPr>
              <w:t>artial agonist nature of buprenorphine means it has a ceiling dose of 32mg, above which it has little extra opioid agonist effect</w:t>
            </w:r>
            <w:r w:rsidR="4EA5389A" w:rsidRPr="63D2B899">
              <w:rPr>
                <w:rFonts w:eastAsia="Arial" w:cs="Arial"/>
                <w:sz w:val="20"/>
              </w:rPr>
              <w:t>. Titration of buprenorphine to maximum tolerated dose can be safely achieved within a few days of the initial dose.</w:t>
            </w:r>
          </w:p>
          <w:p w14:paraId="7A8CB2E8" w14:textId="20D3FF10" w:rsidR="00BE315C" w:rsidRPr="00B30BA3" w:rsidRDefault="3D16F8EC" w:rsidP="63D2B899">
            <w:pPr>
              <w:rPr>
                <w:rFonts w:eastAsia="Arial" w:cs="Arial"/>
                <w:sz w:val="20"/>
              </w:rPr>
            </w:pPr>
            <w:r w:rsidRPr="63D2B899">
              <w:rPr>
                <w:rFonts w:eastAsia="Arial" w:cs="Arial"/>
                <w:sz w:val="20"/>
              </w:rPr>
              <w:t>Although there is a low</w:t>
            </w:r>
            <w:r w:rsidR="12617247" w:rsidRPr="63D2B899">
              <w:rPr>
                <w:rFonts w:eastAsia="Arial" w:cs="Arial"/>
                <w:sz w:val="20"/>
              </w:rPr>
              <w:t>er</w:t>
            </w:r>
            <w:r w:rsidRPr="63D2B899">
              <w:rPr>
                <w:rFonts w:eastAsia="Arial" w:cs="Arial"/>
                <w:sz w:val="20"/>
              </w:rPr>
              <w:t xml:space="preserve"> risk of overdose with buprenorphine as a single agent, overdose risk is increased in the presence of other sedatives such as benzodiazepines and alcohol.</w:t>
            </w:r>
          </w:p>
          <w:p w14:paraId="78735CCA" w14:textId="1E2F85AE" w:rsidR="00BE315C" w:rsidRPr="00B30BA3" w:rsidRDefault="02C6511D" w:rsidP="63D2B899">
            <w:pPr>
              <w:rPr>
                <w:rFonts w:eastAsia="Arial" w:cs="Arial"/>
                <w:sz w:val="20"/>
              </w:rPr>
            </w:pPr>
            <w:r w:rsidRPr="63D2B899">
              <w:rPr>
                <w:rFonts w:eastAsia="Arial" w:cs="Arial"/>
                <w:sz w:val="20"/>
              </w:rPr>
              <w:t xml:space="preserve">Buprenorphine possesses a significantly higher </w:t>
            </w:r>
            <w:r w:rsidRPr="63D2B899">
              <w:rPr>
                <w:rFonts w:eastAsia="Arial" w:cs="Arial"/>
                <w:sz w:val="22"/>
                <w:szCs w:val="22"/>
              </w:rPr>
              <w:t>m</w:t>
            </w:r>
            <w:r w:rsidRPr="63D2B899">
              <w:rPr>
                <w:rFonts w:eastAsia="Arial" w:cs="Arial"/>
                <w:sz w:val="20"/>
              </w:rPr>
              <w:t xml:space="preserve">-receptor binding affinity than other opioids; it will not only </w:t>
            </w:r>
            <w:r w:rsidR="3D16F8EC" w:rsidRPr="63D2B899">
              <w:rPr>
                <w:rFonts w:eastAsia="Arial" w:cs="Arial"/>
                <w:sz w:val="20"/>
              </w:rPr>
              <w:t xml:space="preserve">block the effect of </w:t>
            </w:r>
            <w:r w:rsidRPr="63D2B899">
              <w:rPr>
                <w:rFonts w:eastAsia="Arial" w:cs="Arial"/>
                <w:sz w:val="20"/>
              </w:rPr>
              <w:t xml:space="preserve">other </w:t>
            </w:r>
            <w:r w:rsidR="3D16F8EC" w:rsidRPr="63D2B899">
              <w:rPr>
                <w:rFonts w:eastAsia="Arial" w:cs="Arial"/>
                <w:sz w:val="20"/>
              </w:rPr>
              <w:t xml:space="preserve">opioids </w:t>
            </w:r>
            <w:r w:rsidRPr="63D2B899">
              <w:rPr>
                <w:rFonts w:eastAsia="Arial" w:cs="Arial"/>
                <w:sz w:val="20"/>
              </w:rPr>
              <w:t xml:space="preserve">taken at the same time, but </w:t>
            </w:r>
            <w:r w:rsidR="3D16F8EC" w:rsidRPr="63D2B899">
              <w:rPr>
                <w:rFonts w:eastAsia="Arial" w:cs="Arial"/>
                <w:sz w:val="20"/>
              </w:rPr>
              <w:t>if taken while a patient has other opioids in their system, it will bind preferentially and precipitate opioid withdrawal</w:t>
            </w:r>
            <w:r w:rsidRPr="63D2B899">
              <w:rPr>
                <w:rFonts w:eastAsia="Arial" w:cs="Arial"/>
                <w:sz w:val="20"/>
              </w:rPr>
              <w:t xml:space="preserve"> - a very unpleasant experience.</w:t>
            </w:r>
          </w:p>
          <w:p w14:paraId="0E545316" w14:textId="1A470B8B" w:rsidR="00BE315C" w:rsidRPr="00B30BA3" w:rsidRDefault="4EA5389A" w:rsidP="63D2B899">
            <w:pPr>
              <w:rPr>
                <w:rFonts w:eastAsia="Arial" w:cs="Arial"/>
                <w:b/>
                <w:bCs/>
                <w:sz w:val="20"/>
              </w:rPr>
            </w:pPr>
            <w:r w:rsidRPr="63D2B899">
              <w:rPr>
                <w:rFonts w:eastAsia="Arial" w:cs="Arial"/>
                <w:sz w:val="20"/>
              </w:rPr>
              <w:t xml:space="preserve">It is </w:t>
            </w:r>
            <w:r w:rsidR="3D16F8EC" w:rsidRPr="63D2B899">
              <w:rPr>
                <w:rFonts w:eastAsia="Arial" w:cs="Arial"/>
                <w:sz w:val="20"/>
              </w:rPr>
              <w:t>recommend</w:t>
            </w:r>
            <w:r w:rsidRPr="63D2B899">
              <w:rPr>
                <w:rFonts w:eastAsia="Arial" w:cs="Arial"/>
                <w:sz w:val="20"/>
              </w:rPr>
              <w:t>ed</w:t>
            </w:r>
            <w:r w:rsidR="3D16F8EC" w:rsidRPr="63D2B899">
              <w:rPr>
                <w:rFonts w:eastAsia="Arial" w:cs="Arial"/>
                <w:sz w:val="20"/>
              </w:rPr>
              <w:t xml:space="preserve"> that a patient take their first dose of buprenorphine pharmacotherapy when they are experiencing withdrawal from their opioid of choice.</w:t>
            </w:r>
            <w:r w:rsidRPr="63D2B899">
              <w:rPr>
                <w:rFonts w:eastAsia="Arial" w:cs="Arial"/>
                <w:sz w:val="20"/>
              </w:rPr>
              <w:t xml:space="preserve"> </w:t>
            </w:r>
            <w:r w:rsidR="3D16F8EC" w:rsidRPr="63D2B899">
              <w:rPr>
                <w:rFonts w:eastAsia="Arial" w:cs="Arial"/>
                <w:sz w:val="20"/>
              </w:rPr>
              <w:t xml:space="preserve">The exact period of time expected for </w:t>
            </w:r>
            <w:r w:rsidR="532FE12A" w:rsidRPr="63D2B899">
              <w:rPr>
                <w:rFonts w:eastAsia="Arial" w:cs="Arial"/>
                <w:sz w:val="20"/>
              </w:rPr>
              <w:t>withdrawal to occur</w:t>
            </w:r>
            <w:r w:rsidR="3D16F8EC" w:rsidRPr="63D2B899">
              <w:rPr>
                <w:rFonts w:eastAsia="Arial" w:cs="Arial"/>
                <w:sz w:val="20"/>
              </w:rPr>
              <w:t xml:space="preserve"> will vary depending on the half-life of the opioid and the magnitude of the dose taken.</w:t>
            </w:r>
          </w:p>
        </w:tc>
      </w:tr>
      <w:tr w:rsidR="00A408DB" w:rsidRPr="00B30BA3" w14:paraId="44CBD856" w14:textId="77777777" w:rsidTr="63D2B899">
        <w:trPr>
          <w:trHeight w:val="734"/>
        </w:trPr>
        <w:tc>
          <w:tcPr>
            <w:tcW w:w="4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735E22" w14:textId="23D746D2" w:rsidR="00A408DB" w:rsidRPr="00D34789" w:rsidRDefault="371C107B" w:rsidP="63D2B899">
            <w:pPr>
              <w:rPr>
                <w:sz w:val="18"/>
                <w:szCs w:val="18"/>
              </w:rPr>
            </w:pPr>
            <w:r w:rsidRPr="63D2B899">
              <w:rPr>
                <w:sz w:val="20"/>
              </w:rPr>
              <w:t>Are pharmacists aware that a patient needs to be experiencing mild-withdrawal symptoms before starting buprenorphine, to minimise the risk of precipitated opioid withdrawal?</w:t>
            </w:r>
          </w:p>
        </w:tc>
        <w:tc>
          <w:tcPr>
            <w:tcW w:w="761" w:type="pct"/>
            <w:tcBorders>
              <w:top w:val="single" w:sz="4" w:space="0" w:color="auto"/>
              <w:left w:val="single" w:sz="4" w:space="0" w:color="auto"/>
              <w:right w:val="single" w:sz="4" w:space="0" w:color="auto"/>
            </w:tcBorders>
            <w:shd w:val="clear" w:color="auto" w:fill="auto"/>
          </w:tcPr>
          <w:p w14:paraId="414E4922" w14:textId="77777777" w:rsidR="00D34789" w:rsidRPr="00B30BA3" w:rsidRDefault="00CE59DA" w:rsidP="00D34789">
            <w:pPr>
              <w:pStyle w:val="DHHSbody"/>
              <w:rPr>
                <w:rFonts w:cs="Arial"/>
                <w:b/>
              </w:rPr>
            </w:pPr>
            <w:sdt>
              <w:sdtPr>
                <w:rPr>
                  <w:rFonts w:cs="Arial"/>
                  <w:b/>
                </w:rPr>
                <w:id w:val="175314367"/>
                <w14:checkbox>
                  <w14:checked w14:val="0"/>
                  <w14:checkedState w14:val="2612" w14:font="MS Gothic"/>
                  <w14:uncheckedState w14:val="2610" w14:font="MS Gothic"/>
                </w14:checkbox>
              </w:sdtPr>
              <w:sdtEndPr/>
              <w:sdtContent>
                <w:r w:rsidR="00D34789" w:rsidRPr="00B30BA3">
                  <w:rPr>
                    <w:rFonts w:ascii="MS Gothic" w:eastAsia="MS Gothic" w:hAnsi="MS Gothic" w:cs="Arial"/>
                    <w:b/>
                  </w:rPr>
                  <w:t>☐</w:t>
                </w:r>
              </w:sdtContent>
            </w:sdt>
            <w:r w:rsidR="00D34789" w:rsidRPr="00B30BA3">
              <w:rPr>
                <w:rFonts w:cs="Arial"/>
                <w:b/>
              </w:rPr>
              <w:t xml:space="preserve"> Yes</w:t>
            </w:r>
          </w:p>
          <w:p w14:paraId="3F91508C" w14:textId="7358632F" w:rsidR="00A408DB" w:rsidRPr="00B30BA3" w:rsidRDefault="00CE59DA" w:rsidP="00D34789">
            <w:pPr>
              <w:rPr>
                <w:b/>
                <w:bCs/>
              </w:rPr>
            </w:pPr>
            <w:sdt>
              <w:sdtPr>
                <w:rPr>
                  <w:rFonts w:cs="Arial"/>
                  <w:b/>
                  <w:bCs/>
                </w:rPr>
                <w:id w:val="-1904668809"/>
                <w14:checkbox>
                  <w14:checked w14:val="0"/>
                  <w14:checkedState w14:val="2612" w14:font="MS Gothic"/>
                  <w14:uncheckedState w14:val="2610" w14:font="MS Gothic"/>
                </w14:checkbox>
              </w:sdtPr>
              <w:sdtEndPr/>
              <w:sdtContent>
                <w:r w:rsidR="00D34789" w:rsidRPr="00B30BA3">
                  <w:rPr>
                    <w:rFonts w:ascii="MS Gothic" w:eastAsia="MS Gothic" w:hAnsi="MS Gothic" w:cs="Arial"/>
                    <w:b/>
                    <w:bCs/>
                  </w:rPr>
                  <w:t>☐</w:t>
                </w:r>
              </w:sdtContent>
            </w:sdt>
            <w:r w:rsidR="00D34789" w:rsidRPr="00B30BA3">
              <w:rPr>
                <w:rFonts w:cs="Arial"/>
                <w:b/>
                <w:bCs/>
              </w:rPr>
              <w:t xml:space="preserve"> No</w:t>
            </w:r>
          </w:p>
        </w:tc>
      </w:tr>
      <w:tr w:rsidR="00A408DB" w:rsidRPr="00B30BA3" w14:paraId="77B2FEE3" w14:textId="77777777" w:rsidTr="63D2B899">
        <w:trPr>
          <w:trHeight w:val="925"/>
        </w:trPr>
        <w:tc>
          <w:tcPr>
            <w:tcW w:w="4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B05FA" w14:textId="47352B6A" w:rsidR="00A408DB" w:rsidRPr="00D34789" w:rsidRDefault="371C107B" w:rsidP="63D2B899">
            <w:pPr>
              <w:rPr>
                <w:sz w:val="18"/>
                <w:szCs w:val="18"/>
              </w:rPr>
            </w:pPr>
            <w:r w:rsidRPr="63D2B899">
              <w:rPr>
                <w:sz w:val="20"/>
              </w:rPr>
              <w:t>Are all pharmacists mindful of the fact that, while overdose risk is low when buprenorphine is used as a single agent, this risk increases significantly w</w:t>
            </w:r>
            <w:r w:rsidR="2BC90B9A" w:rsidRPr="63D2B899">
              <w:rPr>
                <w:sz w:val="20"/>
              </w:rPr>
              <w:t>hen used in</w:t>
            </w:r>
            <w:r w:rsidR="212AC408" w:rsidRPr="63D2B899">
              <w:rPr>
                <w:sz w:val="20"/>
              </w:rPr>
              <w:t xml:space="preserve"> </w:t>
            </w:r>
            <w:r w:rsidR="2BC90B9A" w:rsidRPr="63D2B899">
              <w:rPr>
                <w:sz w:val="20"/>
              </w:rPr>
              <w:t>combination</w:t>
            </w:r>
            <w:r w:rsidRPr="63D2B899">
              <w:rPr>
                <w:sz w:val="20"/>
              </w:rPr>
              <w:t xml:space="preserve"> </w:t>
            </w:r>
            <w:r w:rsidR="212AC408" w:rsidRPr="63D2B899">
              <w:rPr>
                <w:sz w:val="20"/>
              </w:rPr>
              <w:t xml:space="preserve">with </w:t>
            </w:r>
            <w:r w:rsidRPr="63D2B899">
              <w:rPr>
                <w:sz w:val="20"/>
              </w:rPr>
              <w:t>other sedating agent</w:t>
            </w:r>
            <w:r w:rsidR="512483A4" w:rsidRPr="63D2B899">
              <w:rPr>
                <w:sz w:val="20"/>
              </w:rPr>
              <w:t>s</w:t>
            </w:r>
            <w:r w:rsidRPr="63D2B899">
              <w:rPr>
                <w:sz w:val="20"/>
              </w:rPr>
              <w:t>?</w:t>
            </w:r>
          </w:p>
        </w:tc>
        <w:tc>
          <w:tcPr>
            <w:tcW w:w="761" w:type="pct"/>
            <w:tcBorders>
              <w:left w:val="single" w:sz="4" w:space="0" w:color="auto"/>
              <w:bottom w:val="single" w:sz="4" w:space="0" w:color="auto"/>
              <w:right w:val="single" w:sz="4" w:space="0" w:color="auto"/>
            </w:tcBorders>
            <w:shd w:val="clear" w:color="auto" w:fill="auto"/>
          </w:tcPr>
          <w:p w14:paraId="75AEF764" w14:textId="77777777" w:rsidR="00D34789" w:rsidRPr="00B30BA3" w:rsidRDefault="00CE59DA" w:rsidP="00D34789">
            <w:pPr>
              <w:pStyle w:val="DHHSbody"/>
              <w:rPr>
                <w:rFonts w:cs="Arial"/>
                <w:b/>
              </w:rPr>
            </w:pPr>
            <w:sdt>
              <w:sdtPr>
                <w:rPr>
                  <w:rFonts w:cs="Arial"/>
                  <w:b/>
                </w:rPr>
                <w:id w:val="2027444991"/>
                <w14:checkbox>
                  <w14:checked w14:val="0"/>
                  <w14:checkedState w14:val="2612" w14:font="MS Gothic"/>
                  <w14:uncheckedState w14:val="2610" w14:font="MS Gothic"/>
                </w14:checkbox>
              </w:sdtPr>
              <w:sdtEndPr/>
              <w:sdtContent>
                <w:r w:rsidR="00D34789" w:rsidRPr="00B30BA3">
                  <w:rPr>
                    <w:rFonts w:ascii="MS Gothic" w:eastAsia="MS Gothic" w:hAnsi="MS Gothic" w:cs="Arial"/>
                    <w:b/>
                  </w:rPr>
                  <w:t>☐</w:t>
                </w:r>
              </w:sdtContent>
            </w:sdt>
            <w:r w:rsidR="00D34789" w:rsidRPr="00B30BA3">
              <w:rPr>
                <w:rFonts w:cs="Arial"/>
                <w:b/>
              </w:rPr>
              <w:t xml:space="preserve"> Yes</w:t>
            </w:r>
          </w:p>
          <w:p w14:paraId="23F1360B" w14:textId="5455C0BF" w:rsidR="00A408DB" w:rsidRPr="00B30BA3" w:rsidRDefault="00CE59DA" w:rsidP="00D34789">
            <w:pPr>
              <w:rPr>
                <w:b/>
                <w:bCs/>
              </w:rPr>
            </w:pPr>
            <w:sdt>
              <w:sdtPr>
                <w:rPr>
                  <w:rFonts w:cs="Arial"/>
                  <w:b/>
                  <w:bCs/>
                </w:rPr>
                <w:id w:val="840443124"/>
                <w14:checkbox>
                  <w14:checked w14:val="0"/>
                  <w14:checkedState w14:val="2612" w14:font="MS Gothic"/>
                  <w14:uncheckedState w14:val="2610" w14:font="MS Gothic"/>
                </w14:checkbox>
              </w:sdtPr>
              <w:sdtEndPr/>
              <w:sdtContent>
                <w:r w:rsidR="00D34789" w:rsidRPr="00B30BA3">
                  <w:rPr>
                    <w:rFonts w:ascii="MS Gothic" w:eastAsia="MS Gothic" w:hAnsi="MS Gothic" w:cs="Arial"/>
                    <w:b/>
                    <w:bCs/>
                  </w:rPr>
                  <w:t>☐</w:t>
                </w:r>
              </w:sdtContent>
            </w:sdt>
            <w:r w:rsidR="00D34789" w:rsidRPr="00B30BA3">
              <w:rPr>
                <w:rFonts w:cs="Arial"/>
                <w:b/>
                <w:bCs/>
              </w:rPr>
              <w:t xml:space="preserve"> No</w:t>
            </w:r>
          </w:p>
        </w:tc>
      </w:tr>
      <w:tr w:rsidR="00BE315C" w:rsidRPr="00B30BA3" w14:paraId="0AB0BE5C" w14:textId="77777777" w:rsidTr="63D2B899">
        <w:trPr>
          <w:trHeight w:val="33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72DD6B" w14:textId="77777777" w:rsidR="00BE315C" w:rsidRPr="00B30BA3" w:rsidRDefault="3D16F8EC" w:rsidP="63D2B899">
            <w:pPr>
              <w:rPr>
                <w:b/>
                <w:bCs/>
                <w:sz w:val="18"/>
                <w:szCs w:val="18"/>
              </w:rPr>
            </w:pPr>
            <w:r w:rsidRPr="63D2B899">
              <w:rPr>
                <w:b/>
                <w:bCs/>
                <w:sz w:val="20"/>
              </w:rPr>
              <w:t>Driving</w:t>
            </w:r>
          </w:p>
          <w:p w14:paraId="32A5250B" w14:textId="77777777" w:rsidR="00BE315C" w:rsidRPr="00B30BA3" w:rsidRDefault="3D16F8EC" w:rsidP="63D2B899">
            <w:pPr>
              <w:rPr>
                <w:rFonts w:cs="Arial"/>
                <w:sz w:val="20"/>
              </w:rPr>
            </w:pPr>
            <w:r w:rsidRPr="63D2B899">
              <w:rPr>
                <w:rFonts w:cs="Arial"/>
                <w:sz w:val="20"/>
              </w:rPr>
              <w:t xml:space="preserve">Both methadone and buprenorphine have the potential to cause drowsiness and/or cognitive impairment. </w:t>
            </w:r>
          </w:p>
          <w:p w14:paraId="048AE24E" w14:textId="759186C7" w:rsidR="00BE315C" w:rsidRPr="00B30BA3" w:rsidRDefault="3D16F8EC" w:rsidP="63D2B899">
            <w:pPr>
              <w:rPr>
                <w:rFonts w:cs="Arial"/>
                <w:sz w:val="20"/>
              </w:rPr>
            </w:pPr>
            <w:r w:rsidRPr="63D2B899">
              <w:rPr>
                <w:rFonts w:cs="Arial"/>
                <w:sz w:val="20"/>
              </w:rPr>
              <w:t xml:space="preserve">The risk of these side effects </w:t>
            </w:r>
            <w:r w:rsidR="212AC408" w:rsidRPr="63D2B899">
              <w:rPr>
                <w:rFonts w:cs="Arial"/>
                <w:sz w:val="20"/>
              </w:rPr>
              <w:t>are</w:t>
            </w:r>
            <w:r w:rsidRPr="63D2B899">
              <w:rPr>
                <w:rFonts w:cs="Arial"/>
                <w:sz w:val="20"/>
              </w:rPr>
              <w:t xml:space="preserve"> highest during treatment initiation, when a dose is being increased and at any time a substance with the potential for sedation is taken concurrently.</w:t>
            </w:r>
          </w:p>
          <w:p w14:paraId="5F186C80" w14:textId="77777777" w:rsidR="00BE315C" w:rsidRPr="00B30BA3" w:rsidRDefault="3D16F8EC" w:rsidP="63D2B899">
            <w:pPr>
              <w:rPr>
                <w:rFonts w:cs="Arial"/>
                <w:sz w:val="20"/>
              </w:rPr>
            </w:pPr>
            <w:r w:rsidRPr="63D2B899">
              <w:rPr>
                <w:rFonts w:cs="Arial"/>
                <w:sz w:val="20"/>
              </w:rPr>
              <w:t>It is strongly recommended that patients do not drive if sedated – patients may need to be guided by their pharmacist to recognise the situations in which this risk is magnified.</w:t>
            </w:r>
          </w:p>
          <w:p w14:paraId="3D1C8896" w14:textId="3B1DA167" w:rsidR="005B265A" w:rsidRPr="004822B3" w:rsidRDefault="3D16F8EC" w:rsidP="63D2B899">
            <w:pPr>
              <w:rPr>
                <w:rFonts w:cs="Arial"/>
                <w:color w:val="FF0000"/>
                <w:sz w:val="20"/>
              </w:rPr>
            </w:pPr>
            <w:r w:rsidRPr="63D2B899">
              <w:rPr>
                <w:rFonts w:cs="Arial"/>
                <w:sz w:val="20"/>
              </w:rPr>
              <w:t>Over time, tolerance to the sedative effects of these pharmacotherapeutic medications will increase, and patients</w:t>
            </w:r>
            <w:r w:rsidR="63909647" w:rsidRPr="63D2B899">
              <w:rPr>
                <w:rFonts w:cs="Arial"/>
                <w:sz w:val="20"/>
              </w:rPr>
              <w:t xml:space="preserve"> should</w:t>
            </w:r>
            <w:r w:rsidRPr="63D2B899">
              <w:rPr>
                <w:rFonts w:cs="Arial"/>
                <w:sz w:val="20"/>
              </w:rPr>
              <w:t xml:space="preserve"> be able to drive safely </w:t>
            </w:r>
            <w:r w:rsidR="0B99AB50" w:rsidRPr="63D2B899">
              <w:rPr>
                <w:rFonts w:cs="Arial"/>
                <w:sz w:val="20"/>
              </w:rPr>
              <w:t>while</w:t>
            </w:r>
            <w:r w:rsidRPr="63D2B899">
              <w:rPr>
                <w:rFonts w:cs="Arial"/>
                <w:sz w:val="20"/>
              </w:rPr>
              <w:t xml:space="preserve"> </w:t>
            </w:r>
            <w:r w:rsidR="512483A4" w:rsidRPr="63D2B899">
              <w:rPr>
                <w:rFonts w:cs="Arial"/>
                <w:sz w:val="20"/>
              </w:rPr>
              <w:t xml:space="preserve">on </w:t>
            </w:r>
            <w:r w:rsidRPr="63D2B899">
              <w:rPr>
                <w:rFonts w:cs="Arial"/>
                <w:sz w:val="20"/>
              </w:rPr>
              <w:t xml:space="preserve">methadone or buprenorphine </w:t>
            </w:r>
            <w:r w:rsidR="0B99AB50" w:rsidRPr="63D2B899">
              <w:rPr>
                <w:rFonts w:cs="Arial"/>
                <w:sz w:val="20"/>
              </w:rPr>
              <w:t>treatment</w:t>
            </w:r>
            <w:r w:rsidRPr="63D2B899">
              <w:rPr>
                <w:rFonts w:cs="Arial"/>
                <w:sz w:val="20"/>
              </w:rPr>
              <w:t xml:space="preserve">. The timeline for this varies greatly from person to </w:t>
            </w:r>
            <w:r w:rsidR="371C107B" w:rsidRPr="63D2B899">
              <w:rPr>
                <w:rFonts w:cs="Arial"/>
                <w:sz w:val="20"/>
              </w:rPr>
              <w:t>person and</w:t>
            </w:r>
            <w:r w:rsidRPr="63D2B899">
              <w:rPr>
                <w:rFonts w:cs="Arial"/>
                <w:sz w:val="20"/>
              </w:rPr>
              <w:t xml:space="preserve"> should be judged accordingly.</w:t>
            </w:r>
          </w:p>
        </w:tc>
      </w:tr>
      <w:tr w:rsidR="005B265A" w:rsidRPr="00B30BA3" w14:paraId="102D0885" w14:textId="77777777" w:rsidTr="63D2B899">
        <w:trPr>
          <w:trHeight w:val="132"/>
        </w:trPr>
        <w:tc>
          <w:tcPr>
            <w:tcW w:w="403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E9B07E" w14:textId="526D8F5F" w:rsidR="005B265A" w:rsidRPr="005B265A" w:rsidRDefault="43C45EF4" w:rsidP="63D2B899">
            <w:pPr>
              <w:rPr>
                <w:sz w:val="18"/>
                <w:szCs w:val="18"/>
              </w:rPr>
            </w:pPr>
            <w:r w:rsidRPr="63D2B899">
              <w:rPr>
                <w:sz w:val="20"/>
              </w:rPr>
              <w:t xml:space="preserve">Is it standard practice for pharmacists to counsel patients, especially those starting on pharmacotherapy, about the sedating potential of their medications where appropriate, </w:t>
            </w:r>
            <w:r w:rsidR="3AFCC7DC" w:rsidRPr="63D2B899">
              <w:rPr>
                <w:sz w:val="20"/>
              </w:rPr>
              <w:t xml:space="preserve">and </w:t>
            </w:r>
            <w:r w:rsidRPr="63D2B899">
              <w:rPr>
                <w:sz w:val="20"/>
              </w:rPr>
              <w:t xml:space="preserve">the commensurate risk this </w:t>
            </w:r>
            <w:r w:rsidR="3AFCC7DC" w:rsidRPr="63D2B899">
              <w:rPr>
                <w:sz w:val="20"/>
              </w:rPr>
              <w:t>poses to an individual’s ability to drive safely?</w:t>
            </w:r>
          </w:p>
        </w:tc>
        <w:tc>
          <w:tcPr>
            <w:tcW w:w="970" w:type="pct"/>
            <w:gridSpan w:val="2"/>
            <w:tcBorders>
              <w:top w:val="single" w:sz="4" w:space="0" w:color="auto"/>
              <w:left w:val="single" w:sz="4" w:space="0" w:color="auto"/>
              <w:bottom w:val="single" w:sz="4" w:space="0" w:color="auto"/>
              <w:right w:val="single" w:sz="4" w:space="0" w:color="auto"/>
            </w:tcBorders>
            <w:shd w:val="clear" w:color="auto" w:fill="auto"/>
          </w:tcPr>
          <w:p w14:paraId="68929151" w14:textId="77777777" w:rsidR="005B265A" w:rsidRPr="00B30BA3" w:rsidRDefault="00CE59DA" w:rsidP="005B265A">
            <w:pPr>
              <w:pStyle w:val="DHHSbody"/>
              <w:rPr>
                <w:rFonts w:cs="Arial"/>
                <w:b/>
              </w:rPr>
            </w:pPr>
            <w:sdt>
              <w:sdtPr>
                <w:rPr>
                  <w:rFonts w:cs="Arial"/>
                  <w:b/>
                </w:rPr>
                <w:id w:val="-754510454"/>
                <w14:checkbox>
                  <w14:checked w14:val="0"/>
                  <w14:checkedState w14:val="2612" w14:font="MS Gothic"/>
                  <w14:uncheckedState w14:val="2610" w14:font="MS Gothic"/>
                </w14:checkbox>
              </w:sdtPr>
              <w:sdtEndPr/>
              <w:sdtContent>
                <w:r w:rsidR="005B265A" w:rsidRPr="00B30BA3">
                  <w:rPr>
                    <w:rFonts w:ascii="MS Gothic" w:eastAsia="MS Gothic" w:hAnsi="MS Gothic" w:cs="Arial"/>
                    <w:b/>
                  </w:rPr>
                  <w:t>☐</w:t>
                </w:r>
              </w:sdtContent>
            </w:sdt>
            <w:r w:rsidR="005B265A" w:rsidRPr="00B30BA3">
              <w:rPr>
                <w:rFonts w:cs="Arial"/>
                <w:b/>
              </w:rPr>
              <w:t xml:space="preserve"> Yes</w:t>
            </w:r>
          </w:p>
          <w:p w14:paraId="5290983C" w14:textId="59DDC8AF" w:rsidR="005B265A" w:rsidRPr="00B30BA3" w:rsidRDefault="00CE59DA" w:rsidP="005B265A">
            <w:pPr>
              <w:rPr>
                <w:b/>
                <w:bCs/>
              </w:rPr>
            </w:pPr>
            <w:sdt>
              <w:sdtPr>
                <w:rPr>
                  <w:rFonts w:cs="Arial"/>
                  <w:b/>
                  <w:bCs/>
                </w:rPr>
                <w:id w:val="-1995023380"/>
                <w14:checkbox>
                  <w14:checked w14:val="0"/>
                  <w14:checkedState w14:val="2612" w14:font="MS Gothic"/>
                  <w14:uncheckedState w14:val="2610" w14:font="MS Gothic"/>
                </w14:checkbox>
              </w:sdtPr>
              <w:sdtEndPr/>
              <w:sdtContent>
                <w:r w:rsidR="005B265A" w:rsidRPr="00B30BA3">
                  <w:rPr>
                    <w:rFonts w:ascii="MS Gothic" w:eastAsia="MS Gothic" w:hAnsi="MS Gothic" w:cs="Arial"/>
                    <w:b/>
                    <w:bCs/>
                  </w:rPr>
                  <w:t>☐</w:t>
                </w:r>
              </w:sdtContent>
            </w:sdt>
            <w:r w:rsidR="005B265A" w:rsidRPr="00B30BA3">
              <w:rPr>
                <w:rFonts w:cs="Arial"/>
                <w:b/>
                <w:bCs/>
              </w:rPr>
              <w:t xml:space="preserve"> No</w:t>
            </w:r>
          </w:p>
        </w:tc>
      </w:tr>
    </w:tbl>
    <w:p w14:paraId="66260673" w14:textId="77777777" w:rsidR="005E3945" w:rsidRDefault="005E3945">
      <w:r>
        <w:br w:type="page"/>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9"/>
        <w:gridCol w:w="181"/>
        <w:gridCol w:w="1554"/>
      </w:tblGrid>
      <w:tr w:rsidR="00BE315C" w:rsidRPr="00B30BA3" w14:paraId="0177B72D" w14:textId="77777777" w:rsidTr="63D2B899">
        <w:trPr>
          <w:trHeight w:val="84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418EA2A" w14:textId="4E030D67" w:rsidR="00BE315C" w:rsidRPr="00B30BA3" w:rsidRDefault="3D16F8EC" w:rsidP="63D2B899">
            <w:pPr>
              <w:rPr>
                <w:rFonts w:cs="Arial"/>
                <w:sz w:val="20"/>
              </w:rPr>
            </w:pPr>
            <w:r w:rsidRPr="63D2B899">
              <w:rPr>
                <w:rFonts w:cs="Arial"/>
                <w:b/>
                <w:bCs/>
                <w:sz w:val="20"/>
              </w:rPr>
              <w:lastRenderedPageBreak/>
              <w:t>Counselling patients about overdose preparedness and overdose response</w:t>
            </w:r>
          </w:p>
          <w:p w14:paraId="3BFFAE4E" w14:textId="5F784368" w:rsidR="00BE315C" w:rsidRPr="00B30BA3" w:rsidRDefault="3D16F8EC" w:rsidP="63D2B899">
            <w:pPr>
              <w:spacing w:after="160" w:line="259" w:lineRule="auto"/>
              <w:rPr>
                <w:rFonts w:cs="Arial"/>
                <w:sz w:val="20"/>
              </w:rPr>
            </w:pPr>
            <w:r w:rsidRPr="63D2B899">
              <w:rPr>
                <w:rFonts w:cs="Arial"/>
                <w:sz w:val="20"/>
              </w:rPr>
              <w:t xml:space="preserve">Each client should be offered </w:t>
            </w:r>
            <w:r w:rsidR="23EBADE7" w:rsidRPr="63D2B899">
              <w:rPr>
                <w:rFonts w:cs="Arial"/>
                <w:sz w:val="20"/>
              </w:rPr>
              <w:t>t</w:t>
            </w:r>
            <w:r w:rsidR="23EBADE7" w:rsidRPr="63D2B899">
              <w:rPr>
                <w:sz w:val="20"/>
              </w:rPr>
              <w:t xml:space="preserve">he </w:t>
            </w:r>
            <w:r w:rsidRPr="63D2B899">
              <w:rPr>
                <w:rFonts w:cs="Arial"/>
                <w:sz w:val="20"/>
              </w:rPr>
              <w:t>“Starting methadone or buprenorphine”</w:t>
            </w:r>
            <w:r w:rsidR="23EBADE7" w:rsidRPr="63D2B899">
              <w:rPr>
                <w:rFonts w:cs="Arial"/>
                <w:sz w:val="20"/>
              </w:rPr>
              <w:t xml:space="preserve"> </w:t>
            </w:r>
            <w:r w:rsidR="23EBADE7" w:rsidRPr="63D2B899">
              <w:rPr>
                <w:sz w:val="20"/>
              </w:rPr>
              <w:t>information leaflet</w:t>
            </w:r>
          </w:p>
          <w:p w14:paraId="1D549C8B" w14:textId="0DEC9788" w:rsidR="00BE315C" w:rsidRPr="00B30BA3" w:rsidRDefault="3D16F8EC" w:rsidP="63D2B899">
            <w:pPr>
              <w:pStyle w:val="ListParagraph"/>
              <w:numPr>
                <w:ilvl w:val="0"/>
                <w:numId w:val="23"/>
              </w:numPr>
              <w:spacing w:after="160" w:line="259" w:lineRule="auto"/>
              <w:rPr>
                <w:rFonts w:ascii="Arial" w:hAnsi="Arial" w:cs="Arial"/>
              </w:rPr>
            </w:pPr>
            <w:r w:rsidRPr="63D2B899">
              <w:rPr>
                <w:rFonts w:ascii="Arial" w:hAnsi="Arial" w:cs="Arial"/>
              </w:rPr>
              <w:t xml:space="preserve">Available in range of languages – can be found at the </w:t>
            </w:r>
            <w:r w:rsidR="005319A0" w:rsidRPr="005319A0">
              <w:rPr>
                <w:rFonts w:ascii="Arial" w:hAnsi="Arial" w:cs="Arial"/>
                <w:color w:val="FF0000"/>
              </w:rPr>
              <w:t>d</w:t>
            </w:r>
            <w:r w:rsidRPr="005319A0">
              <w:rPr>
                <w:rFonts w:ascii="Arial" w:hAnsi="Arial" w:cs="Arial"/>
                <w:color w:val="FF0000"/>
              </w:rPr>
              <w:t>e</w:t>
            </w:r>
            <w:r w:rsidRPr="63D2B899">
              <w:rPr>
                <w:rFonts w:ascii="Arial" w:hAnsi="Arial" w:cs="Arial"/>
                <w:color w:val="FF0000"/>
              </w:rPr>
              <w:t>partment Website.</w:t>
            </w:r>
          </w:p>
          <w:p w14:paraId="07EDADFF" w14:textId="42AA42BB" w:rsidR="00BE315C" w:rsidRPr="00B30BA3" w:rsidRDefault="3D16F8EC" w:rsidP="63D2B899">
            <w:pPr>
              <w:pStyle w:val="ListParagraph"/>
              <w:numPr>
                <w:ilvl w:val="0"/>
                <w:numId w:val="23"/>
              </w:numPr>
              <w:spacing w:after="160" w:line="259" w:lineRule="auto"/>
              <w:rPr>
                <w:rFonts w:ascii="Arial" w:hAnsi="Arial" w:cs="Arial"/>
              </w:rPr>
            </w:pPr>
            <w:r w:rsidRPr="63D2B899">
              <w:rPr>
                <w:rFonts w:ascii="Arial" w:hAnsi="Arial" w:cs="Arial"/>
              </w:rPr>
              <w:t>Contains information about signs of overdose and use of naloxone</w:t>
            </w:r>
          </w:p>
          <w:p w14:paraId="18CEE9BC" w14:textId="1208F759" w:rsidR="00BE315C" w:rsidRPr="00B30BA3" w:rsidRDefault="3D16F8EC" w:rsidP="63D2B899">
            <w:pPr>
              <w:spacing w:after="160" w:line="259" w:lineRule="auto"/>
              <w:rPr>
                <w:rFonts w:cs="Arial"/>
                <w:sz w:val="20"/>
              </w:rPr>
            </w:pPr>
            <w:r w:rsidRPr="63D2B899">
              <w:rPr>
                <w:rFonts w:cs="Arial"/>
                <w:sz w:val="20"/>
              </w:rPr>
              <w:t>It is recommended that all patients on pharmacotherapy are also provided with naloxone, available on prescription or over-the-counter</w:t>
            </w:r>
          </w:p>
          <w:p w14:paraId="2D967E4A" w14:textId="039BA82A" w:rsidR="00BE315C" w:rsidRPr="00B30BA3" w:rsidRDefault="371C107B" w:rsidP="63D2B899">
            <w:pPr>
              <w:spacing w:after="160" w:line="259" w:lineRule="auto"/>
              <w:rPr>
                <w:rFonts w:cs="Arial"/>
                <w:sz w:val="20"/>
              </w:rPr>
            </w:pPr>
            <w:r w:rsidRPr="63D2B899">
              <w:rPr>
                <w:rFonts w:cs="Arial"/>
                <w:sz w:val="20"/>
              </w:rPr>
              <w:t xml:space="preserve">The </w:t>
            </w:r>
            <w:r w:rsidR="3D16F8EC" w:rsidRPr="63D2B899">
              <w:rPr>
                <w:rFonts w:cs="Arial"/>
                <w:sz w:val="20"/>
              </w:rPr>
              <w:t>Pennington Institute website hosts a range of useful resources to assist overdose and naloxone counselling</w:t>
            </w:r>
            <w:r w:rsidRPr="63D2B899">
              <w:rPr>
                <w:rFonts w:cs="Arial"/>
                <w:sz w:val="20"/>
              </w:rPr>
              <w:t xml:space="preserve">, such as the </w:t>
            </w:r>
            <w:hyperlink r:id="rId31">
              <w:r w:rsidR="025D57F6" w:rsidRPr="63D2B899">
                <w:rPr>
                  <w:rStyle w:val="Hyperlink"/>
                  <w:rFonts w:cs="Arial"/>
                  <w:sz w:val="20"/>
                </w:rPr>
                <w:t>Community Overdose Prevention Education</w:t>
              </w:r>
            </w:hyperlink>
            <w:r w:rsidRPr="63D2B899">
              <w:rPr>
                <w:rFonts w:cs="Arial"/>
                <w:sz w:val="20"/>
              </w:rPr>
              <w:t xml:space="preserve"> </w:t>
            </w:r>
            <w:r w:rsidR="0AA173E0" w:rsidRPr="63D2B899">
              <w:rPr>
                <w:rFonts w:cs="Arial"/>
                <w:sz w:val="20"/>
              </w:rPr>
              <w:t>p</w:t>
            </w:r>
            <w:r w:rsidR="0AA173E0" w:rsidRPr="63D2B899">
              <w:rPr>
                <w:sz w:val="20"/>
              </w:rPr>
              <w:t xml:space="preserve">rogram </w:t>
            </w:r>
            <w:r w:rsidRPr="63D2B899">
              <w:rPr>
                <w:rFonts w:cs="Arial"/>
                <w:sz w:val="20"/>
              </w:rPr>
              <w:t>and their</w:t>
            </w:r>
            <w:hyperlink r:id="rId32">
              <w:r w:rsidRPr="63D2B899">
                <w:rPr>
                  <w:rStyle w:val="Hyperlink"/>
                  <w:rFonts w:cs="Arial"/>
                  <w:sz w:val="20"/>
                </w:rPr>
                <w:t xml:space="preserve"> Overdose Response Resources</w:t>
              </w:r>
            </w:hyperlink>
            <w:r w:rsidRPr="63D2B899">
              <w:rPr>
                <w:rFonts w:cs="Arial"/>
                <w:sz w:val="20"/>
              </w:rPr>
              <w:t>.</w:t>
            </w:r>
          </w:p>
        </w:tc>
      </w:tr>
      <w:tr w:rsidR="005B265A" w:rsidRPr="00B30BA3" w14:paraId="618176D3" w14:textId="77777777" w:rsidTr="63D2B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23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16FF1" w14:textId="562629CC" w:rsidR="005B265A" w:rsidRPr="00B30BA3" w:rsidRDefault="005B265A" w:rsidP="005B265A">
            <w:pPr>
              <w:pStyle w:val="DHHSbody"/>
              <w:rPr>
                <w:rFonts w:cs="Arial"/>
                <w:bCs/>
              </w:rPr>
            </w:pPr>
            <w:r w:rsidRPr="00B30BA3">
              <w:rPr>
                <w:rFonts w:cs="Arial"/>
                <w:bCs/>
              </w:rPr>
              <w:t xml:space="preserve">Have you and your pharmacists familiarised yourselves with the </w:t>
            </w:r>
            <w:r>
              <w:rPr>
                <w:rFonts w:cs="Arial"/>
                <w:bCs/>
              </w:rPr>
              <w:t xml:space="preserve">“Starting methadone or buprenorphine” </w:t>
            </w:r>
            <w:r w:rsidRPr="00B30BA3">
              <w:rPr>
                <w:rFonts w:cs="Arial"/>
                <w:bCs/>
              </w:rPr>
              <w:t>information leaflet, and has it been established that this will be discussed with new clients on your program?</w:t>
            </w:r>
          </w:p>
        </w:tc>
        <w:tc>
          <w:tcPr>
            <w:tcW w:w="762" w:type="pct"/>
            <w:tcBorders>
              <w:top w:val="single" w:sz="4" w:space="0" w:color="auto"/>
              <w:left w:val="single" w:sz="4" w:space="0" w:color="auto"/>
              <w:bottom w:val="single" w:sz="4" w:space="0" w:color="auto"/>
              <w:right w:val="single" w:sz="4" w:space="0" w:color="auto"/>
            </w:tcBorders>
          </w:tcPr>
          <w:p w14:paraId="111E6435" w14:textId="77777777" w:rsidR="005B265A" w:rsidRPr="00B30BA3" w:rsidRDefault="00CE59DA" w:rsidP="005B265A">
            <w:pPr>
              <w:pStyle w:val="DHHSbody"/>
              <w:rPr>
                <w:rFonts w:cs="Arial"/>
                <w:b/>
              </w:rPr>
            </w:pPr>
            <w:sdt>
              <w:sdtPr>
                <w:rPr>
                  <w:rFonts w:cs="Arial"/>
                  <w:b/>
                </w:rPr>
                <w:id w:val="1252859567"/>
                <w14:checkbox>
                  <w14:checked w14:val="0"/>
                  <w14:checkedState w14:val="2612" w14:font="MS Gothic"/>
                  <w14:uncheckedState w14:val="2610" w14:font="MS Gothic"/>
                </w14:checkbox>
              </w:sdtPr>
              <w:sdtEndPr/>
              <w:sdtContent>
                <w:r w:rsidR="005B265A" w:rsidRPr="00B30BA3">
                  <w:rPr>
                    <w:rFonts w:ascii="Segoe UI Symbol" w:hAnsi="Segoe UI Symbol" w:cs="Segoe UI Symbol"/>
                    <w:b/>
                  </w:rPr>
                  <w:t>☐</w:t>
                </w:r>
              </w:sdtContent>
            </w:sdt>
            <w:r w:rsidR="005B265A" w:rsidRPr="00B30BA3">
              <w:rPr>
                <w:rFonts w:cs="Arial"/>
                <w:b/>
              </w:rPr>
              <w:t xml:space="preserve"> Yes</w:t>
            </w:r>
          </w:p>
          <w:p w14:paraId="7D05C5C8" w14:textId="55F70AB6" w:rsidR="005B265A" w:rsidRPr="00B30BA3" w:rsidRDefault="00CE59DA" w:rsidP="005B265A">
            <w:pPr>
              <w:pStyle w:val="DHHSbody"/>
              <w:rPr>
                <w:rFonts w:cs="Arial"/>
              </w:rPr>
            </w:pPr>
            <w:sdt>
              <w:sdtPr>
                <w:rPr>
                  <w:rFonts w:cs="Arial"/>
                  <w:b/>
                </w:rPr>
                <w:id w:val="1708681152"/>
                <w14:checkbox>
                  <w14:checked w14:val="0"/>
                  <w14:checkedState w14:val="2612" w14:font="MS Gothic"/>
                  <w14:uncheckedState w14:val="2610" w14:font="MS Gothic"/>
                </w14:checkbox>
              </w:sdtPr>
              <w:sdtEndPr/>
              <w:sdtContent>
                <w:r w:rsidR="005B265A" w:rsidRPr="00B30BA3">
                  <w:rPr>
                    <w:rFonts w:ascii="Segoe UI Symbol" w:hAnsi="Segoe UI Symbol" w:cs="Segoe UI Symbol"/>
                    <w:b/>
                  </w:rPr>
                  <w:t>☐</w:t>
                </w:r>
              </w:sdtContent>
            </w:sdt>
            <w:r w:rsidR="005B265A" w:rsidRPr="00B30BA3">
              <w:rPr>
                <w:rFonts w:cs="Arial"/>
                <w:b/>
              </w:rPr>
              <w:t xml:space="preserve"> No</w:t>
            </w:r>
          </w:p>
        </w:tc>
      </w:tr>
      <w:tr w:rsidR="005B265A" w:rsidRPr="00B30BA3" w14:paraId="0CE90110" w14:textId="77777777" w:rsidTr="63D2B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23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5AC8B5" w14:textId="32984A03" w:rsidR="005B265A" w:rsidRPr="00B30BA3" w:rsidRDefault="005B265A" w:rsidP="005B265A">
            <w:pPr>
              <w:pStyle w:val="DHHSbody"/>
              <w:rPr>
                <w:rFonts w:cs="Arial"/>
                <w:bCs/>
              </w:rPr>
            </w:pPr>
            <w:r w:rsidRPr="00B30BA3">
              <w:rPr>
                <w:rFonts w:cs="Arial"/>
                <w:bCs/>
              </w:rPr>
              <w:t>Do you understand the place of naloxone in pharmacotherapy treatment, and are you confident in you</w:t>
            </w:r>
            <w:r>
              <w:rPr>
                <w:rFonts w:cs="Arial"/>
                <w:bCs/>
              </w:rPr>
              <w:t>r</w:t>
            </w:r>
            <w:r w:rsidRPr="00B30BA3">
              <w:rPr>
                <w:rFonts w:cs="Arial"/>
                <w:bCs/>
              </w:rPr>
              <w:t xml:space="preserve"> ability to communicate this to clients on your program?</w:t>
            </w:r>
          </w:p>
        </w:tc>
        <w:tc>
          <w:tcPr>
            <w:tcW w:w="762" w:type="pct"/>
            <w:tcBorders>
              <w:top w:val="single" w:sz="4" w:space="0" w:color="auto"/>
              <w:left w:val="single" w:sz="4" w:space="0" w:color="auto"/>
              <w:bottom w:val="single" w:sz="4" w:space="0" w:color="auto"/>
              <w:right w:val="single" w:sz="4" w:space="0" w:color="auto"/>
            </w:tcBorders>
          </w:tcPr>
          <w:p w14:paraId="175C1C93" w14:textId="77777777" w:rsidR="005B265A" w:rsidRPr="00B30BA3" w:rsidRDefault="00CE59DA" w:rsidP="005B265A">
            <w:pPr>
              <w:pStyle w:val="DHHSbody"/>
              <w:rPr>
                <w:rFonts w:cs="Arial"/>
                <w:b/>
              </w:rPr>
            </w:pPr>
            <w:sdt>
              <w:sdtPr>
                <w:rPr>
                  <w:rFonts w:cs="Arial"/>
                  <w:b/>
                </w:rPr>
                <w:id w:val="-29038303"/>
                <w14:checkbox>
                  <w14:checked w14:val="0"/>
                  <w14:checkedState w14:val="2612" w14:font="MS Gothic"/>
                  <w14:uncheckedState w14:val="2610" w14:font="MS Gothic"/>
                </w14:checkbox>
              </w:sdtPr>
              <w:sdtEndPr/>
              <w:sdtContent>
                <w:r w:rsidR="005B265A" w:rsidRPr="00B30BA3">
                  <w:rPr>
                    <w:rFonts w:ascii="MS Gothic" w:eastAsia="MS Gothic" w:hAnsi="MS Gothic" w:cs="Arial"/>
                    <w:b/>
                  </w:rPr>
                  <w:t>☐</w:t>
                </w:r>
              </w:sdtContent>
            </w:sdt>
            <w:r w:rsidR="005B265A" w:rsidRPr="00B30BA3">
              <w:rPr>
                <w:rFonts w:cs="Arial"/>
                <w:b/>
              </w:rPr>
              <w:t xml:space="preserve"> Yes</w:t>
            </w:r>
          </w:p>
          <w:p w14:paraId="097948C2" w14:textId="43C0F1D1" w:rsidR="005B265A" w:rsidRPr="00B30BA3" w:rsidRDefault="00CE59DA" w:rsidP="005B265A">
            <w:pPr>
              <w:pStyle w:val="DHHSbody"/>
              <w:rPr>
                <w:rFonts w:cs="Arial"/>
                <w:b/>
              </w:rPr>
            </w:pPr>
            <w:sdt>
              <w:sdtPr>
                <w:rPr>
                  <w:rFonts w:cs="Arial"/>
                  <w:b/>
                  <w:bCs/>
                </w:rPr>
                <w:id w:val="-226844185"/>
                <w14:checkbox>
                  <w14:checked w14:val="0"/>
                  <w14:checkedState w14:val="2612" w14:font="MS Gothic"/>
                  <w14:uncheckedState w14:val="2610" w14:font="MS Gothic"/>
                </w14:checkbox>
              </w:sdtPr>
              <w:sdtEndPr/>
              <w:sdtContent>
                <w:r w:rsidR="005B265A" w:rsidRPr="00B30BA3">
                  <w:rPr>
                    <w:rFonts w:ascii="MS Gothic" w:eastAsia="MS Gothic" w:hAnsi="MS Gothic" w:cs="Arial"/>
                    <w:b/>
                    <w:bCs/>
                  </w:rPr>
                  <w:t>☐</w:t>
                </w:r>
              </w:sdtContent>
            </w:sdt>
            <w:r w:rsidR="005B265A" w:rsidRPr="00B30BA3">
              <w:rPr>
                <w:rFonts w:cs="Arial"/>
                <w:b/>
                <w:bCs/>
              </w:rPr>
              <w:t xml:space="preserve"> No</w:t>
            </w:r>
          </w:p>
        </w:tc>
      </w:tr>
      <w:tr w:rsidR="00702EE2" w:rsidRPr="00B30BA3" w14:paraId="1DF46B3F" w14:textId="77777777" w:rsidTr="63D2B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84CFD5" w14:textId="6B6B1242" w:rsidR="00B94C61" w:rsidRPr="00B94C61" w:rsidRDefault="31523068" w:rsidP="63D2B899">
            <w:pPr>
              <w:pStyle w:val="Heading2"/>
              <w:spacing w:before="0"/>
              <w:rPr>
                <w:color w:val="auto"/>
                <w:sz w:val="20"/>
                <w:szCs w:val="20"/>
              </w:rPr>
            </w:pPr>
            <w:r w:rsidRPr="63D2B899">
              <w:rPr>
                <w:color w:val="auto"/>
                <w:sz w:val="20"/>
                <w:szCs w:val="20"/>
              </w:rPr>
              <w:t>Risks associated with new or returning patients</w:t>
            </w:r>
          </w:p>
          <w:p w14:paraId="540BEC1A" w14:textId="664CFCA2" w:rsidR="00702EE2" w:rsidRPr="00B30BA3" w:rsidRDefault="23F4F93D" w:rsidP="63D2B899">
            <w:pPr>
              <w:pStyle w:val="DHHSbody"/>
              <w:rPr>
                <w:rFonts w:cs="Arial"/>
              </w:rPr>
            </w:pPr>
            <w:r w:rsidRPr="63D2B899">
              <w:rPr>
                <w:rFonts w:cs="Arial"/>
              </w:rPr>
              <w:t xml:space="preserve">Deaths associated with pharmacotherapy have been attributed to </w:t>
            </w:r>
            <w:r w:rsidR="2D92DBAE" w:rsidRPr="63D2B899">
              <w:rPr>
                <w:rFonts w:cs="Arial"/>
              </w:rPr>
              <w:t xml:space="preserve">patients being dosed </w:t>
            </w:r>
            <w:r w:rsidRPr="63D2B899">
              <w:rPr>
                <w:rFonts w:cs="Arial"/>
              </w:rPr>
              <w:t xml:space="preserve">multiple </w:t>
            </w:r>
            <w:r w:rsidR="2D92DBAE" w:rsidRPr="63D2B899">
              <w:rPr>
                <w:rFonts w:cs="Arial"/>
              </w:rPr>
              <w:t xml:space="preserve">times </w:t>
            </w:r>
            <w:r w:rsidRPr="63D2B899">
              <w:rPr>
                <w:rFonts w:cs="Arial"/>
              </w:rPr>
              <w:t>(with or without take-away doses) when transferring between dosing points. Multiple dosing is more likely if there is miscommunication or no communication between the dosing points involved in the transfer.</w:t>
            </w:r>
          </w:p>
          <w:p w14:paraId="1F704879" w14:textId="2B98C39D" w:rsidR="00702EE2" w:rsidRPr="00B30BA3" w:rsidRDefault="00702EE2" w:rsidP="00702EE2">
            <w:pPr>
              <w:pStyle w:val="DHHSbody"/>
              <w:rPr>
                <w:rFonts w:cs="Arial"/>
              </w:rPr>
            </w:pPr>
            <w:r w:rsidRPr="00B30BA3">
              <w:rPr>
                <w:rFonts w:cs="Arial"/>
              </w:rPr>
              <w:t xml:space="preserve">A patient may be absent from their pharmacotherapy program for a number of reasons – due to hospital treatment, </w:t>
            </w:r>
            <w:r w:rsidR="00B30BA3" w:rsidRPr="00B30BA3">
              <w:rPr>
                <w:rFonts w:cs="Arial"/>
              </w:rPr>
              <w:t xml:space="preserve">a </w:t>
            </w:r>
            <w:r w:rsidRPr="00B30BA3">
              <w:rPr>
                <w:rFonts w:cs="Arial"/>
              </w:rPr>
              <w:t xml:space="preserve">prison term, or even </w:t>
            </w:r>
            <w:r w:rsidR="00B30BA3" w:rsidRPr="00B30BA3">
              <w:rPr>
                <w:rFonts w:cs="Arial"/>
              </w:rPr>
              <w:t xml:space="preserve">a period of </w:t>
            </w:r>
            <w:r w:rsidRPr="00B30BA3">
              <w:rPr>
                <w:rFonts w:cs="Arial"/>
              </w:rPr>
              <w:t xml:space="preserve">illicit drug use. The reasons for this absence may not be known to all clinicians involved in that person’s treatment. </w:t>
            </w:r>
          </w:p>
          <w:p w14:paraId="4EDACBCD" w14:textId="77777777" w:rsidR="00B30BA3" w:rsidRPr="00B30BA3" w:rsidRDefault="00702EE2" w:rsidP="003C188E">
            <w:pPr>
              <w:pStyle w:val="DHHSbody"/>
              <w:rPr>
                <w:rFonts w:cs="Arial"/>
              </w:rPr>
            </w:pPr>
            <w:r w:rsidRPr="00B30BA3">
              <w:rPr>
                <w:rFonts w:cs="Arial"/>
              </w:rPr>
              <w:t xml:space="preserve">It is </w:t>
            </w:r>
            <w:r w:rsidRPr="00B30BA3">
              <w:rPr>
                <w:rFonts w:cs="Arial"/>
                <w:b/>
              </w:rPr>
              <w:t>not</w:t>
            </w:r>
            <w:r w:rsidRPr="00B30BA3">
              <w:rPr>
                <w:rFonts w:cs="Arial"/>
              </w:rPr>
              <w:t xml:space="preserve"> acceptable to make assumptions. To ensure the patient’s safety; precise details of the magnitude and timing of the most recent dose need to be determined and documented before a dose is administered.</w:t>
            </w:r>
          </w:p>
          <w:p w14:paraId="4C50237B" w14:textId="1EF02910" w:rsidR="00702EE2" w:rsidRPr="00B30BA3" w:rsidRDefault="00B30BA3" w:rsidP="00B30BA3">
            <w:pPr>
              <w:pStyle w:val="DHHSbody"/>
              <w:rPr>
                <w:rFonts w:cs="Arial"/>
              </w:rPr>
            </w:pPr>
            <w:r w:rsidRPr="00B30BA3">
              <w:rPr>
                <w:rFonts w:cs="Arial"/>
              </w:rPr>
              <w:t>There is also the possibility of a patient still being in possession of take-away doses, or an interim prescription issued by a prison health care provider.</w:t>
            </w:r>
          </w:p>
          <w:p w14:paraId="396E169A" w14:textId="77777777" w:rsidR="00702EE2" w:rsidRPr="00B30BA3" w:rsidRDefault="23F4F93D" w:rsidP="63D2B899">
            <w:pPr>
              <w:rPr>
                <w:rFonts w:cs="Arial"/>
                <w:sz w:val="20"/>
              </w:rPr>
            </w:pPr>
            <w:r w:rsidRPr="63D2B899">
              <w:rPr>
                <w:rFonts w:cs="Arial"/>
                <w:sz w:val="20"/>
              </w:rPr>
              <w:t>Considerations when commencing a new patient – management strategies vary!</w:t>
            </w:r>
          </w:p>
          <w:p w14:paraId="4F65E185" w14:textId="77777777" w:rsidR="00702EE2" w:rsidRPr="00B30BA3" w:rsidRDefault="00702EE2" w:rsidP="003B32D8">
            <w:pPr>
              <w:pStyle w:val="ListParagraph"/>
              <w:numPr>
                <w:ilvl w:val="0"/>
                <w:numId w:val="13"/>
              </w:numPr>
              <w:spacing w:after="160" w:line="259" w:lineRule="auto"/>
              <w:ind w:left="641" w:hanging="357"/>
              <w:rPr>
                <w:rFonts w:ascii="Arial" w:hAnsi="Arial" w:cs="Arial"/>
              </w:rPr>
            </w:pPr>
            <w:r w:rsidRPr="00B30BA3">
              <w:rPr>
                <w:rFonts w:ascii="Arial" w:hAnsi="Arial" w:cs="Arial"/>
              </w:rPr>
              <w:t>Are they commencing ORT for the first time?</w:t>
            </w:r>
          </w:p>
          <w:p w14:paraId="1289816A" w14:textId="77777777" w:rsidR="00702EE2" w:rsidRPr="00B30BA3" w:rsidRDefault="00702EE2" w:rsidP="003B32D8">
            <w:pPr>
              <w:pStyle w:val="ListParagraph"/>
              <w:numPr>
                <w:ilvl w:val="0"/>
                <w:numId w:val="13"/>
              </w:numPr>
              <w:spacing w:after="160" w:line="259" w:lineRule="auto"/>
              <w:ind w:left="641" w:hanging="357"/>
              <w:rPr>
                <w:rFonts w:ascii="Arial" w:hAnsi="Arial" w:cs="Arial"/>
              </w:rPr>
            </w:pPr>
            <w:r w:rsidRPr="00B30BA3">
              <w:rPr>
                <w:rFonts w:ascii="Arial" w:hAnsi="Arial" w:cs="Arial"/>
              </w:rPr>
              <w:t>Are they resuming ORT after a period off the program?</w:t>
            </w:r>
          </w:p>
          <w:p w14:paraId="403667AB" w14:textId="77777777" w:rsidR="00702EE2" w:rsidRPr="00B30BA3" w:rsidRDefault="00702EE2" w:rsidP="003B32D8">
            <w:pPr>
              <w:pStyle w:val="ListParagraph"/>
              <w:numPr>
                <w:ilvl w:val="0"/>
                <w:numId w:val="13"/>
              </w:numPr>
              <w:spacing w:after="160" w:line="259" w:lineRule="auto"/>
              <w:ind w:left="641" w:hanging="357"/>
              <w:rPr>
                <w:rFonts w:ascii="Arial" w:hAnsi="Arial" w:cs="Arial"/>
              </w:rPr>
            </w:pPr>
            <w:r w:rsidRPr="00B30BA3">
              <w:rPr>
                <w:rFonts w:ascii="Arial" w:hAnsi="Arial" w:cs="Arial"/>
              </w:rPr>
              <w:t>Are they transferring from a new pharmacy?</w:t>
            </w:r>
          </w:p>
          <w:p w14:paraId="0233F2C0" w14:textId="54B894EB" w:rsidR="00702EE2" w:rsidRPr="00B30BA3" w:rsidRDefault="00702EE2" w:rsidP="003B32D8">
            <w:pPr>
              <w:pStyle w:val="ListParagraph"/>
              <w:numPr>
                <w:ilvl w:val="0"/>
                <w:numId w:val="13"/>
              </w:numPr>
              <w:spacing w:after="160" w:line="259" w:lineRule="auto"/>
              <w:ind w:left="641" w:hanging="357"/>
              <w:rPr>
                <w:b/>
                <w:bCs/>
                <w:i/>
                <w:iCs/>
              </w:rPr>
            </w:pPr>
            <w:r w:rsidRPr="00B30BA3">
              <w:rPr>
                <w:rFonts w:ascii="Arial" w:hAnsi="Arial" w:cs="Arial"/>
                <w:b/>
                <w:bCs/>
                <w:i/>
                <w:iCs/>
              </w:rPr>
              <w:t xml:space="preserve">If this is not clear you </w:t>
            </w:r>
            <w:r w:rsidR="006D377A">
              <w:rPr>
                <w:rFonts w:ascii="Arial" w:hAnsi="Arial" w:cs="Arial"/>
                <w:b/>
                <w:bCs/>
                <w:i/>
                <w:iCs/>
              </w:rPr>
              <w:t>need to</w:t>
            </w:r>
            <w:r w:rsidRPr="00B30BA3">
              <w:rPr>
                <w:rFonts w:ascii="Arial" w:hAnsi="Arial" w:cs="Arial"/>
                <w:b/>
                <w:bCs/>
                <w:i/>
                <w:iCs/>
              </w:rPr>
              <w:t xml:space="preserve"> communicate with the prescriber to determine.</w:t>
            </w:r>
          </w:p>
        </w:tc>
      </w:tr>
      <w:tr w:rsidR="00702EE2" w:rsidRPr="00B30BA3" w14:paraId="60B0A7F7" w14:textId="77777777" w:rsidTr="63D2B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C30BE8" w14:textId="6C24B1EB" w:rsidR="00702EE2" w:rsidRPr="00B30BA3" w:rsidRDefault="00702EE2" w:rsidP="003C188E">
            <w:pPr>
              <w:pStyle w:val="DHHSbody"/>
              <w:rPr>
                <w:rFonts w:cs="Arial"/>
                <w:bCs/>
              </w:rPr>
            </w:pPr>
            <w:r w:rsidRPr="00B30BA3">
              <w:rPr>
                <w:rFonts w:cs="Arial"/>
                <w:bCs/>
              </w:rPr>
              <w:t xml:space="preserve">Have all pharmacists been informed that they should </w:t>
            </w:r>
            <w:r w:rsidRPr="00B30BA3">
              <w:rPr>
                <w:rFonts w:cs="Arial"/>
                <w:b/>
                <w:bCs/>
              </w:rPr>
              <w:t>always</w:t>
            </w:r>
            <w:r w:rsidRPr="00B30BA3">
              <w:rPr>
                <w:rFonts w:cs="Arial"/>
                <w:bCs/>
              </w:rPr>
              <w:t xml:space="preserve"> communicate with the prescriber </w:t>
            </w:r>
            <w:r w:rsidR="002706CE" w:rsidRPr="002706CE">
              <w:rPr>
                <w:rFonts w:cs="Arial"/>
                <w:b/>
              </w:rPr>
              <w:t>(</w:t>
            </w:r>
            <w:r w:rsidRPr="00B30BA3">
              <w:rPr>
                <w:rFonts w:cs="Arial"/>
                <w:b/>
              </w:rPr>
              <w:t xml:space="preserve">to determine whether a patient is commencing (or recommencing) </w:t>
            </w:r>
            <w:r w:rsidR="00530624">
              <w:rPr>
                <w:rFonts w:cs="Arial"/>
                <w:b/>
              </w:rPr>
              <w:t>p</w:t>
            </w:r>
            <w:r w:rsidR="00530624">
              <w:rPr>
                <w:b/>
              </w:rPr>
              <w:t>harmacotherapy</w:t>
            </w:r>
            <w:r w:rsidRPr="00B30BA3">
              <w:rPr>
                <w:rFonts w:cs="Arial"/>
                <w:b/>
              </w:rPr>
              <w:t xml:space="preserve"> or transferring from another dosing point</w:t>
            </w:r>
            <w:r w:rsidR="002706CE">
              <w:rPr>
                <w:rFonts w:cs="Arial"/>
                <w:b/>
              </w:rPr>
              <w:t>)</w:t>
            </w:r>
            <w:r w:rsidRPr="00B30BA3">
              <w:rPr>
                <w:rFonts w:cs="Arial"/>
                <w:bCs/>
              </w:rPr>
              <w:t xml:space="preserve"> before administering methadone or buprenorphine to a patient who is new to your pharmacy </w:t>
            </w:r>
            <w:r w:rsidRPr="00B30BA3">
              <w:rPr>
                <w:rFonts w:cs="Arial"/>
                <w:b/>
                <w:bCs/>
              </w:rPr>
              <w:t>or resuming after an apparent absence</w:t>
            </w:r>
            <w:r w:rsidRPr="00B30BA3">
              <w:rPr>
                <w:rFonts w:cs="Arial"/>
                <w:bCs/>
              </w:rPr>
              <w:t>?</w:t>
            </w:r>
          </w:p>
        </w:tc>
        <w:tc>
          <w:tcPr>
            <w:tcW w:w="851" w:type="pct"/>
            <w:gridSpan w:val="2"/>
            <w:tcBorders>
              <w:top w:val="single" w:sz="4" w:space="0" w:color="auto"/>
              <w:left w:val="single" w:sz="4" w:space="0" w:color="auto"/>
              <w:bottom w:val="single" w:sz="4" w:space="0" w:color="auto"/>
              <w:right w:val="single" w:sz="4" w:space="0" w:color="auto"/>
            </w:tcBorders>
          </w:tcPr>
          <w:p w14:paraId="09ACA0B8" w14:textId="77777777" w:rsidR="00702EE2" w:rsidRPr="00B30BA3" w:rsidRDefault="00CE59DA" w:rsidP="003C188E">
            <w:pPr>
              <w:pStyle w:val="DHHSbody"/>
              <w:rPr>
                <w:rFonts w:cs="Arial"/>
                <w:b/>
              </w:rPr>
            </w:pPr>
            <w:sdt>
              <w:sdtPr>
                <w:rPr>
                  <w:rFonts w:cs="Arial"/>
                  <w:b/>
                </w:rPr>
                <w:id w:val="634452266"/>
                <w14:checkbox>
                  <w14:checked w14:val="0"/>
                  <w14:checkedState w14:val="2612" w14:font="MS Gothic"/>
                  <w14:uncheckedState w14:val="2610" w14:font="MS Gothic"/>
                </w14:checkbox>
              </w:sdtPr>
              <w:sdtEndPr/>
              <w:sdtContent>
                <w:r w:rsidR="00702EE2" w:rsidRPr="00B30BA3">
                  <w:rPr>
                    <w:rFonts w:ascii="MS Gothic" w:eastAsia="MS Gothic" w:hAnsi="MS Gothic" w:cs="Arial"/>
                    <w:b/>
                  </w:rPr>
                  <w:t>☐</w:t>
                </w:r>
              </w:sdtContent>
            </w:sdt>
            <w:r w:rsidR="00702EE2" w:rsidRPr="00B30BA3">
              <w:rPr>
                <w:rFonts w:cs="Arial"/>
                <w:b/>
              </w:rPr>
              <w:t xml:space="preserve"> Yes</w:t>
            </w:r>
          </w:p>
          <w:p w14:paraId="3E9E79BA" w14:textId="77777777" w:rsidR="00702EE2" w:rsidRPr="00B30BA3" w:rsidRDefault="00CE59DA" w:rsidP="003C188E">
            <w:pPr>
              <w:pStyle w:val="DHHSbody"/>
              <w:rPr>
                <w:rFonts w:cs="Arial"/>
              </w:rPr>
            </w:pPr>
            <w:sdt>
              <w:sdtPr>
                <w:rPr>
                  <w:rFonts w:cs="Arial"/>
                  <w:b/>
                  <w:bCs/>
                </w:rPr>
                <w:id w:val="553429227"/>
                <w14:checkbox>
                  <w14:checked w14:val="0"/>
                  <w14:checkedState w14:val="2612" w14:font="MS Gothic"/>
                  <w14:uncheckedState w14:val="2610" w14:font="MS Gothic"/>
                </w14:checkbox>
              </w:sdtPr>
              <w:sdtEndPr/>
              <w:sdtContent>
                <w:r w:rsidR="00702EE2" w:rsidRPr="00B30BA3">
                  <w:rPr>
                    <w:rFonts w:ascii="MS Gothic" w:eastAsia="MS Gothic" w:hAnsi="MS Gothic" w:cs="Arial"/>
                    <w:b/>
                    <w:bCs/>
                  </w:rPr>
                  <w:t>☐</w:t>
                </w:r>
              </w:sdtContent>
            </w:sdt>
            <w:r w:rsidR="00702EE2" w:rsidRPr="00B30BA3">
              <w:rPr>
                <w:rFonts w:cs="Arial"/>
                <w:b/>
                <w:bCs/>
              </w:rPr>
              <w:t xml:space="preserve"> No</w:t>
            </w:r>
          </w:p>
        </w:tc>
      </w:tr>
      <w:tr w:rsidR="00702EE2" w:rsidRPr="00B30BA3" w14:paraId="4659778F" w14:textId="77777777" w:rsidTr="63D2B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288EEF" w14:textId="77777777" w:rsidR="00702EE2" w:rsidRPr="00B30BA3" w:rsidRDefault="00702EE2" w:rsidP="003C188E">
            <w:pPr>
              <w:pStyle w:val="DHHSbody"/>
              <w:rPr>
                <w:rFonts w:cs="Arial"/>
                <w:bCs/>
              </w:rPr>
            </w:pPr>
            <w:r w:rsidRPr="00B30BA3">
              <w:rPr>
                <w:rFonts w:cs="Arial"/>
                <w:bCs/>
              </w:rPr>
              <w:t xml:space="preserve">Have all pharmacists been informed that they should </w:t>
            </w:r>
            <w:r w:rsidRPr="00B30BA3">
              <w:rPr>
                <w:rFonts w:cs="Arial"/>
                <w:b/>
                <w:bCs/>
              </w:rPr>
              <w:t>always</w:t>
            </w:r>
            <w:r w:rsidRPr="00B30BA3">
              <w:rPr>
                <w:rFonts w:cs="Arial"/>
                <w:bCs/>
              </w:rPr>
              <w:t xml:space="preserve"> communicate with the previous dosing point </w:t>
            </w:r>
            <w:r w:rsidRPr="00B30BA3">
              <w:rPr>
                <w:rFonts w:cs="Arial"/>
                <w:b/>
              </w:rPr>
              <w:t>(to determine precisely when the previous dose was given; the magnitude of the actual dose; and whether any take-away doses were supplied)</w:t>
            </w:r>
            <w:r w:rsidRPr="00B30BA3">
              <w:rPr>
                <w:rFonts w:cs="Arial"/>
                <w:bCs/>
              </w:rPr>
              <w:t xml:space="preserve"> before administering methadone or buprenorphine to a patient who is transferring to your pharmacy?</w:t>
            </w:r>
          </w:p>
        </w:tc>
        <w:tc>
          <w:tcPr>
            <w:tcW w:w="851" w:type="pct"/>
            <w:gridSpan w:val="2"/>
            <w:tcBorders>
              <w:top w:val="single" w:sz="4" w:space="0" w:color="auto"/>
              <w:left w:val="single" w:sz="4" w:space="0" w:color="auto"/>
              <w:bottom w:val="single" w:sz="4" w:space="0" w:color="auto"/>
              <w:right w:val="single" w:sz="4" w:space="0" w:color="auto"/>
            </w:tcBorders>
          </w:tcPr>
          <w:p w14:paraId="53006FB8" w14:textId="77777777" w:rsidR="00702EE2" w:rsidRPr="00B30BA3" w:rsidRDefault="00CE59DA" w:rsidP="003C188E">
            <w:pPr>
              <w:pStyle w:val="DHHSbody"/>
              <w:rPr>
                <w:rFonts w:cs="Arial"/>
                <w:b/>
              </w:rPr>
            </w:pPr>
            <w:sdt>
              <w:sdtPr>
                <w:rPr>
                  <w:rFonts w:cs="Arial"/>
                  <w:b/>
                </w:rPr>
                <w:id w:val="-472068882"/>
                <w14:checkbox>
                  <w14:checked w14:val="0"/>
                  <w14:checkedState w14:val="2612" w14:font="MS Gothic"/>
                  <w14:uncheckedState w14:val="2610" w14:font="MS Gothic"/>
                </w14:checkbox>
              </w:sdtPr>
              <w:sdtEndPr/>
              <w:sdtContent>
                <w:r w:rsidR="00702EE2" w:rsidRPr="00B30BA3">
                  <w:rPr>
                    <w:rFonts w:ascii="MS Gothic" w:eastAsia="MS Gothic" w:hAnsi="MS Gothic" w:cs="Arial"/>
                    <w:b/>
                  </w:rPr>
                  <w:t>☐</w:t>
                </w:r>
              </w:sdtContent>
            </w:sdt>
            <w:r w:rsidR="00702EE2" w:rsidRPr="00B30BA3">
              <w:rPr>
                <w:rFonts w:cs="Arial"/>
                <w:b/>
              </w:rPr>
              <w:t xml:space="preserve"> Yes</w:t>
            </w:r>
          </w:p>
          <w:p w14:paraId="52CABA4A" w14:textId="77777777" w:rsidR="00702EE2" w:rsidRPr="00B30BA3" w:rsidRDefault="00CE59DA" w:rsidP="003C188E">
            <w:pPr>
              <w:pStyle w:val="DHHSbody"/>
              <w:rPr>
                <w:rFonts w:cs="Arial"/>
              </w:rPr>
            </w:pPr>
            <w:sdt>
              <w:sdtPr>
                <w:rPr>
                  <w:rFonts w:cs="Arial"/>
                  <w:b/>
                  <w:bCs/>
                </w:rPr>
                <w:id w:val="527072704"/>
                <w14:checkbox>
                  <w14:checked w14:val="0"/>
                  <w14:checkedState w14:val="2612" w14:font="MS Gothic"/>
                  <w14:uncheckedState w14:val="2610" w14:font="MS Gothic"/>
                </w14:checkbox>
              </w:sdtPr>
              <w:sdtEndPr/>
              <w:sdtContent>
                <w:r w:rsidR="00702EE2" w:rsidRPr="00B30BA3">
                  <w:rPr>
                    <w:rFonts w:ascii="MS Gothic" w:eastAsia="MS Gothic" w:hAnsi="MS Gothic" w:cs="Arial"/>
                    <w:b/>
                    <w:bCs/>
                  </w:rPr>
                  <w:t>☐</w:t>
                </w:r>
              </w:sdtContent>
            </w:sdt>
            <w:r w:rsidR="00702EE2" w:rsidRPr="00B30BA3">
              <w:rPr>
                <w:rFonts w:cs="Arial"/>
                <w:b/>
                <w:bCs/>
              </w:rPr>
              <w:t xml:space="preserve"> No</w:t>
            </w:r>
          </w:p>
        </w:tc>
      </w:tr>
    </w:tbl>
    <w:p w14:paraId="23509300" w14:textId="77777777" w:rsidR="00510547" w:rsidRDefault="00510547">
      <w:r>
        <w:br w:type="page"/>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9"/>
        <w:gridCol w:w="1735"/>
      </w:tblGrid>
      <w:tr w:rsidR="00BA059E" w:rsidRPr="00B30BA3" w14:paraId="339A7965" w14:textId="77777777" w:rsidTr="002E51C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6F8AEB6" w14:textId="586B3156" w:rsidR="00563EAB" w:rsidRPr="00563EAB" w:rsidRDefault="00510547" w:rsidP="003F787E">
            <w:pPr>
              <w:pStyle w:val="DHHSbody"/>
              <w:rPr>
                <w:rFonts w:cs="Arial"/>
                <w:b/>
                <w:bCs/>
              </w:rPr>
            </w:pPr>
            <w:bookmarkStart w:id="2" w:name="_Hlk78876286"/>
            <w:r>
              <w:rPr>
                <w:rFonts w:cs="Arial"/>
                <w:b/>
                <w:bCs/>
              </w:rPr>
              <w:lastRenderedPageBreak/>
              <w:t>Patient identification</w:t>
            </w:r>
          </w:p>
          <w:p w14:paraId="6AB4C29A" w14:textId="198A0B83" w:rsidR="00BA059E" w:rsidRPr="00B30BA3" w:rsidRDefault="00BA059E" w:rsidP="003F787E">
            <w:pPr>
              <w:pStyle w:val="DHHSbody"/>
              <w:rPr>
                <w:rFonts w:cs="Arial"/>
              </w:rPr>
            </w:pPr>
            <w:r w:rsidRPr="00B30BA3">
              <w:rPr>
                <w:rFonts w:cs="Arial"/>
              </w:rPr>
              <w:t xml:space="preserve">Before administering </w:t>
            </w:r>
            <w:r w:rsidR="007F267A">
              <w:rPr>
                <w:rFonts w:cs="Arial"/>
              </w:rPr>
              <w:t>p</w:t>
            </w:r>
            <w:r w:rsidR="007F267A">
              <w:t>harmacotherapy</w:t>
            </w:r>
            <w:r w:rsidRPr="00B30BA3">
              <w:rPr>
                <w:rFonts w:cs="Arial"/>
              </w:rPr>
              <w:t>, a pharmacist needs to be able to confirm that the patient is the same person for whom treatment was prescribed</w:t>
            </w:r>
            <w:r w:rsidR="00A67588">
              <w:rPr>
                <w:rFonts w:cs="Arial"/>
              </w:rPr>
              <w:t>,</w:t>
            </w:r>
            <w:r w:rsidR="000E5269">
              <w:rPr>
                <w:rFonts w:cs="Arial"/>
              </w:rPr>
              <w:t xml:space="preserve"> using a </w:t>
            </w:r>
            <w:r w:rsidRPr="00B30BA3">
              <w:rPr>
                <w:rFonts w:cs="Arial"/>
              </w:rPr>
              <w:t xml:space="preserve">photo </w:t>
            </w:r>
            <w:r w:rsidR="000E5269">
              <w:rPr>
                <w:rFonts w:cs="Arial"/>
              </w:rPr>
              <w:t xml:space="preserve">which </w:t>
            </w:r>
            <w:r w:rsidRPr="00B30BA3">
              <w:rPr>
                <w:rFonts w:cs="Arial"/>
              </w:rPr>
              <w:t>represent</w:t>
            </w:r>
            <w:r w:rsidR="000E5269">
              <w:rPr>
                <w:rFonts w:cs="Arial"/>
              </w:rPr>
              <w:t>s</w:t>
            </w:r>
            <w:r w:rsidRPr="00B30BA3">
              <w:rPr>
                <w:rFonts w:cs="Arial"/>
              </w:rPr>
              <w:t xml:space="preserve"> the patient’s current physical appearance, </w:t>
            </w:r>
            <w:r w:rsidR="00A67588">
              <w:rPr>
                <w:rFonts w:cs="Arial"/>
              </w:rPr>
              <w:t>which</w:t>
            </w:r>
            <w:r w:rsidR="00867760">
              <w:rPr>
                <w:rFonts w:cs="Arial"/>
              </w:rPr>
              <w:t xml:space="preserve"> needs to </w:t>
            </w:r>
            <w:r w:rsidRPr="00B30BA3">
              <w:rPr>
                <w:rFonts w:cs="Arial"/>
              </w:rPr>
              <w:t xml:space="preserve">be </w:t>
            </w:r>
            <w:r w:rsidRPr="00B30BA3">
              <w:rPr>
                <w:rFonts w:cs="Arial"/>
                <w:b/>
              </w:rPr>
              <w:t>certified by the prescriber</w:t>
            </w:r>
            <w:r w:rsidRPr="00B30BA3">
              <w:rPr>
                <w:rFonts w:cs="Arial"/>
              </w:rPr>
              <w:t>, to confirm the person’s identity</w:t>
            </w:r>
            <w:r w:rsidR="00867760">
              <w:rPr>
                <w:rFonts w:cs="Arial"/>
              </w:rPr>
              <w:t>.</w:t>
            </w:r>
          </w:p>
        </w:tc>
      </w:tr>
      <w:tr w:rsidR="00BA059E" w:rsidRPr="00B30BA3" w14:paraId="0950E0E9" w14:textId="77777777" w:rsidTr="00573491">
        <w:tblPrEx>
          <w:tblBorders>
            <w:top w:val="single" w:sz="12" w:space="0" w:color="808080"/>
            <w:left w:val="single" w:sz="12" w:space="0" w:color="808080"/>
            <w:bottom w:val="single" w:sz="12" w:space="0" w:color="808080"/>
            <w:right w:val="single" w:sz="12" w:space="0" w:color="808080"/>
            <w:insideV w:val="single" w:sz="6" w:space="0" w:color="C0C0C0"/>
          </w:tblBorders>
          <w:tblLook w:val="0000" w:firstRow="0" w:lastRow="0" w:firstColumn="0" w:lastColumn="0" w:noHBand="0" w:noVBand="0"/>
        </w:tblPrEx>
        <w:tc>
          <w:tcPr>
            <w:tcW w:w="4149"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CCCBBE4" w14:textId="023DA06B" w:rsidR="00BA059E" w:rsidRPr="00B30BA3" w:rsidRDefault="00BA059E" w:rsidP="003F787E">
            <w:pPr>
              <w:pStyle w:val="DHHSbody"/>
              <w:rPr>
                <w:rFonts w:cs="Arial"/>
              </w:rPr>
            </w:pPr>
            <w:r w:rsidRPr="00B30BA3">
              <w:rPr>
                <w:rFonts w:cs="Arial"/>
                <w:shd w:val="clear" w:color="auto" w:fill="DBE5F1" w:themeFill="accent1" w:themeFillTint="33"/>
              </w:rPr>
              <w:t xml:space="preserve">Do you understand that you </w:t>
            </w:r>
            <w:r w:rsidR="006D377A">
              <w:rPr>
                <w:rFonts w:cs="Arial"/>
                <w:shd w:val="clear" w:color="auto" w:fill="DBE5F1" w:themeFill="accent1" w:themeFillTint="33"/>
              </w:rPr>
              <w:t>are required to</w:t>
            </w:r>
            <w:r w:rsidRPr="00B30BA3">
              <w:rPr>
                <w:rFonts w:cs="Arial"/>
                <w:shd w:val="clear" w:color="auto" w:fill="DBE5F1" w:themeFill="accent1" w:themeFillTint="33"/>
              </w:rPr>
              <w:t xml:space="preserve"> make provision to keep certified photographs which actually look like the patient, or alternative identification standards for all current patients</w:t>
            </w:r>
            <w:r w:rsidRPr="00B30BA3">
              <w:rPr>
                <w:rFonts w:cs="Arial"/>
              </w:rPr>
              <w:t>?</w:t>
            </w:r>
          </w:p>
        </w:tc>
        <w:tc>
          <w:tcPr>
            <w:tcW w:w="851" w:type="pct"/>
            <w:tcBorders>
              <w:top w:val="single" w:sz="12" w:space="0" w:color="auto"/>
              <w:left w:val="single" w:sz="12" w:space="0" w:color="auto"/>
              <w:bottom w:val="single" w:sz="12" w:space="0" w:color="auto"/>
              <w:right w:val="single" w:sz="12" w:space="0" w:color="auto"/>
            </w:tcBorders>
          </w:tcPr>
          <w:p w14:paraId="555127D1" w14:textId="77777777" w:rsidR="00BA059E" w:rsidRPr="00B30BA3" w:rsidRDefault="00CE59DA" w:rsidP="003F787E">
            <w:pPr>
              <w:pStyle w:val="DHHSbody"/>
              <w:rPr>
                <w:rFonts w:cs="Arial"/>
                <w:b/>
              </w:rPr>
            </w:pPr>
            <w:sdt>
              <w:sdtPr>
                <w:rPr>
                  <w:rFonts w:cs="Arial"/>
                  <w:b/>
                </w:rPr>
                <w:id w:val="1670052885"/>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25715EDC" w14:textId="77777777" w:rsidR="00BA059E" w:rsidRPr="00B30BA3" w:rsidRDefault="00CE59DA" w:rsidP="003F787E">
            <w:pPr>
              <w:pStyle w:val="DHHSbody"/>
              <w:rPr>
                <w:rFonts w:cs="Arial"/>
              </w:rPr>
            </w:pPr>
            <w:sdt>
              <w:sdtPr>
                <w:rPr>
                  <w:rFonts w:cs="Arial"/>
                  <w:b/>
                  <w:bCs/>
                </w:rPr>
                <w:id w:val="700675312"/>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bl>
    <w:p w14:paraId="5B8FB49F" w14:textId="77777777" w:rsidR="00BA059E" w:rsidRPr="00B30BA3" w:rsidRDefault="00BA059E" w:rsidP="00BA059E">
      <w:pPr>
        <w:pStyle w:val="Heading1"/>
      </w:pPr>
      <w:r w:rsidRPr="00B30BA3">
        <w:t>Prescriptions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359"/>
        <w:gridCol w:w="100"/>
        <w:gridCol w:w="1735"/>
      </w:tblGrid>
      <w:tr w:rsidR="00BA059E" w:rsidRPr="00B30BA3" w14:paraId="3E464A33" w14:textId="77777777" w:rsidTr="63D2B89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930558" w14:textId="0E38EDC6" w:rsidR="00EB7C0A" w:rsidRPr="00BD38BD" w:rsidRDefault="00BD38BD" w:rsidP="003F787E">
            <w:pPr>
              <w:pStyle w:val="DHHSbody"/>
              <w:rPr>
                <w:rFonts w:cs="Arial"/>
                <w:b/>
                <w:bCs/>
              </w:rPr>
            </w:pPr>
            <w:bookmarkStart w:id="3" w:name="_Hlk34146476"/>
            <w:r>
              <w:rPr>
                <w:rFonts w:cs="Arial"/>
                <w:b/>
                <w:bCs/>
              </w:rPr>
              <w:t xml:space="preserve">Schedule 8 </w:t>
            </w:r>
            <w:r w:rsidR="001361EE">
              <w:rPr>
                <w:rFonts w:cs="Arial"/>
                <w:b/>
                <w:bCs/>
              </w:rPr>
              <w:t>requirements</w:t>
            </w:r>
          </w:p>
          <w:p w14:paraId="33112D8D" w14:textId="61BBF42B" w:rsidR="00BA059E" w:rsidRPr="00795669" w:rsidRDefault="00BA059E" w:rsidP="003F787E">
            <w:pPr>
              <w:pStyle w:val="DHHSbody"/>
              <w:rPr>
                <w:rFonts w:cs="Arial"/>
              </w:rPr>
            </w:pPr>
            <w:r w:rsidRPr="00795669">
              <w:rPr>
                <w:rFonts w:cs="Arial"/>
              </w:rPr>
              <w:t xml:space="preserve">A pharmacist </w:t>
            </w:r>
            <w:r w:rsidRPr="00795669">
              <w:rPr>
                <w:rFonts w:cs="Arial"/>
                <w:b/>
                <w:color w:val="FF0000"/>
              </w:rPr>
              <w:t>MUST</w:t>
            </w:r>
            <w:r w:rsidRPr="00795669">
              <w:rPr>
                <w:rFonts w:cs="Arial"/>
                <w:color w:val="FF0000"/>
              </w:rPr>
              <w:t xml:space="preserve"> </w:t>
            </w:r>
            <w:r w:rsidRPr="00795669">
              <w:rPr>
                <w:rFonts w:cs="Arial"/>
              </w:rPr>
              <w:t xml:space="preserve">have lawful instructions from a prescriber before administering a Schedule 8 poison. </w:t>
            </w:r>
          </w:p>
          <w:p w14:paraId="350D4261" w14:textId="25F22BFD" w:rsidR="00BA059E" w:rsidRPr="00795669" w:rsidRDefault="00B30BA3" w:rsidP="003F787E">
            <w:pPr>
              <w:spacing w:after="160" w:line="259" w:lineRule="auto"/>
              <w:rPr>
                <w:rFonts w:cs="Arial"/>
                <w:sz w:val="20"/>
              </w:rPr>
            </w:pPr>
            <w:r w:rsidRPr="00795669">
              <w:rPr>
                <w:rFonts w:cs="Arial"/>
                <w:sz w:val="20"/>
              </w:rPr>
              <w:t xml:space="preserve">A pharmacotherapy prescription </w:t>
            </w:r>
            <w:r w:rsidRPr="00795669">
              <w:rPr>
                <w:rFonts w:cs="Arial"/>
                <w:b/>
                <w:bCs/>
                <w:color w:val="FF0000"/>
                <w:sz w:val="20"/>
              </w:rPr>
              <w:t>MUST</w:t>
            </w:r>
            <w:r w:rsidR="00BA059E" w:rsidRPr="00795669">
              <w:rPr>
                <w:rFonts w:cs="Arial"/>
                <w:sz w:val="20"/>
              </w:rPr>
              <w:t xml:space="preserve"> adhere to S8 prescription</w:t>
            </w:r>
            <w:r w:rsidRPr="00795669">
              <w:rPr>
                <w:rFonts w:cs="Arial"/>
                <w:sz w:val="20"/>
              </w:rPr>
              <w:t xml:space="preserve"> requirements</w:t>
            </w:r>
            <w:r w:rsidR="00BA059E" w:rsidRPr="00795669">
              <w:rPr>
                <w:rFonts w:cs="Arial"/>
                <w:sz w:val="20"/>
              </w:rPr>
              <w:t xml:space="preserve">, </w:t>
            </w:r>
            <w:r w:rsidR="00795669">
              <w:rPr>
                <w:rFonts w:cs="Arial"/>
                <w:sz w:val="20"/>
              </w:rPr>
              <w:t>and additionally</w:t>
            </w:r>
            <w:r w:rsidR="00BA059E" w:rsidRPr="00795669">
              <w:rPr>
                <w:rFonts w:cs="Arial"/>
                <w:sz w:val="20"/>
              </w:rPr>
              <w:t xml:space="preserve">: </w:t>
            </w:r>
          </w:p>
          <w:p w14:paraId="58B85A01" w14:textId="3AA7C501" w:rsidR="00BA059E" w:rsidRPr="00867760" w:rsidRDefault="00BA059E" w:rsidP="003B32D8">
            <w:pPr>
              <w:pStyle w:val="ListParagraph"/>
              <w:numPr>
                <w:ilvl w:val="0"/>
                <w:numId w:val="27"/>
              </w:numPr>
              <w:spacing w:after="160" w:line="259" w:lineRule="auto"/>
              <w:rPr>
                <w:rFonts w:ascii="Arial" w:hAnsi="Arial" w:cs="Arial"/>
              </w:rPr>
            </w:pPr>
            <w:r w:rsidRPr="00867760">
              <w:rPr>
                <w:rFonts w:ascii="Arial" w:hAnsi="Arial" w:cs="Arial"/>
              </w:rPr>
              <w:t>The name of designated dosing point (pharmacy)</w:t>
            </w:r>
            <w:r w:rsidR="00867760">
              <w:rPr>
                <w:rFonts w:ascii="Arial" w:hAnsi="Arial" w:cs="Arial"/>
              </w:rPr>
              <w:t xml:space="preserve"> is required</w:t>
            </w:r>
          </w:p>
          <w:p w14:paraId="3361BF3E" w14:textId="5CD04621" w:rsidR="00BA059E" w:rsidRPr="00867760" w:rsidRDefault="00BA059E" w:rsidP="003B32D8">
            <w:pPr>
              <w:pStyle w:val="ListParagraph"/>
              <w:numPr>
                <w:ilvl w:val="0"/>
                <w:numId w:val="27"/>
              </w:numPr>
              <w:spacing w:after="160" w:line="259" w:lineRule="auto"/>
              <w:rPr>
                <w:rFonts w:ascii="Arial" w:hAnsi="Arial" w:cs="Arial"/>
              </w:rPr>
            </w:pPr>
            <w:r w:rsidRPr="00867760">
              <w:rPr>
                <w:rFonts w:ascii="Arial" w:hAnsi="Arial" w:cs="Arial"/>
              </w:rPr>
              <w:t xml:space="preserve">A </w:t>
            </w:r>
            <w:r w:rsidR="009D3B34" w:rsidRPr="00867760">
              <w:rPr>
                <w:rFonts w:ascii="Arial" w:hAnsi="Arial" w:cs="Arial"/>
              </w:rPr>
              <w:t xml:space="preserve">script start date and </w:t>
            </w:r>
            <w:r w:rsidRPr="00867760">
              <w:rPr>
                <w:rFonts w:ascii="Arial" w:hAnsi="Arial" w:cs="Arial"/>
              </w:rPr>
              <w:t>expiry date is required, rather than a quantity of medication</w:t>
            </w:r>
          </w:p>
          <w:p w14:paraId="3AC1D4AE" w14:textId="6F8B71E8" w:rsidR="00BA059E" w:rsidRPr="00867760" w:rsidRDefault="00BA059E" w:rsidP="003B32D8">
            <w:pPr>
              <w:pStyle w:val="ListParagraph"/>
              <w:numPr>
                <w:ilvl w:val="0"/>
                <w:numId w:val="27"/>
              </w:numPr>
              <w:spacing w:after="160" w:line="259" w:lineRule="auto"/>
              <w:rPr>
                <w:rFonts w:ascii="Arial" w:hAnsi="Arial" w:cs="Arial"/>
              </w:rPr>
            </w:pPr>
            <w:r w:rsidRPr="00867760">
              <w:rPr>
                <w:rFonts w:ascii="Arial" w:hAnsi="Arial" w:cs="Arial"/>
              </w:rPr>
              <w:t xml:space="preserve">The </w:t>
            </w:r>
            <w:r w:rsidRPr="00867760">
              <w:rPr>
                <w:rFonts w:ascii="Arial" w:hAnsi="Arial" w:cs="Arial"/>
                <w:b/>
                <w:bCs/>
              </w:rPr>
              <w:t>dose of medication</w:t>
            </w:r>
            <w:r w:rsidR="002706CE" w:rsidRPr="00867760">
              <w:rPr>
                <w:rFonts w:ascii="Arial" w:hAnsi="Arial" w:cs="Arial"/>
              </w:rPr>
              <w:t xml:space="preserve"> </w:t>
            </w:r>
            <w:r w:rsidR="002706CE" w:rsidRPr="00867760">
              <w:rPr>
                <w:rFonts w:ascii="Arial" w:hAnsi="Arial" w:cs="Arial"/>
                <w:b/>
                <w:bCs/>
                <w:color w:val="FF0000"/>
              </w:rPr>
              <w:t>MUST</w:t>
            </w:r>
            <w:r w:rsidRPr="00867760">
              <w:rPr>
                <w:rFonts w:ascii="Arial" w:hAnsi="Arial" w:cs="Arial"/>
              </w:rPr>
              <w:t xml:space="preserve"> be </w:t>
            </w:r>
            <w:r w:rsidR="00867760" w:rsidRPr="00867760">
              <w:rPr>
                <w:rFonts w:ascii="Arial" w:hAnsi="Arial" w:cs="Arial"/>
              </w:rPr>
              <w:t xml:space="preserve">expressed </w:t>
            </w:r>
            <w:r w:rsidRPr="00867760">
              <w:rPr>
                <w:rFonts w:ascii="Arial" w:hAnsi="Arial" w:cs="Arial"/>
              </w:rPr>
              <w:t>words</w:t>
            </w:r>
            <w:r w:rsidR="00867760" w:rsidRPr="00867760">
              <w:rPr>
                <w:rFonts w:ascii="Arial" w:hAnsi="Arial" w:cs="Arial"/>
              </w:rPr>
              <w:t xml:space="preserve"> as well as figures</w:t>
            </w:r>
          </w:p>
          <w:p w14:paraId="3908D9E6" w14:textId="54585698" w:rsidR="00BA059E" w:rsidRPr="00795669" w:rsidRDefault="00BA059E" w:rsidP="003B32D8">
            <w:pPr>
              <w:pStyle w:val="ListParagraph"/>
              <w:numPr>
                <w:ilvl w:val="0"/>
                <w:numId w:val="27"/>
              </w:numPr>
              <w:spacing w:after="160" w:line="259" w:lineRule="auto"/>
              <w:rPr>
                <w:rFonts w:ascii="Arial" w:hAnsi="Arial" w:cs="Arial"/>
              </w:rPr>
            </w:pPr>
            <w:r w:rsidRPr="00795669">
              <w:rPr>
                <w:rFonts w:ascii="Arial" w:hAnsi="Arial" w:cs="Arial"/>
              </w:rPr>
              <w:t>Extra information informing dosing such as take-away or split doses</w:t>
            </w:r>
            <w:r w:rsidR="00795669">
              <w:rPr>
                <w:rFonts w:ascii="Arial" w:hAnsi="Arial" w:cs="Arial"/>
              </w:rPr>
              <w:t xml:space="preserve"> may be necessary</w:t>
            </w:r>
            <w:r w:rsidR="00F35752">
              <w:rPr>
                <w:rFonts w:ascii="Arial" w:hAnsi="Arial" w:cs="Arial"/>
              </w:rPr>
              <w:t xml:space="preserve"> </w:t>
            </w:r>
          </w:p>
          <w:p w14:paraId="239C195C" w14:textId="61CEA05F" w:rsidR="00BA059E" w:rsidRPr="00795669" w:rsidRDefault="00BA059E" w:rsidP="003F787E">
            <w:pPr>
              <w:pStyle w:val="DHHSbody"/>
              <w:rPr>
                <w:rFonts w:cs="Arial"/>
              </w:rPr>
            </w:pPr>
            <w:r w:rsidRPr="00795669">
              <w:rPr>
                <w:rFonts w:cs="Arial"/>
              </w:rPr>
              <w:t xml:space="preserve">The prescriber </w:t>
            </w:r>
            <w:r w:rsidRPr="00795669">
              <w:rPr>
                <w:rFonts w:cs="Arial"/>
                <w:b/>
                <w:color w:val="FF0000"/>
              </w:rPr>
              <w:t>MUST</w:t>
            </w:r>
            <w:r w:rsidRPr="00795669">
              <w:rPr>
                <w:rFonts w:cs="Arial"/>
                <w:color w:val="FF0000"/>
              </w:rPr>
              <w:t xml:space="preserve"> </w:t>
            </w:r>
            <w:r w:rsidRPr="00795669">
              <w:rPr>
                <w:rFonts w:cs="Arial"/>
              </w:rPr>
              <w:t xml:space="preserve">provide instructions in writing (in the form of a prescription) or (in an emergency) verbally, with written confirmation of verbal instructions to be provided as soon as practicable. </w:t>
            </w:r>
            <w:hyperlink r:id="rId33" w:history="1">
              <w:r w:rsidR="00CC1D58" w:rsidRPr="00A26ED5">
                <w:rPr>
                  <w:rStyle w:val="Hyperlink"/>
                  <w:rFonts w:cs="Arial"/>
                </w:rPr>
                <w:t>https://www2.health.vic.gov.au/public-health/drugs-and-poisons</w:t>
              </w:r>
            </w:hyperlink>
            <w:r w:rsidR="00CC1D58">
              <w:rPr>
                <w:rFonts w:cs="Arial"/>
              </w:rPr>
              <w:t xml:space="preserve"> </w:t>
            </w:r>
          </w:p>
          <w:p w14:paraId="368598DE" w14:textId="5C20B689" w:rsidR="00BA059E" w:rsidRPr="00795669" w:rsidRDefault="00BA059E" w:rsidP="003F787E">
            <w:pPr>
              <w:pStyle w:val="DHHSbody"/>
            </w:pPr>
            <w:r w:rsidRPr="63D2B899">
              <w:rPr>
                <w:rFonts w:cs="Arial"/>
                <w:b/>
                <w:bCs/>
              </w:rPr>
              <w:t>Note</w:t>
            </w:r>
            <w:r w:rsidRPr="63D2B899">
              <w:rPr>
                <w:rFonts w:cs="Arial"/>
              </w:rPr>
              <w:t xml:space="preserve">: A faxed document should be used only to </w:t>
            </w:r>
            <w:r w:rsidRPr="63D2B899">
              <w:rPr>
                <w:rFonts w:cs="Arial"/>
                <w:b/>
                <w:bCs/>
                <w:i/>
                <w:iCs/>
              </w:rPr>
              <w:t>confirm verbal instructions -</w:t>
            </w:r>
            <w:r w:rsidR="7E1BF7BF" w:rsidRPr="63D2B899">
              <w:rPr>
                <w:rFonts w:cs="Arial"/>
              </w:rPr>
              <w:t xml:space="preserve"> a faxed document </w:t>
            </w:r>
            <w:r w:rsidR="7E1BF7BF" w:rsidRPr="63D2B899">
              <w:rPr>
                <w:rFonts w:cs="Arial"/>
                <w:b/>
                <w:bCs/>
              </w:rPr>
              <w:t>alone</w:t>
            </w:r>
            <w:r w:rsidR="7E1BF7BF" w:rsidRPr="63D2B899">
              <w:rPr>
                <w:rFonts w:cs="Arial"/>
              </w:rPr>
              <w:t xml:space="preserve"> does not represent lawful authorisation.</w:t>
            </w:r>
          </w:p>
        </w:tc>
      </w:tr>
      <w:tr w:rsidR="00BA059E" w:rsidRPr="00B30BA3" w14:paraId="4BA33D3C" w14:textId="77777777" w:rsidTr="63D2B899">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99604B" w14:textId="77777777" w:rsidR="00BA059E" w:rsidRPr="00795669" w:rsidRDefault="00BA059E" w:rsidP="003F787E">
            <w:pPr>
              <w:pStyle w:val="DHHSbody"/>
              <w:rPr>
                <w:rFonts w:cs="Arial"/>
              </w:rPr>
            </w:pPr>
            <w:r w:rsidRPr="00795669">
              <w:rPr>
                <w:rFonts w:cs="Arial"/>
              </w:rPr>
              <w:t>When receiving verbal instructions from a prescriber (to authorise administration in an emergency), is it your pharmacy’s policy to request that the prescription is faxed to confirm those instructions?</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C0FE7F2" w14:textId="77777777" w:rsidR="00BA059E" w:rsidRPr="00B30BA3" w:rsidRDefault="00CE59DA" w:rsidP="003F787E">
            <w:pPr>
              <w:pStyle w:val="DHHSbody"/>
              <w:rPr>
                <w:rFonts w:cs="Arial"/>
                <w:b/>
              </w:rPr>
            </w:pPr>
            <w:sdt>
              <w:sdtPr>
                <w:rPr>
                  <w:rFonts w:cs="Arial"/>
                  <w:b/>
                </w:rPr>
                <w:id w:val="260651689"/>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094232CB" w14:textId="77777777" w:rsidR="00BA059E" w:rsidRPr="00B30BA3" w:rsidRDefault="00CE59DA" w:rsidP="003F787E">
            <w:pPr>
              <w:pStyle w:val="DHHSbody"/>
              <w:rPr>
                <w:rFonts w:cs="Arial"/>
                <w:b/>
              </w:rPr>
            </w:pPr>
            <w:sdt>
              <w:sdtPr>
                <w:rPr>
                  <w:rFonts w:cs="Arial"/>
                  <w:b/>
                  <w:bCs/>
                </w:rPr>
                <w:id w:val="-1363583111"/>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bookmarkEnd w:id="3"/>
      <w:tr w:rsidR="00BA059E" w:rsidRPr="00B30BA3" w14:paraId="0A326A33" w14:textId="77777777" w:rsidTr="63D2B899">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70F612" w14:textId="77777777" w:rsidR="00BA059E" w:rsidRPr="00B30BA3" w:rsidRDefault="00BA059E" w:rsidP="003F787E">
            <w:pPr>
              <w:pStyle w:val="DHHSbody"/>
              <w:rPr>
                <w:rFonts w:cs="Arial"/>
              </w:rPr>
            </w:pPr>
            <w:r w:rsidRPr="00B30BA3">
              <w:rPr>
                <w:rFonts w:cs="Arial"/>
              </w:rPr>
              <w:t>Following verbal instructions, is it your pharmacy’s policy to seek further instructions from the prescriber, before administering further doses, if a prescription is not provided promptly?</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189CF120" w14:textId="27AFBDA5" w:rsidR="00BA059E" w:rsidRPr="00B30BA3" w:rsidRDefault="00CE59DA" w:rsidP="003F787E">
            <w:pPr>
              <w:pStyle w:val="DHHSbody"/>
              <w:rPr>
                <w:rFonts w:cs="Arial"/>
                <w:b/>
              </w:rPr>
            </w:pPr>
            <w:sdt>
              <w:sdtPr>
                <w:rPr>
                  <w:rFonts w:cs="Arial"/>
                  <w:b/>
                </w:rPr>
                <w:id w:val="-56323410"/>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57DB1145" w14:textId="4FC8B572" w:rsidR="00BA059E" w:rsidRPr="00B30BA3" w:rsidRDefault="00CE59DA" w:rsidP="003F787E">
            <w:pPr>
              <w:pStyle w:val="DHHSbody"/>
              <w:rPr>
                <w:rFonts w:cs="Arial"/>
                <w:b/>
              </w:rPr>
            </w:pPr>
            <w:sdt>
              <w:sdtPr>
                <w:rPr>
                  <w:rFonts w:cs="Arial"/>
                  <w:b/>
                  <w:bCs/>
                </w:rPr>
                <w:id w:val="1979174642"/>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43E86619" w14:textId="77777777" w:rsidTr="63D2B89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F22668" w14:textId="7D813ADC" w:rsidR="00246B38" w:rsidRPr="00246B38" w:rsidRDefault="00EB7C0A" w:rsidP="0070319C">
            <w:pPr>
              <w:pStyle w:val="DHHSbody"/>
              <w:rPr>
                <w:rFonts w:cs="Arial"/>
                <w:b/>
                <w:bCs/>
              </w:rPr>
            </w:pPr>
            <w:r>
              <w:rPr>
                <w:rFonts w:cs="Arial"/>
                <w:b/>
                <w:bCs/>
              </w:rPr>
              <w:t>Nominated Pharmacy</w:t>
            </w:r>
          </w:p>
          <w:p w14:paraId="4B20C9BE" w14:textId="4A9A3463" w:rsidR="00BA059E" w:rsidRPr="00B30BA3" w:rsidRDefault="006843B7" w:rsidP="0070319C">
            <w:pPr>
              <w:pStyle w:val="DHHSbody"/>
              <w:rPr>
                <w:rFonts w:cs="Arial"/>
              </w:rPr>
            </w:pPr>
            <w:r>
              <w:rPr>
                <w:rFonts w:cs="Arial"/>
              </w:rPr>
              <w:t xml:space="preserve">The nominated pharmacy </w:t>
            </w:r>
            <w:r w:rsidR="006D377A">
              <w:rPr>
                <w:rFonts w:cs="Arial"/>
              </w:rPr>
              <w:t xml:space="preserve">needs to be </w:t>
            </w:r>
            <w:r>
              <w:rPr>
                <w:rFonts w:cs="Arial"/>
              </w:rPr>
              <w:t xml:space="preserve">endorsed clearly on the prescription, to </w:t>
            </w:r>
            <w:r w:rsidR="00C377D1">
              <w:rPr>
                <w:rFonts w:cs="Arial"/>
              </w:rPr>
              <w:t>ensure that the patient is receiving treatment at only one dosing point at a time.</w:t>
            </w:r>
            <w:r w:rsidR="0070319C">
              <w:rPr>
                <w:rFonts w:cs="Arial"/>
              </w:rPr>
              <w:t xml:space="preserve"> </w:t>
            </w:r>
          </w:p>
        </w:tc>
      </w:tr>
      <w:tr w:rsidR="00BA059E" w:rsidRPr="00B30BA3" w14:paraId="19DDCD3C" w14:textId="77777777" w:rsidTr="63D2B899">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A1B263" w14:textId="77777777" w:rsidR="00BA059E" w:rsidRPr="00B30BA3" w:rsidRDefault="00BA059E" w:rsidP="003F787E">
            <w:pPr>
              <w:pStyle w:val="DHHSbody"/>
              <w:rPr>
                <w:rFonts w:cs="Arial"/>
              </w:rPr>
            </w:pPr>
            <w:r w:rsidRPr="00B30BA3">
              <w:rPr>
                <w:rFonts w:cs="Arial"/>
              </w:rPr>
              <w:t>Have pharmacists been made aware that they should contact prescribers, to inform them of this responsibility, if they fail to endorse prescriptions in a manner that unambiguously identifies the dosing pharmacy?</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6745499E" w14:textId="14756D55" w:rsidR="00BA059E" w:rsidRPr="00B30BA3" w:rsidRDefault="00CE59DA" w:rsidP="003F787E">
            <w:pPr>
              <w:pStyle w:val="DHHSbody"/>
              <w:rPr>
                <w:rFonts w:cs="Arial"/>
                <w:b/>
              </w:rPr>
            </w:pPr>
            <w:sdt>
              <w:sdtPr>
                <w:rPr>
                  <w:rFonts w:cs="Arial"/>
                  <w:b/>
                </w:rPr>
                <w:id w:val="-1104425947"/>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68262171" w14:textId="75E1B415" w:rsidR="00BA059E" w:rsidRPr="00B30BA3" w:rsidRDefault="00CE59DA" w:rsidP="003F787E">
            <w:pPr>
              <w:pStyle w:val="DHHSbody"/>
              <w:rPr>
                <w:rFonts w:cs="Arial"/>
                <w:b/>
              </w:rPr>
            </w:pPr>
            <w:sdt>
              <w:sdtPr>
                <w:rPr>
                  <w:rFonts w:cs="Arial"/>
                  <w:b/>
                  <w:bCs/>
                </w:rPr>
                <w:id w:val="292567247"/>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41F65C70" w14:textId="77777777" w:rsidTr="63D2B89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49FD72" w14:textId="720781B2" w:rsidR="006B4215" w:rsidRPr="006B4215" w:rsidRDefault="002A1516" w:rsidP="003F787E">
            <w:pPr>
              <w:pStyle w:val="DHHSbody"/>
              <w:rPr>
                <w:rFonts w:cs="Arial"/>
              </w:rPr>
            </w:pPr>
            <w:r>
              <w:rPr>
                <w:rFonts w:eastAsia="Times New Roman"/>
                <w:sz w:val="21"/>
              </w:rPr>
              <w:br w:type="page"/>
            </w:r>
            <w:r w:rsidR="006B4215">
              <w:rPr>
                <w:rFonts w:cs="Arial"/>
                <w:b/>
                <w:bCs/>
              </w:rPr>
              <w:t>Prescription expiration dates</w:t>
            </w:r>
          </w:p>
          <w:p w14:paraId="5E035C3C" w14:textId="5CB8C6AE" w:rsidR="006B4215" w:rsidRPr="006B4215" w:rsidRDefault="007A1578" w:rsidP="008E5869">
            <w:pPr>
              <w:pStyle w:val="DHHSbody"/>
              <w:rPr>
                <w:rFonts w:cs="Arial"/>
              </w:rPr>
            </w:pPr>
            <w:r>
              <w:rPr>
                <w:rFonts w:cs="Arial"/>
              </w:rPr>
              <w:t xml:space="preserve">It is not uncommon to hear reports </w:t>
            </w:r>
            <w:r w:rsidR="006B4215">
              <w:rPr>
                <w:rFonts w:cs="Arial"/>
              </w:rPr>
              <w:t xml:space="preserve">of pharmacotherapy patients </w:t>
            </w:r>
            <w:r>
              <w:rPr>
                <w:rFonts w:cs="Arial"/>
              </w:rPr>
              <w:t xml:space="preserve">who have </w:t>
            </w:r>
            <w:r w:rsidR="0033347F">
              <w:rPr>
                <w:rFonts w:cs="Arial"/>
              </w:rPr>
              <w:t>received pharmacotherapy doses for a considerable time after their prescription</w:t>
            </w:r>
            <w:r w:rsidR="00761DE5">
              <w:rPr>
                <w:rFonts w:cs="Arial"/>
              </w:rPr>
              <w:t xml:space="preserve"> expiration date has lapsed.</w:t>
            </w:r>
            <w:r w:rsidR="009A7F68">
              <w:rPr>
                <w:rFonts w:cs="Arial"/>
              </w:rPr>
              <w:t xml:space="preserve"> </w:t>
            </w:r>
            <w:r w:rsidR="008E5869">
              <w:rPr>
                <w:rFonts w:cs="Arial"/>
              </w:rPr>
              <w:t xml:space="preserve">This oversight can be avoided if </w:t>
            </w:r>
            <w:r w:rsidR="006B4215" w:rsidRPr="00B30BA3">
              <w:rPr>
                <w:rFonts w:cs="Arial"/>
              </w:rPr>
              <w:t xml:space="preserve">prescription expiry dates </w:t>
            </w:r>
            <w:r w:rsidR="008E5869">
              <w:rPr>
                <w:rFonts w:cs="Arial"/>
              </w:rPr>
              <w:t xml:space="preserve">are </w:t>
            </w:r>
            <w:r w:rsidR="006B4215" w:rsidRPr="00B30BA3">
              <w:rPr>
                <w:rFonts w:cs="Arial"/>
                <w:b/>
              </w:rPr>
              <w:t>prominently</w:t>
            </w:r>
            <w:r w:rsidR="006B4215" w:rsidRPr="00B30BA3">
              <w:rPr>
                <w:rFonts w:cs="Arial"/>
              </w:rPr>
              <w:t xml:space="preserve"> recorded</w:t>
            </w:r>
            <w:r w:rsidR="008E5869">
              <w:rPr>
                <w:rFonts w:cs="Arial"/>
              </w:rPr>
              <w:t>,</w:t>
            </w:r>
            <w:r w:rsidR="006B4215" w:rsidRPr="00B30BA3">
              <w:rPr>
                <w:rFonts w:cs="Arial"/>
              </w:rPr>
              <w:t xml:space="preserve"> so that pharmacists and/or patients are aware of the need to obtain new prescriptions in a timely manner</w:t>
            </w:r>
            <w:r w:rsidR="008E5869">
              <w:rPr>
                <w:rFonts w:cs="Arial"/>
              </w:rPr>
              <w:t>.</w:t>
            </w:r>
          </w:p>
        </w:tc>
      </w:tr>
      <w:tr w:rsidR="006B4215" w:rsidRPr="00B30BA3" w14:paraId="47414F6B" w14:textId="77777777" w:rsidTr="63D2B899">
        <w:tc>
          <w:tcPr>
            <w:tcW w:w="41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C7EE5B" w14:textId="02AA5CFD" w:rsidR="006B4215" w:rsidRPr="006B4215" w:rsidRDefault="00252B6B" w:rsidP="003F787E">
            <w:pPr>
              <w:pStyle w:val="DHHSbody"/>
              <w:rPr>
                <w:rFonts w:cs="Arial"/>
              </w:rPr>
            </w:pPr>
            <w:r>
              <w:rPr>
                <w:rFonts w:cs="Arial"/>
              </w:rPr>
              <w:t>Has your pharmacy established a system by which pharmacotherapy prescription expiry dates are regularly reviewed, and are all pharmacists aware of this system?</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tcPr>
          <w:p w14:paraId="51CF545F" w14:textId="77777777" w:rsidR="006B4215" w:rsidRPr="00B30BA3" w:rsidRDefault="00CE59DA" w:rsidP="006B4215">
            <w:pPr>
              <w:pStyle w:val="DHHSbody"/>
              <w:rPr>
                <w:rFonts w:cs="Arial"/>
                <w:b/>
              </w:rPr>
            </w:pPr>
            <w:sdt>
              <w:sdtPr>
                <w:rPr>
                  <w:rFonts w:cs="Arial"/>
                  <w:b/>
                </w:rPr>
                <w:id w:val="-1999649497"/>
                <w14:checkbox>
                  <w14:checked w14:val="0"/>
                  <w14:checkedState w14:val="2612" w14:font="MS Gothic"/>
                  <w14:uncheckedState w14:val="2610" w14:font="MS Gothic"/>
                </w14:checkbox>
              </w:sdtPr>
              <w:sdtEndPr/>
              <w:sdtContent>
                <w:r w:rsidR="006B4215" w:rsidRPr="00B30BA3">
                  <w:rPr>
                    <w:rFonts w:ascii="MS Gothic" w:eastAsia="MS Gothic" w:hAnsi="MS Gothic" w:cs="Arial"/>
                    <w:b/>
                  </w:rPr>
                  <w:t>☐</w:t>
                </w:r>
              </w:sdtContent>
            </w:sdt>
            <w:r w:rsidR="006B4215" w:rsidRPr="00B30BA3">
              <w:rPr>
                <w:rFonts w:cs="Arial"/>
                <w:b/>
              </w:rPr>
              <w:t xml:space="preserve"> Yes</w:t>
            </w:r>
          </w:p>
          <w:p w14:paraId="421C0039" w14:textId="19E4B447" w:rsidR="006B4215" w:rsidRDefault="00CE59DA" w:rsidP="006B4215">
            <w:pPr>
              <w:pStyle w:val="DHHSbody"/>
              <w:rPr>
                <w:rFonts w:cs="Arial"/>
                <w:b/>
                <w:bCs/>
              </w:rPr>
            </w:pPr>
            <w:sdt>
              <w:sdtPr>
                <w:rPr>
                  <w:rFonts w:cs="Arial"/>
                  <w:b/>
                  <w:bCs/>
                </w:rPr>
                <w:id w:val="-812719201"/>
                <w14:checkbox>
                  <w14:checked w14:val="0"/>
                  <w14:checkedState w14:val="2612" w14:font="MS Gothic"/>
                  <w14:uncheckedState w14:val="2610" w14:font="MS Gothic"/>
                </w14:checkbox>
              </w:sdtPr>
              <w:sdtEndPr/>
              <w:sdtContent>
                <w:r w:rsidR="006B4215" w:rsidRPr="00B30BA3">
                  <w:rPr>
                    <w:rFonts w:ascii="MS Gothic" w:eastAsia="MS Gothic" w:hAnsi="MS Gothic" w:cs="Arial"/>
                    <w:b/>
                    <w:bCs/>
                  </w:rPr>
                  <w:t>☐</w:t>
                </w:r>
              </w:sdtContent>
            </w:sdt>
            <w:r w:rsidR="006B4215" w:rsidRPr="00B30BA3">
              <w:rPr>
                <w:rFonts w:cs="Arial"/>
                <w:b/>
                <w:bCs/>
              </w:rPr>
              <w:t xml:space="preserve"> No</w:t>
            </w:r>
          </w:p>
        </w:tc>
      </w:tr>
    </w:tbl>
    <w:p w14:paraId="65FC8B63" w14:textId="77777777" w:rsidR="004153AA" w:rsidRDefault="004153AA">
      <w:r>
        <w:br w:type="page"/>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9"/>
        <w:gridCol w:w="1735"/>
      </w:tblGrid>
      <w:tr w:rsidR="00BA059E" w:rsidRPr="00B30BA3" w14:paraId="71781FA7" w14:textId="77777777" w:rsidTr="0084452E">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235B2E3" w14:textId="711C88D3" w:rsidR="00392533" w:rsidRPr="00392533" w:rsidRDefault="00392533" w:rsidP="00FD5253">
            <w:pPr>
              <w:pStyle w:val="DHHSbody"/>
              <w:rPr>
                <w:rFonts w:cs="Arial"/>
                <w:b/>
                <w:bCs/>
              </w:rPr>
            </w:pPr>
            <w:r w:rsidRPr="00392533">
              <w:rPr>
                <w:b/>
                <w:bCs/>
              </w:rPr>
              <w:lastRenderedPageBreak/>
              <w:t>Prescriptions from prescribers in another state or territory</w:t>
            </w:r>
          </w:p>
          <w:p w14:paraId="01708561" w14:textId="240440C6" w:rsidR="00FD5253" w:rsidRDefault="00FD5253" w:rsidP="00FD5253">
            <w:pPr>
              <w:pStyle w:val="DHHSbody"/>
              <w:rPr>
                <w:rFonts w:cs="Arial"/>
              </w:rPr>
            </w:pPr>
            <w:r>
              <w:rPr>
                <w:rFonts w:cs="Arial"/>
              </w:rPr>
              <w:t xml:space="preserve">Although Victorian </w:t>
            </w:r>
            <w:r w:rsidR="00BA059E" w:rsidRPr="00B30BA3">
              <w:rPr>
                <w:rFonts w:cs="Arial"/>
              </w:rPr>
              <w:t xml:space="preserve">legislation requires prescribers in Victoria to obtain permits before prescribing </w:t>
            </w:r>
            <w:r>
              <w:rPr>
                <w:rFonts w:cs="Arial"/>
              </w:rPr>
              <w:t xml:space="preserve">pharmacotherapy medication, </w:t>
            </w:r>
            <w:r w:rsidR="00BA059E" w:rsidRPr="00B30BA3">
              <w:rPr>
                <w:rFonts w:cs="Arial"/>
              </w:rPr>
              <w:t>it has no jurisdiction over prescribers in other states or territories</w:t>
            </w:r>
            <w:r>
              <w:rPr>
                <w:rFonts w:cs="Arial"/>
              </w:rPr>
              <w:t>.</w:t>
            </w:r>
          </w:p>
          <w:p w14:paraId="5BEC417B" w14:textId="558407BD" w:rsidR="00FD5253" w:rsidRDefault="00946934" w:rsidP="00FD5253">
            <w:pPr>
              <w:pStyle w:val="DHHSbody"/>
              <w:rPr>
                <w:rFonts w:cs="Arial"/>
              </w:rPr>
            </w:pPr>
            <w:r>
              <w:rPr>
                <w:rFonts w:cs="Arial"/>
              </w:rPr>
              <w:t>B</w:t>
            </w:r>
            <w:r w:rsidR="00FD5253">
              <w:rPr>
                <w:rFonts w:cs="Arial"/>
              </w:rPr>
              <w:t>ecause a pharmacotherapy prescription from another state or territory may still be valid in Victoria, there is a risk of a concurrent Schedule 8 permit being issued to a Victorian prescriber, since this interstate permit will not be tracked in SafeScript.</w:t>
            </w:r>
          </w:p>
          <w:p w14:paraId="336CD6C5" w14:textId="354886E1" w:rsidR="00BA059E" w:rsidRPr="00FD5253" w:rsidRDefault="00946934" w:rsidP="003F787E">
            <w:pPr>
              <w:pStyle w:val="DHHSbody"/>
            </w:pPr>
            <w:r>
              <w:rPr>
                <w:rFonts w:cs="Arial"/>
              </w:rPr>
              <w:t xml:space="preserve">As a result, a pharmacist who is preparing to offer pharmacotherapy services to a patient on the basis of a prescription issued in another jurisdiction is required to notify MPR using the form </w:t>
            </w:r>
            <w:hyperlink r:id="rId34" w:history="1">
              <w:r w:rsidRPr="00EC1BDA">
                <w:rPr>
                  <w:rStyle w:val="Hyperlink"/>
                  <w:rFonts w:cs="Arial"/>
                  <w:i/>
                  <w:iCs/>
                </w:rPr>
                <w:t>“Notification of a temporary interstate transfer of a patient on opioid replacement therapy (ORT) to a Victorian Pharmacy”</w:t>
              </w:r>
            </w:hyperlink>
            <w:r w:rsidR="00F13573">
              <w:rPr>
                <w:rFonts w:cs="Arial"/>
                <w:i/>
                <w:iCs/>
              </w:rPr>
              <w:t>.</w:t>
            </w:r>
          </w:p>
        </w:tc>
      </w:tr>
      <w:tr w:rsidR="00BA059E" w:rsidRPr="00B30BA3" w14:paraId="7F1265D2" w14:textId="77777777" w:rsidTr="00572240">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632C93" w14:textId="77777777" w:rsidR="00BA059E" w:rsidRPr="00B30BA3" w:rsidRDefault="00BA059E" w:rsidP="003F787E">
            <w:pPr>
              <w:pStyle w:val="DHHSbody"/>
              <w:rPr>
                <w:rFonts w:cs="Arial"/>
                <w:bCs/>
              </w:rPr>
            </w:pPr>
            <w:r w:rsidRPr="00B30BA3">
              <w:rPr>
                <w:rFonts w:cs="Arial"/>
                <w:bCs/>
              </w:rPr>
              <w:t xml:space="preserve">Have all pharmacists been informed of the need to </w:t>
            </w:r>
            <w:r w:rsidRPr="00B30BA3">
              <w:rPr>
                <w:rFonts w:cs="Arial"/>
              </w:rPr>
              <w:t>provide relevant details of the patient and the prescriber to MPR</w:t>
            </w:r>
            <w:r w:rsidRPr="00B30BA3">
              <w:rPr>
                <w:rFonts w:cs="Arial"/>
                <w:bCs/>
              </w:rPr>
              <w:t xml:space="preserve"> when they undertake to provide ORT on the basis </w:t>
            </w:r>
            <w:r w:rsidRPr="00B30BA3">
              <w:rPr>
                <w:rFonts w:cs="Arial"/>
              </w:rPr>
              <w:t>of a prescription issued in another jurisdiction?</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FB1D43F" w14:textId="30949446" w:rsidR="00BA059E" w:rsidRPr="00B30BA3" w:rsidRDefault="00CE59DA" w:rsidP="003F787E">
            <w:pPr>
              <w:pStyle w:val="DHHSbody"/>
              <w:rPr>
                <w:rFonts w:cs="Arial"/>
                <w:b/>
              </w:rPr>
            </w:pPr>
            <w:sdt>
              <w:sdtPr>
                <w:rPr>
                  <w:rFonts w:cs="Arial"/>
                  <w:b/>
                </w:rPr>
                <w:id w:val="-2050671466"/>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642874B6" w14:textId="5BDC166D" w:rsidR="00BA059E" w:rsidRPr="00B30BA3" w:rsidRDefault="00CE59DA" w:rsidP="003F787E">
            <w:pPr>
              <w:pStyle w:val="DHHSbody"/>
              <w:rPr>
                <w:rFonts w:cs="Arial"/>
              </w:rPr>
            </w:pPr>
            <w:sdt>
              <w:sdtPr>
                <w:rPr>
                  <w:rFonts w:cs="Arial"/>
                  <w:b/>
                  <w:bCs/>
                </w:rPr>
                <w:id w:val="-2051527092"/>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bl>
    <w:p w14:paraId="346C55FC" w14:textId="77777777" w:rsidR="00F13573" w:rsidRDefault="00F13573" w:rsidP="002F4EA8">
      <w:pPr>
        <w:pStyle w:val="DHHSbody"/>
        <w:rPr>
          <w:rFonts w:cs="Arial"/>
          <w:b/>
          <w:bCs/>
          <w:color w:val="595959" w:themeColor="text1" w:themeTint="A6"/>
          <w:sz w:val="30"/>
          <w:szCs w:val="30"/>
        </w:rPr>
      </w:pPr>
    </w:p>
    <w:p w14:paraId="431C2D5C" w14:textId="34C9952B" w:rsidR="002F4EA8" w:rsidRPr="00F13573" w:rsidRDefault="002F4EA8" w:rsidP="002F4EA8">
      <w:pPr>
        <w:pStyle w:val="DHHSbody"/>
        <w:rPr>
          <w:rFonts w:cs="Arial"/>
          <w:b/>
          <w:bCs/>
          <w:color w:val="595959" w:themeColor="text1" w:themeTint="A6"/>
          <w:sz w:val="30"/>
          <w:szCs w:val="30"/>
        </w:rPr>
      </w:pPr>
      <w:r w:rsidRPr="00F13573">
        <w:rPr>
          <w:rFonts w:cs="Arial"/>
          <w:b/>
          <w:bCs/>
          <w:color w:val="595959" w:themeColor="text1" w:themeTint="A6"/>
          <w:sz w:val="30"/>
          <w:szCs w:val="30"/>
        </w:rPr>
        <w:t>SafeScript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9"/>
        <w:gridCol w:w="1735"/>
      </w:tblGrid>
      <w:tr w:rsidR="002F4EA8" w:rsidRPr="00B30BA3" w14:paraId="586B88BF" w14:textId="77777777" w:rsidTr="0A0C9397">
        <w:tc>
          <w:tcPr>
            <w:tcW w:w="5000" w:type="pct"/>
            <w:gridSpan w:val="2"/>
            <w:shd w:val="clear" w:color="auto" w:fill="auto"/>
          </w:tcPr>
          <w:p w14:paraId="2B04EC87" w14:textId="707D988A" w:rsidR="002F4EA8" w:rsidRDefault="00867760" w:rsidP="003C188E">
            <w:pPr>
              <w:pStyle w:val="DHHSbody"/>
              <w:rPr>
                <w:rFonts w:cs="Arial"/>
              </w:rPr>
            </w:pPr>
            <w:r w:rsidRPr="0A0C9397">
              <w:rPr>
                <w:rFonts w:cs="Arial"/>
              </w:rPr>
              <w:t xml:space="preserve">Pharmacists are required to use </w:t>
            </w:r>
            <w:r w:rsidR="002F4EA8" w:rsidRPr="0A0C9397">
              <w:rPr>
                <w:rFonts w:cs="Arial"/>
              </w:rPr>
              <w:t xml:space="preserve">SafeScript upon receipt of </w:t>
            </w:r>
            <w:r w:rsidR="002F4EA8" w:rsidRPr="0A0C9397">
              <w:rPr>
                <w:rFonts w:cs="Arial"/>
                <w:b/>
                <w:bCs/>
              </w:rPr>
              <w:t xml:space="preserve">each </w:t>
            </w:r>
            <w:r w:rsidR="000F2221" w:rsidRPr="0A0C9397">
              <w:rPr>
                <w:rFonts w:cs="Arial"/>
                <w:b/>
                <w:bCs/>
              </w:rPr>
              <w:t>pharmacotherapy</w:t>
            </w:r>
            <w:r w:rsidR="002F4EA8" w:rsidRPr="0A0C9397">
              <w:rPr>
                <w:rFonts w:cs="Arial"/>
                <w:b/>
                <w:bCs/>
              </w:rPr>
              <w:t xml:space="preserve"> prescription</w:t>
            </w:r>
            <w:r w:rsidR="002F4EA8" w:rsidRPr="0A0C9397">
              <w:rPr>
                <w:rFonts w:cs="Arial"/>
              </w:rPr>
              <w:t xml:space="preserve">, </w:t>
            </w:r>
            <w:r w:rsidR="006D377A" w:rsidRPr="0A0C9397">
              <w:rPr>
                <w:rFonts w:cs="Arial"/>
              </w:rPr>
              <w:t xml:space="preserve">and use </w:t>
            </w:r>
            <w:r w:rsidR="002F4EA8" w:rsidRPr="0A0C9397">
              <w:rPr>
                <w:rFonts w:cs="Arial"/>
              </w:rPr>
              <w:t>their everyday dispensing software (e.g. FRED, LOTS) to process the script – as is standard practice for any Schedule 8 medication</w:t>
            </w:r>
            <w:r w:rsidRPr="0A0C9397">
              <w:rPr>
                <w:rFonts w:cs="Arial"/>
              </w:rPr>
              <w:t>.</w:t>
            </w:r>
          </w:p>
          <w:p w14:paraId="76F2C32B" w14:textId="77777777" w:rsidR="002F4EA8" w:rsidRDefault="002F4EA8" w:rsidP="003C188E">
            <w:pPr>
              <w:pStyle w:val="DHHSbody"/>
              <w:rPr>
                <w:rFonts w:cs="Arial"/>
              </w:rPr>
            </w:pPr>
            <w:r>
              <w:rPr>
                <w:rFonts w:cs="Arial"/>
              </w:rPr>
              <w:t xml:space="preserve">As supply data is </w:t>
            </w:r>
            <w:r w:rsidRPr="00B30BA3">
              <w:rPr>
                <w:rFonts w:cs="Arial"/>
              </w:rPr>
              <w:t>transmitted to the SafeScript server through the dispensing software</w:t>
            </w:r>
            <w:r>
              <w:rPr>
                <w:rFonts w:cs="Arial"/>
              </w:rPr>
              <w:t xml:space="preserve">, failure to process pharmacotherapy prescriptions </w:t>
            </w:r>
            <w:r w:rsidRPr="00B30BA3">
              <w:rPr>
                <w:rFonts w:cs="Arial"/>
              </w:rPr>
              <w:t>in this manner</w:t>
            </w:r>
            <w:r>
              <w:rPr>
                <w:rFonts w:cs="Arial"/>
              </w:rPr>
              <w:t xml:space="preserve"> results in no supply record for that medication.</w:t>
            </w:r>
          </w:p>
          <w:p w14:paraId="5A363770" w14:textId="7C73405D" w:rsidR="002F4EA8" w:rsidRDefault="002F4EA8" w:rsidP="003C188E">
            <w:pPr>
              <w:pStyle w:val="DHHSbody"/>
              <w:rPr>
                <w:rFonts w:cs="Arial"/>
              </w:rPr>
            </w:pPr>
            <w:r>
              <w:rPr>
                <w:rFonts w:cs="Arial"/>
              </w:rPr>
              <w:t xml:space="preserve">Other electronic systems for </w:t>
            </w:r>
            <w:r w:rsidRPr="00B30BA3">
              <w:rPr>
                <w:rFonts w:cs="Arial"/>
              </w:rPr>
              <w:t xml:space="preserve">recording </w:t>
            </w:r>
            <w:r w:rsidR="004B27EE">
              <w:rPr>
                <w:rFonts w:cs="Arial"/>
              </w:rPr>
              <w:t>pharmacotherapy</w:t>
            </w:r>
            <w:r w:rsidRPr="00B30BA3">
              <w:rPr>
                <w:rFonts w:cs="Arial"/>
              </w:rPr>
              <w:t xml:space="preserve"> doses </w:t>
            </w:r>
            <w:r>
              <w:rPr>
                <w:rFonts w:cs="Arial"/>
              </w:rPr>
              <w:t xml:space="preserve">such as </w:t>
            </w:r>
            <w:r w:rsidRPr="00B30BA3">
              <w:rPr>
                <w:rFonts w:cs="Arial"/>
              </w:rPr>
              <w:t>Methsof</w:t>
            </w:r>
            <w:r>
              <w:rPr>
                <w:rFonts w:cs="Arial"/>
              </w:rPr>
              <w:t xml:space="preserve"> or </w:t>
            </w:r>
            <w:r w:rsidRPr="00B30BA3">
              <w:rPr>
                <w:rFonts w:cs="Arial"/>
              </w:rPr>
              <w:t>MethDA</w:t>
            </w:r>
            <w:r>
              <w:rPr>
                <w:rFonts w:cs="Arial"/>
              </w:rPr>
              <w:t xml:space="preserve"> </w:t>
            </w:r>
            <w:r w:rsidRPr="00B30BA3">
              <w:rPr>
                <w:rFonts w:cs="Arial"/>
              </w:rPr>
              <w:t xml:space="preserve">are not linked with SafeScript, so processing the prescription </w:t>
            </w:r>
            <w:r>
              <w:rPr>
                <w:rFonts w:cs="Arial"/>
              </w:rPr>
              <w:t xml:space="preserve">through the dispensing software </w:t>
            </w:r>
            <w:r w:rsidR="00867760">
              <w:rPr>
                <w:rFonts w:cs="Arial"/>
              </w:rPr>
              <w:t xml:space="preserve">remains necessary </w:t>
            </w:r>
            <w:r w:rsidRPr="00B30BA3">
              <w:rPr>
                <w:rFonts w:cs="Arial"/>
              </w:rPr>
              <w:t xml:space="preserve">even </w:t>
            </w:r>
            <w:r>
              <w:rPr>
                <w:rFonts w:cs="Arial"/>
              </w:rPr>
              <w:t xml:space="preserve">with </w:t>
            </w:r>
            <w:r w:rsidRPr="00B30BA3">
              <w:rPr>
                <w:rFonts w:cs="Arial"/>
              </w:rPr>
              <w:t>these systems in place</w:t>
            </w:r>
            <w:r w:rsidR="00D42EE4">
              <w:rPr>
                <w:rFonts w:cs="Arial"/>
              </w:rPr>
              <w:t>.</w:t>
            </w:r>
          </w:p>
          <w:p w14:paraId="6CF9B666" w14:textId="77777777" w:rsidR="002F4EA8" w:rsidRDefault="002F4EA8" w:rsidP="003C188E">
            <w:pPr>
              <w:pStyle w:val="DHHSbody"/>
              <w:rPr>
                <w:rFonts w:cs="Arial"/>
              </w:rPr>
            </w:pPr>
            <w:r>
              <w:rPr>
                <w:rFonts w:cs="Arial"/>
                <w:b/>
                <w:bCs/>
              </w:rPr>
              <w:t>Note:</w:t>
            </w:r>
          </w:p>
          <w:p w14:paraId="42D76AC7" w14:textId="77777777" w:rsidR="002F4EA8" w:rsidRDefault="002F4EA8" w:rsidP="003B32D8">
            <w:pPr>
              <w:pStyle w:val="DHHSbody"/>
              <w:numPr>
                <w:ilvl w:val="0"/>
                <w:numId w:val="24"/>
              </w:numPr>
              <w:rPr>
                <w:rFonts w:cs="Arial"/>
              </w:rPr>
            </w:pPr>
            <w:r>
              <w:rPr>
                <w:rFonts w:cs="Arial"/>
              </w:rPr>
              <w:t>Thi</w:t>
            </w:r>
            <w:r w:rsidRPr="00B30BA3">
              <w:rPr>
                <w:rFonts w:cs="Arial"/>
              </w:rPr>
              <w:t xml:space="preserve">s requirement relates to each prescription; </w:t>
            </w:r>
            <w:r w:rsidRPr="00B30BA3">
              <w:rPr>
                <w:rFonts w:cs="Arial"/>
                <w:b/>
              </w:rPr>
              <w:t>not</w:t>
            </w:r>
            <w:r w:rsidRPr="00B30BA3">
              <w:rPr>
                <w:rFonts w:cs="Arial"/>
              </w:rPr>
              <w:t xml:space="preserve"> to each dose that is administered or supplied</w:t>
            </w:r>
          </w:p>
          <w:p w14:paraId="5D283AB8" w14:textId="77777777" w:rsidR="002F4EA8" w:rsidRPr="00795669" w:rsidRDefault="002F4EA8" w:rsidP="003B32D8">
            <w:pPr>
              <w:pStyle w:val="DHHSbody"/>
              <w:numPr>
                <w:ilvl w:val="0"/>
                <w:numId w:val="24"/>
              </w:numPr>
              <w:rPr>
                <w:rFonts w:cs="Arial"/>
              </w:rPr>
            </w:pPr>
            <w:r>
              <w:rPr>
                <w:rFonts w:cs="Arial"/>
              </w:rPr>
              <w:t xml:space="preserve">The patient’s </w:t>
            </w:r>
            <w:r w:rsidRPr="00795669">
              <w:rPr>
                <w:rFonts w:cs="Arial"/>
                <w:b/>
                <w:bCs/>
              </w:rPr>
              <w:t>date of birth</w:t>
            </w:r>
            <w:r>
              <w:rPr>
                <w:rFonts w:cs="Arial"/>
              </w:rPr>
              <w:t xml:space="preserve"> </w:t>
            </w:r>
            <w:r w:rsidRPr="004A3443">
              <w:rPr>
                <w:rFonts w:cs="Arial"/>
                <w:b/>
                <w:bCs/>
                <w:color w:val="FF0000"/>
                <w:highlight w:val="yellow"/>
              </w:rPr>
              <w:t>MUST</w:t>
            </w:r>
            <w:r>
              <w:rPr>
                <w:rFonts w:cs="Arial"/>
              </w:rPr>
              <w:t xml:space="preserve"> </w:t>
            </w:r>
            <w:r>
              <w:t>also be recorded</w:t>
            </w:r>
          </w:p>
          <w:p w14:paraId="6B618A4B" w14:textId="77777777" w:rsidR="002F4EA8" w:rsidRDefault="002F4EA8" w:rsidP="003B32D8">
            <w:pPr>
              <w:pStyle w:val="DHHSbody"/>
              <w:numPr>
                <w:ilvl w:val="0"/>
                <w:numId w:val="24"/>
              </w:numPr>
              <w:rPr>
                <w:rFonts w:cs="Arial"/>
              </w:rPr>
            </w:pPr>
            <w:r>
              <w:rPr>
                <w:rFonts w:cs="Arial"/>
              </w:rPr>
              <w:t>Safe</w:t>
            </w:r>
            <w:r w:rsidRPr="00B30BA3">
              <w:rPr>
                <w:rFonts w:cs="Arial"/>
              </w:rPr>
              <w:t xml:space="preserve">Script should be </w:t>
            </w:r>
            <w:r w:rsidRPr="00B30BA3">
              <w:rPr>
                <w:rFonts w:cs="Arial"/>
                <w:b/>
                <w:bCs/>
              </w:rPr>
              <w:t>checked</w:t>
            </w:r>
            <w:r w:rsidRPr="00B30BA3">
              <w:rPr>
                <w:rFonts w:cs="Arial"/>
              </w:rPr>
              <w:t xml:space="preserve"> when necessary – especially when the patient’s treatment has been reviewed. This will include</w:t>
            </w:r>
            <w:r>
              <w:rPr>
                <w:rFonts w:cs="Arial"/>
              </w:rPr>
              <w:t>:</w:t>
            </w:r>
          </w:p>
          <w:p w14:paraId="18035D34" w14:textId="77777777" w:rsidR="002F4EA8" w:rsidRPr="00657966" w:rsidRDefault="002F4EA8" w:rsidP="003B32D8">
            <w:pPr>
              <w:pStyle w:val="DHHSbody"/>
              <w:numPr>
                <w:ilvl w:val="1"/>
                <w:numId w:val="28"/>
              </w:numPr>
              <w:rPr>
                <w:rFonts w:cs="Arial"/>
                <w:color w:val="FF0000"/>
              </w:rPr>
            </w:pPr>
            <w:r w:rsidRPr="00657966">
              <w:rPr>
                <w:rFonts w:cs="Arial"/>
                <w:color w:val="FF0000"/>
              </w:rPr>
              <w:t>Upon commencement of pharmacotherapy</w:t>
            </w:r>
          </w:p>
          <w:p w14:paraId="541B5467" w14:textId="77777777" w:rsidR="002F4EA8" w:rsidRPr="00657966" w:rsidRDefault="002F4EA8" w:rsidP="003B32D8">
            <w:pPr>
              <w:pStyle w:val="DHHSbody"/>
              <w:numPr>
                <w:ilvl w:val="1"/>
                <w:numId w:val="28"/>
              </w:numPr>
              <w:rPr>
                <w:rFonts w:cs="Arial"/>
                <w:color w:val="FF0000"/>
              </w:rPr>
            </w:pPr>
            <w:r w:rsidRPr="00657966">
              <w:rPr>
                <w:rFonts w:cs="Arial"/>
                <w:color w:val="FF0000"/>
              </w:rPr>
              <w:t>When transferring from another dosing point</w:t>
            </w:r>
          </w:p>
          <w:p w14:paraId="3781DC52" w14:textId="77777777" w:rsidR="002F4EA8" w:rsidRPr="00657966" w:rsidRDefault="002F4EA8" w:rsidP="003B32D8">
            <w:pPr>
              <w:pStyle w:val="DHHSbody"/>
              <w:numPr>
                <w:ilvl w:val="1"/>
                <w:numId w:val="28"/>
              </w:numPr>
              <w:rPr>
                <w:rFonts w:cs="Arial"/>
                <w:color w:val="FF0000"/>
              </w:rPr>
            </w:pPr>
            <w:r w:rsidRPr="00657966">
              <w:rPr>
                <w:rFonts w:cs="Arial"/>
                <w:color w:val="FF0000"/>
              </w:rPr>
              <w:t>Upon renewal of an expired prescription (as described above)</w:t>
            </w:r>
          </w:p>
          <w:p w14:paraId="0BEDF4A8" w14:textId="77777777" w:rsidR="002F4EA8" w:rsidRPr="00657966" w:rsidRDefault="002F4EA8" w:rsidP="003B32D8">
            <w:pPr>
              <w:pStyle w:val="DHHSbody"/>
              <w:numPr>
                <w:ilvl w:val="1"/>
                <w:numId w:val="28"/>
              </w:numPr>
              <w:rPr>
                <w:rFonts w:cs="Arial"/>
                <w:color w:val="FF0000"/>
              </w:rPr>
            </w:pPr>
            <w:r w:rsidRPr="00657966">
              <w:rPr>
                <w:rFonts w:cs="Arial"/>
                <w:color w:val="FF0000"/>
              </w:rPr>
              <w:t>Any change in the prescription – medication, dose, number of take-aways</w:t>
            </w:r>
          </w:p>
          <w:p w14:paraId="42CF93B8" w14:textId="77777777" w:rsidR="002F4EA8" w:rsidRPr="00657966" w:rsidRDefault="002F4EA8" w:rsidP="003B32D8">
            <w:pPr>
              <w:pStyle w:val="DHHSbody"/>
              <w:numPr>
                <w:ilvl w:val="1"/>
                <w:numId w:val="28"/>
              </w:numPr>
              <w:rPr>
                <w:rFonts w:cs="Arial"/>
                <w:color w:val="FF0000"/>
              </w:rPr>
            </w:pPr>
            <w:r w:rsidRPr="00657966">
              <w:rPr>
                <w:rFonts w:cs="Arial"/>
                <w:color w:val="FF0000"/>
              </w:rPr>
              <w:t>Recommencement of treatment, including after discharge from hospital or prison</w:t>
            </w:r>
          </w:p>
          <w:p w14:paraId="3062C6A6" w14:textId="77777777" w:rsidR="002F4EA8" w:rsidRPr="00B30BA3" w:rsidRDefault="002F4EA8" w:rsidP="003B32D8">
            <w:pPr>
              <w:pStyle w:val="DHHSbody"/>
              <w:numPr>
                <w:ilvl w:val="1"/>
                <w:numId w:val="28"/>
              </w:numPr>
              <w:rPr>
                <w:rFonts w:cs="Arial"/>
                <w:b/>
              </w:rPr>
            </w:pPr>
            <w:r w:rsidRPr="00657966">
              <w:rPr>
                <w:rFonts w:cs="Arial"/>
                <w:color w:val="FF0000"/>
              </w:rPr>
              <w:t>If concern has been raised about the patient’s stability in treatment</w:t>
            </w:r>
          </w:p>
        </w:tc>
      </w:tr>
      <w:tr w:rsidR="002F4EA8" w:rsidRPr="00B30BA3" w14:paraId="56BEF85F" w14:textId="77777777" w:rsidTr="0A0C9397">
        <w:tc>
          <w:tcPr>
            <w:tcW w:w="4149" w:type="pct"/>
            <w:shd w:val="clear" w:color="auto" w:fill="DBE5F1" w:themeFill="accent1" w:themeFillTint="33"/>
          </w:tcPr>
          <w:p w14:paraId="3069FB4D" w14:textId="77777777" w:rsidR="002F4EA8" w:rsidRPr="00B30BA3" w:rsidRDefault="002F4EA8" w:rsidP="003C188E">
            <w:pPr>
              <w:pStyle w:val="DHHSbody"/>
              <w:rPr>
                <w:rFonts w:cs="Arial"/>
              </w:rPr>
            </w:pPr>
            <w:r>
              <w:rPr>
                <w:rFonts w:cs="Arial"/>
              </w:rPr>
              <w:t xml:space="preserve">Are all pharmacists informed and aware of the SafeScript </w:t>
            </w:r>
            <w:r w:rsidRPr="00B30BA3">
              <w:rPr>
                <w:rFonts w:cs="Arial"/>
              </w:rPr>
              <w:t>requirement</w:t>
            </w:r>
            <w:r>
              <w:rPr>
                <w:rFonts w:cs="Arial"/>
              </w:rPr>
              <w:t>s for pharmacotherapy medications</w:t>
            </w:r>
            <w:r w:rsidRPr="00B30BA3">
              <w:rPr>
                <w:rFonts w:cs="Arial"/>
              </w:rPr>
              <w:t>?</w:t>
            </w:r>
          </w:p>
        </w:tc>
        <w:tc>
          <w:tcPr>
            <w:tcW w:w="851" w:type="pct"/>
          </w:tcPr>
          <w:p w14:paraId="6CDA92BC" w14:textId="77777777" w:rsidR="002F4EA8" w:rsidRPr="00B30BA3" w:rsidRDefault="00CE59DA" w:rsidP="003C188E">
            <w:pPr>
              <w:pStyle w:val="DHHSbody"/>
              <w:rPr>
                <w:rFonts w:cs="Arial"/>
                <w:b/>
              </w:rPr>
            </w:pPr>
            <w:sdt>
              <w:sdtPr>
                <w:rPr>
                  <w:rFonts w:cs="Arial"/>
                  <w:b/>
                </w:rPr>
                <w:id w:val="340597185"/>
                <w14:checkbox>
                  <w14:checked w14:val="0"/>
                  <w14:checkedState w14:val="2612" w14:font="MS Gothic"/>
                  <w14:uncheckedState w14:val="2610" w14:font="MS Gothic"/>
                </w14:checkbox>
              </w:sdtPr>
              <w:sdtEndPr/>
              <w:sdtContent>
                <w:r w:rsidR="002F4EA8" w:rsidRPr="00B30BA3">
                  <w:rPr>
                    <w:rFonts w:ascii="MS Gothic" w:eastAsia="MS Gothic" w:hAnsi="MS Gothic" w:cs="Arial"/>
                    <w:b/>
                  </w:rPr>
                  <w:t>☐</w:t>
                </w:r>
              </w:sdtContent>
            </w:sdt>
            <w:r w:rsidR="002F4EA8" w:rsidRPr="00B30BA3">
              <w:rPr>
                <w:rFonts w:cs="Arial"/>
                <w:b/>
              </w:rPr>
              <w:t xml:space="preserve"> Yes</w:t>
            </w:r>
          </w:p>
          <w:p w14:paraId="183C275E" w14:textId="77777777" w:rsidR="002F4EA8" w:rsidRPr="00B30BA3" w:rsidRDefault="00CE59DA" w:rsidP="003C188E">
            <w:pPr>
              <w:pStyle w:val="DHHSbody"/>
              <w:rPr>
                <w:rFonts w:cs="Arial"/>
                <w:b/>
              </w:rPr>
            </w:pPr>
            <w:sdt>
              <w:sdtPr>
                <w:rPr>
                  <w:rFonts w:cs="Arial"/>
                  <w:b/>
                  <w:bCs/>
                </w:rPr>
                <w:id w:val="1239741387"/>
                <w14:checkbox>
                  <w14:checked w14:val="0"/>
                  <w14:checkedState w14:val="2612" w14:font="MS Gothic"/>
                  <w14:uncheckedState w14:val="2610" w14:font="MS Gothic"/>
                </w14:checkbox>
              </w:sdtPr>
              <w:sdtEndPr/>
              <w:sdtContent>
                <w:r w:rsidR="002F4EA8" w:rsidRPr="00B30BA3">
                  <w:rPr>
                    <w:rFonts w:ascii="MS Gothic" w:eastAsia="MS Gothic" w:hAnsi="MS Gothic" w:cs="Arial"/>
                    <w:b/>
                    <w:bCs/>
                  </w:rPr>
                  <w:t>☐</w:t>
                </w:r>
              </w:sdtContent>
            </w:sdt>
            <w:r w:rsidR="002F4EA8" w:rsidRPr="00B30BA3">
              <w:rPr>
                <w:rFonts w:cs="Arial"/>
                <w:b/>
                <w:bCs/>
              </w:rPr>
              <w:t xml:space="preserve"> No</w:t>
            </w:r>
          </w:p>
        </w:tc>
      </w:tr>
    </w:tbl>
    <w:p w14:paraId="5CFEAC66" w14:textId="77777777" w:rsidR="009351AC" w:rsidRDefault="009351AC" w:rsidP="00BA059E">
      <w:pPr>
        <w:pStyle w:val="Heading2"/>
        <w:rPr>
          <w:sz w:val="30"/>
          <w:szCs w:val="26"/>
        </w:rPr>
      </w:pPr>
    </w:p>
    <w:p w14:paraId="0155A6FC" w14:textId="77777777" w:rsidR="009351AC" w:rsidRDefault="009351AC">
      <w:pPr>
        <w:spacing w:after="0" w:line="240" w:lineRule="auto"/>
        <w:rPr>
          <w:b/>
          <w:color w:val="53565A"/>
          <w:sz w:val="30"/>
          <w:szCs w:val="26"/>
        </w:rPr>
      </w:pPr>
      <w:r>
        <w:rPr>
          <w:sz w:val="30"/>
          <w:szCs w:val="26"/>
        </w:rPr>
        <w:br w:type="page"/>
      </w:r>
    </w:p>
    <w:p w14:paraId="7FD92538" w14:textId="3128B287" w:rsidR="00BA059E" w:rsidRPr="00F13573" w:rsidRDefault="006E4CAE" w:rsidP="00BA059E">
      <w:pPr>
        <w:pStyle w:val="Heading2"/>
        <w:rPr>
          <w:sz w:val="30"/>
          <w:szCs w:val="26"/>
        </w:rPr>
      </w:pPr>
      <w:r w:rsidRPr="00F13573">
        <w:rPr>
          <w:sz w:val="30"/>
          <w:szCs w:val="26"/>
        </w:rPr>
        <w:lastRenderedPageBreak/>
        <w:t>Pharmacotherapy records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359"/>
        <w:gridCol w:w="100"/>
        <w:gridCol w:w="1735"/>
      </w:tblGrid>
      <w:tr w:rsidR="00BA059E" w:rsidRPr="00BF5F03" w14:paraId="09BA537D" w14:textId="77777777" w:rsidTr="00A259CC">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8E12CE" w14:textId="21E67844" w:rsidR="006E4CAE" w:rsidRPr="006E4CAE" w:rsidRDefault="006E4CAE" w:rsidP="003768D4">
            <w:pPr>
              <w:pStyle w:val="DHHSbody"/>
              <w:rPr>
                <w:rFonts w:cs="Arial"/>
                <w:b/>
                <w:bCs/>
              </w:rPr>
            </w:pPr>
            <w:r w:rsidRPr="006E4CAE">
              <w:rPr>
                <w:rFonts w:cs="Arial"/>
                <w:b/>
                <w:bCs/>
              </w:rPr>
              <w:t>Patient attendance records</w:t>
            </w:r>
          </w:p>
          <w:p w14:paraId="34DEBCED" w14:textId="3501FE85" w:rsidR="003768D4" w:rsidRPr="00336B47" w:rsidRDefault="003768D4" w:rsidP="003768D4">
            <w:pPr>
              <w:pStyle w:val="DHHSbody"/>
              <w:rPr>
                <w:rFonts w:cs="Arial"/>
              </w:rPr>
            </w:pPr>
            <w:r w:rsidRPr="00336B47">
              <w:rPr>
                <w:rFonts w:cs="Arial"/>
              </w:rPr>
              <w:t xml:space="preserve">Regular </w:t>
            </w:r>
            <w:r w:rsidR="00336B47" w:rsidRPr="00336B47">
              <w:rPr>
                <w:rFonts w:cs="Arial"/>
              </w:rPr>
              <w:t xml:space="preserve">pharmacy </w:t>
            </w:r>
            <w:r w:rsidRPr="00336B47">
              <w:rPr>
                <w:rFonts w:cs="Arial"/>
              </w:rPr>
              <w:t>attendance leads to less fluctuation in blood levels of medication and greater patient stability.</w:t>
            </w:r>
          </w:p>
          <w:p w14:paraId="6002A24B" w14:textId="77777777" w:rsidR="003768D4" w:rsidRPr="00336B47" w:rsidRDefault="003768D4" w:rsidP="003768D4">
            <w:pPr>
              <w:pStyle w:val="DHHSbody"/>
              <w:rPr>
                <w:rFonts w:cs="Arial"/>
              </w:rPr>
            </w:pPr>
            <w:r w:rsidRPr="00336B47">
              <w:rPr>
                <w:rFonts w:cs="Arial"/>
              </w:rPr>
              <w:t>Irregular attendance may be indicative of aberrant drug use, or ongoing psychosocial or medical issues in the patient’s life which may benefit from counselling or treatment review.</w:t>
            </w:r>
          </w:p>
          <w:p w14:paraId="6018FB0D" w14:textId="77777777" w:rsidR="003768D4" w:rsidRPr="00336B47" w:rsidRDefault="003768D4" w:rsidP="003768D4">
            <w:pPr>
              <w:spacing w:after="160" w:line="259" w:lineRule="auto"/>
              <w:rPr>
                <w:rFonts w:cs="Arial"/>
                <w:sz w:val="20"/>
              </w:rPr>
            </w:pPr>
            <w:r w:rsidRPr="00336B47">
              <w:rPr>
                <w:rFonts w:cs="Arial"/>
                <w:sz w:val="20"/>
              </w:rPr>
              <w:t>Although a single missed dose may not be significant, the prescriber should be advised if a pattern of regularly missed doses begins to emerge.</w:t>
            </w:r>
          </w:p>
          <w:p w14:paraId="0B8B2167" w14:textId="0365A13C" w:rsidR="00BD4F9A" w:rsidRPr="00336B47" w:rsidRDefault="00BD4F9A" w:rsidP="00BD4F9A">
            <w:pPr>
              <w:pStyle w:val="DHHSbody"/>
              <w:rPr>
                <w:rFonts w:cs="Arial"/>
              </w:rPr>
            </w:pPr>
            <w:r w:rsidRPr="00336B47">
              <w:rPr>
                <w:rFonts w:cs="Arial"/>
              </w:rPr>
              <w:t>Attendance records serve as a record of patient’s day-to-day dosing. They ensure that a patient cannot receive multiple doses on the same day and assist</w:t>
            </w:r>
            <w:r w:rsidR="00336B47">
              <w:rPr>
                <w:rFonts w:cs="Arial"/>
              </w:rPr>
              <w:t xml:space="preserve"> the </w:t>
            </w:r>
            <w:r w:rsidRPr="00336B47">
              <w:rPr>
                <w:rFonts w:cs="Arial"/>
              </w:rPr>
              <w:t>pharmacist in reviewing a patient’s regularity of attendance</w:t>
            </w:r>
          </w:p>
          <w:p w14:paraId="3EB176ED" w14:textId="77777777" w:rsidR="00BD4F9A" w:rsidRPr="00BF5F03" w:rsidRDefault="00BD4F9A" w:rsidP="00BD4F9A">
            <w:pPr>
              <w:pStyle w:val="ListParagraph"/>
              <w:spacing w:after="160" w:line="259" w:lineRule="auto"/>
              <w:ind w:left="0"/>
              <w:rPr>
                <w:rFonts w:ascii="Arial" w:hAnsi="Arial" w:cs="Arial"/>
              </w:rPr>
            </w:pPr>
          </w:p>
          <w:p w14:paraId="6132BD20" w14:textId="3BCBBFAF" w:rsidR="00BD4F9A" w:rsidRPr="00BF5F03" w:rsidRDefault="00BD4F9A" w:rsidP="003F787E">
            <w:pPr>
              <w:pStyle w:val="ListParagraph"/>
              <w:spacing w:after="160" w:line="259" w:lineRule="auto"/>
              <w:ind w:left="0"/>
              <w:rPr>
                <w:rFonts w:ascii="Arial" w:hAnsi="Arial" w:cs="Arial"/>
              </w:rPr>
            </w:pPr>
            <w:r w:rsidRPr="00BF5F03">
              <w:rPr>
                <w:rFonts w:ascii="Arial" w:hAnsi="Arial" w:cs="Arial"/>
              </w:rPr>
              <w:t>As a minimum, a patient attendance record should include:</w:t>
            </w:r>
          </w:p>
          <w:p w14:paraId="16D401F6" w14:textId="77777777" w:rsidR="00BD4F9A" w:rsidRPr="00BF5F03" w:rsidRDefault="00BD4F9A" w:rsidP="003F787E">
            <w:pPr>
              <w:pStyle w:val="ListParagraph"/>
              <w:spacing w:after="160" w:line="259" w:lineRule="auto"/>
              <w:ind w:left="0"/>
              <w:rPr>
                <w:rFonts w:ascii="Arial" w:hAnsi="Arial" w:cs="Arial"/>
              </w:rPr>
            </w:pPr>
          </w:p>
          <w:p w14:paraId="3FC0FEBA" w14:textId="694DAC2F" w:rsidR="00BD4F9A" w:rsidRPr="00BF5F03" w:rsidRDefault="00BD4F9A" w:rsidP="003B32D8">
            <w:pPr>
              <w:pStyle w:val="ListParagraph"/>
              <w:numPr>
                <w:ilvl w:val="0"/>
                <w:numId w:val="25"/>
              </w:numPr>
              <w:spacing w:after="160" w:line="259" w:lineRule="auto"/>
              <w:rPr>
                <w:rFonts w:ascii="Arial" w:hAnsi="Arial" w:cs="Arial"/>
              </w:rPr>
            </w:pPr>
            <w:r w:rsidRPr="00BF5F03">
              <w:rPr>
                <w:rFonts w:ascii="Arial" w:hAnsi="Arial" w:cs="Arial"/>
              </w:rPr>
              <w:t>A certified patient photograph</w:t>
            </w:r>
          </w:p>
          <w:p w14:paraId="11C79EF6" w14:textId="3975BED6" w:rsidR="00BD4F9A" w:rsidRPr="00BF5F03" w:rsidRDefault="00BA059E" w:rsidP="003B32D8">
            <w:pPr>
              <w:pStyle w:val="ListParagraph"/>
              <w:numPr>
                <w:ilvl w:val="0"/>
                <w:numId w:val="25"/>
              </w:numPr>
              <w:spacing w:after="160" w:line="259" w:lineRule="auto"/>
              <w:rPr>
                <w:rFonts w:ascii="Arial" w:hAnsi="Arial" w:cs="Arial"/>
              </w:rPr>
            </w:pPr>
            <w:r w:rsidRPr="00BF5F03">
              <w:rPr>
                <w:rFonts w:ascii="Arial" w:hAnsi="Arial" w:cs="Arial"/>
              </w:rPr>
              <w:t xml:space="preserve">A space for </w:t>
            </w:r>
            <w:r w:rsidR="00BC7ED1">
              <w:rPr>
                <w:rFonts w:ascii="Arial" w:hAnsi="Arial" w:cs="Arial"/>
              </w:rPr>
              <w:t xml:space="preserve">a copy of </w:t>
            </w:r>
            <w:r w:rsidRPr="00BF5F03">
              <w:rPr>
                <w:rFonts w:ascii="Arial" w:hAnsi="Arial" w:cs="Arial"/>
              </w:rPr>
              <w:t>the current prescription</w:t>
            </w:r>
          </w:p>
          <w:p w14:paraId="498D96EA" w14:textId="60E85CD5" w:rsidR="00BA059E" w:rsidRPr="00BF5F03" w:rsidRDefault="00BD4F9A" w:rsidP="003B32D8">
            <w:pPr>
              <w:pStyle w:val="ListParagraph"/>
              <w:numPr>
                <w:ilvl w:val="0"/>
                <w:numId w:val="25"/>
              </w:numPr>
              <w:spacing w:after="160" w:line="259" w:lineRule="auto"/>
              <w:rPr>
                <w:rFonts w:ascii="Arial" w:hAnsi="Arial" w:cs="Arial"/>
              </w:rPr>
            </w:pPr>
            <w:r w:rsidRPr="00BF5F03">
              <w:rPr>
                <w:rFonts w:ascii="Arial" w:hAnsi="Arial" w:cs="Arial"/>
              </w:rPr>
              <w:t>The p</w:t>
            </w:r>
            <w:r w:rsidR="00BA059E" w:rsidRPr="00BF5F03">
              <w:rPr>
                <w:rFonts w:ascii="Arial" w:hAnsi="Arial" w:cs="Arial"/>
              </w:rPr>
              <w:t>rescription expiry date displayed prominently</w:t>
            </w:r>
          </w:p>
          <w:p w14:paraId="4D3E3ED1" w14:textId="183CBA04" w:rsidR="00BD4F9A" w:rsidRPr="00BF5F03" w:rsidRDefault="00BD4F9A" w:rsidP="003B32D8">
            <w:pPr>
              <w:pStyle w:val="ListParagraph"/>
              <w:numPr>
                <w:ilvl w:val="0"/>
                <w:numId w:val="25"/>
              </w:numPr>
              <w:spacing w:after="160" w:line="259" w:lineRule="auto"/>
              <w:rPr>
                <w:rFonts w:ascii="Arial" w:hAnsi="Arial" w:cs="Arial"/>
              </w:rPr>
            </w:pPr>
            <w:r w:rsidRPr="00BF5F03">
              <w:rPr>
                <w:rFonts w:ascii="Arial" w:hAnsi="Arial" w:cs="Arial"/>
              </w:rPr>
              <w:t>A daily record for the patient’s dosing which includes:</w:t>
            </w:r>
          </w:p>
          <w:p w14:paraId="208A2C15" w14:textId="77777777" w:rsidR="00BA059E" w:rsidRPr="00BF5F03" w:rsidRDefault="00BA059E" w:rsidP="003B32D8">
            <w:pPr>
              <w:pStyle w:val="ListParagraph"/>
              <w:numPr>
                <w:ilvl w:val="1"/>
                <w:numId w:val="26"/>
              </w:numPr>
              <w:spacing w:after="160" w:line="259" w:lineRule="auto"/>
              <w:rPr>
                <w:rFonts w:ascii="Arial" w:hAnsi="Arial" w:cs="Arial"/>
              </w:rPr>
            </w:pPr>
            <w:r w:rsidRPr="00BF5F03">
              <w:rPr>
                <w:rFonts w:ascii="Arial" w:hAnsi="Arial" w:cs="Arial"/>
              </w:rPr>
              <w:t>Date and time of dosing</w:t>
            </w:r>
          </w:p>
          <w:p w14:paraId="6FC9DC5F" w14:textId="77777777" w:rsidR="00BA059E" w:rsidRPr="00BF5F03" w:rsidRDefault="00BA059E" w:rsidP="003B32D8">
            <w:pPr>
              <w:pStyle w:val="ListParagraph"/>
              <w:numPr>
                <w:ilvl w:val="1"/>
                <w:numId w:val="26"/>
              </w:numPr>
              <w:spacing w:after="160" w:line="259" w:lineRule="auto"/>
              <w:rPr>
                <w:rFonts w:ascii="Arial" w:hAnsi="Arial" w:cs="Arial"/>
              </w:rPr>
            </w:pPr>
            <w:r w:rsidRPr="00BF5F03">
              <w:rPr>
                <w:rFonts w:ascii="Arial" w:hAnsi="Arial" w:cs="Arial"/>
              </w:rPr>
              <w:t>Patient signature</w:t>
            </w:r>
          </w:p>
          <w:p w14:paraId="2E1811F0" w14:textId="77777777" w:rsidR="00BA059E" w:rsidRPr="00BF5F03" w:rsidRDefault="00BA059E" w:rsidP="003B32D8">
            <w:pPr>
              <w:pStyle w:val="ListParagraph"/>
              <w:numPr>
                <w:ilvl w:val="1"/>
                <w:numId w:val="26"/>
              </w:numPr>
              <w:spacing w:after="160" w:line="259" w:lineRule="auto"/>
              <w:rPr>
                <w:rFonts w:ascii="Arial" w:hAnsi="Arial" w:cs="Arial"/>
              </w:rPr>
            </w:pPr>
            <w:r w:rsidRPr="00BF5F03">
              <w:rPr>
                <w:rFonts w:ascii="Arial" w:hAnsi="Arial" w:cs="Arial"/>
              </w:rPr>
              <w:t>Pharmacist signature</w:t>
            </w:r>
          </w:p>
          <w:p w14:paraId="6C74ED8A" w14:textId="77777777" w:rsidR="00BA059E" w:rsidRPr="00BF5F03" w:rsidRDefault="00BA059E" w:rsidP="003B32D8">
            <w:pPr>
              <w:pStyle w:val="ListParagraph"/>
              <w:numPr>
                <w:ilvl w:val="1"/>
                <w:numId w:val="26"/>
              </w:numPr>
              <w:spacing w:after="160" w:line="259" w:lineRule="auto"/>
              <w:rPr>
                <w:rFonts w:ascii="Arial" w:hAnsi="Arial" w:cs="Arial"/>
              </w:rPr>
            </w:pPr>
            <w:r w:rsidRPr="00BF5F03">
              <w:rPr>
                <w:rFonts w:ascii="Arial" w:hAnsi="Arial" w:cs="Arial"/>
              </w:rPr>
              <w:t>An indication of whether the dose has been issued as a take-away</w:t>
            </w:r>
          </w:p>
          <w:p w14:paraId="42F12B93" w14:textId="61C1EC4A" w:rsidR="00BA059E" w:rsidRPr="00BF5F03" w:rsidRDefault="00BA059E" w:rsidP="003B32D8">
            <w:pPr>
              <w:pStyle w:val="ListParagraph"/>
              <w:numPr>
                <w:ilvl w:val="1"/>
                <w:numId w:val="26"/>
              </w:numPr>
              <w:spacing w:after="160" w:line="259" w:lineRule="auto"/>
              <w:rPr>
                <w:rFonts w:ascii="Arial" w:hAnsi="Arial" w:cs="Arial"/>
              </w:rPr>
            </w:pPr>
            <w:r w:rsidRPr="00BF5F03">
              <w:rPr>
                <w:rFonts w:ascii="Arial" w:hAnsi="Arial" w:cs="Arial"/>
              </w:rPr>
              <w:t>An indication of whether a buprenorphine dose is a double or triple dose</w:t>
            </w:r>
          </w:p>
          <w:p w14:paraId="39217CDF" w14:textId="77777777" w:rsidR="00BA059E" w:rsidRPr="00BF5F03" w:rsidRDefault="00BA059E" w:rsidP="003B32D8">
            <w:pPr>
              <w:pStyle w:val="ListParagraph"/>
              <w:numPr>
                <w:ilvl w:val="1"/>
                <w:numId w:val="21"/>
              </w:numPr>
              <w:spacing w:after="160" w:line="259" w:lineRule="auto"/>
              <w:ind w:left="720"/>
              <w:rPr>
                <w:rFonts w:ascii="Arial" w:hAnsi="Arial" w:cs="Arial"/>
              </w:rPr>
            </w:pPr>
            <w:r w:rsidRPr="00BF5F03">
              <w:rPr>
                <w:rFonts w:ascii="Arial" w:hAnsi="Arial" w:cs="Arial"/>
              </w:rPr>
              <w:t>Clear and unambiguous contemporaneous notes</w:t>
            </w:r>
          </w:p>
          <w:p w14:paraId="54C04204" w14:textId="77777777" w:rsidR="00BA059E" w:rsidRPr="00BF5F03" w:rsidRDefault="00BA059E" w:rsidP="003B32D8">
            <w:pPr>
              <w:pStyle w:val="ListParagraph"/>
              <w:numPr>
                <w:ilvl w:val="2"/>
                <w:numId w:val="21"/>
              </w:numPr>
              <w:spacing w:after="160" w:line="259" w:lineRule="auto"/>
              <w:ind w:left="1440"/>
              <w:rPr>
                <w:rFonts w:ascii="Arial" w:hAnsi="Arial" w:cs="Arial"/>
              </w:rPr>
            </w:pPr>
            <w:r w:rsidRPr="00BF5F03">
              <w:rPr>
                <w:rFonts w:ascii="Arial" w:hAnsi="Arial" w:cs="Arial"/>
              </w:rPr>
              <w:t>Patient notes which are of a more sensitive nature should be recorded in a separate pharmacist communications book</w:t>
            </w:r>
          </w:p>
          <w:p w14:paraId="6EB16679" w14:textId="77777777" w:rsidR="00BA059E" w:rsidRPr="00BF5F03" w:rsidRDefault="00BA059E" w:rsidP="003F787E">
            <w:pPr>
              <w:pStyle w:val="DHHSbody"/>
              <w:rPr>
                <w:rFonts w:cs="Arial"/>
              </w:rPr>
            </w:pPr>
            <w:r w:rsidRPr="00BF5F03">
              <w:rPr>
                <w:rFonts w:cs="Arial"/>
                <w:b/>
              </w:rPr>
              <w:t>NOTE</w:t>
            </w:r>
            <w:r w:rsidRPr="00BF5F03">
              <w:rPr>
                <w:rFonts w:cs="Arial"/>
              </w:rPr>
              <w:t xml:space="preserve">:  </w:t>
            </w:r>
          </w:p>
          <w:p w14:paraId="26B513B0" w14:textId="77777777" w:rsidR="00BA059E" w:rsidRPr="00BF5F03" w:rsidRDefault="00BA059E" w:rsidP="00F2707B">
            <w:pPr>
              <w:pStyle w:val="DHHSbody"/>
              <w:numPr>
                <w:ilvl w:val="0"/>
                <w:numId w:val="10"/>
              </w:numPr>
              <w:rPr>
                <w:rFonts w:cs="Arial"/>
              </w:rPr>
            </w:pPr>
            <w:r w:rsidRPr="00BF5F03">
              <w:rPr>
                <w:rFonts w:cs="Arial"/>
              </w:rPr>
              <w:t xml:space="preserve">The administering pharmacist </w:t>
            </w:r>
            <w:r w:rsidRPr="00BF5F03">
              <w:rPr>
                <w:rFonts w:cs="Arial"/>
                <w:b/>
                <w:color w:val="FF0000"/>
              </w:rPr>
              <w:t>MUST</w:t>
            </w:r>
            <w:r w:rsidRPr="00BF5F03">
              <w:rPr>
                <w:rFonts w:cs="Arial"/>
                <w:color w:val="FF0000"/>
              </w:rPr>
              <w:t xml:space="preserve"> </w:t>
            </w:r>
            <w:r w:rsidRPr="00BF5F03">
              <w:rPr>
                <w:rFonts w:cs="Arial"/>
              </w:rPr>
              <w:t>be identified on each occasion – unless they are identified in the pharmacy’s Administration Records (see below).</w:t>
            </w:r>
          </w:p>
          <w:p w14:paraId="0BC117CA" w14:textId="77777777" w:rsidR="00BA059E" w:rsidRPr="00BF5F03" w:rsidRDefault="00BA059E" w:rsidP="00F2707B">
            <w:pPr>
              <w:pStyle w:val="ListParagraph"/>
              <w:numPr>
                <w:ilvl w:val="0"/>
                <w:numId w:val="10"/>
              </w:numPr>
              <w:spacing w:after="160" w:line="259" w:lineRule="auto"/>
              <w:rPr>
                <w:rFonts w:ascii="Arial" w:hAnsi="Arial" w:cs="Arial"/>
              </w:rPr>
            </w:pPr>
            <w:r w:rsidRPr="00BF5F03">
              <w:rPr>
                <w:rFonts w:ascii="Arial" w:hAnsi="Arial" w:cs="Arial"/>
              </w:rPr>
              <w:t xml:space="preserve">If the administering pharmacist is identified in the attendance records, rather than in the pharmacy’s administration records, the attendance records </w:t>
            </w:r>
            <w:r w:rsidRPr="00BF5F03">
              <w:rPr>
                <w:rFonts w:ascii="Arial" w:hAnsi="Arial" w:cs="Arial"/>
                <w:b/>
                <w:color w:val="FF0000"/>
              </w:rPr>
              <w:t>MUST</w:t>
            </w:r>
            <w:r w:rsidRPr="00BF5F03">
              <w:rPr>
                <w:rFonts w:ascii="Arial" w:hAnsi="Arial" w:cs="Arial"/>
                <w:color w:val="FF0000"/>
              </w:rPr>
              <w:t xml:space="preserve"> </w:t>
            </w:r>
            <w:r w:rsidRPr="00BF5F03">
              <w:rPr>
                <w:rFonts w:ascii="Arial" w:hAnsi="Arial" w:cs="Arial"/>
              </w:rPr>
              <w:t>be retained for three years.</w:t>
            </w:r>
          </w:p>
        </w:tc>
      </w:tr>
      <w:tr w:rsidR="00BF5F03" w:rsidRPr="00BF5F03" w14:paraId="3848D904" w14:textId="77777777" w:rsidTr="00BF5F03">
        <w:trPr>
          <w:trHeight w:val="841"/>
        </w:trPr>
        <w:tc>
          <w:tcPr>
            <w:tcW w:w="41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B35687" w14:textId="7C14BB5E" w:rsidR="00BF5F03" w:rsidRPr="00BF5F03" w:rsidRDefault="00BF5F03" w:rsidP="00BF5F03">
            <w:pPr>
              <w:pStyle w:val="Bullet1"/>
              <w:numPr>
                <w:ilvl w:val="0"/>
                <w:numId w:val="0"/>
              </w:numPr>
              <w:ind w:left="284"/>
              <w:rPr>
                <w:sz w:val="20"/>
              </w:rPr>
            </w:pPr>
            <w:r w:rsidRPr="00BF5F03">
              <w:rPr>
                <w:sz w:val="20"/>
              </w:rPr>
              <w:t>Has your pharmacy established patient attendance records which fulfil the requirements outlined above?</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tcPr>
          <w:p w14:paraId="2A56A9D0" w14:textId="77777777" w:rsidR="00BF5F03" w:rsidRPr="00BF5F03" w:rsidRDefault="00CE59DA" w:rsidP="00BF5F03">
            <w:pPr>
              <w:pStyle w:val="DHHSbody"/>
              <w:rPr>
                <w:rFonts w:cs="Arial"/>
                <w:b/>
              </w:rPr>
            </w:pPr>
            <w:sdt>
              <w:sdtPr>
                <w:rPr>
                  <w:rFonts w:cs="Arial"/>
                  <w:b/>
                </w:rPr>
                <w:id w:val="516278083"/>
                <w14:checkbox>
                  <w14:checked w14:val="0"/>
                  <w14:checkedState w14:val="2612" w14:font="MS Gothic"/>
                  <w14:uncheckedState w14:val="2610" w14:font="MS Gothic"/>
                </w14:checkbox>
              </w:sdtPr>
              <w:sdtEndPr/>
              <w:sdtContent>
                <w:r w:rsidR="00BF5F03" w:rsidRPr="00BF5F03">
                  <w:rPr>
                    <w:rFonts w:ascii="MS Gothic" w:eastAsia="MS Gothic" w:hAnsi="MS Gothic" w:cs="Arial"/>
                    <w:b/>
                  </w:rPr>
                  <w:t>☐</w:t>
                </w:r>
              </w:sdtContent>
            </w:sdt>
            <w:r w:rsidR="00BF5F03" w:rsidRPr="00BF5F03">
              <w:rPr>
                <w:rFonts w:cs="Arial"/>
                <w:b/>
              </w:rPr>
              <w:t xml:space="preserve"> Yes</w:t>
            </w:r>
          </w:p>
          <w:p w14:paraId="13B59604" w14:textId="18A790DA" w:rsidR="00BF5F03" w:rsidRPr="00BF5F03" w:rsidRDefault="00CE59DA" w:rsidP="00BF5F03">
            <w:pPr>
              <w:pStyle w:val="Bullet1"/>
              <w:numPr>
                <w:ilvl w:val="0"/>
                <w:numId w:val="0"/>
              </w:numPr>
              <w:ind w:left="284" w:hanging="284"/>
              <w:rPr>
                <w:sz w:val="20"/>
              </w:rPr>
            </w:pPr>
            <w:sdt>
              <w:sdtPr>
                <w:rPr>
                  <w:rFonts w:cs="Arial"/>
                  <w:b/>
                  <w:bCs/>
                  <w:sz w:val="20"/>
                </w:rPr>
                <w:id w:val="-893127838"/>
                <w14:checkbox>
                  <w14:checked w14:val="0"/>
                  <w14:checkedState w14:val="2612" w14:font="MS Gothic"/>
                  <w14:uncheckedState w14:val="2610" w14:font="MS Gothic"/>
                </w14:checkbox>
              </w:sdtPr>
              <w:sdtEndPr/>
              <w:sdtContent>
                <w:r w:rsidR="00BF5F03" w:rsidRPr="00BF5F03">
                  <w:rPr>
                    <w:rFonts w:ascii="MS Gothic" w:eastAsia="MS Gothic" w:hAnsi="MS Gothic" w:cs="Arial" w:hint="eastAsia"/>
                    <w:b/>
                    <w:bCs/>
                    <w:sz w:val="20"/>
                  </w:rPr>
                  <w:t>☐</w:t>
                </w:r>
              </w:sdtContent>
            </w:sdt>
            <w:r w:rsidR="00BF5F03" w:rsidRPr="00BF5F03">
              <w:rPr>
                <w:rFonts w:cs="Arial"/>
                <w:b/>
                <w:bCs/>
                <w:sz w:val="20"/>
              </w:rPr>
              <w:t xml:space="preserve"> No</w:t>
            </w:r>
          </w:p>
        </w:tc>
      </w:tr>
      <w:tr w:rsidR="00BA059E" w:rsidRPr="00BF5F03" w14:paraId="07628961" w14:textId="77777777" w:rsidTr="00366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auto"/>
          </w:tcPr>
          <w:p w14:paraId="3D965E2D" w14:textId="1EE3B3AA" w:rsidR="006E4CAE" w:rsidRPr="006E4CAE" w:rsidRDefault="006E4CAE" w:rsidP="003F787E">
            <w:pPr>
              <w:pStyle w:val="DHHSbody"/>
              <w:rPr>
                <w:rFonts w:cs="Arial"/>
                <w:b/>
                <w:bCs/>
              </w:rPr>
            </w:pPr>
            <w:r>
              <w:rPr>
                <w:rFonts w:cs="Arial"/>
                <w:b/>
                <w:bCs/>
              </w:rPr>
              <w:t>Dose administration records</w:t>
            </w:r>
          </w:p>
          <w:p w14:paraId="659B06D8" w14:textId="384B0369" w:rsidR="00BA059E" w:rsidRPr="00BF5F03" w:rsidRDefault="00BA059E" w:rsidP="003F787E">
            <w:pPr>
              <w:pStyle w:val="DHHSbody"/>
              <w:rPr>
                <w:rFonts w:cs="Arial"/>
              </w:rPr>
            </w:pPr>
            <w:r w:rsidRPr="00BF5F03">
              <w:rPr>
                <w:rFonts w:cs="Arial"/>
              </w:rPr>
              <w:t xml:space="preserve">A pharmacist </w:t>
            </w:r>
            <w:r w:rsidRPr="00BF5F03">
              <w:rPr>
                <w:rFonts w:cs="Arial"/>
                <w:b/>
                <w:color w:val="FF0000"/>
              </w:rPr>
              <w:t>MUST</w:t>
            </w:r>
            <w:r w:rsidRPr="00BF5F03">
              <w:rPr>
                <w:rFonts w:cs="Arial"/>
                <w:color w:val="FF0000"/>
              </w:rPr>
              <w:t xml:space="preserve"> </w:t>
            </w:r>
            <w:r w:rsidRPr="00BF5F03">
              <w:rPr>
                <w:rFonts w:cs="Arial"/>
              </w:rPr>
              <w:t xml:space="preserve">make a true and accurate record of all transactions, including the administration or supply of </w:t>
            </w:r>
            <w:r w:rsidR="00271485">
              <w:rPr>
                <w:rFonts w:cs="Arial"/>
              </w:rPr>
              <w:t>pharmacotherapy</w:t>
            </w:r>
            <w:r w:rsidRPr="00BF5F03">
              <w:rPr>
                <w:rFonts w:cs="Arial"/>
              </w:rPr>
              <w:t xml:space="preserve">. Suggested formats are contained in Appendices 8 to 12 of the </w:t>
            </w:r>
            <w:r w:rsidR="00775924">
              <w:rPr>
                <w:rFonts w:cs="Arial"/>
              </w:rPr>
              <w:t>p</w:t>
            </w:r>
            <w:r w:rsidRPr="00BF5F03">
              <w:rPr>
                <w:rFonts w:cs="Arial"/>
              </w:rPr>
              <w:t>olicy</w:t>
            </w:r>
          </w:p>
        </w:tc>
      </w:tr>
      <w:tr w:rsidR="00BA059E" w:rsidRPr="00BF5F03" w14:paraId="5522F8C7" w14:textId="77777777" w:rsidTr="00AC2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gridSpan w:val="2"/>
            <w:shd w:val="clear" w:color="auto" w:fill="DBE5F1" w:themeFill="accent1" w:themeFillTint="33"/>
          </w:tcPr>
          <w:p w14:paraId="2CE2F51D" w14:textId="222AD7D7" w:rsidR="00BA059E" w:rsidRPr="00BF5F03" w:rsidRDefault="00AC2798" w:rsidP="00AC2798">
            <w:pPr>
              <w:pStyle w:val="DHHSbody"/>
              <w:rPr>
                <w:rFonts w:cs="Arial"/>
              </w:rPr>
            </w:pPr>
            <w:r w:rsidRPr="00BF5F03">
              <w:rPr>
                <w:rFonts w:cs="Arial"/>
              </w:rPr>
              <w:t>Do the methadone administration records (for patients and total supply) at your pharmacy have a clear and consistent use of either milligram, millilitre or BOTH milligram and millilitre units to prevent misinterpretation by pharmacists?</w:t>
            </w:r>
          </w:p>
        </w:tc>
        <w:tc>
          <w:tcPr>
            <w:tcW w:w="851" w:type="pct"/>
          </w:tcPr>
          <w:p w14:paraId="19E23254" w14:textId="7A7CCF81" w:rsidR="00BA059E" w:rsidRPr="00BF5F03" w:rsidRDefault="00CE59DA" w:rsidP="003F787E">
            <w:pPr>
              <w:pStyle w:val="DHHSbody"/>
              <w:rPr>
                <w:rFonts w:cs="Arial"/>
                <w:b/>
              </w:rPr>
            </w:pPr>
            <w:sdt>
              <w:sdtPr>
                <w:rPr>
                  <w:rFonts w:cs="Arial"/>
                  <w:b/>
                </w:rPr>
                <w:id w:val="-1211258053"/>
                <w14:checkbox>
                  <w14:checked w14:val="0"/>
                  <w14:checkedState w14:val="2612" w14:font="MS Gothic"/>
                  <w14:uncheckedState w14:val="2610" w14:font="MS Gothic"/>
                </w14:checkbox>
              </w:sdtPr>
              <w:sdtEndPr/>
              <w:sdtContent>
                <w:r w:rsidR="00BA059E" w:rsidRPr="00BF5F03">
                  <w:rPr>
                    <w:rFonts w:ascii="MS Gothic" w:eastAsia="MS Gothic" w:hAnsi="MS Gothic" w:cs="Arial"/>
                    <w:b/>
                  </w:rPr>
                  <w:t>☐</w:t>
                </w:r>
              </w:sdtContent>
            </w:sdt>
            <w:r w:rsidR="00BA059E" w:rsidRPr="00BF5F03">
              <w:rPr>
                <w:rFonts w:cs="Arial"/>
                <w:b/>
              </w:rPr>
              <w:t xml:space="preserve"> Yes</w:t>
            </w:r>
          </w:p>
          <w:p w14:paraId="15B17D5C" w14:textId="5AEF5D7E" w:rsidR="00BA059E" w:rsidRPr="00BF5F03" w:rsidRDefault="00CE59DA" w:rsidP="003F787E">
            <w:pPr>
              <w:pStyle w:val="DHHSbody"/>
              <w:rPr>
                <w:rFonts w:cs="Arial"/>
                <w:b/>
                <w:bCs/>
              </w:rPr>
            </w:pPr>
            <w:sdt>
              <w:sdtPr>
                <w:rPr>
                  <w:rFonts w:cs="Arial"/>
                  <w:b/>
                  <w:bCs/>
                </w:rPr>
                <w:id w:val="582422470"/>
                <w14:checkbox>
                  <w14:checked w14:val="0"/>
                  <w14:checkedState w14:val="2612" w14:font="MS Gothic"/>
                  <w14:uncheckedState w14:val="2610" w14:font="MS Gothic"/>
                </w14:checkbox>
              </w:sdtPr>
              <w:sdtEndPr/>
              <w:sdtContent>
                <w:r w:rsidR="00BA059E" w:rsidRPr="00BF5F03">
                  <w:rPr>
                    <w:rFonts w:ascii="MS Gothic" w:eastAsia="MS Gothic" w:hAnsi="MS Gothic" w:cs="Arial"/>
                    <w:b/>
                    <w:bCs/>
                  </w:rPr>
                  <w:t>☐</w:t>
                </w:r>
              </w:sdtContent>
            </w:sdt>
            <w:r w:rsidR="00BA059E" w:rsidRPr="00BF5F03">
              <w:rPr>
                <w:rFonts w:cs="Arial"/>
                <w:b/>
                <w:bCs/>
              </w:rPr>
              <w:t xml:space="preserve"> No</w:t>
            </w:r>
          </w:p>
        </w:tc>
      </w:tr>
      <w:tr w:rsidR="00BA059E" w:rsidRPr="00BF5F03" w14:paraId="72658A75" w14:textId="77777777" w:rsidTr="00AC2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gridSpan w:val="2"/>
            <w:shd w:val="clear" w:color="auto" w:fill="DBE5F1" w:themeFill="accent1" w:themeFillTint="33"/>
          </w:tcPr>
          <w:p w14:paraId="39AED9A3" w14:textId="1D9D0F30" w:rsidR="00BA059E" w:rsidRPr="00BF5F03" w:rsidRDefault="00AC2798" w:rsidP="003F787E">
            <w:pPr>
              <w:pStyle w:val="DHHSbody"/>
              <w:rPr>
                <w:rFonts w:cs="Arial"/>
              </w:rPr>
            </w:pPr>
            <w:r w:rsidRPr="00BF5F03">
              <w:rPr>
                <w:rFonts w:cs="Arial"/>
              </w:rPr>
              <w:t>Is th</w:t>
            </w:r>
            <w:r w:rsidR="00BA059E" w:rsidRPr="00BF5F03">
              <w:rPr>
                <w:rFonts w:cs="Arial"/>
              </w:rPr>
              <w:t>e supply of take-away doses recorded in a consistent and unambiguous manner that may be readily identified by all pharmacists</w:t>
            </w:r>
            <w:r w:rsidRPr="00BF5F03">
              <w:rPr>
                <w:rFonts w:cs="Arial"/>
              </w:rPr>
              <w:t>?</w:t>
            </w:r>
          </w:p>
        </w:tc>
        <w:tc>
          <w:tcPr>
            <w:tcW w:w="851" w:type="pct"/>
          </w:tcPr>
          <w:p w14:paraId="03E018E9" w14:textId="50F6891B" w:rsidR="00BA059E" w:rsidRPr="00BF5F03" w:rsidRDefault="00CE59DA" w:rsidP="003F787E">
            <w:pPr>
              <w:pStyle w:val="DHHSbody"/>
              <w:rPr>
                <w:rFonts w:cs="Arial"/>
                <w:b/>
              </w:rPr>
            </w:pPr>
            <w:sdt>
              <w:sdtPr>
                <w:rPr>
                  <w:rFonts w:cs="Arial"/>
                  <w:b/>
                </w:rPr>
                <w:id w:val="-814490925"/>
                <w14:checkbox>
                  <w14:checked w14:val="0"/>
                  <w14:checkedState w14:val="2612" w14:font="MS Gothic"/>
                  <w14:uncheckedState w14:val="2610" w14:font="MS Gothic"/>
                </w14:checkbox>
              </w:sdtPr>
              <w:sdtEndPr/>
              <w:sdtContent>
                <w:r w:rsidR="00BA059E" w:rsidRPr="00BF5F03">
                  <w:rPr>
                    <w:rFonts w:ascii="MS Gothic" w:eastAsia="MS Gothic" w:hAnsi="MS Gothic" w:cs="Arial"/>
                    <w:b/>
                  </w:rPr>
                  <w:t>☐</w:t>
                </w:r>
              </w:sdtContent>
            </w:sdt>
            <w:r w:rsidR="00BA059E" w:rsidRPr="00BF5F03">
              <w:rPr>
                <w:rFonts w:cs="Arial"/>
                <w:b/>
              </w:rPr>
              <w:t xml:space="preserve"> Yes</w:t>
            </w:r>
          </w:p>
          <w:p w14:paraId="47285C30" w14:textId="4497CC91" w:rsidR="00BA059E" w:rsidRPr="00BF5F03" w:rsidRDefault="00CE59DA" w:rsidP="003F787E">
            <w:pPr>
              <w:pStyle w:val="DHHSbody"/>
              <w:rPr>
                <w:rFonts w:cs="Arial"/>
                <w:b/>
              </w:rPr>
            </w:pPr>
            <w:sdt>
              <w:sdtPr>
                <w:rPr>
                  <w:rFonts w:cs="Arial"/>
                  <w:b/>
                  <w:bCs/>
                </w:rPr>
                <w:id w:val="681555598"/>
                <w14:checkbox>
                  <w14:checked w14:val="0"/>
                  <w14:checkedState w14:val="2612" w14:font="MS Gothic"/>
                  <w14:uncheckedState w14:val="2610" w14:font="MS Gothic"/>
                </w14:checkbox>
              </w:sdtPr>
              <w:sdtEndPr/>
              <w:sdtContent>
                <w:r w:rsidR="00BA059E" w:rsidRPr="00BF5F03">
                  <w:rPr>
                    <w:rFonts w:ascii="MS Gothic" w:eastAsia="MS Gothic" w:hAnsi="MS Gothic" w:cs="Arial"/>
                    <w:b/>
                    <w:bCs/>
                  </w:rPr>
                  <w:t>☐</w:t>
                </w:r>
              </w:sdtContent>
            </w:sdt>
            <w:r w:rsidR="00BA059E" w:rsidRPr="00BF5F03">
              <w:rPr>
                <w:rFonts w:cs="Arial"/>
                <w:b/>
                <w:bCs/>
              </w:rPr>
              <w:t xml:space="preserve"> No</w:t>
            </w:r>
          </w:p>
        </w:tc>
      </w:tr>
      <w:tr w:rsidR="00BA059E" w:rsidRPr="00BF5F03" w14:paraId="09EC72E9" w14:textId="77777777" w:rsidTr="00AC2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gridSpan w:val="2"/>
            <w:shd w:val="clear" w:color="auto" w:fill="DBE5F1" w:themeFill="accent1" w:themeFillTint="33"/>
          </w:tcPr>
          <w:p w14:paraId="3C7D8F5C" w14:textId="327D4AC4" w:rsidR="00BA059E" w:rsidRPr="00BF5F03" w:rsidRDefault="00AC2798" w:rsidP="003F787E">
            <w:pPr>
              <w:pStyle w:val="DHHSbody"/>
              <w:rPr>
                <w:rFonts w:cs="Arial"/>
              </w:rPr>
            </w:pPr>
            <w:r w:rsidRPr="00BF5F03">
              <w:rPr>
                <w:rFonts w:cs="Arial"/>
              </w:rPr>
              <w:t>Are a</w:t>
            </w:r>
            <w:r w:rsidR="00BA059E" w:rsidRPr="00BF5F03">
              <w:rPr>
                <w:rFonts w:cs="Arial"/>
              </w:rPr>
              <w:t>dministration records kept in a manner that preserves patient confidentiality and ensures they may not be viewed by other patients?</w:t>
            </w:r>
          </w:p>
        </w:tc>
        <w:tc>
          <w:tcPr>
            <w:tcW w:w="851" w:type="pct"/>
          </w:tcPr>
          <w:p w14:paraId="37F182C8" w14:textId="67806B64" w:rsidR="00BA059E" w:rsidRPr="00BF5F03" w:rsidRDefault="00CE59DA" w:rsidP="003F787E">
            <w:pPr>
              <w:pStyle w:val="DHHSbody"/>
              <w:rPr>
                <w:rFonts w:cs="Arial"/>
                <w:b/>
              </w:rPr>
            </w:pPr>
            <w:sdt>
              <w:sdtPr>
                <w:rPr>
                  <w:rFonts w:cs="Arial"/>
                  <w:b/>
                </w:rPr>
                <w:id w:val="-1318797973"/>
                <w14:checkbox>
                  <w14:checked w14:val="0"/>
                  <w14:checkedState w14:val="2612" w14:font="MS Gothic"/>
                  <w14:uncheckedState w14:val="2610" w14:font="MS Gothic"/>
                </w14:checkbox>
              </w:sdtPr>
              <w:sdtEndPr/>
              <w:sdtContent>
                <w:r w:rsidR="00BA059E" w:rsidRPr="00BF5F03">
                  <w:rPr>
                    <w:rFonts w:ascii="MS Gothic" w:eastAsia="MS Gothic" w:hAnsi="MS Gothic" w:cs="Arial"/>
                    <w:b/>
                  </w:rPr>
                  <w:t>☐</w:t>
                </w:r>
              </w:sdtContent>
            </w:sdt>
            <w:r w:rsidR="00BA059E" w:rsidRPr="00BF5F03">
              <w:rPr>
                <w:rFonts w:cs="Arial"/>
                <w:b/>
              </w:rPr>
              <w:t xml:space="preserve"> Yes</w:t>
            </w:r>
          </w:p>
          <w:p w14:paraId="4732FBA3" w14:textId="5F78979C" w:rsidR="00BA059E" w:rsidRPr="00BF5F03" w:rsidRDefault="00CE59DA" w:rsidP="003F787E">
            <w:pPr>
              <w:pStyle w:val="DHHSbody"/>
              <w:rPr>
                <w:rFonts w:cs="Arial"/>
                <w:b/>
              </w:rPr>
            </w:pPr>
            <w:sdt>
              <w:sdtPr>
                <w:rPr>
                  <w:rFonts w:cs="Arial"/>
                  <w:b/>
                  <w:bCs/>
                </w:rPr>
                <w:id w:val="330498293"/>
                <w14:checkbox>
                  <w14:checked w14:val="0"/>
                  <w14:checkedState w14:val="2612" w14:font="MS Gothic"/>
                  <w14:uncheckedState w14:val="2610" w14:font="MS Gothic"/>
                </w14:checkbox>
              </w:sdtPr>
              <w:sdtEndPr/>
              <w:sdtContent>
                <w:r w:rsidR="00BA059E" w:rsidRPr="00BF5F03">
                  <w:rPr>
                    <w:rFonts w:ascii="MS Gothic" w:eastAsia="MS Gothic" w:hAnsi="MS Gothic" w:cs="Arial"/>
                    <w:b/>
                    <w:bCs/>
                  </w:rPr>
                  <w:t>☐</w:t>
                </w:r>
              </w:sdtContent>
            </w:sdt>
            <w:r w:rsidR="00BA059E" w:rsidRPr="00BF5F03">
              <w:rPr>
                <w:rFonts w:cs="Arial"/>
                <w:b/>
                <w:bCs/>
              </w:rPr>
              <w:t xml:space="preserve"> No</w:t>
            </w:r>
          </w:p>
        </w:tc>
      </w:tr>
    </w:tbl>
    <w:p w14:paraId="5D8C8190" w14:textId="77777777" w:rsidR="0080200D" w:rsidRDefault="0080200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552"/>
      </w:tblGrid>
      <w:tr w:rsidR="00BA059E" w:rsidRPr="00B30BA3" w14:paraId="7A3ECE74" w14:textId="77777777" w:rsidTr="00FE2170">
        <w:tc>
          <w:tcPr>
            <w:tcW w:w="5000" w:type="pct"/>
            <w:gridSpan w:val="2"/>
            <w:shd w:val="clear" w:color="auto" w:fill="auto"/>
          </w:tcPr>
          <w:p w14:paraId="22027557" w14:textId="59A9AE31" w:rsidR="00AB53B3" w:rsidRPr="00AB53B3" w:rsidRDefault="00AB53B3" w:rsidP="003F787E">
            <w:pPr>
              <w:pStyle w:val="DHHSbody"/>
              <w:rPr>
                <w:rFonts w:cs="Arial"/>
                <w:b/>
                <w:bCs/>
              </w:rPr>
            </w:pPr>
            <w:r w:rsidRPr="00AB53B3">
              <w:rPr>
                <w:b/>
                <w:bCs/>
              </w:rPr>
              <w:lastRenderedPageBreak/>
              <w:t>Recording &amp; reconciling the balance of Schedule 8 poisons</w:t>
            </w:r>
          </w:p>
          <w:p w14:paraId="1EBA4DA4" w14:textId="12AA155E" w:rsidR="00BA059E" w:rsidRPr="00B30BA3" w:rsidRDefault="00BA059E" w:rsidP="003F787E">
            <w:pPr>
              <w:pStyle w:val="DHHSbody"/>
              <w:rPr>
                <w:rFonts w:cs="Arial"/>
              </w:rPr>
            </w:pPr>
            <w:r w:rsidRPr="00B30BA3">
              <w:rPr>
                <w:rFonts w:cs="Arial"/>
              </w:rPr>
              <w:t xml:space="preserve">With Schedule 8 poisons, including </w:t>
            </w:r>
            <w:r w:rsidRPr="00B30BA3">
              <w:rPr>
                <w:rFonts w:cs="Arial"/>
                <w:b/>
              </w:rPr>
              <w:t>methadone</w:t>
            </w:r>
            <w:r w:rsidRPr="00B30BA3">
              <w:rPr>
                <w:rFonts w:cs="Arial"/>
              </w:rPr>
              <w:t xml:space="preserve"> and </w:t>
            </w:r>
            <w:r w:rsidRPr="00B30BA3">
              <w:rPr>
                <w:rFonts w:cs="Arial"/>
                <w:b/>
              </w:rPr>
              <w:t>buprenorphine</w:t>
            </w:r>
            <w:r w:rsidRPr="00B30BA3">
              <w:rPr>
                <w:rFonts w:cs="Arial"/>
              </w:rPr>
              <w:t xml:space="preserve">, a pharmacist </w:t>
            </w:r>
            <w:r w:rsidRPr="00B30BA3">
              <w:rPr>
                <w:rFonts w:cs="Arial"/>
                <w:b/>
                <w:color w:val="FF0000"/>
              </w:rPr>
              <w:t>MUST</w:t>
            </w:r>
            <w:r w:rsidRPr="00B30BA3">
              <w:rPr>
                <w:rFonts w:cs="Arial"/>
                <w:color w:val="FF0000"/>
              </w:rPr>
              <w:t xml:space="preserve"> </w:t>
            </w:r>
            <w:r w:rsidRPr="00B30BA3">
              <w:rPr>
                <w:rFonts w:cs="Arial"/>
              </w:rPr>
              <w:t>record the balance remaining after each transaction in a manner that ensures the record cannot be altered, obliterated, deleted, or removed without detection.</w:t>
            </w:r>
          </w:p>
          <w:p w14:paraId="6C413CE8" w14:textId="77777777" w:rsidR="00BA059E" w:rsidRPr="00B30BA3" w:rsidRDefault="00BA059E" w:rsidP="003F787E">
            <w:pPr>
              <w:pStyle w:val="DHHSbody"/>
            </w:pPr>
            <w:r w:rsidRPr="00B30BA3">
              <w:rPr>
                <w:rFonts w:cs="Arial"/>
                <w:b/>
              </w:rPr>
              <w:t>NOTE</w:t>
            </w:r>
            <w:r w:rsidRPr="00B30BA3">
              <w:rPr>
                <w:rFonts w:cs="Arial"/>
              </w:rPr>
              <w:t xml:space="preserve">: The minimum standard required to comply with this requirement involves recording the </w:t>
            </w:r>
            <w:r w:rsidRPr="00B30BA3">
              <w:rPr>
                <w:rFonts w:cs="Arial"/>
                <w:b/>
              </w:rPr>
              <w:t>calculated</w:t>
            </w:r>
            <w:r w:rsidRPr="00B30BA3">
              <w:rPr>
                <w:rFonts w:cs="Arial"/>
              </w:rPr>
              <w:t xml:space="preserve"> balance in an appropriate form (e.g. Drug Register) </w:t>
            </w:r>
            <w:r w:rsidRPr="00B30BA3">
              <w:rPr>
                <w:rFonts w:cs="Arial"/>
                <w:b/>
              </w:rPr>
              <w:t>at least daily</w:t>
            </w:r>
            <w:r w:rsidRPr="00B30BA3">
              <w:rPr>
                <w:rFonts w:cs="Arial"/>
              </w:rPr>
              <w:t>.</w:t>
            </w:r>
          </w:p>
          <w:p w14:paraId="1DCA7031" w14:textId="380F08BE" w:rsidR="00BA059E" w:rsidRPr="005F7A6A" w:rsidRDefault="00BA059E" w:rsidP="003F787E">
            <w:pPr>
              <w:spacing w:after="160" w:line="259" w:lineRule="auto"/>
              <w:rPr>
                <w:rFonts w:cs="Arial"/>
                <w:i/>
                <w:iCs/>
                <w:sz w:val="20"/>
              </w:rPr>
            </w:pPr>
            <w:r w:rsidRPr="005F7A6A">
              <w:rPr>
                <w:rFonts w:cs="Arial"/>
                <w:i/>
                <w:iCs/>
                <w:sz w:val="20"/>
              </w:rPr>
              <w:t>Some pharmacies record dose quantities in a separate record (another book or a spreadsheet) as they dispense throughout the day. This is acceptable, contingent upon the totals of each medication being recorded formally at the end of the da</w:t>
            </w:r>
            <w:r w:rsidR="00690A98">
              <w:rPr>
                <w:rFonts w:cs="Arial"/>
                <w:i/>
                <w:iCs/>
                <w:sz w:val="20"/>
              </w:rPr>
              <w:t>y.</w:t>
            </w:r>
          </w:p>
        </w:tc>
      </w:tr>
      <w:tr w:rsidR="005C6C5A" w:rsidRPr="00B30BA3" w14:paraId="0D64A3CA" w14:textId="77777777" w:rsidTr="005C6C5A">
        <w:tblPrEx>
          <w:tblLook w:val="0000" w:firstRow="0" w:lastRow="0" w:firstColumn="0" w:lastColumn="0" w:noHBand="0" w:noVBand="0"/>
        </w:tblPrEx>
        <w:trPr>
          <w:trHeight w:val="1503"/>
        </w:trPr>
        <w:tc>
          <w:tcPr>
            <w:tcW w:w="5000" w:type="pct"/>
            <w:gridSpan w:val="2"/>
            <w:shd w:val="clear" w:color="auto" w:fill="auto"/>
          </w:tcPr>
          <w:p w14:paraId="01BBA977" w14:textId="77777777" w:rsidR="005C6C5A" w:rsidRPr="00B30BA3" w:rsidRDefault="005C6C5A" w:rsidP="003F787E">
            <w:pPr>
              <w:pStyle w:val="DHHSbody"/>
              <w:rPr>
                <w:rFonts w:cs="Arial"/>
              </w:rPr>
            </w:pPr>
            <w:r w:rsidRPr="00B30BA3">
              <w:rPr>
                <w:rFonts w:cs="Arial"/>
              </w:rPr>
              <w:t xml:space="preserve">To ensure the </w:t>
            </w:r>
            <w:r w:rsidRPr="00B30BA3">
              <w:rPr>
                <w:rFonts w:cs="Arial"/>
                <w:b/>
              </w:rPr>
              <w:t>recorded</w:t>
            </w:r>
            <w:r w:rsidRPr="00B30BA3">
              <w:rPr>
                <w:rFonts w:cs="Arial"/>
              </w:rPr>
              <w:t xml:space="preserve"> balance is </w:t>
            </w:r>
            <w:r w:rsidRPr="00B30BA3">
              <w:rPr>
                <w:rFonts w:cs="Arial"/>
                <w:b/>
              </w:rPr>
              <w:t>true</w:t>
            </w:r>
            <w:r w:rsidRPr="00B30BA3">
              <w:rPr>
                <w:rFonts w:cs="Arial"/>
              </w:rPr>
              <w:t xml:space="preserve"> and </w:t>
            </w:r>
            <w:r w:rsidRPr="00B30BA3">
              <w:rPr>
                <w:rFonts w:cs="Arial"/>
                <w:b/>
              </w:rPr>
              <w:t>accurate</w:t>
            </w:r>
            <w:r w:rsidRPr="00B30BA3">
              <w:rPr>
                <w:rFonts w:cs="Arial"/>
              </w:rPr>
              <w:t xml:space="preserve">, it should be reconciled with the </w:t>
            </w:r>
            <w:r w:rsidRPr="00B30BA3">
              <w:rPr>
                <w:rFonts w:cs="Arial"/>
                <w:b/>
              </w:rPr>
              <w:t>actual</w:t>
            </w:r>
            <w:r w:rsidRPr="00B30BA3">
              <w:rPr>
                <w:rFonts w:cs="Arial"/>
              </w:rPr>
              <w:t xml:space="preserve"> balance on a regular basis.</w:t>
            </w:r>
            <w:r>
              <w:rPr>
                <w:rFonts w:cs="Arial"/>
              </w:rPr>
              <w:t xml:space="preserve"> This may involve a weekly stock check, or a stock check upon receipt of new stock.</w:t>
            </w:r>
          </w:p>
          <w:p w14:paraId="635D4D20" w14:textId="207F2CAB" w:rsidR="005C6C5A" w:rsidRPr="00B30BA3" w:rsidRDefault="005C6C5A" w:rsidP="005C6C5A">
            <w:pPr>
              <w:pStyle w:val="DHHSbody"/>
              <w:rPr>
                <w:rFonts w:cs="Arial"/>
              </w:rPr>
            </w:pPr>
            <w:r w:rsidRPr="00B30BA3">
              <w:rPr>
                <w:rFonts w:cs="Arial"/>
                <w:b/>
              </w:rPr>
              <w:t>NOTE</w:t>
            </w:r>
            <w:r w:rsidRPr="00B30BA3">
              <w:rPr>
                <w:rFonts w:cs="Arial"/>
              </w:rPr>
              <w:t xml:space="preserve">: Any discrepancies in a Schedule 8 poison </w:t>
            </w:r>
            <w:r w:rsidRPr="00B30BA3">
              <w:rPr>
                <w:rFonts w:cs="Arial"/>
                <w:b/>
                <w:color w:val="FF0000"/>
              </w:rPr>
              <w:t>MUST</w:t>
            </w:r>
            <w:r w:rsidRPr="00B30BA3">
              <w:rPr>
                <w:rFonts w:cs="Arial"/>
                <w:color w:val="FF0000"/>
              </w:rPr>
              <w:t xml:space="preserve"> </w:t>
            </w:r>
            <w:r w:rsidRPr="00B30BA3">
              <w:rPr>
                <w:rFonts w:cs="Arial"/>
              </w:rPr>
              <w:t xml:space="preserve">be investigated immediately with any unresolved discrepancies reported promptly to MPR. </w:t>
            </w:r>
            <w:hyperlink r:id="rId35" w:history="1">
              <w:r w:rsidRPr="00B30BA3">
                <w:rPr>
                  <w:rStyle w:val="Hyperlink"/>
                  <w:rFonts w:cs="Arial"/>
                </w:rPr>
                <w:t>dpcs@health.vic.gov.au</w:t>
              </w:r>
            </w:hyperlink>
          </w:p>
        </w:tc>
      </w:tr>
      <w:tr w:rsidR="00BF5F03" w:rsidRPr="00B30BA3" w14:paraId="68C132FC" w14:textId="77777777" w:rsidTr="00BF5F03">
        <w:tblPrEx>
          <w:tblLook w:val="0000" w:firstRow="0" w:lastRow="0" w:firstColumn="0" w:lastColumn="0" w:noHBand="0" w:noVBand="0"/>
        </w:tblPrEx>
        <w:trPr>
          <w:trHeight w:val="784"/>
        </w:trPr>
        <w:tc>
          <w:tcPr>
            <w:tcW w:w="4239" w:type="pct"/>
            <w:shd w:val="clear" w:color="auto" w:fill="DBE5F1" w:themeFill="accent1" w:themeFillTint="33"/>
          </w:tcPr>
          <w:p w14:paraId="04B3CCDA" w14:textId="6E6965B5" w:rsidR="00BF5F03" w:rsidRPr="00B30BA3" w:rsidRDefault="00BF5F03" w:rsidP="00BF5F03">
            <w:pPr>
              <w:pStyle w:val="DHHSbody"/>
              <w:rPr>
                <w:rFonts w:cs="Arial"/>
              </w:rPr>
            </w:pPr>
            <w:r>
              <w:rPr>
                <w:rFonts w:cs="Arial"/>
              </w:rPr>
              <w:t>Has your pharmacy established a system of recording and reconciling the balance of your Schedule 8 pharmacotherapy medications which fulfils the requirements outlined above?</w:t>
            </w:r>
          </w:p>
        </w:tc>
        <w:tc>
          <w:tcPr>
            <w:tcW w:w="761" w:type="pct"/>
          </w:tcPr>
          <w:p w14:paraId="0233409C" w14:textId="77777777" w:rsidR="00BF5F03" w:rsidRPr="00B30BA3" w:rsidRDefault="00CE59DA" w:rsidP="00BF5F03">
            <w:pPr>
              <w:pStyle w:val="DHHSbody"/>
              <w:rPr>
                <w:rFonts w:cs="Arial"/>
                <w:b/>
              </w:rPr>
            </w:pPr>
            <w:sdt>
              <w:sdtPr>
                <w:rPr>
                  <w:rFonts w:cs="Arial"/>
                  <w:b/>
                </w:rPr>
                <w:id w:val="1186175261"/>
                <w14:checkbox>
                  <w14:checked w14:val="0"/>
                  <w14:checkedState w14:val="2612" w14:font="MS Gothic"/>
                  <w14:uncheckedState w14:val="2610" w14:font="MS Gothic"/>
                </w14:checkbox>
              </w:sdtPr>
              <w:sdtEndPr/>
              <w:sdtContent>
                <w:r w:rsidR="00BF5F03" w:rsidRPr="00B30BA3">
                  <w:rPr>
                    <w:rFonts w:ascii="MS Gothic" w:eastAsia="MS Gothic" w:hAnsi="MS Gothic" w:cs="Arial"/>
                    <w:b/>
                  </w:rPr>
                  <w:t>☐</w:t>
                </w:r>
              </w:sdtContent>
            </w:sdt>
            <w:r w:rsidR="00BF5F03" w:rsidRPr="00B30BA3">
              <w:rPr>
                <w:rFonts w:cs="Arial"/>
                <w:b/>
              </w:rPr>
              <w:t xml:space="preserve"> Yes</w:t>
            </w:r>
          </w:p>
          <w:p w14:paraId="10A6C431" w14:textId="3474C30C" w:rsidR="00BF5F03" w:rsidRPr="00B30BA3" w:rsidRDefault="00CE59DA" w:rsidP="00BF5F03">
            <w:pPr>
              <w:pStyle w:val="DHHSbody"/>
              <w:rPr>
                <w:rFonts w:cs="Arial"/>
              </w:rPr>
            </w:pPr>
            <w:sdt>
              <w:sdtPr>
                <w:rPr>
                  <w:rFonts w:cs="Arial"/>
                  <w:b/>
                  <w:bCs/>
                </w:rPr>
                <w:id w:val="1101616416"/>
                <w14:checkbox>
                  <w14:checked w14:val="0"/>
                  <w14:checkedState w14:val="2612" w14:font="MS Gothic"/>
                  <w14:uncheckedState w14:val="2610" w14:font="MS Gothic"/>
                </w14:checkbox>
              </w:sdtPr>
              <w:sdtEndPr/>
              <w:sdtContent>
                <w:r w:rsidR="00BF5F03">
                  <w:rPr>
                    <w:rFonts w:ascii="MS Gothic" w:eastAsia="MS Gothic" w:hAnsi="MS Gothic" w:cs="Arial" w:hint="eastAsia"/>
                    <w:b/>
                    <w:bCs/>
                  </w:rPr>
                  <w:t>☐</w:t>
                </w:r>
              </w:sdtContent>
            </w:sdt>
            <w:r w:rsidR="00BF5F03" w:rsidRPr="00B30BA3">
              <w:rPr>
                <w:rFonts w:cs="Arial"/>
                <w:b/>
                <w:bCs/>
              </w:rPr>
              <w:t xml:space="preserve"> No</w:t>
            </w:r>
          </w:p>
        </w:tc>
      </w:tr>
    </w:tbl>
    <w:p w14:paraId="77128413" w14:textId="3C49FD40" w:rsidR="00BA059E" w:rsidRPr="002F5E76" w:rsidRDefault="007764E8" w:rsidP="00BA059E">
      <w:pPr>
        <w:pStyle w:val="Heading1"/>
        <w:rPr>
          <w:b/>
          <w:bCs w:val="0"/>
          <w:color w:val="595959" w:themeColor="text1" w:themeTint="A6"/>
          <w:sz w:val="30"/>
          <w:szCs w:val="30"/>
        </w:rPr>
      </w:pPr>
      <w:r w:rsidRPr="002F5E76">
        <w:rPr>
          <w:b/>
          <w:bCs w:val="0"/>
          <w:color w:val="595959" w:themeColor="text1" w:themeTint="A6"/>
          <w:sz w:val="30"/>
          <w:szCs w:val="30"/>
        </w:rPr>
        <w:t>Stock management consideration</w:t>
      </w:r>
      <w:r w:rsidR="002F5E76">
        <w:rPr>
          <w:b/>
          <w:bCs w:val="0"/>
          <w:color w:val="595959" w:themeColor="text1" w:themeTint="A6"/>
          <w:sz w:val="30"/>
          <w:szCs w:val="30"/>
        </w:rPr>
        <w:t>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359"/>
        <w:gridCol w:w="100"/>
        <w:gridCol w:w="1735"/>
      </w:tblGrid>
      <w:tr w:rsidR="00BA059E" w:rsidRPr="00B30BA3" w14:paraId="0A5B3E5C" w14:textId="77777777" w:rsidTr="00FE217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1B7EC3" w14:textId="15D536C1" w:rsidR="004A0C66" w:rsidRPr="004A0C66" w:rsidRDefault="004A0C66" w:rsidP="003F787E">
            <w:pPr>
              <w:pStyle w:val="DHHSbody"/>
              <w:rPr>
                <w:rFonts w:cs="Arial"/>
                <w:b/>
              </w:rPr>
            </w:pPr>
            <w:r>
              <w:rPr>
                <w:rFonts w:cs="Arial"/>
                <w:b/>
              </w:rPr>
              <w:t>Storage of pharmacotherapy medicines</w:t>
            </w:r>
          </w:p>
          <w:p w14:paraId="703708D8" w14:textId="66F25108" w:rsidR="00BA059E" w:rsidRPr="00396CE8" w:rsidRDefault="00BA059E" w:rsidP="003F787E">
            <w:pPr>
              <w:pStyle w:val="DHHSbody"/>
              <w:rPr>
                <w:rFonts w:cs="Arial"/>
              </w:rPr>
            </w:pPr>
            <w:r w:rsidRPr="00B30BA3">
              <w:rPr>
                <w:rFonts w:cs="Arial"/>
                <w:b/>
              </w:rPr>
              <w:t>ALL</w:t>
            </w:r>
            <w:r w:rsidRPr="00B30BA3">
              <w:rPr>
                <w:rFonts w:cs="Arial"/>
              </w:rPr>
              <w:t xml:space="preserve"> methadone and buprenorphine </w:t>
            </w:r>
            <w:r w:rsidRPr="00B30BA3">
              <w:rPr>
                <w:rFonts w:cs="Arial"/>
                <w:b/>
                <w:color w:val="FF0000"/>
              </w:rPr>
              <w:t>MUST</w:t>
            </w:r>
            <w:r w:rsidRPr="00B30BA3">
              <w:rPr>
                <w:rFonts w:cs="Arial"/>
                <w:color w:val="FF0000"/>
              </w:rPr>
              <w:t xml:space="preserve"> </w:t>
            </w:r>
            <w:r w:rsidRPr="00B30BA3">
              <w:rPr>
                <w:rFonts w:cs="Arial"/>
              </w:rPr>
              <w:t xml:space="preserve">be stored in a safe or Schedule 8 drug cabinet when not actually required for administration and </w:t>
            </w:r>
            <w:r w:rsidRPr="00B30BA3">
              <w:rPr>
                <w:rFonts w:cs="Arial"/>
                <w:b/>
              </w:rPr>
              <w:t>always</w:t>
            </w:r>
            <w:r w:rsidRPr="00B30BA3">
              <w:rPr>
                <w:rFonts w:cs="Arial"/>
              </w:rPr>
              <w:t xml:space="preserve"> at the end of the day.</w:t>
            </w:r>
          </w:p>
        </w:tc>
      </w:tr>
      <w:tr w:rsidR="00BA059E" w:rsidRPr="00B30BA3" w14:paraId="3A0AD329" w14:textId="77777777" w:rsidTr="00396CE8">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73F482" w14:textId="77777777" w:rsidR="00BA059E" w:rsidRPr="00B30BA3" w:rsidRDefault="00BA059E" w:rsidP="003F787E">
            <w:pPr>
              <w:pStyle w:val="DHHSbody"/>
              <w:rPr>
                <w:rFonts w:cs="Arial"/>
              </w:rPr>
            </w:pPr>
            <w:r w:rsidRPr="00B30BA3">
              <w:rPr>
                <w:rFonts w:cs="Arial"/>
              </w:rPr>
              <w:t>Does your pharmacy have sufficient storage capacity to accommodate all ORT drugs – including the ‘in-use’ methadone-dispensing container?</w:t>
            </w:r>
          </w:p>
        </w:tc>
        <w:tc>
          <w:tcPr>
            <w:tcW w:w="900" w:type="pct"/>
            <w:gridSpan w:val="2"/>
            <w:tcBorders>
              <w:top w:val="single" w:sz="12" w:space="0" w:color="808080"/>
              <w:left w:val="single" w:sz="4" w:space="0" w:color="auto"/>
              <w:bottom w:val="single" w:sz="6" w:space="0" w:color="808080"/>
              <w:right w:val="single" w:sz="12" w:space="0" w:color="808080"/>
            </w:tcBorders>
            <w:shd w:val="clear" w:color="auto" w:fill="auto"/>
          </w:tcPr>
          <w:p w14:paraId="20781C0F" w14:textId="0589422E" w:rsidR="00BA059E" w:rsidRPr="00B30BA3" w:rsidRDefault="00CE59DA" w:rsidP="003F787E">
            <w:pPr>
              <w:pStyle w:val="DHHSbody"/>
              <w:rPr>
                <w:rFonts w:cs="Arial"/>
                <w:b/>
              </w:rPr>
            </w:pPr>
            <w:sdt>
              <w:sdtPr>
                <w:rPr>
                  <w:rFonts w:cs="Arial"/>
                  <w:b/>
                </w:rPr>
                <w:id w:val="388927622"/>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3AD93674" w14:textId="22E24C33" w:rsidR="00BA059E" w:rsidRPr="00B30BA3" w:rsidRDefault="00CE59DA" w:rsidP="003F787E">
            <w:pPr>
              <w:pStyle w:val="DHHSbody"/>
              <w:rPr>
                <w:rFonts w:cs="Arial"/>
              </w:rPr>
            </w:pPr>
            <w:sdt>
              <w:sdtPr>
                <w:rPr>
                  <w:rFonts w:cs="Arial"/>
                  <w:b/>
                  <w:bCs/>
                </w:rPr>
                <w:id w:val="-718658248"/>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4A97B309" w14:textId="77777777" w:rsidTr="00FE217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1030CA" w14:textId="1AC6027A" w:rsidR="004A0C66" w:rsidRPr="004A0C66" w:rsidRDefault="004A0C66" w:rsidP="003F787E">
            <w:pPr>
              <w:pStyle w:val="DHHSbody"/>
              <w:rPr>
                <w:rFonts w:cs="Arial"/>
                <w:b/>
                <w:bCs/>
              </w:rPr>
            </w:pPr>
            <w:r>
              <w:rPr>
                <w:rFonts w:cs="Arial"/>
                <w:b/>
                <w:bCs/>
              </w:rPr>
              <w:t>Dispensary access</w:t>
            </w:r>
          </w:p>
          <w:p w14:paraId="3470130D" w14:textId="30CEB48D" w:rsidR="00BA059E" w:rsidRPr="00396CE8" w:rsidRDefault="00BA059E" w:rsidP="003F787E">
            <w:pPr>
              <w:pStyle w:val="DHHSbody"/>
              <w:rPr>
                <w:rFonts w:cs="Arial"/>
              </w:rPr>
            </w:pPr>
            <w:r w:rsidRPr="00B30BA3">
              <w:rPr>
                <w:rFonts w:cs="Arial"/>
              </w:rPr>
              <w:t xml:space="preserve">Some pharmacies have experienced situations where a person has reached over or around a dispensary barrier </w:t>
            </w:r>
            <w:r w:rsidR="00F61D79">
              <w:rPr>
                <w:rFonts w:cs="Arial"/>
              </w:rPr>
              <w:t>and take</w:t>
            </w:r>
            <w:r w:rsidRPr="00B30BA3">
              <w:rPr>
                <w:rFonts w:cs="Arial"/>
              </w:rPr>
              <w:t xml:space="preserve"> a bottle of methadone solution or packets of buprenorphine preparations.</w:t>
            </w:r>
          </w:p>
        </w:tc>
      </w:tr>
      <w:tr w:rsidR="00BA059E" w:rsidRPr="00B30BA3" w14:paraId="74BF1CF8" w14:textId="77777777" w:rsidTr="00396CE8">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04F3B4" w14:textId="6BD41609" w:rsidR="00BA059E" w:rsidRPr="00396CE8" w:rsidRDefault="00BA059E" w:rsidP="003F787E">
            <w:pPr>
              <w:pStyle w:val="DHHSbody"/>
              <w:rPr>
                <w:rFonts w:cs="Arial"/>
              </w:rPr>
            </w:pPr>
            <w:r w:rsidRPr="00B30BA3">
              <w:rPr>
                <w:rFonts w:cs="Arial"/>
              </w:rPr>
              <w:t>Has a position been established for the methadone dispensing container and the ‘in-use’ buprenorphine preparations where a person with intent to misappropriate the drugs cannot reach them or walk to them without being obstructed?</w:t>
            </w:r>
          </w:p>
        </w:tc>
        <w:tc>
          <w:tcPr>
            <w:tcW w:w="851" w:type="pct"/>
            <w:tcBorders>
              <w:top w:val="single" w:sz="12" w:space="0" w:color="808080"/>
              <w:left w:val="single" w:sz="4" w:space="0" w:color="auto"/>
              <w:bottom w:val="single" w:sz="6" w:space="0" w:color="808080"/>
              <w:right w:val="single" w:sz="12" w:space="0" w:color="808080"/>
            </w:tcBorders>
            <w:shd w:val="clear" w:color="auto" w:fill="auto"/>
          </w:tcPr>
          <w:p w14:paraId="78060BFD" w14:textId="46E4B301" w:rsidR="00BA059E" w:rsidRPr="00B30BA3" w:rsidRDefault="00CE59DA" w:rsidP="003F787E">
            <w:pPr>
              <w:pStyle w:val="DHHSbody"/>
              <w:rPr>
                <w:rFonts w:cs="Arial"/>
                <w:b/>
              </w:rPr>
            </w:pPr>
            <w:sdt>
              <w:sdtPr>
                <w:rPr>
                  <w:rFonts w:cs="Arial"/>
                  <w:b/>
                </w:rPr>
                <w:id w:val="1893764586"/>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1B06F3AE" w14:textId="7A916362" w:rsidR="00BA059E" w:rsidRPr="00B30BA3" w:rsidRDefault="00CE59DA" w:rsidP="003F787E">
            <w:pPr>
              <w:pStyle w:val="DHHSbody"/>
              <w:rPr>
                <w:rFonts w:cs="Arial"/>
              </w:rPr>
            </w:pPr>
            <w:sdt>
              <w:sdtPr>
                <w:rPr>
                  <w:rFonts w:cs="Arial"/>
                  <w:b/>
                  <w:bCs/>
                </w:rPr>
                <w:id w:val="-1195691226"/>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0188BE72" w14:textId="77777777" w:rsidTr="00FE217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2B0F33" w14:textId="49975CEC" w:rsidR="00387C83" w:rsidRPr="00387C83" w:rsidRDefault="00387C83" w:rsidP="003F787E">
            <w:pPr>
              <w:pStyle w:val="DHHSbody"/>
              <w:rPr>
                <w:b/>
                <w:bCs/>
              </w:rPr>
            </w:pPr>
            <w:r w:rsidRPr="00387C83">
              <w:rPr>
                <w:b/>
                <w:bCs/>
              </w:rPr>
              <w:t>Stability of buprenorphine preparations</w:t>
            </w:r>
          </w:p>
          <w:p w14:paraId="097FA926" w14:textId="7D4E8AAD" w:rsidR="00BA059E" w:rsidRPr="007109D5" w:rsidRDefault="00BA059E" w:rsidP="003F787E">
            <w:pPr>
              <w:pStyle w:val="DHHSbody"/>
              <w:rPr>
                <w:rFonts w:cs="Arial"/>
              </w:rPr>
            </w:pPr>
            <w:r w:rsidRPr="00B30BA3">
              <w:t>Buprenorphine sublingual preparations are packed under nitrogen into their immediate packaging (either blister packs or sachets), to ensure the stability and integrity of the drug. Both t</w:t>
            </w:r>
            <w:r w:rsidRPr="00B30BA3">
              <w:rPr>
                <w:rFonts w:cs="Arial"/>
              </w:rPr>
              <w:t>ablets and films should remain in the manufacturer’s immediate packaging until just before administration, to decrease the risk of degradation.</w:t>
            </w:r>
          </w:p>
        </w:tc>
      </w:tr>
      <w:tr w:rsidR="00BA059E" w:rsidRPr="00B30BA3" w14:paraId="01DD0B23" w14:textId="77777777" w:rsidTr="007109D5">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FED242" w14:textId="702E64AB" w:rsidR="00BA059E" w:rsidRPr="00B30BA3" w:rsidRDefault="00BA059E" w:rsidP="003F787E">
            <w:pPr>
              <w:pStyle w:val="DHHSbody"/>
              <w:rPr>
                <w:rFonts w:cs="Arial"/>
              </w:rPr>
            </w:pPr>
            <w:r w:rsidRPr="00B30BA3">
              <w:rPr>
                <w:rFonts w:cs="Arial"/>
              </w:rPr>
              <w:t xml:space="preserve">Do all pharmacists understand that </w:t>
            </w:r>
            <w:r w:rsidR="006D377A">
              <w:rPr>
                <w:rFonts w:cs="Arial"/>
              </w:rPr>
              <w:t xml:space="preserve">it is necessary to leave </w:t>
            </w:r>
            <w:r w:rsidRPr="00B30BA3">
              <w:rPr>
                <w:rFonts w:cs="Arial"/>
              </w:rPr>
              <w:t>buprenorphine preparations in the manufacturer’s immediate packaging until it is time to prepare a dose for administration?</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4BD52CAE" w14:textId="175734D2" w:rsidR="00BA059E" w:rsidRPr="00B30BA3" w:rsidRDefault="00CE59DA" w:rsidP="003F787E">
            <w:pPr>
              <w:pStyle w:val="DHHSbody"/>
              <w:rPr>
                <w:rFonts w:cs="Arial"/>
                <w:b/>
              </w:rPr>
            </w:pPr>
            <w:sdt>
              <w:sdtPr>
                <w:rPr>
                  <w:rFonts w:cs="Arial"/>
                  <w:b/>
                </w:rPr>
                <w:id w:val="-1888480869"/>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4C1FFA95" w14:textId="63E90A22" w:rsidR="00BA059E" w:rsidRPr="00B30BA3" w:rsidRDefault="00CE59DA" w:rsidP="003F787E">
            <w:pPr>
              <w:pStyle w:val="DHHSbody"/>
              <w:rPr>
                <w:rFonts w:cs="Arial"/>
              </w:rPr>
            </w:pPr>
            <w:sdt>
              <w:sdtPr>
                <w:rPr>
                  <w:rFonts w:cs="Arial"/>
                  <w:b/>
                  <w:bCs/>
                </w:rPr>
                <w:id w:val="-1585288667"/>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bl>
    <w:p w14:paraId="2CF4B2C8" w14:textId="77777777" w:rsidR="00222357" w:rsidRDefault="00222357">
      <w:r>
        <w:br w:type="page"/>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9"/>
        <w:gridCol w:w="1735"/>
      </w:tblGrid>
      <w:tr w:rsidR="00BA059E" w:rsidRPr="00B30BA3" w14:paraId="42093AE8" w14:textId="77777777" w:rsidTr="00FE217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9E2BD06" w14:textId="3C16EC75" w:rsidR="00AB53B3" w:rsidRPr="00AB53B3" w:rsidRDefault="00A45F1A" w:rsidP="003F787E">
            <w:pPr>
              <w:pStyle w:val="DHHSbody"/>
              <w:rPr>
                <w:rFonts w:cs="Arial"/>
                <w:sz w:val="12"/>
                <w:szCs w:val="12"/>
              </w:rPr>
            </w:pPr>
            <w:r>
              <w:rPr>
                <w:b/>
                <w:bCs/>
              </w:rPr>
              <w:lastRenderedPageBreak/>
              <w:t>Advice about alternative approaches to pharmacotherapy dispensing</w:t>
            </w:r>
          </w:p>
          <w:p w14:paraId="01681969" w14:textId="4048A555" w:rsidR="00A45F1A" w:rsidRDefault="00A45F1A" w:rsidP="003F787E">
            <w:pPr>
              <w:pStyle w:val="DHHSbody"/>
              <w:rPr>
                <w:rFonts w:cs="Arial"/>
              </w:rPr>
            </w:pPr>
            <w:r>
              <w:rPr>
                <w:rFonts w:cs="Arial"/>
              </w:rPr>
              <w:t xml:space="preserve">It is </w:t>
            </w:r>
            <w:r>
              <w:rPr>
                <w:rFonts w:cs="Arial"/>
                <w:b/>
                <w:bCs/>
              </w:rPr>
              <w:t xml:space="preserve">not recommended </w:t>
            </w:r>
            <w:r>
              <w:rPr>
                <w:rFonts w:cs="Arial"/>
              </w:rPr>
              <w:t xml:space="preserve">to </w:t>
            </w:r>
            <w:r w:rsidR="00BA059E" w:rsidRPr="00B30BA3">
              <w:rPr>
                <w:rFonts w:cs="Arial"/>
              </w:rPr>
              <w:t xml:space="preserve">dispense </w:t>
            </w:r>
            <w:r w:rsidR="00BA059E" w:rsidRPr="00B30BA3">
              <w:rPr>
                <w:rFonts w:cs="Arial"/>
                <w:b/>
              </w:rPr>
              <w:t xml:space="preserve">methadone </w:t>
            </w:r>
            <w:r w:rsidR="00BA059E" w:rsidRPr="00B30BA3">
              <w:rPr>
                <w:rFonts w:cs="Arial"/>
              </w:rPr>
              <w:t>doses from a container other than the manufacturer’s original</w:t>
            </w:r>
          </w:p>
          <w:p w14:paraId="7071A932" w14:textId="34881235" w:rsidR="00A45F1A" w:rsidRPr="00A45F1A" w:rsidRDefault="00A45F1A" w:rsidP="00A45F1A">
            <w:pPr>
              <w:pStyle w:val="DHHSbody"/>
              <w:rPr>
                <w:rFonts w:cs="Arial"/>
              </w:rPr>
            </w:pPr>
            <w:r>
              <w:rPr>
                <w:rFonts w:cs="Arial"/>
              </w:rPr>
              <w:t xml:space="preserve">It is </w:t>
            </w:r>
            <w:r>
              <w:rPr>
                <w:rFonts w:cs="Arial"/>
                <w:b/>
                <w:bCs/>
              </w:rPr>
              <w:t>not recommended</w:t>
            </w:r>
            <w:r>
              <w:rPr>
                <w:rFonts w:cs="Arial"/>
              </w:rPr>
              <w:t xml:space="preserve"> to dilute </w:t>
            </w:r>
            <w:r>
              <w:rPr>
                <w:rFonts w:cs="Arial"/>
                <w:b/>
                <w:bCs/>
              </w:rPr>
              <w:t>methadone</w:t>
            </w:r>
            <w:r>
              <w:rPr>
                <w:rFonts w:cs="Arial"/>
              </w:rPr>
              <w:t xml:space="preserve"> solution</w:t>
            </w:r>
          </w:p>
          <w:p w14:paraId="7E0973C7" w14:textId="55B39F2C" w:rsidR="00A45F1A" w:rsidRDefault="00A45F1A" w:rsidP="00A45F1A">
            <w:pPr>
              <w:pStyle w:val="DHHSbody"/>
              <w:numPr>
                <w:ilvl w:val="0"/>
                <w:numId w:val="34"/>
              </w:numPr>
              <w:rPr>
                <w:rFonts w:cs="Arial"/>
              </w:rPr>
            </w:pPr>
            <w:r>
              <w:rPr>
                <w:rFonts w:cs="Arial"/>
              </w:rPr>
              <w:t>The stability of the medication cannot be guaranteed if it is diluted.</w:t>
            </w:r>
          </w:p>
          <w:p w14:paraId="6C82DBB2" w14:textId="2DEA03A0" w:rsidR="00A45F1A" w:rsidRDefault="00A45F1A" w:rsidP="00A45F1A">
            <w:pPr>
              <w:pStyle w:val="DHHSbody"/>
              <w:numPr>
                <w:ilvl w:val="0"/>
                <w:numId w:val="34"/>
              </w:numPr>
              <w:rPr>
                <w:rFonts w:cs="Arial"/>
              </w:rPr>
            </w:pPr>
            <w:r>
              <w:rPr>
                <w:rFonts w:cs="Arial"/>
              </w:rPr>
              <w:t>There is a risk of accidental overdose if solution concentrations are confused.</w:t>
            </w:r>
          </w:p>
          <w:p w14:paraId="092C3A62" w14:textId="5E68BBE6" w:rsidR="00A45F1A" w:rsidRDefault="00A45F1A" w:rsidP="003F787E">
            <w:pPr>
              <w:pStyle w:val="DHHSbody"/>
              <w:rPr>
                <w:rFonts w:cs="Arial"/>
              </w:rPr>
            </w:pPr>
            <w:r>
              <w:rPr>
                <w:rFonts w:cs="Arial"/>
              </w:rPr>
              <w:t xml:space="preserve">It is </w:t>
            </w:r>
            <w:r>
              <w:rPr>
                <w:rFonts w:cs="Arial"/>
                <w:b/>
                <w:bCs/>
              </w:rPr>
              <w:t>not recommended</w:t>
            </w:r>
            <w:r>
              <w:rPr>
                <w:rFonts w:cs="Arial"/>
              </w:rPr>
              <w:t xml:space="preserve"> to prepare pharmacotherapy doses prior to the patients’ attendance</w:t>
            </w:r>
          </w:p>
          <w:p w14:paraId="22719771" w14:textId="188BC623" w:rsidR="009351AC" w:rsidRPr="009351AC" w:rsidRDefault="00A45F1A" w:rsidP="009351AC">
            <w:pPr>
              <w:pStyle w:val="DHHSbody"/>
              <w:numPr>
                <w:ilvl w:val="0"/>
                <w:numId w:val="34"/>
              </w:numPr>
              <w:rPr>
                <w:rFonts w:cs="Arial"/>
                <w:i/>
                <w:iCs/>
              </w:rPr>
            </w:pPr>
            <w:r w:rsidRPr="00B30BA3">
              <w:rPr>
                <w:rFonts w:cs="Arial"/>
              </w:rPr>
              <w:t xml:space="preserve">The department recommends that each </w:t>
            </w:r>
            <w:r>
              <w:rPr>
                <w:rFonts w:cs="Arial"/>
              </w:rPr>
              <w:t xml:space="preserve">pharmacotherapy </w:t>
            </w:r>
            <w:r w:rsidRPr="00B30BA3">
              <w:rPr>
                <w:rFonts w:cs="Arial"/>
              </w:rPr>
              <w:t xml:space="preserve">dose is prepared </w:t>
            </w:r>
            <w:r w:rsidR="009351AC">
              <w:rPr>
                <w:rFonts w:cs="Arial"/>
              </w:rPr>
              <w:t xml:space="preserve">and administered </w:t>
            </w:r>
            <w:r w:rsidRPr="00B30BA3">
              <w:rPr>
                <w:rFonts w:cs="Arial"/>
              </w:rPr>
              <w:t xml:space="preserve">by </w:t>
            </w:r>
            <w:r w:rsidR="009351AC">
              <w:rPr>
                <w:rFonts w:cs="Arial"/>
              </w:rPr>
              <w:t xml:space="preserve">an </w:t>
            </w:r>
            <w:r w:rsidR="009351AC">
              <w:rPr>
                <w:rFonts w:cs="Arial"/>
                <w:b/>
                <w:bCs/>
              </w:rPr>
              <w:t xml:space="preserve">individual </w:t>
            </w:r>
            <w:r w:rsidRPr="00B30BA3">
              <w:rPr>
                <w:rFonts w:cs="Arial"/>
              </w:rPr>
              <w:t xml:space="preserve">pharmacist </w:t>
            </w:r>
            <w:r w:rsidRPr="00EA4C51">
              <w:rPr>
                <w:rFonts w:cs="Arial"/>
                <w:b/>
                <w:bCs/>
              </w:rPr>
              <w:t>at the time</w:t>
            </w:r>
            <w:r w:rsidRPr="00B30BA3">
              <w:rPr>
                <w:rFonts w:cs="Arial"/>
              </w:rPr>
              <w:t xml:space="preserve"> the patient attends the dosing point to receive the dose</w:t>
            </w:r>
          </w:p>
          <w:p w14:paraId="079A35A9" w14:textId="453CEB34" w:rsidR="00A45F1A" w:rsidRPr="00B30BA3" w:rsidRDefault="00A45F1A" w:rsidP="009351AC">
            <w:pPr>
              <w:pStyle w:val="DHHSbody"/>
              <w:numPr>
                <w:ilvl w:val="0"/>
                <w:numId w:val="34"/>
              </w:numPr>
              <w:rPr>
                <w:rFonts w:cs="Arial"/>
                <w:i/>
                <w:iCs/>
              </w:rPr>
            </w:pPr>
            <w:r>
              <w:t>D</w:t>
            </w:r>
            <w:r w:rsidRPr="00B30BA3">
              <w:t>ilut</w:t>
            </w:r>
            <w:r>
              <w:t xml:space="preserve">ion of </w:t>
            </w:r>
            <w:r w:rsidRPr="00B30BA3">
              <w:t xml:space="preserve">pre-prepared doses of methadone </w:t>
            </w:r>
            <w:r>
              <w:t xml:space="preserve">prevents the administering pharmacist from </w:t>
            </w:r>
            <w:r w:rsidRPr="00B30BA3">
              <w:t>check</w:t>
            </w:r>
            <w:r>
              <w:t>ing</w:t>
            </w:r>
            <w:r w:rsidRPr="00B30BA3">
              <w:t xml:space="preserve"> the original dose of methadone liquid</w:t>
            </w:r>
            <w:r>
              <w:t xml:space="preserve">, </w:t>
            </w:r>
            <w:r w:rsidRPr="00B30BA3">
              <w:t>and is therefore not recommended</w:t>
            </w:r>
          </w:p>
        </w:tc>
      </w:tr>
      <w:tr w:rsidR="00BA059E" w:rsidRPr="00B30BA3" w14:paraId="1E8129FF" w14:textId="77777777" w:rsidTr="007109D5">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25BE0E" w14:textId="5522946D" w:rsidR="00BA059E" w:rsidRPr="00A45F1A" w:rsidRDefault="00A45F1A" w:rsidP="003F787E">
            <w:pPr>
              <w:pStyle w:val="DHHSbody"/>
              <w:rPr>
                <w:rFonts w:cs="Arial"/>
              </w:rPr>
            </w:pPr>
            <w:r>
              <w:rPr>
                <w:rFonts w:cs="Arial"/>
              </w:rPr>
              <w:t xml:space="preserve">Do all pharmacists understand that methadone doses should </w:t>
            </w:r>
            <w:r>
              <w:rPr>
                <w:rFonts w:cs="Arial"/>
                <w:b/>
                <w:bCs/>
              </w:rPr>
              <w:t>not</w:t>
            </w:r>
            <w:r>
              <w:rPr>
                <w:rFonts w:cs="Arial"/>
              </w:rPr>
              <w:t xml:space="preserve"> be diluted, and </w:t>
            </w:r>
            <w:r w:rsidRPr="00A45F1A">
              <w:rPr>
                <w:rFonts w:cs="Arial"/>
              </w:rPr>
              <w:t>be</w:t>
            </w:r>
            <w:r>
              <w:rPr>
                <w:rFonts w:cs="Arial"/>
              </w:rPr>
              <w:t xml:space="preserve"> dispensed whenever possible from the manufacturer’s original container?</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DF90EE0" w14:textId="65966821" w:rsidR="00BA059E" w:rsidRPr="00B30BA3" w:rsidRDefault="00CE59DA" w:rsidP="003F787E">
            <w:pPr>
              <w:pStyle w:val="DHHSbody"/>
              <w:rPr>
                <w:rFonts w:cs="Arial"/>
                <w:b/>
              </w:rPr>
            </w:pPr>
            <w:sdt>
              <w:sdtPr>
                <w:rPr>
                  <w:rFonts w:cs="Arial"/>
                  <w:b/>
                </w:rPr>
                <w:id w:val="1743055710"/>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56BCA7E0" w14:textId="19EE2681" w:rsidR="00BA059E" w:rsidRPr="00B30BA3" w:rsidRDefault="00CE59DA" w:rsidP="003F787E">
            <w:pPr>
              <w:pStyle w:val="DHHSbody"/>
              <w:rPr>
                <w:rFonts w:cs="Arial"/>
              </w:rPr>
            </w:pPr>
            <w:sdt>
              <w:sdtPr>
                <w:rPr>
                  <w:rFonts w:cs="Arial"/>
                  <w:b/>
                  <w:bCs/>
                </w:rPr>
                <w:id w:val="-616064764"/>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A45F1A" w:rsidRPr="00B30BA3" w14:paraId="492AA52C" w14:textId="77777777" w:rsidTr="007109D5">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FAA753" w14:textId="1DB4C927" w:rsidR="00A45F1A" w:rsidRPr="00A45F1A" w:rsidRDefault="00A45F1A" w:rsidP="003F787E">
            <w:pPr>
              <w:pStyle w:val="DHHSbody"/>
              <w:rPr>
                <w:rFonts w:cs="Arial"/>
              </w:rPr>
            </w:pPr>
            <w:r>
              <w:rPr>
                <w:rFonts w:cs="Arial"/>
              </w:rPr>
              <w:t xml:space="preserve">Do all pharmacists understand that it is </w:t>
            </w:r>
            <w:r>
              <w:rPr>
                <w:rFonts w:cs="Arial"/>
                <w:b/>
                <w:bCs/>
              </w:rPr>
              <w:t>not recommended</w:t>
            </w:r>
            <w:r>
              <w:rPr>
                <w:rFonts w:cs="Arial"/>
              </w:rPr>
              <w:t xml:space="preserve"> to prepare pharmacotherapy doses prior to the patient’s attendance?</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38D10D38" w14:textId="77777777" w:rsidR="00A45F1A" w:rsidRPr="00B30BA3" w:rsidRDefault="00CE59DA" w:rsidP="00A45F1A">
            <w:pPr>
              <w:pStyle w:val="DHHSbody"/>
              <w:rPr>
                <w:rFonts w:cs="Arial"/>
                <w:b/>
              </w:rPr>
            </w:pPr>
            <w:sdt>
              <w:sdtPr>
                <w:rPr>
                  <w:rFonts w:cs="Arial"/>
                  <w:b/>
                </w:rPr>
                <w:id w:val="1131281687"/>
                <w14:checkbox>
                  <w14:checked w14:val="0"/>
                  <w14:checkedState w14:val="2612" w14:font="MS Gothic"/>
                  <w14:uncheckedState w14:val="2610" w14:font="MS Gothic"/>
                </w14:checkbox>
              </w:sdtPr>
              <w:sdtEndPr/>
              <w:sdtContent>
                <w:r w:rsidR="00A45F1A" w:rsidRPr="00B30BA3">
                  <w:rPr>
                    <w:rFonts w:ascii="MS Gothic" w:eastAsia="MS Gothic" w:hAnsi="MS Gothic" w:cs="Arial"/>
                    <w:b/>
                  </w:rPr>
                  <w:t>☐</w:t>
                </w:r>
              </w:sdtContent>
            </w:sdt>
            <w:r w:rsidR="00A45F1A" w:rsidRPr="00B30BA3">
              <w:rPr>
                <w:rFonts w:cs="Arial"/>
                <w:b/>
              </w:rPr>
              <w:t xml:space="preserve"> Yes</w:t>
            </w:r>
          </w:p>
          <w:p w14:paraId="7DF20805" w14:textId="46F4F3BC" w:rsidR="00A45F1A" w:rsidRDefault="00CE59DA" w:rsidP="00A45F1A">
            <w:pPr>
              <w:pStyle w:val="DHHSbody"/>
              <w:rPr>
                <w:rFonts w:cs="Arial"/>
                <w:b/>
              </w:rPr>
            </w:pPr>
            <w:sdt>
              <w:sdtPr>
                <w:rPr>
                  <w:rFonts w:cs="Arial"/>
                  <w:b/>
                  <w:bCs/>
                </w:rPr>
                <w:id w:val="-973521050"/>
                <w14:checkbox>
                  <w14:checked w14:val="0"/>
                  <w14:checkedState w14:val="2612" w14:font="MS Gothic"/>
                  <w14:uncheckedState w14:val="2610" w14:font="MS Gothic"/>
                </w14:checkbox>
              </w:sdtPr>
              <w:sdtEndPr/>
              <w:sdtContent>
                <w:r w:rsidR="00A45F1A" w:rsidRPr="00B30BA3">
                  <w:rPr>
                    <w:rFonts w:ascii="MS Gothic" w:eastAsia="MS Gothic" w:hAnsi="MS Gothic" w:cs="Arial"/>
                    <w:b/>
                    <w:bCs/>
                  </w:rPr>
                  <w:t>☐</w:t>
                </w:r>
              </w:sdtContent>
            </w:sdt>
            <w:r w:rsidR="00A45F1A" w:rsidRPr="00B30BA3">
              <w:rPr>
                <w:rFonts w:cs="Arial"/>
                <w:b/>
                <w:bCs/>
              </w:rPr>
              <w:t xml:space="preserve"> No</w:t>
            </w:r>
          </w:p>
        </w:tc>
      </w:tr>
    </w:tbl>
    <w:p w14:paraId="41F423BC" w14:textId="77777777" w:rsidR="009351AC" w:rsidRDefault="009351AC" w:rsidP="009351AC">
      <w:pPr>
        <w:spacing w:after="0" w:line="240" w:lineRule="auto"/>
      </w:pPr>
    </w:p>
    <w:p w14:paraId="721E5C36" w14:textId="7C78D0EE" w:rsidR="00BA059E" w:rsidRPr="009351AC" w:rsidRDefault="00845CC7" w:rsidP="009351AC">
      <w:pPr>
        <w:spacing w:after="0" w:line="240" w:lineRule="auto"/>
        <w:rPr>
          <w:b/>
          <w:bCs/>
          <w:color w:val="595959" w:themeColor="text1" w:themeTint="A6"/>
          <w:sz w:val="28"/>
          <w:szCs w:val="28"/>
        </w:rPr>
      </w:pPr>
      <w:r w:rsidRPr="009351AC">
        <w:rPr>
          <w:b/>
          <w:bCs/>
          <w:color w:val="595959" w:themeColor="text1" w:themeTint="A6"/>
          <w:sz w:val="28"/>
          <w:szCs w:val="28"/>
        </w:rPr>
        <w:t xml:space="preserve">Pharmacotherapy </w:t>
      </w:r>
      <w:r w:rsidR="00BA059E" w:rsidRPr="009351AC">
        <w:rPr>
          <w:b/>
          <w:bCs/>
          <w:color w:val="595959" w:themeColor="text1" w:themeTint="A6"/>
          <w:sz w:val="28"/>
          <w:szCs w:val="28"/>
        </w:rPr>
        <w:t>Administ</w:t>
      </w:r>
      <w:r w:rsidR="00D07B35" w:rsidRPr="009351AC">
        <w:rPr>
          <w:b/>
          <w:bCs/>
          <w:color w:val="595959" w:themeColor="text1" w:themeTint="A6"/>
          <w:sz w:val="28"/>
          <w:szCs w:val="28"/>
        </w:rPr>
        <w:t>ration</w:t>
      </w:r>
      <w:r w:rsidRPr="009351AC">
        <w:rPr>
          <w:b/>
          <w:bCs/>
          <w:color w:val="595959" w:themeColor="text1" w:themeTint="A6"/>
          <w:sz w:val="28"/>
          <w:szCs w:val="28"/>
        </w:rPr>
        <w:t xml:space="preserve"> Considerations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7"/>
        <w:gridCol w:w="1757"/>
      </w:tblGrid>
      <w:tr w:rsidR="00416402" w:rsidRPr="00B30BA3" w14:paraId="0F6451C3" w14:textId="77777777" w:rsidTr="00416402">
        <w:tc>
          <w:tcPr>
            <w:tcW w:w="413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5E933" w14:textId="77777777" w:rsidR="00416402" w:rsidRPr="00416402" w:rsidRDefault="00416402" w:rsidP="003C188E">
            <w:pPr>
              <w:pStyle w:val="DHHSbody"/>
              <w:rPr>
                <w:rFonts w:cs="Arial"/>
                <w:b/>
                <w:bCs/>
              </w:rPr>
            </w:pPr>
            <w:r w:rsidRPr="00416402">
              <w:rPr>
                <w:rFonts w:cs="Arial"/>
                <w:b/>
                <w:bCs/>
              </w:rPr>
              <w:t>Administration containers</w:t>
            </w:r>
          </w:p>
          <w:p w14:paraId="11303F3E" w14:textId="77777777" w:rsidR="00416402" w:rsidRPr="00416402" w:rsidRDefault="00416402" w:rsidP="003C188E">
            <w:pPr>
              <w:pStyle w:val="DHHSbody"/>
              <w:rPr>
                <w:rFonts w:cs="Arial"/>
              </w:rPr>
            </w:pPr>
            <w:r w:rsidRPr="00416402">
              <w:rPr>
                <w:rFonts w:cs="Arial"/>
              </w:rPr>
              <w:t>For the purposes of hygiene, are disposable containers (e.g. plastic/paper cups) used for the administration of both methadone and buprenorphine doses?</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02F6EECA" w14:textId="77777777" w:rsidR="00416402" w:rsidRPr="00B30BA3" w:rsidRDefault="00CE59DA" w:rsidP="003C188E">
            <w:pPr>
              <w:pStyle w:val="DHHSbody"/>
              <w:rPr>
                <w:rFonts w:cs="Arial"/>
                <w:b/>
              </w:rPr>
            </w:pPr>
            <w:sdt>
              <w:sdtPr>
                <w:rPr>
                  <w:rFonts w:cs="Arial"/>
                  <w:b/>
                </w:rPr>
                <w:id w:val="636233352"/>
                <w14:checkbox>
                  <w14:checked w14:val="0"/>
                  <w14:checkedState w14:val="2612" w14:font="MS Gothic"/>
                  <w14:uncheckedState w14:val="2610" w14:font="MS Gothic"/>
                </w14:checkbox>
              </w:sdtPr>
              <w:sdtEndPr/>
              <w:sdtContent>
                <w:r w:rsidR="00416402" w:rsidRPr="00416402">
                  <w:rPr>
                    <w:rFonts w:ascii="Segoe UI Symbol" w:hAnsi="Segoe UI Symbol" w:cs="Segoe UI Symbol"/>
                    <w:b/>
                  </w:rPr>
                  <w:t>☐</w:t>
                </w:r>
              </w:sdtContent>
            </w:sdt>
            <w:r w:rsidR="00416402" w:rsidRPr="00B30BA3">
              <w:rPr>
                <w:rFonts w:cs="Arial"/>
                <w:b/>
              </w:rPr>
              <w:t xml:space="preserve"> Yes</w:t>
            </w:r>
          </w:p>
          <w:p w14:paraId="563376E0" w14:textId="77777777" w:rsidR="00416402" w:rsidRPr="00416402" w:rsidRDefault="00CE59DA" w:rsidP="003C188E">
            <w:pPr>
              <w:pStyle w:val="DHHSbody"/>
              <w:rPr>
                <w:rFonts w:cs="Arial"/>
                <w:b/>
              </w:rPr>
            </w:pPr>
            <w:sdt>
              <w:sdtPr>
                <w:rPr>
                  <w:rFonts w:cs="Arial"/>
                  <w:b/>
                </w:rPr>
                <w:id w:val="-1917080110"/>
                <w14:checkbox>
                  <w14:checked w14:val="0"/>
                  <w14:checkedState w14:val="2612" w14:font="MS Gothic"/>
                  <w14:uncheckedState w14:val="2610" w14:font="MS Gothic"/>
                </w14:checkbox>
              </w:sdtPr>
              <w:sdtEndPr/>
              <w:sdtContent>
                <w:r w:rsidR="00416402" w:rsidRPr="00416402">
                  <w:rPr>
                    <w:rFonts w:ascii="Segoe UI Symbol" w:hAnsi="Segoe UI Symbol" w:cs="Segoe UI Symbol"/>
                    <w:b/>
                  </w:rPr>
                  <w:t>☐</w:t>
                </w:r>
              </w:sdtContent>
            </w:sdt>
            <w:r w:rsidR="00416402" w:rsidRPr="00416402">
              <w:rPr>
                <w:rFonts w:cs="Arial"/>
                <w:b/>
              </w:rPr>
              <w:t xml:space="preserve"> No</w:t>
            </w:r>
          </w:p>
        </w:tc>
      </w:tr>
      <w:tr w:rsidR="00BA059E" w:rsidRPr="00B30BA3" w14:paraId="23F18994" w14:textId="77777777" w:rsidTr="004E194F">
        <w:tc>
          <w:tcPr>
            <w:tcW w:w="4138" w:type="pct"/>
            <w:shd w:val="clear" w:color="auto" w:fill="DBE5F1" w:themeFill="accent1" w:themeFillTint="33"/>
          </w:tcPr>
          <w:p w14:paraId="206CA8E2" w14:textId="6B5B73C1" w:rsidR="00845CC7" w:rsidRPr="00845CC7" w:rsidRDefault="00BD3495" w:rsidP="003F787E">
            <w:pPr>
              <w:pStyle w:val="DHHSbody"/>
              <w:rPr>
                <w:rFonts w:cs="Arial"/>
                <w:b/>
                <w:bCs/>
              </w:rPr>
            </w:pPr>
            <w:r>
              <w:rPr>
                <w:rFonts w:cs="Arial"/>
                <w:b/>
                <w:bCs/>
              </w:rPr>
              <w:t>Methadone</w:t>
            </w:r>
            <w:r w:rsidR="00B156BE">
              <w:rPr>
                <w:rFonts w:cs="Arial"/>
                <w:b/>
                <w:bCs/>
              </w:rPr>
              <w:t xml:space="preserve"> liquid</w:t>
            </w:r>
            <w:r>
              <w:rPr>
                <w:rFonts w:cs="Arial"/>
                <w:b/>
                <w:bCs/>
              </w:rPr>
              <w:t xml:space="preserve"> considerations</w:t>
            </w:r>
          </w:p>
          <w:p w14:paraId="37E884BB" w14:textId="2A36B8F2" w:rsidR="00BA059E" w:rsidRPr="009351AC" w:rsidRDefault="00BA059E" w:rsidP="003F787E">
            <w:pPr>
              <w:pStyle w:val="DHHSbody"/>
              <w:rPr>
                <w:rFonts w:cs="Arial"/>
              </w:rPr>
            </w:pPr>
            <w:r w:rsidRPr="00B30BA3">
              <w:rPr>
                <w:rFonts w:cs="Arial"/>
              </w:rPr>
              <w:t>Is each supervised dose of methadone diluted with water or cordial before administration?</w:t>
            </w:r>
          </w:p>
        </w:tc>
        <w:tc>
          <w:tcPr>
            <w:tcW w:w="862" w:type="pct"/>
          </w:tcPr>
          <w:p w14:paraId="6E38CCCD" w14:textId="08F492D8" w:rsidR="00BA059E" w:rsidRPr="00B30BA3" w:rsidRDefault="00CE59DA" w:rsidP="003F787E">
            <w:pPr>
              <w:pStyle w:val="DHHSbody"/>
              <w:rPr>
                <w:rFonts w:cs="Arial"/>
                <w:b/>
              </w:rPr>
            </w:pPr>
            <w:sdt>
              <w:sdtPr>
                <w:rPr>
                  <w:rFonts w:cs="Arial"/>
                  <w:b/>
                </w:rPr>
                <w:id w:val="-866365871"/>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1415D0A2" w14:textId="7E3E2D88" w:rsidR="00BA059E" w:rsidRPr="00B30BA3" w:rsidRDefault="00CE59DA" w:rsidP="003F787E">
            <w:pPr>
              <w:pStyle w:val="DHHSbody"/>
              <w:rPr>
                <w:rFonts w:cs="Arial"/>
              </w:rPr>
            </w:pPr>
            <w:sdt>
              <w:sdtPr>
                <w:rPr>
                  <w:rFonts w:cs="Arial"/>
                  <w:b/>
                  <w:bCs/>
                </w:rPr>
                <w:id w:val="-858276946"/>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0AADD773" w14:textId="77777777" w:rsidTr="004E194F">
        <w:tc>
          <w:tcPr>
            <w:tcW w:w="4138" w:type="pct"/>
            <w:shd w:val="clear" w:color="auto" w:fill="DBE5F1" w:themeFill="accent1" w:themeFillTint="33"/>
          </w:tcPr>
          <w:p w14:paraId="0437CB7C" w14:textId="5585A257" w:rsidR="00BA059E" w:rsidRPr="00B30BA3" w:rsidRDefault="00BA059E" w:rsidP="003F787E">
            <w:pPr>
              <w:pStyle w:val="DHHSbody"/>
              <w:rPr>
                <w:rFonts w:cs="Arial"/>
              </w:rPr>
            </w:pPr>
            <w:r w:rsidRPr="00B30BA3">
              <w:rPr>
                <w:rFonts w:cs="Arial"/>
              </w:rPr>
              <w:t xml:space="preserve">Is the administration of each </w:t>
            </w:r>
            <w:r w:rsidR="002A6E31">
              <w:rPr>
                <w:rFonts w:cs="Arial"/>
              </w:rPr>
              <w:t xml:space="preserve">in-store dose of </w:t>
            </w:r>
            <w:r w:rsidRPr="00B30BA3">
              <w:rPr>
                <w:rFonts w:cs="Arial"/>
              </w:rPr>
              <w:t>methadone supervised to ensure that the patient has consumed the dose?</w:t>
            </w:r>
          </w:p>
          <w:p w14:paraId="6B8609EB" w14:textId="77777777" w:rsidR="00BA059E" w:rsidRPr="00B30BA3" w:rsidRDefault="00BA059E" w:rsidP="003F787E">
            <w:pPr>
              <w:pStyle w:val="DHHSbody"/>
              <w:rPr>
                <w:rFonts w:cs="Arial"/>
                <w:i/>
                <w:iCs/>
              </w:rPr>
            </w:pPr>
            <w:r w:rsidRPr="00B30BA3">
              <w:rPr>
                <w:rFonts w:cs="Arial"/>
                <w:i/>
                <w:iCs/>
              </w:rPr>
              <w:t>A common approach is for the pharmacist to supervise the dose being drunk, and then engaging the patient in conversation, to ensure it is not being held in the mouth.</w:t>
            </w:r>
          </w:p>
        </w:tc>
        <w:tc>
          <w:tcPr>
            <w:tcW w:w="862" w:type="pct"/>
          </w:tcPr>
          <w:p w14:paraId="10376D37" w14:textId="570B3D6A" w:rsidR="00BA059E" w:rsidRPr="00B30BA3" w:rsidRDefault="00CE59DA" w:rsidP="003F787E">
            <w:pPr>
              <w:pStyle w:val="DHHSbody"/>
              <w:rPr>
                <w:rFonts w:cs="Arial"/>
                <w:b/>
              </w:rPr>
            </w:pPr>
            <w:sdt>
              <w:sdtPr>
                <w:rPr>
                  <w:rFonts w:cs="Arial"/>
                  <w:b/>
                </w:rPr>
                <w:id w:val="569769759"/>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39659FBD" w14:textId="3F07C870" w:rsidR="00BA059E" w:rsidRPr="00B30BA3" w:rsidRDefault="00CE59DA" w:rsidP="003F787E">
            <w:pPr>
              <w:pStyle w:val="DHHSbody"/>
              <w:rPr>
                <w:rFonts w:cs="Arial"/>
              </w:rPr>
            </w:pPr>
            <w:sdt>
              <w:sdtPr>
                <w:rPr>
                  <w:rFonts w:cs="Arial"/>
                  <w:b/>
                  <w:bCs/>
                </w:rPr>
                <w:id w:val="-1210953441"/>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21E27A2B" w14:textId="77777777" w:rsidTr="004E194F">
        <w:tc>
          <w:tcPr>
            <w:tcW w:w="4138" w:type="pct"/>
            <w:shd w:val="clear" w:color="auto" w:fill="DBE5F1" w:themeFill="accent1" w:themeFillTint="33"/>
          </w:tcPr>
          <w:p w14:paraId="327E5803" w14:textId="4C7E5010" w:rsidR="00BA059E" w:rsidRPr="009108E5" w:rsidRDefault="00BA059E" w:rsidP="003F787E">
            <w:pPr>
              <w:pStyle w:val="DHHSbody"/>
              <w:rPr>
                <w:rFonts w:cs="Arial"/>
              </w:rPr>
            </w:pPr>
            <w:r w:rsidRPr="00B30BA3">
              <w:rPr>
                <w:rFonts w:cs="Arial"/>
              </w:rPr>
              <w:t>Are all pharmacists aware that methadone is fully absorbed within 20 to 30 minutes of ingestion and that a dose might have been substantially absorbed if a patient claims to have vomited a dose after leaving the pharmacy?</w:t>
            </w:r>
          </w:p>
        </w:tc>
        <w:tc>
          <w:tcPr>
            <w:tcW w:w="862" w:type="pct"/>
          </w:tcPr>
          <w:p w14:paraId="340348C0" w14:textId="1DE55915" w:rsidR="00BA059E" w:rsidRPr="00B30BA3" w:rsidRDefault="00CE59DA" w:rsidP="003F787E">
            <w:pPr>
              <w:pStyle w:val="DHHSbody"/>
              <w:rPr>
                <w:rFonts w:cs="Arial"/>
                <w:b/>
              </w:rPr>
            </w:pPr>
            <w:sdt>
              <w:sdtPr>
                <w:rPr>
                  <w:rFonts w:cs="Arial"/>
                  <w:b/>
                </w:rPr>
                <w:id w:val="653103049"/>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7D0AC989" w14:textId="5F20DA16" w:rsidR="00BA059E" w:rsidRPr="00B30BA3" w:rsidRDefault="00CE59DA" w:rsidP="003F787E">
            <w:pPr>
              <w:pStyle w:val="DHHSbody"/>
              <w:rPr>
                <w:rFonts w:cs="Arial"/>
              </w:rPr>
            </w:pPr>
            <w:sdt>
              <w:sdtPr>
                <w:rPr>
                  <w:rFonts w:cs="Arial"/>
                  <w:b/>
                  <w:bCs/>
                </w:rPr>
                <w:id w:val="2096426546"/>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9108E5" w:rsidRPr="00B30BA3" w14:paraId="72BCA034" w14:textId="77777777" w:rsidTr="004E194F">
        <w:tc>
          <w:tcPr>
            <w:tcW w:w="4138" w:type="pct"/>
            <w:shd w:val="clear" w:color="auto" w:fill="DBE5F1" w:themeFill="accent1" w:themeFillTint="33"/>
          </w:tcPr>
          <w:p w14:paraId="64CBBD36" w14:textId="1E0F67BA" w:rsidR="00715EC9" w:rsidRDefault="009108E5" w:rsidP="00205C0D">
            <w:pPr>
              <w:pStyle w:val="DHHSbody"/>
            </w:pPr>
            <w:r>
              <w:rPr>
                <w:rFonts w:cs="Arial"/>
              </w:rPr>
              <w:t xml:space="preserve">Are all pharmacists aware that </w:t>
            </w:r>
            <w:r w:rsidRPr="009108E5">
              <w:rPr>
                <w:rFonts w:cs="Arial"/>
              </w:rPr>
              <w:t xml:space="preserve">the prescriber </w:t>
            </w:r>
            <w:r w:rsidRPr="009108E5">
              <w:rPr>
                <w:rFonts w:cs="Arial"/>
                <w:b/>
                <w:bCs/>
                <w:color w:val="FF0000"/>
              </w:rPr>
              <w:t>MUST</w:t>
            </w:r>
            <w:r w:rsidRPr="009108E5">
              <w:t xml:space="preserve"> be contacted before a vomited dose can be replaced</w:t>
            </w:r>
            <w:r w:rsidR="008E413B">
              <w:t>?</w:t>
            </w:r>
          </w:p>
          <w:p w14:paraId="49A58605" w14:textId="58225EB8" w:rsidR="00ED797A" w:rsidRPr="008E413B" w:rsidRDefault="00715EC9" w:rsidP="00287511">
            <w:pPr>
              <w:pStyle w:val="DHHSbody"/>
              <w:rPr>
                <w:rFonts w:cs="Arial"/>
                <w:i/>
                <w:iCs/>
              </w:rPr>
            </w:pPr>
            <w:r>
              <w:rPr>
                <w:i/>
                <w:iCs/>
              </w:rPr>
              <w:t xml:space="preserve">If </w:t>
            </w:r>
            <w:r w:rsidR="00287511">
              <w:rPr>
                <w:i/>
                <w:iCs/>
              </w:rPr>
              <w:t xml:space="preserve">the </w:t>
            </w:r>
            <w:r w:rsidR="00867760">
              <w:rPr>
                <w:i/>
                <w:iCs/>
              </w:rPr>
              <w:t>veracity</w:t>
            </w:r>
            <w:r w:rsidR="00287511">
              <w:rPr>
                <w:i/>
                <w:iCs/>
              </w:rPr>
              <w:t xml:space="preserve"> of the claim can</w:t>
            </w:r>
            <w:r w:rsidR="003C5D88">
              <w:rPr>
                <w:i/>
                <w:iCs/>
              </w:rPr>
              <w:t>’</w:t>
            </w:r>
            <w:r w:rsidR="00287511">
              <w:rPr>
                <w:i/>
                <w:iCs/>
              </w:rPr>
              <w:t xml:space="preserve">t be confirmed, </w:t>
            </w:r>
            <w:r w:rsidR="00ED797A" w:rsidRPr="008E413B">
              <w:rPr>
                <w:i/>
                <w:iCs/>
              </w:rPr>
              <w:t>it</w:t>
            </w:r>
            <w:r w:rsidR="00287511">
              <w:rPr>
                <w:i/>
                <w:iCs/>
              </w:rPr>
              <w:t xml:space="preserve"> is </w:t>
            </w:r>
            <w:r w:rsidR="00ED797A" w:rsidRPr="008E413B">
              <w:rPr>
                <w:i/>
                <w:iCs/>
              </w:rPr>
              <w:t xml:space="preserve">difficult to </w:t>
            </w:r>
            <w:r w:rsidR="00287511">
              <w:rPr>
                <w:i/>
                <w:iCs/>
              </w:rPr>
              <w:t>rationalise a</w:t>
            </w:r>
            <w:r w:rsidR="00ED797A" w:rsidRPr="008E413B">
              <w:rPr>
                <w:i/>
                <w:iCs/>
              </w:rPr>
              <w:t xml:space="preserve"> replacement</w:t>
            </w:r>
            <w:r w:rsidR="00287511">
              <w:rPr>
                <w:i/>
                <w:iCs/>
              </w:rPr>
              <w:t xml:space="preserve"> dose</w:t>
            </w:r>
            <w:r w:rsidR="00ED797A" w:rsidRPr="008E413B">
              <w:rPr>
                <w:i/>
                <w:iCs/>
              </w:rPr>
              <w:t>.</w:t>
            </w:r>
          </w:p>
        </w:tc>
        <w:tc>
          <w:tcPr>
            <w:tcW w:w="862" w:type="pct"/>
          </w:tcPr>
          <w:p w14:paraId="55FE5457" w14:textId="77777777" w:rsidR="004E194F" w:rsidRPr="00B30BA3" w:rsidRDefault="00CE59DA" w:rsidP="004E194F">
            <w:pPr>
              <w:pStyle w:val="DHHSbody"/>
              <w:rPr>
                <w:rFonts w:cs="Arial"/>
                <w:b/>
              </w:rPr>
            </w:pPr>
            <w:sdt>
              <w:sdtPr>
                <w:rPr>
                  <w:rFonts w:cs="Arial"/>
                  <w:b/>
                </w:rPr>
                <w:id w:val="84582577"/>
                <w14:checkbox>
                  <w14:checked w14:val="0"/>
                  <w14:checkedState w14:val="2612" w14:font="MS Gothic"/>
                  <w14:uncheckedState w14:val="2610" w14:font="MS Gothic"/>
                </w14:checkbox>
              </w:sdtPr>
              <w:sdtEndPr/>
              <w:sdtContent>
                <w:r w:rsidR="004E194F" w:rsidRPr="00B30BA3">
                  <w:rPr>
                    <w:rFonts w:ascii="MS Gothic" w:eastAsia="MS Gothic" w:hAnsi="MS Gothic" w:cs="Arial"/>
                    <w:b/>
                  </w:rPr>
                  <w:t>☐</w:t>
                </w:r>
              </w:sdtContent>
            </w:sdt>
            <w:r w:rsidR="004E194F" w:rsidRPr="00B30BA3">
              <w:rPr>
                <w:rFonts w:cs="Arial"/>
                <w:b/>
              </w:rPr>
              <w:t xml:space="preserve"> Yes</w:t>
            </w:r>
          </w:p>
          <w:p w14:paraId="6E133A9E" w14:textId="789A60EF" w:rsidR="009108E5" w:rsidRDefault="00CE59DA" w:rsidP="004E194F">
            <w:pPr>
              <w:pStyle w:val="DHHSbody"/>
              <w:rPr>
                <w:rFonts w:cs="Arial"/>
                <w:b/>
              </w:rPr>
            </w:pPr>
            <w:sdt>
              <w:sdtPr>
                <w:rPr>
                  <w:rFonts w:cs="Arial"/>
                  <w:b/>
                  <w:bCs/>
                </w:rPr>
                <w:id w:val="193652656"/>
                <w14:checkbox>
                  <w14:checked w14:val="0"/>
                  <w14:checkedState w14:val="2612" w14:font="MS Gothic"/>
                  <w14:uncheckedState w14:val="2610" w14:font="MS Gothic"/>
                </w14:checkbox>
              </w:sdtPr>
              <w:sdtEndPr/>
              <w:sdtContent>
                <w:r w:rsidR="002A6E31">
                  <w:rPr>
                    <w:rFonts w:ascii="MS Gothic" w:eastAsia="MS Gothic" w:hAnsi="MS Gothic" w:cs="Arial" w:hint="eastAsia"/>
                    <w:b/>
                    <w:bCs/>
                  </w:rPr>
                  <w:t>☐</w:t>
                </w:r>
              </w:sdtContent>
            </w:sdt>
            <w:r w:rsidR="004E194F" w:rsidRPr="00B30BA3">
              <w:rPr>
                <w:rFonts w:cs="Arial"/>
                <w:b/>
                <w:bCs/>
              </w:rPr>
              <w:t xml:space="preserve"> No</w:t>
            </w:r>
          </w:p>
        </w:tc>
      </w:tr>
      <w:tr w:rsidR="00BA059E" w:rsidRPr="00B30BA3" w14:paraId="24C918B1" w14:textId="77777777" w:rsidTr="004E194F">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Ex>
        <w:tc>
          <w:tcPr>
            <w:tcW w:w="413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D09C7C" w14:textId="480F9BE4" w:rsidR="00E62129" w:rsidRPr="00E62129" w:rsidRDefault="00B156BE" w:rsidP="003F787E">
            <w:pPr>
              <w:pStyle w:val="DHHSbody"/>
              <w:rPr>
                <w:rFonts w:cs="Arial"/>
                <w:b/>
                <w:bCs/>
              </w:rPr>
            </w:pPr>
            <w:r>
              <w:rPr>
                <w:rFonts w:cs="Arial"/>
                <w:b/>
                <w:bCs/>
              </w:rPr>
              <w:t>Suboxone</w:t>
            </w:r>
            <w:r w:rsidRPr="00B156BE">
              <w:rPr>
                <w:rFonts w:cs="Arial"/>
                <w:b/>
                <w:bCs/>
                <w:vertAlign w:val="superscript"/>
              </w:rPr>
              <w:t>®</w:t>
            </w:r>
            <w:r w:rsidR="00E62129">
              <w:rPr>
                <w:rFonts w:cs="Arial"/>
                <w:b/>
                <w:bCs/>
              </w:rPr>
              <w:t xml:space="preserve"> </w:t>
            </w:r>
            <w:r>
              <w:rPr>
                <w:rFonts w:cs="Arial"/>
                <w:b/>
                <w:bCs/>
              </w:rPr>
              <w:t xml:space="preserve">film </w:t>
            </w:r>
            <w:r w:rsidR="00E62129">
              <w:rPr>
                <w:rFonts w:cs="Arial"/>
                <w:b/>
                <w:bCs/>
              </w:rPr>
              <w:t>considerations</w:t>
            </w:r>
          </w:p>
          <w:p w14:paraId="4F6286EE" w14:textId="5F99C969" w:rsidR="00BA059E" w:rsidRPr="00B30BA3" w:rsidRDefault="00BA059E" w:rsidP="003F787E">
            <w:pPr>
              <w:pStyle w:val="DHHSbody"/>
              <w:rPr>
                <w:rFonts w:cs="Arial"/>
              </w:rPr>
            </w:pPr>
            <w:r w:rsidRPr="00B30BA3">
              <w:rPr>
                <w:rFonts w:cs="Arial"/>
              </w:rPr>
              <w:t>Have all pharmacists and patients been advised that buprenorphine preparations are to be administered sublingually and that Suboxone</w:t>
            </w:r>
            <w:r w:rsidRPr="00B30BA3">
              <w:rPr>
                <w:rFonts w:cs="Arial"/>
                <w:vertAlign w:val="superscript"/>
              </w:rPr>
              <w:t>®</w:t>
            </w:r>
            <w:r w:rsidRPr="00B30BA3">
              <w:rPr>
                <w:rFonts w:cs="Arial"/>
              </w:rPr>
              <w:t xml:space="preserve"> Films should not overlap?</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11DF336D" w14:textId="2A329546" w:rsidR="00BA059E" w:rsidRPr="00B30BA3" w:rsidRDefault="00CE59DA" w:rsidP="003F787E">
            <w:pPr>
              <w:pStyle w:val="DHHSbody"/>
              <w:rPr>
                <w:rFonts w:cs="Arial"/>
                <w:b/>
              </w:rPr>
            </w:pPr>
            <w:sdt>
              <w:sdtPr>
                <w:rPr>
                  <w:rFonts w:cs="Arial"/>
                  <w:b/>
                </w:rPr>
                <w:id w:val="-82615163"/>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3AC4A3B5" w14:textId="7DED5762" w:rsidR="00BA059E" w:rsidRPr="00B30BA3" w:rsidRDefault="00CE59DA" w:rsidP="003F787E">
            <w:pPr>
              <w:pStyle w:val="DHHSbody"/>
              <w:rPr>
                <w:rFonts w:cs="Arial"/>
                <w:b/>
              </w:rPr>
            </w:pPr>
            <w:sdt>
              <w:sdtPr>
                <w:rPr>
                  <w:rFonts w:cs="Arial"/>
                  <w:b/>
                  <w:bCs/>
                </w:rPr>
                <w:id w:val="-1550605478"/>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77B5C414" w14:textId="77777777" w:rsidTr="004E194F">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Ex>
        <w:tc>
          <w:tcPr>
            <w:tcW w:w="413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C51225" w14:textId="77777777" w:rsidR="00BA059E" w:rsidRPr="00B30BA3" w:rsidRDefault="00BA059E" w:rsidP="003F787E">
            <w:pPr>
              <w:pStyle w:val="DHHSbody"/>
              <w:rPr>
                <w:rFonts w:cs="Arial"/>
              </w:rPr>
            </w:pPr>
            <w:r w:rsidRPr="00B30BA3">
              <w:rPr>
                <w:rFonts w:cs="Arial"/>
              </w:rPr>
              <w:t>Are patients supervised to ensure that Suboxone</w:t>
            </w:r>
            <w:r w:rsidRPr="00B30BA3">
              <w:rPr>
                <w:rFonts w:cs="Arial"/>
                <w:vertAlign w:val="superscript"/>
              </w:rPr>
              <w:t>®</w:t>
            </w:r>
            <w:r w:rsidRPr="00B30BA3">
              <w:rPr>
                <w:rFonts w:cs="Arial"/>
              </w:rPr>
              <w:t xml:space="preserve"> Films are genuinely applied within the mouth and not palmed for diversion?</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1055F919" w14:textId="09075340" w:rsidR="00BA059E" w:rsidRPr="00B30BA3" w:rsidRDefault="00CE59DA" w:rsidP="003F787E">
            <w:pPr>
              <w:pStyle w:val="DHHSbody"/>
              <w:rPr>
                <w:rFonts w:cs="Arial"/>
                <w:b/>
              </w:rPr>
            </w:pPr>
            <w:sdt>
              <w:sdtPr>
                <w:rPr>
                  <w:rFonts w:cs="Arial"/>
                  <w:b/>
                </w:rPr>
                <w:id w:val="-1366135262"/>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4D41FDE3" w14:textId="018AA2FA" w:rsidR="00BA059E" w:rsidRPr="00B30BA3" w:rsidRDefault="00CE59DA" w:rsidP="003F787E">
            <w:pPr>
              <w:pStyle w:val="DHHSbody"/>
              <w:rPr>
                <w:rFonts w:cs="Arial"/>
                <w:b/>
              </w:rPr>
            </w:pPr>
            <w:sdt>
              <w:sdtPr>
                <w:rPr>
                  <w:rFonts w:cs="Arial"/>
                  <w:b/>
                  <w:bCs/>
                </w:rPr>
                <w:id w:val="1441269965"/>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30EEA467" w14:textId="77777777" w:rsidTr="004E194F">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Ex>
        <w:tc>
          <w:tcPr>
            <w:tcW w:w="413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303292" w14:textId="77777777" w:rsidR="00BA059E" w:rsidRPr="00B30BA3" w:rsidRDefault="00BA059E" w:rsidP="003F787E">
            <w:pPr>
              <w:pStyle w:val="DHHSbody"/>
              <w:rPr>
                <w:rFonts w:cs="Arial"/>
              </w:rPr>
            </w:pPr>
            <w:r w:rsidRPr="00B30BA3">
              <w:rPr>
                <w:rFonts w:cs="Arial"/>
              </w:rPr>
              <w:t>Are patients supervised until the Suboxone</w:t>
            </w:r>
            <w:r w:rsidRPr="00B30BA3">
              <w:rPr>
                <w:rFonts w:cs="Arial"/>
                <w:vertAlign w:val="superscript"/>
              </w:rPr>
              <w:t>®</w:t>
            </w:r>
            <w:r w:rsidRPr="00B30BA3">
              <w:rPr>
                <w:rFonts w:cs="Arial"/>
              </w:rPr>
              <w:t xml:space="preserve"> Films have adhered to the mucous membrane?</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3B10D5E5" w14:textId="0D5C3EBE" w:rsidR="00BA059E" w:rsidRPr="00B30BA3" w:rsidRDefault="00CE59DA" w:rsidP="003F787E">
            <w:pPr>
              <w:pStyle w:val="DHHSbody"/>
              <w:rPr>
                <w:rFonts w:cs="Arial"/>
                <w:b/>
              </w:rPr>
            </w:pPr>
            <w:sdt>
              <w:sdtPr>
                <w:rPr>
                  <w:rFonts w:cs="Arial"/>
                  <w:b/>
                </w:rPr>
                <w:id w:val="-1352643295"/>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0FEA7747" w14:textId="1F16F633" w:rsidR="00BA059E" w:rsidRPr="00B30BA3" w:rsidRDefault="00CE59DA" w:rsidP="003F787E">
            <w:pPr>
              <w:pStyle w:val="DHHSbody"/>
              <w:rPr>
                <w:rFonts w:cs="Arial"/>
                <w:b/>
              </w:rPr>
            </w:pPr>
            <w:sdt>
              <w:sdtPr>
                <w:rPr>
                  <w:rFonts w:cs="Arial"/>
                  <w:b/>
                  <w:bCs/>
                </w:rPr>
                <w:id w:val="1005403194"/>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bookmarkEnd w:id="2"/>
      <w:tr w:rsidR="00BA059E" w:rsidRPr="00B30BA3" w14:paraId="3E354A3E" w14:textId="77777777" w:rsidTr="00B969F1">
        <w:tblPrEx>
          <w:tblLook w:val="00A0" w:firstRow="1" w:lastRow="0" w:firstColumn="1" w:lastColumn="0" w:noHBand="0" w:noVBand="0"/>
        </w:tblPrEx>
        <w:tc>
          <w:tcPr>
            <w:tcW w:w="5000" w:type="pct"/>
            <w:gridSpan w:val="2"/>
            <w:shd w:val="clear" w:color="auto" w:fill="auto"/>
          </w:tcPr>
          <w:p w14:paraId="6426CEB6" w14:textId="31FFDDEC" w:rsidR="00B156BE" w:rsidRPr="00B156BE" w:rsidRDefault="00B156BE" w:rsidP="003F787E">
            <w:pPr>
              <w:pStyle w:val="DHHSbody"/>
              <w:rPr>
                <w:rFonts w:cs="Arial"/>
                <w:b/>
                <w:bCs/>
              </w:rPr>
            </w:pPr>
            <w:r>
              <w:rPr>
                <w:rFonts w:cs="Arial"/>
                <w:b/>
                <w:bCs/>
              </w:rPr>
              <w:lastRenderedPageBreak/>
              <w:t>Subutex</w:t>
            </w:r>
            <w:r w:rsidRPr="00B156BE">
              <w:rPr>
                <w:rFonts w:cs="Arial"/>
                <w:b/>
                <w:bCs/>
                <w:vertAlign w:val="superscript"/>
              </w:rPr>
              <w:t>®</w:t>
            </w:r>
            <w:r>
              <w:rPr>
                <w:rFonts w:cs="Arial"/>
                <w:b/>
                <w:bCs/>
              </w:rPr>
              <w:t xml:space="preserve"> tablet considerations</w:t>
            </w:r>
          </w:p>
          <w:p w14:paraId="1C2D6F98" w14:textId="1C9C0212" w:rsidR="00BA059E" w:rsidRPr="00B30BA3" w:rsidRDefault="00BA059E" w:rsidP="003F787E">
            <w:pPr>
              <w:pStyle w:val="DHHSbody"/>
              <w:rPr>
                <w:rFonts w:cs="Arial"/>
              </w:rPr>
            </w:pPr>
            <w:r w:rsidRPr="00B30BA3">
              <w:rPr>
                <w:rFonts w:cs="Arial"/>
              </w:rPr>
              <w:t xml:space="preserve">The </w:t>
            </w:r>
            <w:r w:rsidR="00113C21">
              <w:rPr>
                <w:rFonts w:cs="Arial"/>
              </w:rPr>
              <w:t>p</w:t>
            </w:r>
            <w:r w:rsidRPr="00B30BA3">
              <w:rPr>
                <w:rFonts w:cs="Arial"/>
              </w:rPr>
              <w:t xml:space="preserve">olicy states that </w:t>
            </w:r>
            <w:r w:rsidRPr="00B30BA3">
              <w:rPr>
                <w:rFonts w:cs="Arial"/>
                <w:b/>
              </w:rPr>
              <w:t>Subutex</w:t>
            </w:r>
            <w:r w:rsidRPr="00B30BA3">
              <w:rPr>
                <w:rFonts w:cs="Arial"/>
                <w:b/>
                <w:vertAlign w:val="superscript"/>
              </w:rPr>
              <w:t>®</w:t>
            </w:r>
            <w:r w:rsidRPr="00B30BA3">
              <w:rPr>
                <w:rFonts w:cs="Arial"/>
                <w:b/>
              </w:rPr>
              <w:t xml:space="preserve"> tablets</w:t>
            </w:r>
            <w:r w:rsidRPr="00B30BA3">
              <w:rPr>
                <w:rFonts w:cs="Arial"/>
              </w:rPr>
              <w:t xml:space="preserve"> should be broken into small pieces (resembling granules) and administered directly under the patient’s tongue. </w:t>
            </w:r>
          </w:p>
          <w:p w14:paraId="371F1354" w14:textId="2A7FEBE1" w:rsidR="007A4B2F" w:rsidRPr="003C5D88" w:rsidRDefault="00BA059E" w:rsidP="003F787E">
            <w:pPr>
              <w:pStyle w:val="DHHSbody"/>
              <w:rPr>
                <w:rFonts w:cs="Arial"/>
                <w:i/>
                <w:iCs/>
              </w:rPr>
            </w:pPr>
            <w:r w:rsidRPr="00B30BA3">
              <w:rPr>
                <w:rFonts w:cs="Arial"/>
                <w:b/>
                <w:i/>
                <w:iCs/>
              </w:rPr>
              <w:t>Note</w:t>
            </w:r>
            <w:r w:rsidRPr="00B30BA3">
              <w:rPr>
                <w:rFonts w:cs="Arial"/>
                <w:i/>
                <w:iCs/>
              </w:rPr>
              <w:t xml:space="preserve">: </w:t>
            </w:r>
            <w:r w:rsidR="005642B5">
              <w:rPr>
                <w:rFonts w:cs="Arial"/>
                <w:i/>
                <w:iCs/>
              </w:rPr>
              <w:t xml:space="preserve">The department advises that instructions from </w:t>
            </w:r>
            <w:r w:rsidR="00BE043D" w:rsidRPr="00BE043D">
              <w:rPr>
                <w:rFonts w:cs="Arial"/>
                <w:i/>
                <w:iCs/>
              </w:rPr>
              <w:t xml:space="preserve">prescribers </w:t>
            </w:r>
            <w:r w:rsidR="00BE043D" w:rsidRPr="00BE043D">
              <w:rPr>
                <w:rFonts w:cs="Arial"/>
                <w:b/>
                <w:i/>
                <w:iCs/>
              </w:rPr>
              <w:t>not</w:t>
            </w:r>
            <w:r w:rsidR="00BE043D" w:rsidRPr="00BE043D">
              <w:rPr>
                <w:rFonts w:cs="Arial"/>
                <w:i/>
                <w:iCs/>
              </w:rPr>
              <w:t xml:space="preserve"> to crush </w:t>
            </w:r>
            <w:r w:rsidR="00BE043D" w:rsidRPr="00BE043D">
              <w:rPr>
                <w:rFonts w:cs="Arial"/>
                <w:b/>
                <w:i/>
                <w:iCs/>
              </w:rPr>
              <w:t>Subutex</w:t>
            </w:r>
            <w:r w:rsidR="00BE043D" w:rsidRPr="00BE043D">
              <w:rPr>
                <w:rFonts w:cs="Arial"/>
                <w:b/>
                <w:i/>
                <w:iCs/>
                <w:vertAlign w:val="superscript"/>
              </w:rPr>
              <w:t xml:space="preserve">® </w:t>
            </w:r>
            <w:r w:rsidR="00BE043D" w:rsidRPr="00BE043D">
              <w:rPr>
                <w:rFonts w:cs="Arial"/>
                <w:b/>
                <w:i/>
                <w:iCs/>
              </w:rPr>
              <w:t>tablets</w:t>
            </w:r>
            <w:r w:rsidR="00BE043D" w:rsidRPr="00BE043D">
              <w:rPr>
                <w:rFonts w:cs="Arial"/>
                <w:i/>
                <w:iCs/>
              </w:rPr>
              <w:t xml:space="preserve"> for specific patients</w:t>
            </w:r>
            <w:r w:rsidR="005642B5">
              <w:rPr>
                <w:rFonts w:cs="Arial"/>
                <w:i/>
                <w:iCs/>
              </w:rPr>
              <w:t xml:space="preserve"> are </w:t>
            </w:r>
            <w:r w:rsidR="00BE043D" w:rsidRPr="00BE043D">
              <w:rPr>
                <w:rFonts w:cs="Arial"/>
                <w:i/>
                <w:iCs/>
              </w:rPr>
              <w:t xml:space="preserve">best interpreted as an instruction to </w:t>
            </w:r>
            <w:r w:rsidR="00BE043D" w:rsidRPr="00416402">
              <w:rPr>
                <w:rFonts w:cs="Arial"/>
                <w:b/>
                <w:bCs/>
                <w:i/>
                <w:iCs/>
              </w:rPr>
              <w:t>not crush the tablets into a fine powder</w:t>
            </w:r>
            <w:r w:rsidR="00BE043D" w:rsidRPr="00BE043D">
              <w:rPr>
                <w:rFonts w:cs="Arial"/>
                <w:i/>
                <w:iCs/>
              </w:rPr>
              <w:t xml:space="preserve">, </w:t>
            </w:r>
            <w:r w:rsidR="001A304F">
              <w:rPr>
                <w:rFonts w:cs="Arial"/>
                <w:i/>
                <w:iCs/>
              </w:rPr>
              <w:t xml:space="preserve">as </w:t>
            </w:r>
            <w:r w:rsidR="005642B5">
              <w:rPr>
                <w:rFonts w:cs="Arial"/>
                <w:i/>
                <w:iCs/>
              </w:rPr>
              <w:t xml:space="preserve">doing so </w:t>
            </w:r>
            <w:r w:rsidR="001A304F">
              <w:rPr>
                <w:rFonts w:cs="Arial"/>
                <w:i/>
                <w:iCs/>
              </w:rPr>
              <w:t xml:space="preserve">can </w:t>
            </w:r>
            <w:r w:rsidR="005642B5">
              <w:rPr>
                <w:rFonts w:cs="Arial"/>
                <w:i/>
                <w:iCs/>
              </w:rPr>
              <w:t xml:space="preserve">cause the </w:t>
            </w:r>
            <w:r w:rsidR="00A47EED">
              <w:rPr>
                <w:rFonts w:cs="Arial"/>
                <w:i/>
                <w:iCs/>
              </w:rPr>
              <w:t xml:space="preserve">dose to </w:t>
            </w:r>
            <w:r w:rsidR="001A304F">
              <w:rPr>
                <w:rFonts w:cs="Arial"/>
                <w:i/>
                <w:iCs/>
              </w:rPr>
              <w:t xml:space="preserve">form </w:t>
            </w:r>
            <w:r w:rsidR="0069526F">
              <w:rPr>
                <w:rFonts w:cs="Arial"/>
                <w:i/>
                <w:iCs/>
              </w:rPr>
              <w:t>a paste</w:t>
            </w:r>
            <w:r w:rsidR="001A304F">
              <w:rPr>
                <w:rFonts w:cs="Arial"/>
                <w:i/>
                <w:iCs/>
              </w:rPr>
              <w:t xml:space="preserve"> upon </w:t>
            </w:r>
            <w:r w:rsidR="00A47EED">
              <w:rPr>
                <w:rFonts w:cs="Arial"/>
                <w:i/>
                <w:iCs/>
              </w:rPr>
              <w:t xml:space="preserve">mucosal exposure, </w:t>
            </w:r>
            <w:r w:rsidR="0069526F">
              <w:rPr>
                <w:rFonts w:cs="Arial"/>
                <w:i/>
                <w:iCs/>
              </w:rPr>
              <w:t xml:space="preserve">which </w:t>
            </w:r>
            <w:r w:rsidR="00416402">
              <w:rPr>
                <w:rFonts w:cs="Arial"/>
                <w:i/>
                <w:iCs/>
              </w:rPr>
              <w:t xml:space="preserve">can </w:t>
            </w:r>
            <w:r w:rsidR="00BE043D" w:rsidRPr="00BE043D">
              <w:rPr>
                <w:rFonts w:cs="Arial"/>
                <w:i/>
                <w:iCs/>
              </w:rPr>
              <w:t xml:space="preserve">affect the extent to which </w:t>
            </w:r>
            <w:r w:rsidR="00A47EED">
              <w:rPr>
                <w:rFonts w:cs="Arial"/>
                <w:i/>
                <w:iCs/>
              </w:rPr>
              <w:t xml:space="preserve">it </w:t>
            </w:r>
            <w:r w:rsidR="00BE043D" w:rsidRPr="00BE043D">
              <w:rPr>
                <w:rFonts w:cs="Arial"/>
                <w:i/>
                <w:iCs/>
              </w:rPr>
              <w:t>is absorbed</w:t>
            </w:r>
            <w:r w:rsidR="0069526F">
              <w:rPr>
                <w:rFonts w:cs="Arial"/>
                <w:i/>
                <w:iCs/>
              </w:rPr>
              <w:t>.</w:t>
            </w:r>
          </w:p>
        </w:tc>
      </w:tr>
      <w:tr w:rsidR="00BA059E" w:rsidRPr="00B30BA3" w14:paraId="78F3036A" w14:textId="77777777" w:rsidTr="004E194F">
        <w:tc>
          <w:tcPr>
            <w:tcW w:w="4138" w:type="pct"/>
            <w:shd w:val="clear" w:color="auto" w:fill="DBE5F1" w:themeFill="accent1" w:themeFillTint="33"/>
          </w:tcPr>
          <w:p w14:paraId="1D6E065D" w14:textId="77777777" w:rsidR="00BA059E" w:rsidRPr="00B30BA3" w:rsidRDefault="00BA059E" w:rsidP="003F787E">
            <w:pPr>
              <w:pStyle w:val="DHHSbody"/>
              <w:rPr>
                <w:rFonts w:cs="Arial"/>
              </w:rPr>
            </w:pPr>
            <w:r w:rsidRPr="00B30BA3">
              <w:rPr>
                <w:rFonts w:cs="Arial"/>
              </w:rPr>
              <w:t>To minimise the possibility that Subutex</w:t>
            </w:r>
            <w:r w:rsidRPr="00B30BA3">
              <w:rPr>
                <w:rFonts w:cs="Arial"/>
                <w:vertAlign w:val="superscript"/>
              </w:rPr>
              <w:t xml:space="preserve">® </w:t>
            </w:r>
            <w:r w:rsidRPr="00B30BA3">
              <w:rPr>
                <w:rFonts w:cs="Arial"/>
              </w:rPr>
              <w:t>tablets might be diverted, are the tablets routinely broken into small pieces or granules before administration to each patient?</w:t>
            </w:r>
          </w:p>
        </w:tc>
        <w:tc>
          <w:tcPr>
            <w:tcW w:w="862" w:type="pct"/>
            <w:shd w:val="clear" w:color="auto" w:fill="auto"/>
          </w:tcPr>
          <w:p w14:paraId="20F6EF76" w14:textId="59269FA6" w:rsidR="00BA059E" w:rsidRPr="00B30BA3" w:rsidRDefault="00CE59DA" w:rsidP="003F787E">
            <w:pPr>
              <w:pStyle w:val="DHHSbody"/>
              <w:rPr>
                <w:rFonts w:cs="Arial"/>
                <w:b/>
              </w:rPr>
            </w:pPr>
            <w:sdt>
              <w:sdtPr>
                <w:rPr>
                  <w:rFonts w:cs="Arial"/>
                  <w:b/>
                </w:rPr>
                <w:id w:val="-1400746163"/>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3C4D34E5" w14:textId="14388F78" w:rsidR="00BA059E" w:rsidRPr="00B30BA3" w:rsidRDefault="00CE59DA" w:rsidP="003F787E">
            <w:pPr>
              <w:pStyle w:val="DHHSbody"/>
              <w:rPr>
                <w:rFonts w:cs="Arial"/>
              </w:rPr>
            </w:pPr>
            <w:sdt>
              <w:sdtPr>
                <w:rPr>
                  <w:rFonts w:cs="Arial"/>
                  <w:b/>
                  <w:bCs/>
                </w:rPr>
                <w:id w:val="-1873833058"/>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bl>
    <w:p w14:paraId="0FB02AF9" w14:textId="2C9F8475" w:rsidR="00BA059E" w:rsidRPr="00B30BA3" w:rsidRDefault="00445528" w:rsidP="00BA059E">
      <w:pPr>
        <w:pStyle w:val="Heading2"/>
      </w:pPr>
      <w:r>
        <w:t>Take-away doses</w:t>
      </w:r>
      <w:r w:rsidR="00E41FB2">
        <w:t xml:space="preserve"> of pharmacotherapy medication</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9"/>
        <w:gridCol w:w="469"/>
        <w:gridCol w:w="141"/>
        <w:gridCol w:w="1125"/>
      </w:tblGrid>
      <w:tr w:rsidR="00BA059E" w:rsidRPr="00B30BA3" w14:paraId="18F44A76" w14:textId="77777777" w:rsidTr="00C4464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15C7FE6" w14:textId="1AA1868E" w:rsidR="00E41FB2" w:rsidRPr="00E41FB2" w:rsidRDefault="00E41FB2" w:rsidP="003F787E">
            <w:pPr>
              <w:pStyle w:val="DHHSbody"/>
              <w:rPr>
                <w:rFonts w:cs="Arial"/>
                <w:b/>
                <w:bCs/>
              </w:rPr>
            </w:pPr>
            <w:r>
              <w:rPr>
                <w:rFonts w:cs="Arial"/>
                <w:b/>
                <w:bCs/>
              </w:rPr>
              <w:t>Authorisation of take-away doses</w:t>
            </w:r>
            <w:r w:rsidR="009552EB">
              <w:rPr>
                <w:rFonts w:cs="Arial"/>
                <w:b/>
                <w:bCs/>
              </w:rPr>
              <w:t xml:space="preserve"> </w:t>
            </w:r>
          </w:p>
          <w:p w14:paraId="61F7BD7C" w14:textId="2BE9321A" w:rsidR="006D1805" w:rsidRDefault="00394A86" w:rsidP="006D1805">
            <w:pPr>
              <w:pStyle w:val="DHHSbody"/>
              <w:rPr>
                <w:rFonts w:cs="Arial"/>
              </w:rPr>
            </w:pPr>
            <w:r>
              <w:rPr>
                <w:rFonts w:cs="Arial"/>
              </w:rPr>
              <w:t xml:space="preserve">Take-away doses are a </w:t>
            </w:r>
            <w:r w:rsidR="006230FC">
              <w:rPr>
                <w:rFonts w:cs="Arial"/>
              </w:rPr>
              <w:t>key</w:t>
            </w:r>
            <w:r>
              <w:rPr>
                <w:rFonts w:cs="Arial"/>
              </w:rPr>
              <w:t xml:space="preserve"> aspect of</w:t>
            </w:r>
            <w:r w:rsidR="00896FC5">
              <w:rPr>
                <w:rFonts w:cs="Arial"/>
              </w:rPr>
              <w:t xml:space="preserve"> a patient’s </w:t>
            </w:r>
            <w:r>
              <w:rPr>
                <w:rFonts w:cs="Arial"/>
              </w:rPr>
              <w:t xml:space="preserve">pharmacotherapy program, </w:t>
            </w:r>
            <w:r w:rsidR="00DB5404">
              <w:rPr>
                <w:rFonts w:cs="Arial"/>
              </w:rPr>
              <w:t>represent</w:t>
            </w:r>
            <w:r w:rsidR="00530929">
              <w:rPr>
                <w:rFonts w:cs="Arial"/>
              </w:rPr>
              <w:t>in</w:t>
            </w:r>
            <w:r w:rsidR="006D1805">
              <w:rPr>
                <w:rFonts w:cs="Arial"/>
              </w:rPr>
              <w:t xml:space="preserve">g </w:t>
            </w:r>
            <w:r w:rsidR="00DB5404">
              <w:rPr>
                <w:rFonts w:cs="Arial"/>
              </w:rPr>
              <w:t>many positives</w:t>
            </w:r>
            <w:r w:rsidR="006D1805">
              <w:rPr>
                <w:rFonts w:cs="Arial"/>
              </w:rPr>
              <w:t xml:space="preserve">: </w:t>
            </w:r>
          </w:p>
          <w:p w14:paraId="24657E13" w14:textId="0839C939" w:rsidR="00DB5404" w:rsidRDefault="006230FC" w:rsidP="003B32D8">
            <w:pPr>
              <w:pStyle w:val="DHHSbody"/>
              <w:numPr>
                <w:ilvl w:val="0"/>
                <w:numId w:val="18"/>
              </w:numPr>
              <w:rPr>
                <w:rFonts w:cs="Arial"/>
              </w:rPr>
            </w:pPr>
            <w:r>
              <w:rPr>
                <w:rFonts w:cs="Arial"/>
              </w:rPr>
              <w:t xml:space="preserve">A </w:t>
            </w:r>
            <w:r w:rsidR="00DB5404" w:rsidRPr="00B30BA3">
              <w:rPr>
                <w:rFonts w:cs="Arial"/>
              </w:rPr>
              <w:t>demonstration of trust from both the prescriber and the pharmacist</w:t>
            </w:r>
          </w:p>
          <w:p w14:paraId="2A359509" w14:textId="1E1DA000" w:rsidR="00394A86" w:rsidRPr="00B256B4" w:rsidRDefault="00CC70E2" w:rsidP="004A3443">
            <w:pPr>
              <w:pStyle w:val="DHHSbody"/>
              <w:numPr>
                <w:ilvl w:val="0"/>
                <w:numId w:val="18"/>
              </w:numPr>
              <w:rPr>
                <w:rFonts w:cs="Arial"/>
              </w:rPr>
            </w:pPr>
            <w:r w:rsidRPr="00B256B4">
              <w:rPr>
                <w:rFonts w:cs="Arial"/>
              </w:rPr>
              <w:t xml:space="preserve">A greater </w:t>
            </w:r>
            <w:r w:rsidR="00394A86" w:rsidRPr="00B256B4">
              <w:rPr>
                <w:rFonts w:cs="Arial"/>
              </w:rPr>
              <w:t>degree of freedom within their week</w:t>
            </w:r>
            <w:r w:rsidR="00B256B4" w:rsidRPr="00B256B4">
              <w:rPr>
                <w:rFonts w:cs="Arial"/>
              </w:rPr>
              <w:t xml:space="preserve"> which can facilitate</w:t>
            </w:r>
            <w:r w:rsidR="00394A86" w:rsidRPr="00B256B4">
              <w:rPr>
                <w:rFonts w:cs="Arial"/>
              </w:rPr>
              <w:t xml:space="preserve"> work, study</w:t>
            </w:r>
            <w:r w:rsidR="006230FC" w:rsidRPr="00B256B4">
              <w:rPr>
                <w:rFonts w:cs="Arial"/>
              </w:rPr>
              <w:t>,</w:t>
            </w:r>
            <w:r w:rsidR="00394A86" w:rsidRPr="00B256B4">
              <w:rPr>
                <w:rFonts w:cs="Arial"/>
              </w:rPr>
              <w:t xml:space="preserve"> or family commitments</w:t>
            </w:r>
          </w:p>
          <w:p w14:paraId="458BA2E0" w14:textId="5A939818" w:rsidR="00BA059E" w:rsidRPr="00B30BA3" w:rsidRDefault="009351AC" w:rsidP="00B256B4">
            <w:pPr>
              <w:pStyle w:val="DHHSbody"/>
              <w:rPr>
                <w:rFonts w:cs="Arial"/>
              </w:rPr>
            </w:pPr>
            <w:r>
              <w:rPr>
                <w:rFonts w:cs="Arial"/>
              </w:rPr>
              <w:t xml:space="preserve">However, </w:t>
            </w:r>
            <w:r w:rsidR="00B256B4">
              <w:rPr>
                <w:rFonts w:cs="Arial"/>
              </w:rPr>
              <w:t xml:space="preserve">the association between methadone take-away doses and overdose deaths in the community means that authorising </w:t>
            </w:r>
            <w:r w:rsidR="00BA059E" w:rsidRPr="00B30BA3">
              <w:rPr>
                <w:rFonts w:cs="Arial"/>
              </w:rPr>
              <w:t xml:space="preserve">take-away doses </w:t>
            </w:r>
            <w:r w:rsidR="00B256B4">
              <w:rPr>
                <w:rFonts w:cs="Arial"/>
              </w:rPr>
              <w:t xml:space="preserve">for a patient </w:t>
            </w:r>
            <w:r w:rsidR="00BA059E" w:rsidRPr="00B30BA3">
              <w:rPr>
                <w:rFonts w:cs="Arial"/>
              </w:rPr>
              <w:t>is a significant clinical decision</w:t>
            </w:r>
            <w:r w:rsidR="005D4D77">
              <w:rPr>
                <w:rFonts w:cs="Arial"/>
              </w:rPr>
              <w:t xml:space="preserve">, </w:t>
            </w:r>
            <w:r w:rsidR="009552EB">
              <w:rPr>
                <w:rFonts w:cs="Arial"/>
              </w:rPr>
              <w:t xml:space="preserve">and </w:t>
            </w:r>
            <w:r w:rsidR="00B256B4">
              <w:rPr>
                <w:rFonts w:cs="Arial"/>
              </w:rPr>
              <w:t xml:space="preserve">one in which </w:t>
            </w:r>
            <w:r w:rsidR="009552EB" w:rsidRPr="00B256B4">
              <w:rPr>
                <w:rFonts w:cs="Arial"/>
                <w:b/>
                <w:bCs/>
              </w:rPr>
              <w:t>p</w:t>
            </w:r>
            <w:r w:rsidR="00114765" w:rsidRPr="006069EA">
              <w:rPr>
                <w:rFonts w:cs="Arial"/>
                <w:b/>
              </w:rPr>
              <w:t xml:space="preserve">harmacists </w:t>
            </w:r>
            <w:r w:rsidR="00D32B93" w:rsidRPr="006069EA">
              <w:rPr>
                <w:rFonts w:cs="Arial"/>
                <w:b/>
              </w:rPr>
              <w:t>should play a central role</w:t>
            </w:r>
            <w:r w:rsidR="00B256B4">
              <w:rPr>
                <w:rFonts w:cs="Arial"/>
                <w:b/>
              </w:rPr>
              <w:t xml:space="preserve">. </w:t>
            </w:r>
            <w:r w:rsidR="009552EB">
              <w:rPr>
                <w:rFonts w:cs="Arial"/>
                <w:bCs/>
              </w:rPr>
              <w:t>I</w:t>
            </w:r>
            <w:r w:rsidR="00D32B93">
              <w:rPr>
                <w:rFonts w:cs="Arial"/>
                <w:bCs/>
              </w:rPr>
              <w:t>t is r</w:t>
            </w:r>
            <w:r w:rsidR="00BA059E" w:rsidRPr="00B30BA3">
              <w:rPr>
                <w:rFonts w:cs="Arial"/>
                <w:bCs/>
              </w:rPr>
              <w:t>ecommended that prescribers consult with the</w:t>
            </w:r>
            <w:r w:rsidR="00F929BB">
              <w:rPr>
                <w:rFonts w:cs="Arial"/>
                <w:bCs/>
              </w:rPr>
              <w:t xml:space="preserve"> </w:t>
            </w:r>
            <w:r w:rsidR="007F2EB2">
              <w:rPr>
                <w:rFonts w:cs="Arial"/>
                <w:bCs/>
              </w:rPr>
              <w:t>patients</w:t>
            </w:r>
            <w:r w:rsidR="00BA059E" w:rsidRPr="00B30BA3">
              <w:rPr>
                <w:rFonts w:cs="Arial"/>
                <w:bCs/>
              </w:rPr>
              <w:t>’ pharmacist when considering initial authorisation of take-away doses, or whether or not to increase the number or frequency of take-away doses</w:t>
            </w:r>
            <w:r w:rsidR="00B256B4">
              <w:rPr>
                <w:rFonts w:cs="Arial"/>
                <w:bCs/>
              </w:rPr>
              <w:t>.</w:t>
            </w:r>
          </w:p>
        </w:tc>
      </w:tr>
      <w:tr w:rsidR="00B256B4" w:rsidRPr="00B30BA3" w14:paraId="21886342" w14:textId="77777777" w:rsidTr="00C4464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31DA50A" w14:textId="77777777" w:rsidR="00B256B4" w:rsidRPr="00B30BA3" w:rsidRDefault="00B256B4" w:rsidP="00B256B4">
            <w:pPr>
              <w:pStyle w:val="DHHSbody"/>
              <w:rPr>
                <w:rFonts w:cs="Arial"/>
              </w:rPr>
            </w:pPr>
            <w:r w:rsidRPr="00B30BA3">
              <w:rPr>
                <w:rFonts w:cs="Arial"/>
              </w:rPr>
              <w:t xml:space="preserve">The broader scope of considerations required to assess whether or not to provide authorisation for take-away doses </w:t>
            </w:r>
            <w:r>
              <w:rPr>
                <w:rFonts w:cs="Arial"/>
              </w:rPr>
              <w:t xml:space="preserve">is explored in </w:t>
            </w:r>
            <w:r w:rsidRPr="00B30BA3">
              <w:rPr>
                <w:rFonts w:cs="Arial"/>
              </w:rPr>
              <w:t>Appendix 4 of the policy</w:t>
            </w:r>
            <w:r>
              <w:rPr>
                <w:rFonts w:cs="Arial"/>
              </w:rPr>
              <w:t>. In particular, the pharmacist would consult on the following:</w:t>
            </w:r>
          </w:p>
          <w:p w14:paraId="435145FA" w14:textId="77777777" w:rsidR="00B256B4" w:rsidRPr="00B30BA3" w:rsidRDefault="00B256B4" w:rsidP="00B256B4">
            <w:pPr>
              <w:pStyle w:val="DHHSbody"/>
              <w:rPr>
                <w:rFonts w:cs="Arial"/>
              </w:rPr>
            </w:pPr>
            <w:r w:rsidRPr="00B30BA3">
              <w:rPr>
                <w:rFonts w:cs="Arial"/>
                <w:b/>
              </w:rPr>
              <w:t>Absolute contra-indications:</w:t>
            </w:r>
            <w:r w:rsidRPr="00B30BA3">
              <w:rPr>
                <w:rFonts w:cs="Arial"/>
              </w:rPr>
              <w:t xml:space="preserve"> </w:t>
            </w:r>
            <w:r>
              <w:rPr>
                <w:rFonts w:cs="Arial"/>
              </w:rPr>
              <w:t>If in the last three months there has been</w:t>
            </w:r>
          </w:p>
          <w:p w14:paraId="1FF65D64" w14:textId="77777777" w:rsidR="00B256B4" w:rsidRPr="00B30BA3" w:rsidRDefault="00B256B4" w:rsidP="00B256B4">
            <w:pPr>
              <w:pStyle w:val="DHHSbullet1"/>
              <w:numPr>
                <w:ilvl w:val="0"/>
                <w:numId w:val="15"/>
              </w:numPr>
              <w:rPr>
                <w:lang w:eastAsia="en-AU"/>
              </w:rPr>
            </w:pPr>
            <w:r w:rsidRPr="00B30BA3">
              <w:rPr>
                <w:lang w:eastAsia="en-AU"/>
              </w:rPr>
              <w:t>Overdose of any substance reported.</w:t>
            </w:r>
          </w:p>
          <w:p w14:paraId="49698970" w14:textId="77777777" w:rsidR="00B256B4" w:rsidRPr="00B30BA3" w:rsidRDefault="00B256B4" w:rsidP="00B256B4">
            <w:pPr>
              <w:pStyle w:val="DHHSbullet1"/>
              <w:numPr>
                <w:ilvl w:val="0"/>
                <w:numId w:val="15"/>
              </w:numPr>
              <w:rPr>
                <w:lang w:eastAsia="en-AU"/>
              </w:rPr>
            </w:pPr>
            <w:r w:rsidRPr="00B30BA3">
              <w:rPr>
                <w:lang w:eastAsia="en-AU"/>
              </w:rPr>
              <w:t>Diversion of doses to others, sharing or trading doses.</w:t>
            </w:r>
          </w:p>
          <w:p w14:paraId="70CA6BCB" w14:textId="77777777" w:rsidR="00B256B4" w:rsidRPr="00B30BA3" w:rsidRDefault="00B256B4" w:rsidP="00B256B4">
            <w:pPr>
              <w:pStyle w:val="DHHSbullet1"/>
              <w:numPr>
                <w:ilvl w:val="0"/>
                <w:numId w:val="15"/>
              </w:numPr>
              <w:rPr>
                <w:lang w:eastAsia="en-AU"/>
              </w:rPr>
            </w:pPr>
            <w:r w:rsidRPr="00B30BA3">
              <w:rPr>
                <w:lang w:eastAsia="en-AU"/>
              </w:rPr>
              <w:t>No safe and secure storage facility available.</w:t>
            </w:r>
          </w:p>
          <w:p w14:paraId="20965058" w14:textId="77777777" w:rsidR="00B256B4" w:rsidRDefault="00B256B4" w:rsidP="00B256B4">
            <w:pPr>
              <w:pStyle w:val="DHHSbullet1"/>
              <w:numPr>
                <w:ilvl w:val="0"/>
                <w:numId w:val="15"/>
              </w:numPr>
              <w:rPr>
                <w:lang w:eastAsia="en-AU"/>
              </w:rPr>
            </w:pPr>
            <w:r w:rsidRPr="00B30BA3">
              <w:rPr>
                <w:lang w:eastAsia="en-AU"/>
              </w:rPr>
              <w:t>Concerns about risk of causing harm to self or others (for example, intentional poisoning).</w:t>
            </w:r>
          </w:p>
          <w:p w14:paraId="419514B6" w14:textId="77777777" w:rsidR="00B256B4" w:rsidRPr="00572240" w:rsidRDefault="00B256B4" w:rsidP="00B256B4">
            <w:pPr>
              <w:pStyle w:val="DHHSbullet1"/>
              <w:rPr>
                <w:lang w:eastAsia="en-AU"/>
              </w:rPr>
            </w:pPr>
          </w:p>
          <w:p w14:paraId="63031FCC" w14:textId="77777777" w:rsidR="00B256B4" w:rsidRDefault="00B256B4" w:rsidP="00B256B4">
            <w:pPr>
              <w:pStyle w:val="DHHSbody"/>
              <w:rPr>
                <w:rFonts w:cs="Arial"/>
                <w:bCs/>
              </w:rPr>
            </w:pPr>
            <w:r>
              <w:rPr>
                <w:rFonts w:cs="Arial"/>
                <w:b/>
              </w:rPr>
              <w:t>If there has been a c</w:t>
            </w:r>
            <w:r w:rsidRPr="00B30BA3">
              <w:rPr>
                <w:rFonts w:cs="Arial"/>
                <w:b/>
              </w:rPr>
              <w:t>ontinuous period of stability</w:t>
            </w:r>
          </w:p>
          <w:p w14:paraId="3CEE6AEA" w14:textId="4C994840" w:rsidR="00B256B4" w:rsidRDefault="00B256B4" w:rsidP="00B256B4">
            <w:pPr>
              <w:pStyle w:val="DHHSbody"/>
              <w:numPr>
                <w:ilvl w:val="0"/>
                <w:numId w:val="15"/>
              </w:numPr>
              <w:rPr>
                <w:rFonts w:cs="Arial"/>
                <w:b/>
                <w:bCs/>
              </w:rPr>
            </w:pPr>
            <w:r>
              <w:rPr>
                <w:rFonts w:cs="Arial"/>
                <w:bCs/>
              </w:rPr>
              <w:t xml:space="preserve">This should </w:t>
            </w:r>
            <w:r>
              <w:rPr>
                <w:rFonts w:cs="Arial"/>
                <w:b/>
              </w:rPr>
              <w:t>always</w:t>
            </w:r>
            <w:r>
              <w:rPr>
                <w:rFonts w:cs="Arial"/>
                <w:bCs/>
              </w:rPr>
              <w:t xml:space="preserve"> be considered </w:t>
            </w:r>
            <w:r w:rsidRPr="00572240">
              <w:rPr>
                <w:rFonts w:cs="Arial"/>
                <w:b/>
              </w:rPr>
              <w:t>after</w:t>
            </w:r>
            <w:r>
              <w:rPr>
                <w:rFonts w:cs="Arial"/>
                <w:bCs/>
              </w:rPr>
              <w:t xml:space="preserve"> any absolute or relative contra-indications.</w:t>
            </w:r>
          </w:p>
        </w:tc>
      </w:tr>
      <w:tr w:rsidR="00BA059E" w:rsidRPr="00B30BA3" w14:paraId="16F32244" w14:textId="77777777" w:rsidTr="00C4464A">
        <w:tc>
          <w:tcPr>
            <w:tcW w:w="5000" w:type="pct"/>
            <w:gridSpan w:val="4"/>
            <w:tcBorders>
              <w:top w:val="single" w:sz="4" w:space="0" w:color="auto"/>
              <w:left w:val="single" w:sz="4" w:space="0" w:color="auto"/>
              <w:bottom w:val="single" w:sz="4" w:space="0" w:color="auto"/>
              <w:right w:val="single" w:sz="4" w:space="0" w:color="auto"/>
            </w:tcBorders>
            <w:shd w:val="clear" w:color="auto" w:fill="FFFF00"/>
          </w:tcPr>
          <w:p w14:paraId="0088C379" w14:textId="0890E484" w:rsidR="00B06DE3" w:rsidRPr="00B06DE3" w:rsidRDefault="00B06DE3" w:rsidP="003F787E">
            <w:pPr>
              <w:pStyle w:val="DHHSbody"/>
              <w:rPr>
                <w:rFonts w:cs="Arial"/>
                <w:b/>
              </w:rPr>
            </w:pPr>
            <w:r>
              <w:rPr>
                <w:rFonts w:cs="Arial"/>
                <w:b/>
              </w:rPr>
              <w:t>Patient responsibilities regarding take-away doses</w:t>
            </w:r>
          </w:p>
          <w:p w14:paraId="6ED95799" w14:textId="64F50464" w:rsidR="00BA059E" w:rsidRPr="00B30BA3" w:rsidRDefault="00BA059E" w:rsidP="003F787E">
            <w:pPr>
              <w:pStyle w:val="DHHSbody"/>
              <w:rPr>
                <w:rFonts w:cs="Arial"/>
                <w:bCs/>
              </w:rPr>
            </w:pPr>
            <w:r w:rsidRPr="00B30BA3">
              <w:rPr>
                <w:rFonts w:cs="Arial"/>
                <w:bCs/>
              </w:rPr>
              <w:t>It is important for the pharmacist to engage with their patients about the responsibilities they are taking on when being authorised to have take-away doses.</w:t>
            </w:r>
            <w:r w:rsidR="00DD7F48">
              <w:rPr>
                <w:rFonts w:cs="Arial"/>
                <w:bCs/>
              </w:rPr>
              <w:t xml:space="preserve"> The documents </w:t>
            </w:r>
            <w:r w:rsidR="00B256B4">
              <w:rPr>
                <w:rFonts w:cs="Arial"/>
                <w:bCs/>
              </w:rPr>
              <w:t xml:space="preserve">mentioned </w:t>
            </w:r>
            <w:r w:rsidR="00DD7F48">
              <w:rPr>
                <w:rFonts w:cs="Arial"/>
                <w:bCs/>
              </w:rPr>
              <w:t xml:space="preserve">can also be found </w:t>
            </w:r>
            <w:hyperlink r:id="rId36" w:history="1">
              <w:r w:rsidR="00DD7F48" w:rsidRPr="00572240">
                <w:rPr>
                  <w:rStyle w:val="Hyperlink"/>
                  <w:rFonts w:cs="Arial"/>
                  <w:bCs/>
                </w:rPr>
                <w:t>on the MPR website</w:t>
              </w:r>
            </w:hyperlink>
            <w:r w:rsidR="00DD7F48">
              <w:rPr>
                <w:rFonts w:cs="Arial"/>
                <w:bCs/>
              </w:rPr>
              <w:t>.</w:t>
            </w:r>
          </w:p>
          <w:p w14:paraId="23027468" w14:textId="471E9DB7" w:rsidR="00BA059E" w:rsidRPr="00B30BA3" w:rsidRDefault="00BA059E" w:rsidP="003B32D8">
            <w:pPr>
              <w:pStyle w:val="DHHSbody"/>
              <w:numPr>
                <w:ilvl w:val="0"/>
                <w:numId w:val="16"/>
              </w:numPr>
              <w:rPr>
                <w:rFonts w:cs="Arial"/>
                <w:bCs/>
              </w:rPr>
            </w:pPr>
            <w:r w:rsidRPr="00B30BA3">
              <w:rPr>
                <w:rFonts w:cs="Arial"/>
                <w:bCs/>
              </w:rPr>
              <w:t>Patients receiving methadone take-away doses for the first time should be provided with a copy of the patient agreement found in Appendix 5 of the Policy document</w:t>
            </w:r>
            <w:r w:rsidR="0041191D">
              <w:rPr>
                <w:rFonts w:cs="Arial"/>
                <w:bCs/>
              </w:rPr>
              <w:t>.</w:t>
            </w:r>
          </w:p>
          <w:p w14:paraId="30387BF2" w14:textId="6D45A128" w:rsidR="00BA059E" w:rsidRPr="00B30BA3" w:rsidRDefault="00BA059E" w:rsidP="003B32D8">
            <w:pPr>
              <w:pStyle w:val="DHHSbody"/>
              <w:numPr>
                <w:ilvl w:val="0"/>
                <w:numId w:val="16"/>
              </w:numPr>
              <w:rPr>
                <w:rFonts w:cs="Arial"/>
                <w:bCs/>
              </w:rPr>
            </w:pPr>
            <w:r w:rsidRPr="00B30BA3">
              <w:rPr>
                <w:rFonts w:cs="Arial"/>
                <w:bCs/>
              </w:rPr>
              <w:t>Patients receiving buprenorphine take-away doses for the first time should be provided with a copy of the patient agreement found in Appendix 6 of the Poli</w:t>
            </w:r>
            <w:r w:rsidR="00B83662">
              <w:rPr>
                <w:rFonts w:cs="Arial"/>
                <w:bCs/>
              </w:rPr>
              <w:t>cy document.</w:t>
            </w:r>
          </w:p>
          <w:p w14:paraId="01F7B54E" w14:textId="27C3EEFF" w:rsidR="00BA059E" w:rsidRPr="00B30BA3" w:rsidRDefault="00B83662" w:rsidP="003B32D8">
            <w:pPr>
              <w:pStyle w:val="DHHSbody"/>
              <w:numPr>
                <w:ilvl w:val="0"/>
                <w:numId w:val="16"/>
              </w:numPr>
              <w:rPr>
                <w:rFonts w:cs="Arial"/>
                <w:bCs/>
              </w:rPr>
            </w:pPr>
            <w:r>
              <w:rPr>
                <w:rFonts w:cs="Arial"/>
                <w:bCs/>
              </w:rPr>
              <w:t>The pharmacist should ensure that their p</w:t>
            </w:r>
            <w:r w:rsidR="00BA059E" w:rsidRPr="00B30BA3">
              <w:rPr>
                <w:rFonts w:cs="Arial"/>
                <w:bCs/>
              </w:rPr>
              <w:t xml:space="preserve">atients understand the contents of these agreements and a copy of the relevant agreement </w:t>
            </w:r>
            <w:r w:rsidR="006D377A">
              <w:rPr>
                <w:rFonts w:cs="Arial"/>
                <w:bCs/>
              </w:rPr>
              <w:t xml:space="preserve">should </w:t>
            </w:r>
            <w:r w:rsidR="00BA059E" w:rsidRPr="00B30BA3">
              <w:rPr>
                <w:rFonts w:cs="Arial"/>
                <w:bCs/>
              </w:rPr>
              <w:t>be signed by the patient and kept in their attendance record.</w:t>
            </w:r>
          </w:p>
        </w:tc>
      </w:tr>
      <w:tr w:rsidR="00BA059E" w:rsidRPr="00B30BA3" w14:paraId="54BC5A4A" w14:textId="77777777" w:rsidTr="009702E3">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rPr>
          <w:trHeight w:val="489"/>
        </w:trPr>
        <w:tc>
          <w:tcPr>
            <w:tcW w:w="437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96095" w14:textId="5C7DFD6E" w:rsidR="00BA059E" w:rsidRPr="00B30BA3" w:rsidRDefault="00BA059E" w:rsidP="003F787E">
            <w:pPr>
              <w:pStyle w:val="DHHSbody"/>
              <w:rPr>
                <w:rFonts w:cs="Arial"/>
                <w:bCs/>
              </w:rPr>
            </w:pPr>
            <w:r w:rsidRPr="00B30BA3">
              <w:rPr>
                <w:rFonts w:cs="Arial"/>
                <w:bCs/>
              </w:rPr>
              <w:t>Have all pharmacists been made aware of the steps which require consideration before authorising the supply of take-away doses?</w:t>
            </w:r>
          </w:p>
        </w:tc>
        <w:tc>
          <w:tcPr>
            <w:tcW w:w="621" w:type="pct"/>
            <w:gridSpan w:val="2"/>
            <w:tcBorders>
              <w:top w:val="single" w:sz="4" w:space="0" w:color="auto"/>
              <w:left w:val="single" w:sz="4" w:space="0" w:color="auto"/>
              <w:bottom w:val="single" w:sz="4" w:space="0" w:color="auto"/>
              <w:right w:val="single" w:sz="4" w:space="0" w:color="auto"/>
            </w:tcBorders>
          </w:tcPr>
          <w:p w14:paraId="05DB05F4" w14:textId="3C89EF57" w:rsidR="00BA059E" w:rsidRPr="00B30BA3" w:rsidRDefault="00CE59DA" w:rsidP="003F787E">
            <w:pPr>
              <w:pStyle w:val="DHHSbody"/>
              <w:rPr>
                <w:rFonts w:cs="Arial"/>
                <w:b/>
              </w:rPr>
            </w:pPr>
            <w:sdt>
              <w:sdtPr>
                <w:rPr>
                  <w:rFonts w:cs="Arial"/>
                  <w:b/>
                </w:rPr>
                <w:id w:val="699200804"/>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3E80229B" w14:textId="549D91AF" w:rsidR="00BA059E" w:rsidRPr="00B30BA3" w:rsidRDefault="00CE59DA" w:rsidP="003F787E">
            <w:pPr>
              <w:pStyle w:val="DHHSbody"/>
              <w:rPr>
                <w:rFonts w:cs="Arial"/>
              </w:rPr>
            </w:pPr>
            <w:sdt>
              <w:sdtPr>
                <w:rPr>
                  <w:rFonts w:cs="Arial"/>
                  <w:b/>
                  <w:bCs/>
                </w:rPr>
                <w:id w:val="-977374986"/>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r w:rsidR="00BA059E" w:rsidRPr="00B30BA3">
              <w:rPr>
                <w:rFonts w:cs="Arial"/>
              </w:rPr>
              <w:t xml:space="preserve"> </w:t>
            </w:r>
          </w:p>
        </w:tc>
      </w:tr>
      <w:tr w:rsidR="00BA059E" w:rsidRPr="00B30BA3" w14:paraId="29BC94F0" w14:textId="77777777" w:rsidTr="009702E3">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rPr>
          <w:trHeight w:val="488"/>
        </w:trPr>
        <w:tc>
          <w:tcPr>
            <w:tcW w:w="437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E0BBBF" w14:textId="77777777" w:rsidR="00BA059E" w:rsidRPr="00B30BA3" w:rsidRDefault="00BA059E" w:rsidP="003F787E">
            <w:pPr>
              <w:pStyle w:val="DHHSbody"/>
              <w:rPr>
                <w:rFonts w:cs="Arial"/>
                <w:bCs/>
              </w:rPr>
            </w:pPr>
            <w:r w:rsidRPr="00B30BA3">
              <w:rPr>
                <w:rFonts w:cs="Arial"/>
                <w:bCs/>
              </w:rPr>
              <w:lastRenderedPageBreak/>
              <w:t xml:space="preserve">Is a copy of </w:t>
            </w:r>
            <w:hyperlink r:id="rId37" w:history="1">
              <w:r w:rsidRPr="00B30BA3">
                <w:rPr>
                  <w:rStyle w:val="Hyperlink"/>
                  <w:rFonts w:cs="Arial"/>
                  <w:bCs/>
                </w:rPr>
                <w:t>Appendix 4</w:t>
              </w:r>
            </w:hyperlink>
            <w:r w:rsidRPr="00B30BA3">
              <w:rPr>
                <w:rFonts w:cs="Arial"/>
                <w:bCs/>
              </w:rPr>
              <w:t xml:space="preserve"> (</w:t>
            </w:r>
            <w:r w:rsidRPr="00B30BA3">
              <w:rPr>
                <w:rFonts w:cs="Arial"/>
                <w:i/>
                <w:iCs/>
              </w:rPr>
              <w:t>“Checklist for assessing appropriateness of take-away doses”</w:t>
            </w:r>
            <w:r w:rsidRPr="00B30BA3">
              <w:rPr>
                <w:rFonts w:cs="Arial"/>
              </w:rPr>
              <w:t xml:space="preserve">) </w:t>
            </w:r>
            <w:r w:rsidRPr="00B30BA3">
              <w:rPr>
                <w:rFonts w:cs="Arial"/>
                <w:bCs/>
              </w:rPr>
              <w:t>readily available for ready reference by pharmacists?</w:t>
            </w:r>
          </w:p>
        </w:tc>
        <w:tc>
          <w:tcPr>
            <w:tcW w:w="621" w:type="pct"/>
            <w:gridSpan w:val="2"/>
            <w:tcBorders>
              <w:top w:val="single" w:sz="4" w:space="0" w:color="auto"/>
              <w:left w:val="single" w:sz="4" w:space="0" w:color="auto"/>
              <w:bottom w:val="single" w:sz="4" w:space="0" w:color="auto"/>
              <w:right w:val="single" w:sz="4" w:space="0" w:color="auto"/>
            </w:tcBorders>
          </w:tcPr>
          <w:p w14:paraId="408F79AF" w14:textId="75B2E462" w:rsidR="00BA059E" w:rsidRPr="00B30BA3" w:rsidRDefault="00CE59DA" w:rsidP="003F787E">
            <w:pPr>
              <w:pStyle w:val="DHHSbody"/>
              <w:rPr>
                <w:rFonts w:cs="Arial"/>
                <w:b/>
              </w:rPr>
            </w:pPr>
            <w:sdt>
              <w:sdtPr>
                <w:rPr>
                  <w:rFonts w:cs="Arial"/>
                  <w:b/>
                </w:rPr>
                <w:id w:val="265817226"/>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5B3C0C9C" w14:textId="53B3E5AE" w:rsidR="00BA059E" w:rsidRPr="00B30BA3" w:rsidRDefault="00CE59DA" w:rsidP="003F787E">
            <w:pPr>
              <w:pStyle w:val="DHHSbody"/>
              <w:rPr>
                <w:rFonts w:cs="Arial"/>
                <w:b/>
              </w:rPr>
            </w:pPr>
            <w:sdt>
              <w:sdtPr>
                <w:rPr>
                  <w:rFonts w:cs="Arial"/>
                  <w:b/>
                  <w:bCs/>
                </w:rPr>
                <w:id w:val="1631820574"/>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628839E5" w14:textId="77777777" w:rsidTr="009702E3">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37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AA93FA" w14:textId="77777777" w:rsidR="00BA059E" w:rsidRPr="00B30BA3" w:rsidRDefault="00BA059E" w:rsidP="003F787E">
            <w:pPr>
              <w:pStyle w:val="DHHSbody"/>
              <w:rPr>
                <w:rFonts w:cs="Arial"/>
                <w:bCs/>
              </w:rPr>
            </w:pPr>
            <w:r w:rsidRPr="00B30BA3">
              <w:rPr>
                <w:rFonts w:cs="Arial"/>
                <w:bCs/>
              </w:rPr>
              <w:t>Have all pharmacists been informed of the need to alert prescribers if the conduct of patients who have been receiving take-away doses represents a contra-indication to the ongoing supply of take-away doses?</w:t>
            </w:r>
          </w:p>
        </w:tc>
        <w:tc>
          <w:tcPr>
            <w:tcW w:w="621" w:type="pct"/>
            <w:gridSpan w:val="2"/>
            <w:tcBorders>
              <w:top w:val="single" w:sz="4" w:space="0" w:color="auto"/>
              <w:left w:val="single" w:sz="4" w:space="0" w:color="auto"/>
              <w:bottom w:val="single" w:sz="4" w:space="0" w:color="auto"/>
              <w:right w:val="single" w:sz="4" w:space="0" w:color="auto"/>
            </w:tcBorders>
          </w:tcPr>
          <w:p w14:paraId="24FBC107" w14:textId="4135FC92" w:rsidR="00BA059E" w:rsidRPr="00B30BA3" w:rsidRDefault="00CE59DA" w:rsidP="003F787E">
            <w:pPr>
              <w:pStyle w:val="DHHSbody"/>
              <w:rPr>
                <w:rFonts w:cs="Arial"/>
                <w:b/>
              </w:rPr>
            </w:pPr>
            <w:sdt>
              <w:sdtPr>
                <w:rPr>
                  <w:rFonts w:cs="Arial"/>
                  <w:b/>
                </w:rPr>
                <w:id w:val="1079716708"/>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6928EFE6" w14:textId="4203657B" w:rsidR="00BA059E" w:rsidRPr="00B30BA3" w:rsidRDefault="00CE59DA" w:rsidP="003F787E">
            <w:pPr>
              <w:pStyle w:val="DHHSbody"/>
              <w:rPr>
                <w:rFonts w:cs="Arial"/>
              </w:rPr>
            </w:pPr>
            <w:sdt>
              <w:sdtPr>
                <w:rPr>
                  <w:rFonts w:cs="Arial"/>
                  <w:b/>
                  <w:bCs/>
                </w:rPr>
                <w:id w:val="-250656553"/>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7D901B21" w14:textId="77777777" w:rsidTr="009702E3">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37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220340" w14:textId="77777777" w:rsidR="00BA059E" w:rsidRPr="00B30BA3" w:rsidRDefault="00BA059E" w:rsidP="003F787E">
            <w:pPr>
              <w:pStyle w:val="DHHSbody"/>
              <w:rPr>
                <w:rFonts w:cs="Arial"/>
                <w:bCs/>
              </w:rPr>
            </w:pPr>
            <w:r w:rsidRPr="00B30BA3">
              <w:rPr>
                <w:rFonts w:cs="Arial"/>
                <w:bCs/>
              </w:rPr>
              <w:t>Have all pharmacists been informed that, where a prescriber requests or directs them to provide take-away doses in circumstances which the pharmacist feels are not in accordance with the Policy, the pharmacist is required to make their own professional judgement about the safety and appropriateness of the variation?</w:t>
            </w:r>
          </w:p>
        </w:tc>
        <w:tc>
          <w:tcPr>
            <w:tcW w:w="621" w:type="pct"/>
            <w:gridSpan w:val="2"/>
            <w:tcBorders>
              <w:top w:val="single" w:sz="4" w:space="0" w:color="auto"/>
              <w:left w:val="single" w:sz="4" w:space="0" w:color="auto"/>
              <w:bottom w:val="single" w:sz="4" w:space="0" w:color="auto"/>
              <w:right w:val="single" w:sz="4" w:space="0" w:color="auto"/>
            </w:tcBorders>
          </w:tcPr>
          <w:p w14:paraId="76E367CB" w14:textId="05C5125E" w:rsidR="00BA059E" w:rsidRPr="00B30BA3" w:rsidRDefault="00CE59DA" w:rsidP="003F787E">
            <w:pPr>
              <w:pStyle w:val="DHHSbody"/>
              <w:rPr>
                <w:rFonts w:cs="Arial"/>
                <w:b/>
              </w:rPr>
            </w:pPr>
            <w:sdt>
              <w:sdtPr>
                <w:rPr>
                  <w:rFonts w:cs="Arial"/>
                  <w:b/>
                </w:rPr>
                <w:id w:val="-977685479"/>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0D11C3C5" w14:textId="46939585" w:rsidR="00BA059E" w:rsidRPr="00B30BA3" w:rsidRDefault="00CE59DA" w:rsidP="003F787E">
            <w:pPr>
              <w:pStyle w:val="DHHSbody"/>
              <w:rPr>
                <w:rFonts w:cs="Arial"/>
              </w:rPr>
            </w:pPr>
            <w:sdt>
              <w:sdtPr>
                <w:rPr>
                  <w:rFonts w:cs="Arial"/>
                  <w:b/>
                  <w:bCs/>
                </w:rPr>
                <w:id w:val="-1816557072"/>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59CF2B12" w14:textId="77777777" w:rsidTr="009702E3">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37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6DB488" w14:textId="77777777" w:rsidR="00BA059E" w:rsidRPr="00B30BA3" w:rsidRDefault="00BA059E" w:rsidP="003F787E">
            <w:pPr>
              <w:pStyle w:val="DHHSbody"/>
              <w:rPr>
                <w:rFonts w:cs="Arial"/>
              </w:rPr>
            </w:pPr>
            <w:r w:rsidRPr="00B30BA3">
              <w:rPr>
                <w:rFonts w:cs="Arial"/>
              </w:rPr>
              <w:t>Have all pharmacists been advised that take-away doses that are claimed to have been lost or stolen are not to be replaced unless the prescriber’s authorisation has been obtained, and that pharmacists should exercise professional judgment about the safety and appropriateness of providing replacement doses even if authorised to do so?</w:t>
            </w:r>
          </w:p>
        </w:tc>
        <w:tc>
          <w:tcPr>
            <w:tcW w:w="621" w:type="pct"/>
            <w:gridSpan w:val="2"/>
            <w:tcBorders>
              <w:top w:val="single" w:sz="4" w:space="0" w:color="auto"/>
              <w:left w:val="single" w:sz="4" w:space="0" w:color="auto"/>
              <w:bottom w:val="single" w:sz="4" w:space="0" w:color="auto"/>
              <w:right w:val="single" w:sz="4" w:space="0" w:color="auto"/>
            </w:tcBorders>
          </w:tcPr>
          <w:p w14:paraId="37B37C7B" w14:textId="4EF27413" w:rsidR="00BA059E" w:rsidRPr="00B30BA3" w:rsidRDefault="00CE59DA" w:rsidP="003F787E">
            <w:pPr>
              <w:pStyle w:val="DHHSbody"/>
              <w:rPr>
                <w:rFonts w:cs="Arial"/>
                <w:b/>
              </w:rPr>
            </w:pPr>
            <w:sdt>
              <w:sdtPr>
                <w:rPr>
                  <w:rFonts w:cs="Arial"/>
                  <w:b/>
                </w:rPr>
                <w:id w:val="-601493084"/>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7BBB4190" w14:textId="312B3067" w:rsidR="00BA059E" w:rsidRPr="00B30BA3" w:rsidRDefault="00CE59DA" w:rsidP="003F787E">
            <w:pPr>
              <w:pStyle w:val="DHHSbody"/>
              <w:rPr>
                <w:rFonts w:cs="Arial"/>
              </w:rPr>
            </w:pPr>
            <w:sdt>
              <w:sdtPr>
                <w:rPr>
                  <w:rFonts w:cs="Arial"/>
                  <w:b/>
                  <w:bCs/>
                </w:rPr>
                <w:id w:val="2098748689"/>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BA059E" w:rsidRPr="00B30BA3" w14:paraId="0A8819A0" w14:textId="77777777" w:rsidTr="00C44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shd w:val="clear" w:color="auto" w:fill="auto"/>
          </w:tcPr>
          <w:p w14:paraId="450B3BC7" w14:textId="1BF70E64" w:rsidR="00E84A39" w:rsidRPr="00E84A39" w:rsidRDefault="00B256B4" w:rsidP="003F787E">
            <w:pPr>
              <w:pStyle w:val="DHHSbody"/>
              <w:rPr>
                <w:rFonts w:cs="Arial"/>
                <w:b/>
                <w:bCs/>
              </w:rPr>
            </w:pPr>
            <w:r>
              <w:rPr>
                <w:b/>
                <w:bCs/>
              </w:rPr>
              <w:t>Secure storage of t</w:t>
            </w:r>
            <w:r w:rsidR="00E84A39" w:rsidRPr="00E84A39">
              <w:rPr>
                <w:b/>
                <w:bCs/>
              </w:rPr>
              <w:t>ake-away doses by patients</w:t>
            </w:r>
          </w:p>
          <w:p w14:paraId="2E7877F0" w14:textId="77777777" w:rsidR="009B2B4A" w:rsidRDefault="00B22F4C" w:rsidP="003F787E">
            <w:pPr>
              <w:pStyle w:val="DHHSbody"/>
              <w:rPr>
                <w:rFonts w:cs="Arial"/>
              </w:rPr>
            </w:pPr>
            <w:r>
              <w:rPr>
                <w:rFonts w:cs="Arial"/>
              </w:rPr>
              <w:t>T</w:t>
            </w:r>
            <w:r w:rsidR="00BA059E" w:rsidRPr="00B30BA3">
              <w:rPr>
                <w:rFonts w:cs="Arial"/>
              </w:rPr>
              <w:t>he</w:t>
            </w:r>
            <w:r>
              <w:rPr>
                <w:rFonts w:cs="Arial"/>
              </w:rPr>
              <w:t xml:space="preserve">re is a </w:t>
            </w:r>
            <w:r w:rsidR="00BA059E" w:rsidRPr="00B30BA3">
              <w:rPr>
                <w:rFonts w:cs="Arial"/>
              </w:rPr>
              <w:t xml:space="preserve">significant risk </w:t>
            </w:r>
            <w:r>
              <w:rPr>
                <w:rFonts w:cs="Arial"/>
              </w:rPr>
              <w:t xml:space="preserve">presented </w:t>
            </w:r>
            <w:r w:rsidR="00BA059E" w:rsidRPr="00B30BA3">
              <w:rPr>
                <w:rFonts w:cs="Arial"/>
              </w:rPr>
              <w:t>if doses are consumed by someone other than the patient for whom they were supplied</w:t>
            </w:r>
            <w:r>
              <w:rPr>
                <w:rFonts w:cs="Arial"/>
              </w:rPr>
              <w:t>, which i</w:t>
            </w:r>
            <w:r w:rsidR="00BA059E" w:rsidRPr="00B30BA3">
              <w:rPr>
                <w:rFonts w:cs="Arial"/>
              </w:rPr>
              <w:t xml:space="preserve">s magnified </w:t>
            </w:r>
            <w:r>
              <w:rPr>
                <w:rFonts w:cs="Arial"/>
              </w:rPr>
              <w:t xml:space="preserve">significantly </w:t>
            </w:r>
            <w:r w:rsidR="00BA059E" w:rsidRPr="00B30BA3">
              <w:rPr>
                <w:rFonts w:cs="Arial"/>
              </w:rPr>
              <w:t>in the case of children, people who lack tolerance for the drug and people who are concurrently using other drugs.</w:t>
            </w:r>
            <w:r w:rsidR="009B2B4A">
              <w:rPr>
                <w:rFonts w:cs="Arial"/>
              </w:rPr>
              <w:t xml:space="preserve"> </w:t>
            </w:r>
          </w:p>
          <w:p w14:paraId="4857CBA1" w14:textId="77A5068B" w:rsidR="00BA059E" w:rsidRPr="00B30BA3" w:rsidRDefault="009B2B4A" w:rsidP="003F787E">
            <w:pPr>
              <w:pStyle w:val="DHHSbody"/>
              <w:rPr>
                <w:rFonts w:cs="Arial"/>
              </w:rPr>
            </w:pPr>
            <w:r w:rsidRPr="00B30BA3">
              <w:rPr>
                <w:rFonts w:cs="Arial"/>
              </w:rPr>
              <w:t xml:space="preserve">The absence of a </w:t>
            </w:r>
            <w:r w:rsidRPr="00B30BA3">
              <w:rPr>
                <w:rFonts w:cs="Arial"/>
                <w:b/>
                <w:bCs/>
              </w:rPr>
              <w:t>safe, secure storage facility</w:t>
            </w:r>
            <w:r w:rsidRPr="00B30BA3">
              <w:rPr>
                <w:rFonts w:cs="Arial"/>
              </w:rPr>
              <w:t xml:space="preserve"> (such as a locked cupboard, a cashbox or a safe) is </w:t>
            </w:r>
            <w:r w:rsidRPr="009B2B4A">
              <w:rPr>
                <w:rFonts w:cs="Arial"/>
                <w:b/>
                <w:bCs/>
              </w:rPr>
              <w:t>one of four absolute contra-indications</w:t>
            </w:r>
            <w:r w:rsidRPr="00B30BA3">
              <w:rPr>
                <w:rFonts w:cs="Arial"/>
              </w:rPr>
              <w:t xml:space="preserve"> to the supply of take-away doses</w:t>
            </w:r>
            <w:r>
              <w:rPr>
                <w:rFonts w:cs="Arial"/>
              </w:rPr>
              <w:t>.</w:t>
            </w:r>
          </w:p>
          <w:p w14:paraId="6B2BCDEE" w14:textId="007833DC" w:rsidR="00BA059E" w:rsidRPr="00B30BA3" w:rsidRDefault="00BA059E" w:rsidP="003F787E">
            <w:pPr>
              <w:pStyle w:val="DHHSbody"/>
              <w:rPr>
                <w:rFonts w:cs="Arial"/>
              </w:rPr>
            </w:pPr>
            <w:r w:rsidRPr="00B30BA3">
              <w:rPr>
                <w:rFonts w:cs="Arial"/>
                <w:b/>
              </w:rPr>
              <w:t>Note</w:t>
            </w:r>
            <w:r w:rsidRPr="00B30BA3">
              <w:rPr>
                <w:rFonts w:cs="Arial"/>
              </w:rPr>
              <w:t>:</w:t>
            </w:r>
            <w:r w:rsidR="00151DA5">
              <w:rPr>
                <w:rFonts w:cs="Arial"/>
              </w:rPr>
              <w:t xml:space="preserve"> </w:t>
            </w:r>
            <w:r w:rsidRPr="009B2B4A">
              <w:rPr>
                <w:rFonts w:cs="Arial"/>
                <w:i/>
                <w:iCs/>
              </w:rPr>
              <w:t>T</w:t>
            </w:r>
            <w:r w:rsidR="009B2B4A">
              <w:rPr>
                <w:rFonts w:cs="Arial"/>
                <w:i/>
                <w:iCs/>
              </w:rPr>
              <w:t xml:space="preserve">here is no need to refrigerate </w:t>
            </w:r>
            <w:r w:rsidR="00F56814">
              <w:rPr>
                <w:rFonts w:cs="Arial"/>
                <w:i/>
                <w:iCs/>
              </w:rPr>
              <w:t xml:space="preserve">methadone </w:t>
            </w:r>
            <w:r w:rsidR="009B2B4A">
              <w:rPr>
                <w:rFonts w:cs="Arial"/>
                <w:i/>
                <w:iCs/>
              </w:rPr>
              <w:t>t</w:t>
            </w:r>
            <w:r w:rsidRPr="009B2B4A">
              <w:rPr>
                <w:rFonts w:cs="Arial"/>
                <w:i/>
                <w:iCs/>
              </w:rPr>
              <w:t>ake-away doses</w:t>
            </w:r>
            <w:r w:rsidR="00011FFA">
              <w:rPr>
                <w:rFonts w:cs="Arial"/>
                <w:i/>
                <w:iCs/>
              </w:rPr>
              <w:t xml:space="preserve">– this may even </w:t>
            </w:r>
            <w:r w:rsidRPr="009B2B4A">
              <w:rPr>
                <w:rFonts w:cs="Arial"/>
                <w:i/>
                <w:iCs/>
              </w:rPr>
              <w:t>increase the risk of a dose being taken by children or other household members</w:t>
            </w:r>
            <w:r w:rsidRPr="00B30BA3">
              <w:rPr>
                <w:rFonts w:cs="Arial"/>
              </w:rPr>
              <w:t>.</w:t>
            </w:r>
          </w:p>
        </w:tc>
      </w:tr>
      <w:tr w:rsidR="00BA059E" w:rsidRPr="00B30BA3" w14:paraId="452E673F" w14:textId="77777777" w:rsidTr="00C14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448" w:type="pct"/>
            <w:gridSpan w:val="3"/>
            <w:shd w:val="clear" w:color="auto" w:fill="DBE5F1" w:themeFill="accent1" w:themeFillTint="33"/>
          </w:tcPr>
          <w:p w14:paraId="224BD3D6" w14:textId="4F55C657" w:rsidR="00BA059E" w:rsidRPr="00B30BA3" w:rsidRDefault="00BA059E" w:rsidP="003F787E">
            <w:pPr>
              <w:pStyle w:val="DHHSbody"/>
              <w:rPr>
                <w:rFonts w:cs="Arial"/>
                <w:bCs/>
              </w:rPr>
            </w:pPr>
            <w:r w:rsidRPr="00B30BA3">
              <w:rPr>
                <w:rFonts w:cs="Arial"/>
                <w:bCs/>
              </w:rPr>
              <w:t>Are p</w:t>
            </w:r>
            <w:r w:rsidR="00272F0C">
              <w:rPr>
                <w:rFonts w:cs="Arial"/>
                <w:bCs/>
              </w:rPr>
              <w:t xml:space="preserve">harmacists aware </w:t>
            </w:r>
            <w:r w:rsidR="00F929BB">
              <w:rPr>
                <w:rFonts w:cs="Arial"/>
                <w:bCs/>
              </w:rPr>
              <w:t xml:space="preserve">that they should </w:t>
            </w:r>
            <w:r w:rsidRPr="00B30BA3">
              <w:rPr>
                <w:rFonts w:cs="Arial"/>
                <w:bCs/>
              </w:rPr>
              <w:t xml:space="preserve">periodically </w:t>
            </w:r>
            <w:r w:rsidR="0028115C">
              <w:rPr>
                <w:rFonts w:cs="Arial"/>
                <w:bCs/>
              </w:rPr>
              <w:t>check</w:t>
            </w:r>
            <w:r w:rsidRPr="00B30BA3">
              <w:rPr>
                <w:rFonts w:cs="Arial"/>
                <w:bCs/>
              </w:rPr>
              <w:t xml:space="preserve"> the manner in which </w:t>
            </w:r>
            <w:r w:rsidR="0028115C">
              <w:rPr>
                <w:rFonts w:cs="Arial"/>
                <w:bCs/>
              </w:rPr>
              <w:t>patients</w:t>
            </w:r>
            <w:r w:rsidRPr="00B30BA3">
              <w:rPr>
                <w:rFonts w:cs="Arial"/>
                <w:bCs/>
              </w:rPr>
              <w:t xml:space="preserve"> store take-away doses</w:t>
            </w:r>
            <w:r w:rsidR="00F929BB">
              <w:rPr>
                <w:rFonts w:cs="Arial"/>
                <w:bCs/>
              </w:rPr>
              <w:t xml:space="preserve">, as well as </w:t>
            </w:r>
            <w:r w:rsidRPr="00B30BA3">
              <w:rPr>
                <w:rFonts w:cs="Arial"/>
                <w:bCs/>
              </w:rPr>
              <w:t>the need to ensure that take-away doses are stored securely, where they cannot be located or accessed by others, especially children?</w:t>
            </w:r>
          </w:p>
        </w:tc>
        <w:tc>
          <w:tcPr>
            <w:tcW w:w="552" w:type="pct"/>
            <w:shd w:val="clear" w:color="auto" w:fill="auto"/>
          </w:tcPr>
          <w:p w14:paraId="520A81DF" w14:textId="357668AA" w:rsidR="00BA059E" w:rsidRPr="00B30BA3" w:rsidRDefault="00CE59DA" w:rsidP="003F787E">
            <w:pPr>
              <w:pStyle w:val="DHHSbody"/>
              <w:rPr>
                <w:rFonts w:cs="Arial"/>
                <w:b/>
              </w:rPr>
            </w:pPr>
            <w:sdt>
              <w:sdtPr>
                <w:rPr>
                  <w:rFonts w:cs="Arial"/>
                  <w:b/>
                </w:rPr>
                <w:id w:val="1199444370"/>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78252CA3" w14:textId="1EDFD6E9" w:rsidR="00BA059E" w:rsidRPr="00B30BA3" w:rsidRDefault="00CE59DA" w:rsidP="003F787E">
            <w:pPr>
              <w:pStyle w:val="DHHSbody"/>
              <w:rPr>
                <w:rFonts w:cs="Arial"/>
              </w:rPr>
            </w:pPr>
            <w:sdt>
              <w:sdtPr>
                <w:rPr>
                  <w:rFonts w:cs="Arial"/>
                  <w:b/>
                  <w:bCs/>
                </w:rPr>
                <w:id w:val="1737441850"/>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p>
        </w:tc>
      </w:tr>
      <w:tr w:rsidR="00E0254C" w:rsidRPr="00B30BA3" w14:paraId="50E1D6B7" w14:textId="77777777" w:rsidTr="003C18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2F594D5" w14:textId="6A1020A5" w:rsidR="00E0254C" w:rsidRPr="00E0254C" w:rsidRDefault="00692E5B" w:rsidP="003C188E">
            <w:pPr>
              <w:pStyle w:val="DHHSbody"/>
              <w:rPr>
                <w:rFonts w:cs="Arial"/>
                <w:b/>
                <w:bCs/>
              </w:rPr>
            </w:pPr>
            <w:r>
              <w:rPr>
                <w:rFonts w:eastAsia="Times New Roman"/>
                <w:sz w:val="21"/>
              </w:rPr>
              <w:br w:type="page"/>
            </w:r>
            <w:r w:rsidR="00B256B4">
              <w:rPr>
                <w:rFonts w:cs="Arial"/>
                <w:b/>
                <w:bCs/>
              </w:rPr>
              <w:t>Labelling of take-away doses</w:t>
            </w:r>
          </w:p>
          <w:p w14:paraId="1C8F2494" w14:textId="77777777" w:rsidR="00195BB7" w:rsidRDefault="0097101D" w:rsidP="00AD09CE">
            <w:pPr>
              <w:pStyle w:val="DHHSbody"/>
              <w:rPr>
                <w:rFonts w:cs="Arial"/>
                <w:b/>
                <w:bCs/>
              </w:rPr>
            </w:pPr>
            <w:r>
              <w:rPr>
                <w:rFonts w:cs="Arial"/>
              </w:rPr>
              <w:t>Please r</w:t>
            </w:r>
            <w:r w:rsidR="00EA017B">
              <w:rPr>
                <w:rFonts w:cs="Arial"/>
              </w:rPr>
              <w:t xml:space="preserve">efer to the </w:t>
            </w:r>
            <w:r w:rsidR="00AD09CE">
              <w:rPr>
                <w:rFonts w:cs="Arial"/>
              </w:rPr>
              <w:t xml:space="preserve">Policy for </w:t>
            </w:r>
            <w:r w:rsidR="00EA017B">
              <w:rPr>
                <w:rFonts w:cs="Arial"/>
              </w:rPr>
              <w:t xml:space="preserve">example labels </w:t>
            </w:r>
            <w:r w:rsidR="00AD09CE">
              <w:rPr>
                <w:rFonts w:cs="Arial"/>
              </w:rPr>
              <w:t>(Part 4.5 Policy for Pharmacists: Take-away doses)</w:t>
            </w:r>
          </w:p>
          <w:p w14:paraId="57897F34" w14:textId="49069501" w:rsidR="00E0254C" w:rsidRPr="00B30BA3" w:rsidRDefault="00E0254C" w:rsidP="00AD09CE">
            <w:pPr>
              <w:pStyle w:val="DHHSbody"/>
              <w:rPr>
                <w:rFonts w:cs="Arial"/>
              </w:rPr>
            </w:pPr>
            <w:r w:rsidRPr="00B30BA3">
              <w:rPr>
                <w:rFonts w:cs="Arial"/>
                <w:b/>
                <w:bCs/>
              </w:rPr>
              <w:t xml:space="preserve">Note: </w:t>
            </w:r>
            <w:r w:rsidRPr="00AF328F">
              <w:rPr>
                <w:rFonts w:cs="Arial"/>
                <w:i/>
                <w:iCs/>
              </w:rPr>
              <w:t xml:space="preserve">Pharmacists should use their professional judgment about the appropriateness of including other authoritative </w:t>
            </w:r>
            <w:r w:rsidRPr="00AF328F">
              <w:rPr>
                <w:rFonts w:cs="Arial"/>
                <w:b/>
                <w:i/>
                <w:iCs/>
              </w:rPr>
              <w:t>recommendations</w:t>
            </w:r>
            <w:r w:rsidRPr="00AF328F">
              <w:rPr>
                <w:rFonts w:cs="Arial"/>
                <w:i/>
                <w:iCs/>
              </w:rPr>
              <w:t xml:space="preserve">, including those contained in the APF, which recommends </w:t>
            </w:r>
            <w:r w:rsidR="0097101D">
              <w:rPr>
                <w:rFonts w:cs="Arial"/>
                <w:i/>
                <w:iCs/>
              </w:rPr>
              <w:t>“</w:t>
            </w:r>
            <w:r w:rsidRPr="00AF328F">
              <w:rPr>
                <w:rFonts w:cs="Arial"/>
                <w:i/>
                <w:iCs/>
              </w:rPr>
              <w:t>Do not inject”.</w:t>
            </w:r>
          </w:p>
        </w:tc>
      </w:tr>
      <w:tr w:rsidR="00E0254C" w:rsidRPr="00B30BA3" w14:paraId="0A8CF42C" w14:textId="77777777" w:rsidTr="003C188E">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F708BF" w14:textId="77777777" w:rsidR="00E0254C" w:rsidRPr="00B30BA3" w:rsidRDefault="00E0254C" w:rsidP="003C188E">
            <w:pPr>
              <w:pStyle w:val="DHHSbody"/>
              <w:rPr>
                <w:rFonts w:cs="Arial"/>
              </w:rPr>
            </w:pPr>
            <w:r w:rsidRPr="00B30BA3">
              <w:rPr>
                <w:rFonts w:cs="Arial"/>
              </w:rPr>
              <w:t>Have all pharmacists been made aware of the packaging and labelling requirements for take-away doses?</w:t>
            </w:r>
          </w:p>
        </w:tc>
        <w:tc>
          <w:tcPr>
            <w:tcW w:w="85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1727D4" w14:textId="77777777" w:rsidR="00E0254C" w:rsidRPr="00B30BA3" w:rsidRDefault="00CE59DA" w:rsidP="003C188E">
            <w:pPr>
              <w:pStyle w:val="DHHSbody"/>
              <w:rPr>
                <w:rFonts w:cs="Arial"/>
                <w:b/>
              </w:rPr>
            </w:pPr>
            <w:sdt>
              <w:sdtPr>
                <w:rPr>
                  <w:rFonts w:cs="Arial"/>
                  <w:b/>
                </w:rPr>
                <w:id w:val="213480095"/>
                <w14:checkbox>
                  <w14:checked w14:val="0"/>
                  <w14:checkedState w14:val="2612" w14:font="MS Gothic"/>
                  <w14:uncheckedState w14:val="2610" w14:font="MS Gothic"/>
                </w14:checkbox>
              </w:sdtPr>
              <w:sdtEndPr/>
              <w:sdtContent>
                <w:r w:rsidR="00E0254C" w:rsidRPr="00B30BA3">
                  <w:rPr>
                    <w:rFonts w:ascii="MS Gothic" w:eastAsia="MS Gothic" w:hAnsi="MS Gothic" w:cs="Arial"/>
                    <w:b/>
                  </w:rPr>
                  <w:t>☐</w:t>
                </w:r>
              </w:sdtContent>
            </w:sdt>
            <w:r w:rsidR="00E0254C" w:rsidRPr="00B30BA3">
              <w:rPr>
                <w:rFonts w:cs="Arial"/>
                <w:b/>
              </w:rPr>
              <w:t xml:space="preserve"> Yes</w:t>
            </w:r>
          </w:p>
          <w:p w14:paraId="455FE2CF" w14:textId="77777777" w:rsidR="00E0254C" w:rsidRPr="00B30BA3" w:rsidRDefault="00CE59DA" w:rsidP="003C188E">
            <w:pPr>
              <w:pStyle w:val="DHHSbody"/>
              <w:rPr>
                <w:rFonts w:cs="Arial"/>
              </w:rPr>
            </w:pPr>
            <w:sdt>
              <w:sdtPr>
                <w:rPr>
                  <w:rFonts w:cs="Arial"/>
                  <w:b/>
                  <w:bCs/>
                </w:rPr>
                <w:id w:val="-1586380996"/>
                <w14:checkbox>
                  <w14:checked w14:val="0"/>
                  <w14:checkedState w14:val="2612" w14:font="MS Gothic"/>
                  <w14:uncheckedState w14:val="2610" w14:font="MS Gothic"/>
                </w14:checkbox>
              </w:sdtPr>
              <w:sdtEndPr/>
              <w:sdtContent>
                <w:r w:rsidR="00E0254C" w:rsidRPr="00B30BA3">
                  <w:rPr>
                    <w:rFonts w:ascii="MS Gothic" w:eastAsia="MS Gothic" w:hAnsi="MS Gothic" w:cs="Arial"/>
                    <w:b/>
                    <w:bCs/>
                  </w:rPr>
                  <w:t>☐</w:t>
                </w:r>
              </w:sdtContent>
            </w:sdt>
            <w:r w:rsidR="00E0254C" w:rsidRPr="00B30BA3">
              <w:rPr>
                <w:rFonts w:cs="Arial"/>
                <w:b/>
                <w:bCs/>
              </w:rPr>
              <w:t xml:space="preserve"> No</w:t>
            </w:r>
            <w:r w:rsidR="00E0254C" w:rsidRPr="00B30BA3">
              <w:rPr>
                <w:rFonts w:cs="Arial"/>
              </w:rPr>
              <w:t xml:space="preserve"> </w:t>
            </w:r>
          </w:p>
        </w:tc>
      </w:tr>
    </w:tbl>
    <w:p w14:paraId="0FB0030D" w14:textId="19A7E176" w:rsidR="00692E5B" w:rsidRDefault="00692E5B"/>
    <w:p w14:paraId="167C19DA" w14:textId="107409B9" w:rsidR="005E1AA4" w:rsidRPr="005E1AA4" w:rsidRDefault="005E1AA4" w:rsidP="005E1AA4">
      <w:pPr>
        <w:pStyle w:val="DHHSbody"/>
        <w:rPr>
          <w:rFonts w:cs="Arial"/>
          <w:b/>
          <w:bCs/>
          <w:color w:val="595959" w:themeColor="text1" w:themeTint="A6"/>
          <w:sz w:val="28"/>
          <w:szCs w:val="28"/>
        </w:rPr>
      </w:pPr>
      <w:r w:rsidRPr="005E1AA4">
        <w:rPr>
          <w:b/>
          <w:bCs/>
          <w:color w:val="595959" w:themeColor="text1" w:themeTint="A6"/>
          <w:sz w:val="28"/>
          <w:szCs w:val="28"/>
        </w:rPr>
        <w:t>Take-away doses of methadone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CC99FF" w:fill="CC99FF"/>
        <w:tblLook w:val="00A0" w:firstRow="1" w:lastRow="0" w:firstColumn="1" w:lastColumn="0" w:noHBand="0" w:noVBand="0"/>
      </w:tblPr>
      <w:tblGrid>
        <w:gridCol w:w="8459"/>
        <w:gridCol w:w="1735"/>
      </w:tblGrid>
      <w:tr w:rsidR="00AD09CE" w:rsidRPr="00B30BA3" w14:paraId="634CA930" w14:textId="77777777" w:rsidTr="00C4464A">
        <w:tc>
          <w:tcPr>
            <w:tcW w:w="5000" w:type="pct"/>
            <w:gridSpan w:val="2"/>
            <w:shd w:val="clear" w:color="auto" w:fill="FFFF00"/>
          </w:tcPr>
          <w:p w14:paraId="748D1432" w14:textId="5F9310A4" w:rsidR="00AD09CE" w:rsidRPr="00B30BA3" w:rsidRDefault="00AD09CE" w:rsidP="00AD09CE">
            <w:pPr>
              <w:pStyle w:val="DHHSbody"/>
              <w:rPr>
                <w:rFonts w:cs="Arial"/>
                <w:bCs/>
              </w:rPr>
            </w:pPr>
            <w:r w:rsidRPr="00B30BA3">
              <w:rPr>
                <w:rFonts w:cs="Arial"/>
              </w:rPr>
              <w:t xml:space="preserve">The recommended maximum number of </w:t>
            </w:r>
            <w:r>
              <w:rPr>
                <w:rFonts w:cs="Arial"/>
                <w:b/>
                <w:bCs/>
              </w:rPr>
              <w:t xml:space="preserve">methadone </w:t>
            </w:r>
            <w:r w:rsidRPr="00B30BA3">
              <w:rPr>
                <w:rFonts w:cs="Arial"/>
              </w:rPr>
              <w:t xml:space="preserve">take-away doses following </w:t>
            </w:r>
            <w:r w:rsidRPr="00B30BA3">
              <w:rPr>
                <w:rFonts w:cs="Arial"/>
                <w:b/>
              </w:rPr>
              <w:t>continuous periods of stability in treatment</w:t>
            </w:r>
            <w:r>
              <w:rPr>
                <w:rFonts w:cs="Arial"/>
                <w:b/>
              </w:rPr>
              <w:t xml:space="preserve"> </w:t>
            </w:r>
            <w:r>
              <w:rPr>
                <w:rFonts w:cs="Arial"/>
                <w:bCs/>
              </w:rPr>
              <w:t>can be found in Table 3.1 of the Policy</w:t>
            </w:r>
            <w:r w:rsidRPr="00B30BA3">
              <w:rPr>
                <w:rFonts w:cs="Arial"/>
              </w:rPr>
              <w:t>.</w:t>
            </w:r>
            <w:r w:rsidR="0013174C">
              <w:rPr>
                <w:rFonts w:cs="Arial"/>
              </w:rPr>
              <w:t xml:space="preserve"> Policy amendments made during periods of emergency (such as during the Covid-19 pandemic) may override what is written in the original document.</w:t>
            </w:r>
          </w:p>
        </w:tc>
      </w:tr>
      <w:tr w:rsidR="00AD09CE" w:rsidRPr="00B30BA3" w14:paraId="2F2473A9" w14:textId="77777777" w:rsidTr="00C4464A">
        <w:tblPrEx>
          <w:shd w:val="clear" w:color="auto" w:fill="auto"/>
        </w:tblPrEx>
        <w:tc>
          <w:tcPr>
            <w:tcW w:w="5000" w:type="pct"/>
            <w:gridSpan w:val="2"/>
            <w:shd w:val="clear" w:color="auto" w:fill="auto"/>
          </w:tcPr>
          <w:p w14:paraId="37B510B6" w14:textId="05AF07E1" w:rsidR="00AD09CE" w:rsidRPr="00C25836" w:rsidRDefault="00AD09CE" w:rsidP="00AD09CE">
            <w:pPr>
              <w:pStyle w:val="DHHSbody"/>
              <w:rPr>
                <w:rFonts w:cs="Arial"/>
                <w:b/>
                <w:bCs/>
              </w:rPr>
            </w:pPr>
            <w:r>
              <w:rPr>
                <w:rFonts w:cs="Arial"/>
                <w:b/>
                <w:bCs/>
              </w:rPr>
              <w:t>Preparation of methadone take-away doses</w:t>
            </w:r>
          </w:p>
          <w:p w14:paraId="0F038D5A" w14:textId="3C108BDF" w:rsidR="00AD09CE" w:rsidRPr="00B30BA3" w:rsidRDefault="00AD09CE" w:rsidP="00AD09CE">
            <w:pPr>
              <w:pStyle w:val="DHHSbody"/>
              <w:rPr>
                <w:rFonts w:cs="Arial"/>
              </w:rPr>
            </w:pPr>
            <w:r w:rsidRPr="00B30BA3">
              <w:rPr>
                <w:rFonts w:cs="Arial"/>
              </w:rPr>
              <w:t xml:space="preserve">To minimise the risk of consumption of methadone take-away doses by persons other than the intended client, as well as to deter injection, each methadone dose should be diluted </w:t>
            </w:r>
            <w:r w:rsidRPr="00B30BA3">
              <w:rPr>
                <w:rFonts w:cs="Arial"/>
                <w:b/>
                <w:bCs/>
              </w:rPr>
              <w:t>with water</w:t>
            </w:r>
            <w:r w:rsidRPr="00B30BA3">
              <w:rPr>
                <w:rFonts w:cs="Arial"/>
              </w:rPr>
              <w:t xml:space="preserve"> (not cordial) to a volume of 200ml. In addition, these doses</w:t>
            </w:r>
            <w:r w:rsidR="006D377A">
              <w:rPr>
                <w:rFonts w:cs="Arial"/>
              </w:rPr>
              <w:t xml:space="preserve"> have to </w:t>
            </w:r>
            <w:r w:rsidRPr="00B30BA3">
              <w:rPr>
                <w:rFonts w:cs="Arial"/>
              </w:rPr>
              <w:t>be provided in a container with a child-resistant lid.</w:t>
            </w:r>
          </w:p>
          <w:p w14:paraId="1652734A" w14:textId="77777777" w:rsidR="00AD09CE" w:rsidRPr="00B30BA3" w:rsidRDefault="00AD09CE" w:rsidP="00AD09CE">
            <w:pPr>
              <w:pStyle w:val="DHHSbody"/>
              <w:rPr>
                <w:rFonts w:cs="Arial"/>
              </w:rPr>
            </w:pPr>
            <w:r w:rsidRPr="00B30BA3">
              <w:rPr>
                <w:rFonts w:cs="Arial"/>
              </w:rPr>
              <w:t xml:space="preserve">In no circumstances should multiple methadone take-away doses be included in the same container. </w:t>
            </w:r>
            <w:r w:rsidRPr="00B30BA3">
              <w:rPr>
                <w:rFonts w:cs="Arial"/>
                <w:b/>
                <w:bCs/>
              </w:rPr>
              <w:t>This represents an unacceptable risk.</w:t>
            </w:r>
          </w:p>
          <w:p w14:paraId="741D9D32" w14:textId="0E866B33" w:rsidR="00AD09CE" w:rsidRPr="00B30BA3" w:rsidRDefault="00AD09CE" w:rsidP="00AD09CE">
            <w:pPr>
              <w:pStyle w:val="DHHSbody"/>
              <w:rPr>
                <w:rFonts w:cs="Arial"/>
              </w:rPr>
            </w:pPr>
            <w:r w:rsidRPr="00B30BA3">
              <w:rPr>
                <w:rFonts w:cs="Arial"/>
              </w:rPr>
              <w:lastRenderedPageBreak/>
              <w:t xml:space="preserve">Take-away doses should </w:t>
            </w:r>
            <w:r w:rsidRPr="00B30BA3">
              <w:rPr>
                <w:rFonts w:cs="Arial"/>
                <w:b/>
                <w:bCs/>
              </w:rPr>
              <w:t xml:space="preserve">NOT </w:t>
            </w:r>
            <w:r w:rsidRPr="00B30BA3">
              <w:rPr>
                <w:rFonts w:cs="Arial"/>
              </w:rPr>
              <w:t xml:space="preserve">be diluted with cordial – cordial can increase the risk of microbial growth in the container, and the sweetened dose may also be more attractive to a child than its </w:t>
            </w:r>
            <w:r>
              <w:rPr>
                <w:rFonts w:cs="Arial"/>
              </w:rPr>
              <w:t xml:space="preserve">otherwise </w:t>
            </w:r>
            <w:r w:rsidRPr="00B30BA3">
              <w:rPr>
                <w:rFonts w:cs="Arial"/>
              </w:rPr>
              <w:t>bitter counterpart.</w:t>
            </w:r>
          </w:p>
        </w:tc>
      </w:tr>
      <w:tr w:rsidR="00AD09CE" w:rsidRPr="00B30BA3" w14:paraId="6B206264" w14:textId="77777777" w:rsidTr="009702E3">
        <w:tblPrEx>
          <w:shd w:val="clear" w:color="auto" w:fill="auto"/>
          <w:tblLook w:val="0000" w:firstRow="0" w:lastRow="0" w:firstColumn="0" w:lastColumn="0" w:noHBand="0" w:noVBand="0"/>
        </w:tblPrEx>
        <w:tc>
          <w:tcPr>
            <w:tcW w:w="4149" w:type="pct"/>
            <w:shd w:val="clear" w:color="auto" w:fill="DBE5F1" w:themeFill="accent1" w:themeFillTint="33"/>
          </w:tcPr>
          <w:p w14:paraId="2475F4D6" w14:textId="15298CE5" w:rsidR="00AD09CE" w:rsidRPr="009702E3" w:rsidRDefault="00AD09CE" w:rsidP="00AD09CE">
            <w:pPr>
              <w:pStyle w:val="DHHSbody"/>
              <w:rPr>
                <w:rFonts w:cs="Arial"/>
              </w:rPr>
            </w:pPr>
            <w:r w:rsidRPr="009702E3">
              <w:rPr>
                <w:rFonts w:cs="Arial"/>
              </w:rPr>
              <w:lastRenderedPageBreak/>
              <w:t>Is</w:t>
            </w:r>
            <w:r>
              <w:rPr>
                <w:rFonts w:cs="Arial"/>
              </w:rPr>
              <w:t xml:space="preserve"> it standard practice at your pharmacy to dilute</w:t>
            </w:r>
            <w:r w:rsidRPr="009702E3">
              <w:rPr>
                <w:rFonts w:cs="Arial"/>
              </w:rPr>
              <w:t xml:space="preserve"> each methadone take-away dose to a volume of 200 mL? </w:t>
            </w:r>
          </w:p>
        </w:tc>
        <w:tc>
          <w:tcPr>
            <w:tcW w:w="851" w:type="pct"/>
            <w:shd w:val="clear" w:color="auto" w:fill="auto"/>
          </w:tcPr>
          <w:p w14:paraId="5C3E726F" w14:textId="12960A95" w:rsidR="00AD09CE" w:rsidRPr="00B30BA3" w:rsidRDefault="00CE59DA" w:rsidP="00AD09CE">
            <w:pPr>
              <w:pStyle w:val="DHHSbody"/>
              <w:rPr>
                <w:rFonts w:cs="Arial"/>
                <w:b/>
              </w:rPr>
            </w:pPr>
            <w:sdt>
              <w:sdtPr>
                <w:rPr>
                  <w:rFonts w:cs="Arial"/>
                  <w:b/>
                </w:rPr>
                <w:id w:val="-1102952054"/>
                <w14:checkbox>
                  <w14:checked w14:val="0"/>
                  <w14:checkedState w14:val="2612" w14:font="MS Gothic"/>
                  <w14:uncheckedState w14:val="2610" w14:font="MS Gothic"/>
                </w14:checkbox>
              </w:sdtPr>
              <w:sdtEndPr/>
              <w:sdtContent>
                <w:r w:rsidR="00AD09CE" w:rsidRPr="00B30BA3">
                  <w:rPr>
                    <w:rFonts w:ascii="MS Gothic" w:eastAsia="MS Gothic" w:hAnsi="MS Gothic" w:cs="Arial"/>
                    <w:b/>
                  </w:rPr>
                  <w:t>☐</w:t>
                </w:r>
              </w:sdtContent>
            </w:sdt>
            <w:r w:rsidR="00AD09CE" w:rsidRPr="00B30BA3">
              <w:rPr>
                <w:rFonts w:cs="Arial"/>
                <w:b/>
              </w:rPr>
              <w:t xml:space="preserve"> Yes</w:t>
            </w:r>
          </w:p>
          <w:p w14:paraId="62B8EB1B" w14:textId="48E87F33" w:rsidR="00AD09CE" w:rsidRPr="00B30BA3" w:rsidRDefault="00CE59DA" w:rsidP="00AD09CE">
            <w:pPr>
              <w:pStyle w:val="DHHSbody"/>
              <w:rPr>
                <w:rFonts w:cs="Arial"/>
              </w:rPr>
            </w:pPr>
            <w:sdt>
              <w:sdtPr>
                <w:rPr>
                  <w:rFonts w:cs="Arial"/>
                  <w:b/>
                  <w:bCs/>
                </w:rPr>
                <w:id w:val="-1974662824"/>
                <w14:checkbox>
                  <w14:checked w14:val="0"/>
                  <w14:checkedState w14:val="2612" w14:font="MS Gothic"/>
                  <w14:uncheckedState w14:val="2610" w14:font="MS Gothic"/>
                </w14:checkbox>
              </w:sdtPr>
              <w:sdtEndPr/>
              <w:sdtContent>
                <w:r w:rsidR="00AD09CE" w:rsidRPr="00B30BA3">
                  <w:rPr>
                    <w:rFonts w:ascii="MS Gothic" w:eastAsia="MS Gothic" w:hAnsi="MS Gothic" w:cs="Arial"/>
                    <w:b/>
                    <w:bCs/>
                  </w:rPr>
                  <w:t>☐</w:t>
                </w:r>
              </w:sdtContent>
            </w:sdt>
            <w:r w:rsidR="00AD09CE" w:rsidRPr="00B30BA3">
              <w:rPr>
                <w:rFonts w:cs="Arial"/>
                <w:b/>
                <w:bCs/>
              </w:rPr>
              <w:t xml:space="preserve"> No</w:t>
            </w:r>
          </w:p>
        </w:tc>
      </w:tr>
      <w:tr w:rsidR="00AD09CE" w:rsidRPr="00B30BA3" w14:paraId="3EBF8B9B" w14:textId="77777777" w:rsidTr="009702E3">
        <w:tblPrEx>
          <w:shd w:val="clear" w:color="auto" w:fill="auto"/>
          <w:tblLook w:val="0000" w:firstRow="0" w:lastRow="0" w:firstColumn="0" w:lastColumn="0" w:noHBand="0" w:noVBand="0"/>
        </w:tblPrEx>
        <w:tc>
          <w:tcPr>
            <w:tcW w:w="4149" w:type="pct"/>
            <w:shd w:val="clear" w:color="auto" w:fill="DBE5F1" w:themeFill="accent1" w:themeFillTint="33"/>
          </w:tcPr>
          <w:p w14:paraId="546B92A2" w14:textId="1656124C" w:rsidR="00AD09CE" w:rsidRPr="009702E3" w:rsidRDefault="00AD09CE" w:rsidP="00AD09CE">
            <w:pPr>
              <w:pStyle w:val="DHHSbody"/>
              <w:rPr>
                <w:rFonts w:cs="Arial"/>
              </w:rPr>
            </w:pPr>
            <w:r>
              <w:rPr>
                <w:rFonts w:cs="Arial"/>
              </w:rPr>
              <w:t xml:space="preserve">Are all pharmacists aware that it is </w:t>
            </w:r>
            <w:r>
              <w:rPr>
                <w:rFonts w:cs="Arial"/>
                <w:b/>
                <w:bCs/>
              </w:rPr>
              <w:t xml:space="preserve">unacceptable </w:t>
            </w:r>
            <w:r w:rsidRPr="009702E3">
              <w:rPr>
                <w:rFonts w:cs="Arial"/>
              </w:rPr>
              <w:t>to include multiple methadone take-away doses in the same container</w:t>
            </w:r>
            <w:r>
              <w:rPr>
                <w:rFonts w:cs="Arial"/>
              </w:rPr>
              <w:t>, even</w:t>
            </w:r>
            <w:r w:rsidRPr="009702E3">
              <w:rPr>
                <w:rFonts w:cs="Arial"/>
              </w:rPr>
              <w:t xml:space="preserve"> if directed to do so by the prescriber?</w:t>
            </w:r>
          </w:p>
        </w:tc>
        <w:tc>
          <w:tcPr>
            <w:tcW w:w="851" w:type="pct"/>
            <w:shd w:val="clear" w:color="auto" w:fill="auto"/>
          </w:tcPr>
          <w:p w14:paraId="3DE537E1" w14:textId="05922C48" w:rsidR="00AD09CE" w:rsidRPr="00B30BA3" w:rsidRDefault="00CE59DA" w:rsidP="00AD09CE">
            <w:pPr>
              <w:pStyle w:val="DHHSbody"/>
              <w:rPr>
                <w:rFonts w:cs="Arial"/>
                <w:b/>
              </w:rPr>
            </w:pPr>
            <w:sdt>
              <w:sdtPr>
                <w:rPr>
                  <w:rFonts w:cs="Arial"/>
                  <w:b/>
                </w:rPr>
                <w:id w:val="979584770"/>
                <w14:checkbox>
                  <w14:checked w14:val="0"/>
                  <w14:checkedState w14:val="2612" w14:font="MS Gothic"/>
                  <w14:uncheckedState w14:val="2610" w14:font="MS Gothic"/>
                </w14:checkbox>
              </w:sdtPr>
              <w:sdtEndPr/>
              <w:sdtContent>
                <w:r w:rsidR="00AD09CE" w:rsidRPr="00B30BA3">
                  <w:rPr>
                    <w:rFonts w:ascii="MS Gothic" w:eastAsia="MS Gothic" w:hAnsi="MS Gothic" w:cs="Arial"/>
                    <w:b/>
                  </w:rPr>
                  <w:t>☐</w:t>
                </w:r>
              </w:sdtContent>
            </w:sdt>
            <w:r w:rsidR="00AD09CE" w:rsidRPr="00B30BA3">
              <w:rPr>
                <w:rFonts w:cs="Arial"/>
                <w:b/>
              </w:rPr>
              <w:t xml:space="preserve"> Yes</w:t>
            </w:r>
          </w:p>
          <w:p w14:paraId="1D9D8337" w14:textId="5A996519" w:rsidR="00AD09CE" w:rsidRPr="00B30BA3" w:rsidRDefault="00CE59DA" w:rsidP="00AD09CE">
            <w:pPr>
              <w:pStyle w:val="DHHSbody"/>
              <w:rPr>
                <w:rFonts w:cs="Arial"/>
              </w:rPr>
            </w:pPr>
            <w:sdt>
              <w:sdtPr>
                <w:rPr>
                  <w:rFonts w:cs="Arial"/>
                  <w:b/>
                  <w:bCs/>
                </w:rPr>
                <w:id w:val="1919669746"/>
                <w14:checkbox>
                  <w14:checked w14:val="0"/>
                  <w14:checkedState w14:val="2612" w14:font="MS Gothic"/>
                  <w14:uncheckedState w14:val="2610" w14:font="MS Gothic"/>
                </w14:checkbox>
              </w:sdtPr>
              <w:sdtEndPr/>
              <w:sdtContent>
                <w:r w:rsidR="00AD09CE" w:rsidRPr="00B30BA3">
                  <w:rPr>
                    <w:rFonts w:ascii="MS Gothic" w:eastAsia="MS Gothic" w:hAnsi="MS Gothic" w:cs="Arial"/>
                    <w:b/>
                    <w:bCs/>
                  </w:rPr>
                  <w:t>☐</w:t>
                </w:r>
              </w:sdtContent>
            </w:sdt>
            <w:r w:rsidR="00AD09CE" w:rsidRPr="00B30BA3">
              <w:rPr>
                <w:rFonts w:cs="Arial"/>
                <w:b/>
                <w:bCs/>
              </w:rPr>
              <w:t xml:space="preserve"> No</w:t>
            </w:r>
          </w:p>
        </w:tc>
      </w:tr>
      <w:tr w:rsidR="00AD09CE" w:rsidRPr="00B30BA3" w14:paraId="421D1EB7" w14:textId="77777777" w:rsidTr="009702E3">
        <w:tblPrEx>
          <w:shd w:val="clear" w:color="auto" w:fill="auto"/>
          <w:tblLook w:val="0000" w:firstRow="0" w:lastRow="0" w:firstColumn="0" w:lastColumn="0" w:noHBand="0" w:noVBand="0"/>
        </w:tblPrEx>
        <w:tc>
          <w:tcPr>
            <w:tcW w:w="4149" w:type="pct"/>
            <w:shd w:val="clear" w:color="auto" w:fill="DBE5F1" w:themeFill="accent1" w:themeFillTint="33"/>
          </w:tcPr>
          <w:p w14:paraId="555B7CBE" w14:textId="77777777" w:rsidR="00AD09CE" w:rsidRPr="009702E3" w:rsidRDefault="00AD09CE" w:rsidP="00AD09CE">
            <w:pPr>
              <w:pStyle w:val="DHHSbody"/>
              <w:rPr>
                <w:rFonts w:cs="Arial"/>
              </w:rPr>
            </w:pPr>
            <w:r w:rsidRPr="009702E3">
              <w:rPr>
                <w:rFonts w:cs="Arial"/>
              </w:rPr>
              <w:t>Is each methadone take-away dose supplied in a container with a child-resistant closure?</w:t>
            </w:r>
          </w:p>
        </w:tc>
        <w:tc>
          <w:tcPr>
            <w:tcW w:w="851" w:type="pct"/>
            <w:shd w:val="clear" w:color="auto" w:fill="auto"/>
          </w:tcPr>
          <w:p w14:paraId="31CD7125" w14:textId="67AD3DAA" w:rsidR="00AD09CE" w:rsidRPr="00B30BA3" w:rsidRDefault="00CE59DA" w:rsidP="00AD09CE">
            <w:pPr>
              <w:pStyle w:val="DHHSbody"/>
              <w:rPr>
                <w:rFonts w:cs="Arial"/>
                <w:b/>
              </w:rPr>
            </w:pPr>
            <w:sdt>
              <w:sdtPr>
                <w:rPr>
                  <w:rFonts w:cs="Arial"/>
                  <w:b/>
                </w:rPr>
                <w:id w:val="-1289732322"/>
                <w14:checkbox>
                  <w14:checked w14:val="0"/>
                  <w14:checkedState w14:val="2612" w14:font="MS Gothic"/>
                  <w14:uncheckedState w14:val="2610" w14:font="MS Gothic"/>
                </w14:checkbox>
              </w:sdtPr>
              <w:sdtEndPr/>
              <w:sdtContent>
                <w:r w:rsidR="00AD09CE" w:rsidRPr="00B30BA3">
                  <w:rPr>
                    <w:rFonts w:ascii="MS Gothic" w:eastAsia="MS Gothic" w:hAnsi="MS Gothic" w:cs="Arial"/>
                    <w:b/>
                  </w:rPr>
                  <w:t>☐</w:t>
                </w:r>
              </w:sdtContent>
            </w:sdt>
            <w:r w:rsidR="00AD09CE" w:rsidRPr="00B30BA3">
              <w:rPr>
                <w:rFonts w:cs="Arial"/>
                <w:b/>
              </w:rPr>
              <w:t xml:space="preserve"> Yes</w:t>
            </w:r>
          </w:p>
          <w:p w14:paraId="317A7667" w14:textId="5020B6A4" w:rsidR="00AD09CE" w:rsidRPr="00B30BA3" w:rsidRDefault="00CE59DA" w:rsidP="00AD09CE">
            <w:pPr>
              <w:pStyle w:val="DHHSbody"/>
              <w:rPr>
                <w:rFonts w:cs="Arial"/>
              </w:rPr>
            </w:pPr>
            <w:sdt>
              <w:sdtPr>
                <w:rPr>
                  <w:rFonts w:cs="Arial"/>
                  <w:b/>
                  <w:bCs/>
                </w:rPr>
                <w:id w:val="-1249803965"/>
                <w14:checkbox>
                  <w14:checked w14:val="0"/>
                  <w14:checkedState w14:val="2612" w14:font="MS Gothic"/>
                  <w14:uncheckedState w14:val="2610" w14:font="MS Gothic"/>
                </w14:checkbox>
              </w:sdtPr>
              <w:sdtEndPr/>
              <w:sdtContent>
                <w:r w:rsidR="00AD09CE" w:rsidRPr="00B30BA3">
                  <w:rPr>
                    <w:rFonts w:ascii="MS Gothic" w:eastAsia="MS Gothic" w:hAnsi="MS Gothic" w:cs="Arial"/>
                    <w:b/>
                    <w:bCs/>
                  </w:rPr>
                  <w:t>☐</w:t>
                </w:r>
              </w:sdtContent>
            </w:sdt>
            <w:r w:rsidR="00AD09CE" w:rsidRPr="00B30BA3">
              <w:rPr>
                <w:rFonts w:cs="Arial"/>
                <w:b/>
                <w:bCs/>
              </w:rPr>
              <w:t xml:space="preserve"> No</w:t>
            </w:r>
          </w:p>
        </w:tc>
      </w:tr>
      <w:tr w:rsidR="00AD09CE" w:rsidRPr="00B30BA3" w14:paraId="01EA3C4A" w14:textId="77777777" w:rsidTr="00967925">
        <w:tblPrEx>
          <w:shd w:val="clear" w:color="auto" w:fill="auto"/>
        </w:tblPrEx>
        <w:tc>
          <w:tcPr>
            <w:tcW w:w="5000" w:type="pct"/>
            <w:gridSpan w:val="2"/>
            <w:shd w:val="clear" w:color="auto" w:fill="auto"/>
          </w:tcPr>
          <w:p w14:paraId="38C69CBF" w14:textId="0A8BB5A6" w:rsidR="00AD09CE" w:rsidRPr="00B35096" w:rsidRDefault="00AD09CE" w:rsidP="00AD09CE">
            <w:pPr>
              <w:pStyle w:val="DHHSbody"/>
              <w:rPr>
                <w:rFonts w:cs="Arial"/>
                <w:b/>
                <w:bCs/>
              </w:rPr>
            </w:pPr>
            <w:r>
              <w:rPr>
                <w:rFonts w:cs="Arial"/>
                <w:b/>
                <w:bCs/>
              </w:rPr>
              <w:t>Re-use of methadone take-away containers</w:t>
            </w:r>
          </w:p>
          <w:p w14:paraId="02183FE7" w14:textId="57DED4BE" w:rsidR="00AD09CE" w:rsidRDefault="00AD09CE" w:rsidP="00AD09CE">
            <w:pPr>
              <w:pStyle w:val="DHHSbody"/>
              <w:rPr>
                <w:rFonts w:cs="Arial"/>
              </w:rPr>
            </w:pPr>
            <w:r>
              <w:rPr>
                <w:rFonts w:cs="Arial"/>
              </w:rPr>
              <w:t>While tap water may be used to dilute methadone take-away doses, it is important to also consider the quality of the local tap water and that of the building’s plumbing when doing so.</w:t>
            </w:r>
          </w:p>
          <w:p w14:paraId="12BBABCD" w14:textId="43463FE4" w:rsidR="00AD09CE" w:rsidRPr="005D19D0" w:rsidRDefault="00AD09CE" w:rsidP="00AD09CE">
            <w:pPr>
              <w:pStyle w:val="DHHSbody"/>
            </w:pPr>
            <w:r>
              <w:t>T</w:t>
            </w:r>
            <w:r w:rsidRPr="005D19D0">
              <w:t xml:space="preserve">he use of tap water for dilution of methadone take-away doses represents a minor risk that might be elevated if a take-away dose is not stored appropriately or consumed until several days after preparation. </w:t>
            </w:r>
          </w:p>
          <w:p w14:paraId="6300DC4D" w14:textId="0C99FAC4" w:rsidR="00AD09CE" w:rsidRDefault="006D377A" w:rsidP="00AD09CE">
            <w:pPr>
              <w:pStyle w:val="DHHSbody"/>
              <w:rPr>
                <w:rFonts w:cs="Arial"/>
              </w:rPr>
            </w:pPr>
            <w:r>
              <w:rPr>
                <w:rFonts w:cs="Arial"/>
              </w:rPr>
              <w:t>While it</w:t>
            </w:r>
            <w:r w:rsidR="00AD09CE">
              <w:rPr>
                <w:rFonts w:cs="Arial"/>
              </w:rPr>
              <w:t xml:space="preserve"> is common practice for pharmacies to re-use amber methadone take-away bottles for their clients, </w:t>
            </w:r>
            <w:r>
              <w:rPr>
                <w:rFonts w:cs="Arial"/>
              </w:rPr>
              <w:t xml:space="preserve">it is also necessary to </w:t>
            </w:r>
            <w:r w:rsidR="00AD09CE" w:rsidRPr="00B30BA3">
              <w:rPr>
                <w:rFonts w:cs="Arial"/>
              </w:rPr>
              <w:t>adequately clean and sanitise</w:t>
            </w:r>
            <w:r>
              <w:rPr>
                <w:rFonts w:cs="Arial"/>
              </w:rPr>
              <w:t xml:space="preserve"> these bottle before re-use</w:t>
            </w:r>
            <w:r w:rsidR="00AD09CE">
              <w:rPr>
                <w:rFonts w:cs="Arial"/>
              </w:rPr>
              <w:t>.</w:t>
            </w:r>
          </w:p>
          <w:p w14:paraId="1CC663AA" w14:textId="67E4E0BA" w:rsidR="00AD09CE" w:rsidRPr="00B30BA3" w:rsidRDefault="00AD09CE" w:rsidP="00AD09CE">
            <w:pPr>
              <w:pStyle w:val="DHHSbody"/>
              <w:rPr>
                <w:rFonts w:cs="Arial"/>
              </w:rPr>
            </w:pPr>
            <w:r w:rsidRPr="00914B30">
              <w:rPr>
                <w:rFonts w:cs="Arial"/>
              </w:rPr>
              <w:t>The risks associated with the use of tap water might be less significant than the provision of methadone take-away doses in containers that have not been thoroughly cleaned and sanitised.</w:t>
            </w:r>
          </w:p>
        </w:tc>
      </w:tr>
      <w:tr w:rsidR="00AD09CE" w:rsidRPr="00B30BA3" w14:paraId="7DB08D6C" w14:textId="77777777" w:rsidTr="00742358">
        <w:tblPrEx>
          <w:shd w:val="clear" w:color="auto" w:fill="auto"/>
          <w:tblLook w:val="0000" w:firstRow="0" w:lastRow="0" w:firstColumn="0" w:lastColumn="0" w:noHBand="0" w:noVBand="0"/>
        </w:tblPrEx>
        <w:tc>
          <w:tcPr>
            <w:tcW w:w="4149" w:type="pct"/>
            <w:shd w:val="clear" w:color="auto" w:fill="DBE5F1" w:themeFill="accent1" w:themeFillTint="33"/>
          </w:tcPr>
          <w:p w14:paraId="121799F5" w14:textId="77777777" w:rsidR="00AD09CE" w:rsidRPr="00B30BA3" w:rsidRDefault="00AD09CE" w:rsidP="00AD09CE">
            <w:pPr>
              <w:pStyle w:val="DHHSbody"/>
              <w:rPr>
                <w:rFonts w:cs="Arial"/>
              </w:rPr>
            </w:pPr>
            <w:r w:rsidRPr="00B30BA3">
              <w:rPr>
                <w:rFonts w:cs="Arial"/>
              </w:rPr>
              <w:t xml:space="preserve">Have all pharmacists been informed of the need to ensure that containers used for take-away doses are </w:t>
            </w:r>
            <w:r w:rsidRPr="00B30BA3">
              <w:rPr>
                <w:rFonts w:cs="Arial"/>
                <w:b/>
              </w:rPr>
              <w:t>not</w:t>
            </w:r>
            <w:r w:rsidRPr="00B30BA3">
              <w:rPr>
                <w:rFonts w:cs="Arial"/>
              </w:rPr>
              <w:t xml:space="preserve"> to be re-used for anyone other than the same patient and then only if they have been thoroughly cleaned and sanitised?</w:t>
            </w:r>
          </w:p>
        </w:tc>
        <w:tc>
          <w:tcPr>
            <w:tcW w:w="851" w:type="pct"/>
          </w:tcPr>
          <w:p w14:paraId="2E7A12E4" w14:textId="3567C85C" w:rsidR="00AD09CE" w:rsidRPr="00B30BA3" w:rsidRDefault="00CE59DA" w:rsidP="00AD09CE">
            <w:pPr>
              <w:pStyle w:val="DHHSbody"/>
              <w:rPr>
                <w:rFonts w:cs="Arial"/>
                <w:b/>
              </w:rPr>
            </w:pPr>
            <w:sdt>
              <w:sdtPr>
                <w:rPr>
                  <w:rFonts w:cs="Arial"/>
                  <w:b/>
                </w:rPr>
                <w:id w:val="-316343472"/>
                <w14:checkbox>
                  <w14:checked w14:val="0"/>
                  <w14:checkedState w14:val="2612" w14:font="MS Gothic"/>
                  <w14:uncheckedState w14:val="2610" w14:font="MS Gothic"/>
                </w14:checkbox>
              </w:sdtPr>
              <w:sdtEndPr/>
              <w:sdtContent>
                <w:r w:rsidR="00AD09CE" w:rsidRPr="00B30BA3">
                  <w:rPr>
                    <w:rFonts w:ascii="MS Gothic" w:eastAsia="MS Gothic" w:hAnsi="MS Gothic" w:cs="Arial"/>
                    <w:b/>
                  </w:rPr>
                  <w:t>☐</w:t>
                </w:r>
              </w:sdtContent>
            </w:sdt>
            <w:r w:rsidR="00AD09CE" w:rsidRPr="00B30BA3">
              <w:rPr>
                <w:rFonts w:cs="Arial"/>
                <w:b/>
              </w:rPr>
              <w:t xml:space="preserve"> Yes</w:t>
            </w:r>
          </w:p>
          <w:p w14:paraId="1C3378DE" w14:textId="52AA5B93" w:rsidR="00AD09CE" w:rsidRPr="00B30BA3" w:rsidRDefault="00CE59DA" w:rsidP="00AD09CE">
            <w:pPr>
              <w:pStyle w:val="DHHSbody"/>
              <w:rPr>
                <w:rFonts w:cs="Arial"/>
              </w:rPr>
            </w:pPr>
            <w:sdt>
              <w:sdtPr>
                <w:rPr>
                  <w:rFonts w:cs="Arial"/>
                  <w:b/>
                  <w:bCs/>
                </w:rPr>
                <w:id w:val="-1741014818"/>
                <w14:checkbox>
                  <w14:checked w14:val="0"/>
                  <w14:checkedState w14:val="2612" w14:font="MS Gothic"/>
                  <w14:uncheckedState w14:val="2610" w14:font="MS Gothic"/>
                </w14:checkbox>
              </w:sdtPr>
              <w:sdtEndPr/>
              <w:sdtContent>
                <w:r w:rsidR="00AD09CE" w:rsidRPr="00B30BA3">
                  <w:rPr>
                    <w:rFonts w:ascii="MS Gothic" w:eastAsia="MS Gothic" w:hAnsi="MS Gothic" w:cs="Arial"/>
                    <w:b/>
                    <w:bCs/>
                  </w:rPr>
                  <w:t>☐</w:t>
                </w:r>
              </w:sdtContent>
            </w:sdt>
            <w:r w:rsidR="00AD09CE" w:rsidRPr="00B30BA3">
              <w:rPr>
                <w:rFonts w:cs="Arial"/>
                <w:b/>
                <w:bCs/>
              </w:rPr>
              <w:t xml:space="preserve"> No</w:t>
            </w:r>
          </w:p>
        </w:tc>
      </w:tr>
      <w:tr w:rsidR="00AD09CE" w:rsidRPr="00B30BA3" w14:paraId="49684331" w14:textId="77777777" w:rsidTr="00742358">
        <w:tblPrEx>
          <w:shd w:val="clear" w:color="auto" w:fill="auto"/>
          <w:tblLook w:val="0000" w:firstRow="0" w:lastRow="0" w:firstColumn="0" w:lastColumn="0" w:noHBand="0" w:noVBand="0"/>
        </w:tblPrEx>
        <w:tc>
          <w:tcPr>
            <w:tcW w:w="4149" w:type="pct"/>
            <w:shd w:val="clear" w:color="auto" w:fill="DBE5F1" w:themeFill="accent1" w:themeFillTint="33"/>
          </w:tcPr>
          <w:p w14:paraId="792E71F3" w14:textId="77777777" w:rsidR="00AD09CE" w:rsidRPr="00B30BA3" w:rsidRDefault="00AD09CE" w:rsidP="00AD09CE">
            <w:pPr>
              <w:pStyle w:val="DHHSbody"/>
              <w:rPr>
                <w:rFonts w:cs="Arial"/>
                <w:bCs/>
              </w:rPr>
            </w:pPr>
            <w:r w:rsidRPr="00B30BA3">
              <w:rPr>
                <w:rFonts w:cs="Arial"/>
                <w:bCs/>
              </w:rPr>
              <w:t>Have all pharmacists been advised to consider the proposed duration and conditions of storage of methadone take-away doses when determining whether tap water may be used to dilute take-away doses?</w:t>
            </w:r>
          </w:p>
        </w:tc>
        <w:tc>
          <w:tcPr>
            <w:tcW w:w="851" w:type="pct"/>
          </w:tcPr>
          <w:p w14:paraId="05D67217" w14:textId="490C5B85" w:rsidR="00AD09CE" w:rsidRPr="00B30BA3" w:rsidRDefault="00CE59DA" w:rsidP="00AD09CE">
            <w:pPr>
              <w:pStyle w:val="DHHSbody"/>
              <w:rPr>
                <w:rFonts w:cs="Arial"/>
                <w:b/>
              </w:rPr>
            </w:pPr>
            <w:sdt>
              <w:sdtPr>
                <w:rPr>
                  <w:rFonts w:cs="Arial"/>
                  <w:b/>
                </w:rPr>
                <w:id w:val="-1308625520"/>
                <w14:checkbox>
                  <w14:checked w14:val="0"/>
                  <w14:checkedState w14:val="2612" w14:font="MS Gothic"/>
                  <w14:uncheckedState w14:val="2610" w14:font="MS Gothic"/>
                </w14:checkbox>
              </w:sdtPr>
              <w:sdtEndPr/>
              <w:sdtContent>
                <w:r w:rsidR="00AD09CE" w:rsidRPr="00B30BA3">
                  <w:rPr>
                    <w:rFonts w:ascii="MS Gothic" w:eastAsia="MS Gothic" w:hAnsi="MS Gothic" w:cs="Arial"/>
                    <w:b/>
                  </w:rPr>
                  <w:t>☐</w:t>
                </w:r>
              </w:sdtContent>
            </w:sdt>
            <w:r w:rsidR="00AD09CE" w:rsidRPr="00B30BA3">
              <w:rPr>
                <w:rFonts w:cs="Arial"/>
                <w:b/>
              </w:rPr>
              <w:t xml:space="preserve"> Yes</w:t>
            </w:r>
          </w:p>
          <w:p w14:paraId="0EE384BF" w14:textId="7043AC66" w:rsidR="00AD09CE" w:rsidRPr="00B30BA3" w:rsidRDefault="00CE59DA" w:rsidP="00AD09CE">
            <w:pPr>
              <w:pStyle w:val="DHHSbody"/>
              <w:rPr>
                <w:rFonts w:cs="Arial"/>
              </w:rPr>
            </w:pPr>
            <w:sdt>
              <w:sdtPr>
                <w:rPr>
                  <w:rFonts w:cs="Arial"/>
                  <w:b/>
                  <w:bCs/>
                </w:rPr>
                <w:id w:val="-177965732"/>
                <w14:checkbox>
                  <w14:checked w14:val="0"/>
                  <w14:checkedState w14:val="2612" w14:font="MS Gothic"/>
                  <w14:uncheckedState w14:val="2610" w14:font="MS Gothic"/>
                </w14:checkbox>
              </w:sdtPr>
              <w:sdtEndPr/>
              <w:sdtContent>
                <w:r w:rsidR="00AD09CE" w:rsidRPr="00B30BA3">
                  <w:rPr>
                    <w:rFonts w:ascii="MS Gothic" w:eastAsia="MS Gothic" w:hAnsi="MS Gothic" w:cs="Arial"/>
                    <w:b/>
                    <w:bCs/>
                  </w:rPr>
                  <w:t>☐</w:t>
                </w:r>
              </w:sdtContent>
            </w:sdt>
            <w:r w:rsidR="00AD09CE" w:rsidRPr="00B30BA3">
              <w:rPr>
                <w:rFonts w:cs="Arial"/>
                <w:b/>
                <w:bCs/>
              </w:rPr>
              <w:t xml:space="preserve"> No</w:t>
            </w:r>
          </w:p>
        </w:tc>
      </w:tr>
    </w:tbl>
    <w:p w14:paraId="42A427FC" w14:textId="77777777" w:rsidR="00B256B4" w:rsidRDefault="00B256B4" w:rsidP="006E244F">
      <w:pPr>
        <w:spacing w:after="0" w:line="240" w:lineRule="auto"/>
        <w:rPr>
          <w:b/>
          <w:bCs/>
          <w:color w:val="595959" w:themeColor="text1" w:themeTint="A6"/>
          <w:sz w:val="28"/>
          <w:szCs w:val="28"/>
        </w:rPr>
      </w:pPr>
    </w:p>
    <w:p w14:paraId="3FE6844B" w14:textId="1EC9E6B3" w:rsidR="00BA059E" w:rsidRPr="006E244F" w:rsidRDefault="00BA059E" w:rsidP="006E244F">
      <w:pPr>
        <w:spacing w:after="0" w:line="240" w:lineRule="auto"/>
        <w:rPr>
          <w:b/>
          <w:bCs/>
          <w:sz w:val="28"/>
          <w:szCs w:val="28"/>
        </w:rPr>
      </w:pPr>
      <w:r w:rsidRPr="006E244F">
        <w:rPr>
          <w:b/>
          <w:bCs/>
          <w:color w:val="595959" w:themeColor="text1" w:themeTint="A6"/>
          <w:sz w:val="28"/>
          <w:szCs w:val="28"/>
        </w:rPr>
        <w:t>Take-away doses of buprenorphine</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9"/>
        <w:gridCol w:w="1735"/>
      </w:tblGrid>
      <w:tr w:rsidR="00BA059E" w:rsidRPr="00B30BA3" w14:paraId="404FDB0B" w14:textId="77777777" w:rsidTr="63D2B89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5A33F44" w14:textId="6D12D306" w:rsidR="006E244F" w:rsidRDefault="006E244F" w:rsidP="003F787E">
            <w:pPr>
              <w:pStyle w:val="DHHSbody"/>
              <w:rPr>
                <w:rFonts w:cs="Arial"/>
                <w:b/>
              </w:rPr>
            </w:pPr>
            <w:r>
              <w:rPr>
                <w:rFonts w:cs="Arial"/>
                <w:b/>
              </w:rPr>
              <w:t>Subutex</w:t>
            </w:r>
            <w:r w:rsidRPr="006E244F">
              <w:rPr>
                <w:rFonts w:cs="Arial"/>
                <w:b/>
                <w:vertAlign w:val="superscript"/>
              </w:rPr>
              <w:t>®</w:t>
            </w:r>
            <w:r>
              <w:rPr>
                <w:rFonts w:cs="Arial"/>
                <w:b/>
              </w:rPr>
              <w:t xml:space="preserve"> take-away doses</w:t>
            </w:r>
          </w:p>
          <w:p w14:paraId="731798E9" w14:textId="77777777" w:rsidR="003F56B5" w:rsidRDefault="00BA059E" w:rsidP="003F787E">
            <w:pPr>
              <w:pStyle w:val="DHHSbody"/>
              <w:rPr>
                <w:rFonts w:cs="Arial"/>
              </w:rPr>
            </w:pPr>
            <w:r w:rsidRPr="00B30BA3">
              <w:rPr>
                <w:rFonts w:cs="Arial"/>
                <w:b/>
              </w:rPr>
              <w:t>Subutex</w:t>
            </w:r>
            <w:r w:rsidRPr="00B30BA3">
              <w:rPr>
                <w:rFonts w:cs="Arial"/>
                <w:vertAlign w:val="superscript"/>
              </w:rPr>
              <w:t>®</w:t>
            </w:r>
            <w:r w:rsidRPr="00B30BA3">
              <w:rPr>
                <w:rFonts w:cs="Arial"/>
              </w:rPr>
              <w:t xml:space="preserve"> </w:t>
            </w:r>
            <w:r w:rsidR="00A4769D">
              <w:rPr>
                <w:rFonts w:cs="Arial"/>
              </w:rPr>
              <w:t xml:space="preserve">should </w:t>
            </w:r>
            <w:r w:rsidR="00A4769D" w:rsidRPr="00A4769D">
              <w:rPr>
                <w:rFonts w:cs="Arial"/>
              </w:rPr>
              <w:t>only</w:t>
            </w:r>
            <w:r w:rsidR="00A4769D">
              <w:rPr>
                <w:rFonts w:cs="Arial"/>
              </w:rPr>
              <w:t xml:space="preserve"> </w:t>
            </w:r>
            <w:r w:rsidRPr="00B30BA3">
              <w:rPr>
                <w:rFonts w:cs="Arial"/>
              </w:rPr>
              <w:t xml:space="preserve">be authorised for take-away doses </w:t>
            </w:r>
            <w:r w:rsidR="003F56B5">
              <w:rPr>
                <w:rFonts w:cs="Arial"/>
              </w:rPr>
              <w:t>if the patient:</w:t>
            </w:r>
          </w:p>
          <w:p w14:paraId="4720A71D" w14:textId="77777777" w:rsidR="003F56B5" w:rsidRDefault="003F56B5" w:rsidP="003B32D8">
            <w:pPr>
              <w:pStyle w:val="DHHSbody"/>
              <w:numPr>
                <w:ilvl w:val="0"/>
                <w:numId w:val="29"/>
              </w:numPr>
              <w:rPr>
                <w:rFonts w:cs="Arial"/>
              </w:rPr>
            </w:pPr>
            <w:r>
              <w:rPr>
                <w:rFonts w:cs="Arial"/>
              </w:rPr>
              <w:t>Is pregnant or breastfeeding</w:t>
            </w:r>
          </w:p>
          <w:p w14:paraId="164AD05A" w14:textId="77777777" w:rsidR="003F56B5" w:rsidRDefault="003F56B5" w:rsidP="003B32D8">
            <w:pPr>
              <w:pStyle w:val="DHHSbody"/>
              <w:numPr>
                <w:ilvl w:val="0"/>
                <w:numId w:val="29"/>
              </w:numPr>
              <w:rPr>
                <w:rFonts w:cs="Arial"/>
              </w:rPr>
            </w:pPr>
            <w:r>
              <w:rPr>
                <w:rFonts w:cs="Arial"/>
              </w:rPr>
              <w:t xml:space="preserve">Has a clinically documented allergy to naloxone (or to </w:t>
            </w:r>
            <w:r w:rsidR="00BA059E" w:rsidRPr="00B30BA3">
              <w:rPr>
                <w:rFonts w:cs="Arial"/>
              </w:rPr>
              <w:t>an excipient in Suboxone</w:t>
            </w:r>
            <w:r w:rsidR="00BA059E" w:rsidRPr="00B30BA3">
              <w:rPr>
                <w:rFonts w:cs="Arial"/>
                <w:vertAlign w:val="superscript"/>
              </w:rPr>
              <w:t>®</w:t>
            </w:r>
            <w:r w:rsidR="00BA059E" w:rsidRPr="00B30BA3">
              <w:rPr>
                <w:rFonts w:cs="Arial"/>
              </w:rPr>
              <w:t>)</w:t>
            </w:r>
          </w:p>
          <w:p w14:paraId="5F1EEBFB" w14:textId="26365A60" w:rsidR="00F16CD4" w:rsidRPr="00F16CD4" w:rsidRDefault="12C21DFC" w:rsidP="003F787E">
            <w:pPr>
              <w:pStyle w:val="DHHSbody"/>
              <w:numPr>
                <w:ilvl w:val="0"/>
                <w:numId w:val="29"/>
              </w:numPr>
              <w:rPr>
                <w:rFonts w:cs="Arial"/>
              </w:rPr>
            </w:pPr>
            <w:r w:rsidRPr="63D2B899">
              <w:rPr>
                <w:rFonts w:cs="Arial"/>
              </w:rPr>
              <w:t xml:space="preserve">Is reducing their </w:t>
            </w:r>
            <w:r w:rsidR="49E6AEA9" w:rsidRPr="63D2B899">
              <w:rPr>
                <w:rFonts w:cs="Arial"/>
              </w:rPr>
              <w:t>dose below 2.0mg and require a supply of 0.4mg tablets.</w:t>
            </w:r>
          </w:p>
        </w:tc>
      </w:tr>
      <w:tr w:rsidR="00BA059E" w:rsidRPr="00B30BA3" w14:paraId="5076D165" w14:textId="77777777" w:rsidTr="63D2B899">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rPr>
          <w:trHeight w:val="450"/>
        </w:trPr>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930D30" w14:textId="52893BF1" w:rsidR="00BA059E" w:rsidRPr="00F16CD4" w:rsidRDefault="00BA059E" w:rsidP="003F787E">
            <w:pPr>
              <w:pStyle w:val="DHHSbody"/>
              <w:rPr>
                <w:b/>
                <w:bCs/>
              </w:rPr>
            </w:pPr>
            <w:r w:rsidRPr="00B30BA3">
              <w:rPr>
                <w:rFonts w:cs="Arial"/>
                <w:bCs/>
              </w:rPr>
              <w:t xml:space="preserve">Have all pharmacists been informed that the Policy makes no provision for routine take-away doses of </w:t>
            </w:r>
            <w:r w:rsidRPr="00B30BA3">
              <w:rPr>
                <w:rFonts w:cs="Arial"/>
                <w:b/>
              </w:rPr>
              <w:t>Subutex</w:t>
            </w:r>
            <w:r w:rsidRPr="00B30BA3">
              <w:rPr>
                <w:rFonts w:cs="Arial"/>
                <w:vertAlign w:val="superscript"/>
              </w:rPr>
              <w:t>®</w:t>
            </w:r>
            <w:r w:rsidR="00F16CD4">
              <w:t xml:space="preserve"> tablets apart from the exceptions outlined above?</w:t>
            </w:r>
          </w:p>
        </w:tc>
        <w:tc>
          <w:tcPr>
            <w:tcW w:w="851" w:type="pct"/>
            <w:tcBorders>
              <w:top w:val="single" w:sz="4" w:space="0" w:color="auto"/>
              <w:left w:val="single" w:sz="4" w:space="0" w:color="auto"/>
              <w:bottom w:val="single" w:sz="4" w:space="0" w:color="auto"/>
              <w:right w:val="single" w:sz="4" w:space="0" w:color="auto"/>
            </w:tcBorders>
          </w:tcPr>
          <w:p w14:paraId="6E6DBC42" w14:textId="62F876CD" w:rsidR="00BA059E" w:rsidRPr="00B30BA3" w:rsidRDefault="00CE59DA" w:rsidP="003F787E">
            <w:pPr>
              <w:pStyle w:val="DHHSbody"/>
              <w:rPr>
                <w:rFonts w:cs="Arial"/>
                <w:b/>
              </w:rPr>
            </w:pPr>
            <w:sdt>
              <w:sdtPr>
                <w:rPr>
                  <w:rFonts w:cs="Arial"/>
                  <w:b/>
                </w:rPr>
                <w:id w:val="2107612356"/>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02DC174F" w14:textId="1B345062" w:rsidR="00BA059E" w:rsidRPr="00B30BA3" w:rsidRDefault="00CE59DA" w:rsidP="003F787E">
            <w:pPr>
              <w:pStyle w:val="DHHSbody"/>
              <w:rPr>
                <w:rFonts w:cs="Arial"/>
              </w:rPr>
            </w:pPr>
            <w:sdt>
              <w:sdtPr>
                <w:rPr>
                  <w:rFonts w:cs="Arial"/>
                  <w:b/>
                  <w:bCs/>
                </w:rPr>
                <w:id w:val="1909653529"/>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r w:rsidR="00BA059E" w:rsidRPr="00B30BA3">
              <w:rPr>
                <w:rFonts w:cs="Arial"/>
              </w:rPr>
              <w:t xml:space="preserve"> </w:t>
            </w:r>
          </w:p>
        </w:tc>
      </w:tr>
      <w:tr w:rsidR="00BA059E" w:rsidRPr="00B30BA3" w14:paraId="6A1056CA" w14:textId="77777777" w:rsidTr="63D2B899">
        <w:tc>
          <w:tcPr>
            <w:tcW w:w="5000" w:type="pct"/>
            <w:gridSpan w:val="2"/>
            <w:tcBorders>
              <w:top w:val="single" w:sz="4" w:space="0" w:color="auto"/>
              <w:left w:val="single" w:sz="4" w:space="0" w:color="auto"/>
              <w:bottom w:val="single" w:sz="4" w:space="0" w:color="auto"/>
              <w:right w:val="single" w:sz="4" w:space="0" w:color="auto"/>
            </w:tcBorders>
            <w:shd w:val="clear" w:color="auto" w:fill="FFFF00"/>
          </w:tcPr>
          <w:p w14:paraId="372A3A6E" w14:textId="476CD21A" w:rsidR="006E244F" w:rsidRPr="00B30BA3" w:rsidRDefault="00BA059E" w:rsidP="003F787E">
            <w:pPr>
              <w:pStyle w:val="DHHSbody"/>
              <w:rPr>
                <w:rFonts w:cs="Arial"/>
              </w:rPr>
            </w:pPr>
            <w:r w:rsidRPr="00B30BA3">
              <w:rPr>
                <w:rFonts w:cs="Arial"/>
              </w:rPr>
              <w:t xml:space="preserve">The recommended maximum number of </w:t>
            </w:r>
            <w:r w:rsidRPr="00B30BA3">
              <w:rPr>
                <w:rFonts w:cs="Arial"/>
                <w:b/>
              </w:rPr>
              <w:t>Suboxone</w:t>
            </w:r>
            <w:r w:rsidRPr="00B30BA3">
              <w:rPr>
                <w:rFonts w:cs="Arial"/>
                <w:b/>
                <w:vertAlign w:val="superscript"/>
              </w:rPr>
              <w:t>®</w:t>
            </w:r>
            <w:r w:rsidRPr="00B30BA3">
              <w:rPr>
                <w:rFonts w:cs="Arial"/>
              </w:rPr>
              <w:t xml:space="preserve"> take-away doses following </w:t>
            </w:r>
            <w:r w:rsidRPr="00B30BA3">
              <w:rPr>
                <w:rFonts w:cs="Arial"/>
                <w:b/>
              </w:rPr>
              <w:t>continuous periods of stability in treatment</w:t>
            </w:r>
            <w:r w:rsidR="00AD09CE">
              <w:rPr>
                <w:rFonts w:cs="Arial"/>
                <w:b/>
              </w:rPr>
              <w:t xml:space="preserve"> </w:t>
            </w:r>
            <w:r w:rsidR="00AD09CE">
              <w:rPr>
                <w:rFonts w:cs="Arial"/>
                <w:bCs/>
              </w:rPr>
              <w:t>can be found in Table 3.2 of the Policy</w:t>
            </w:r>
            <w:r w:rsidRPr="00B30BA3">
              <w:rPr>
                <w:rFonts w:cs="Arial"/>
              </w:rPr>
              <w:t>.</w:t>
            </w:r>
            <w:r w:rsidR="0013174C">
              <w:rPr>
                <w:rFonts w:cs="Arial"/>
              </w:rPr>
              <w:t xml:space="preserve"> Policy amendments made during periods of emergency (such as during the Covid-19 pandemic) may override what is written in the original document.</w:t>
            </w:r>
          </w:p>
        </w:tc>
      </w:tr>
    </w:tbl>
    <w:p w14:paraId="0B0AE16E" w14:textId="77777777" w:rsidR="000C5621" w:rsidRDefault="000C5621" w:rsidP="00BA059E">
      <w:pPr>
        <w:pStyle w:val="Heading2"/>
        <w:rPr>
          <w:sz w:val="28"/>
          <w:szCs w:val="24"/>
        </w:rPr>
      </w:pPr>
    </w:p>
    <w:p w14:paraId="5C84746B" w14:textId="77777777" w:rsidR="000C5621" w:rsidRDefault="000C5621">
      <w:pPr>
        <w:spacing w:after="0" w:line="240" w:lineRule="auto"/>
        <w:rPr>
          <w:b/>
          <w:color w:val="53565A"/>
          <w:sz w:val="28"/>
          <w:szCs w:val="24"/>
        </w:rPr>
      </w:pPr>
      <w:r>
        <w:rPr>
          <w:sz w:val="28"/>
          <w:szCs w:val="24"/>
        </w:rPr>
        <w:br w:type="page"/>
      </w:r>
    </w:p>
    <w:p w14:paraId="592815DE" w14:textId="3B76ED90" w:rsidR="00BA059E" w:rsidRPr="00AA14A3" w:rsidRDefault="00BA059E" w:rsidP="00BA059E">
      <w:pPr>
        <w:pStyle w:val="Heading2"/>
        <w:rPr>
          <w:sz w:val="28"/>
          <w:szCs w:val="24"/>
        </w:rPr>
      </w:pPr>
      <w:r w:rsidRPr="00AA14A3">
        <w:rPr>
          <w:sz w:val="28"/>
          <w:szCs w:val="24"/>
        </w:rPr>
        <w:lastRenderedPageBreak/>
        <w:t xml:space="preserve">When </w:t>
      </w:r>
      <w:r w:rsidR="00DB7E62">
        <w:rPr>
          <w:sz w:val="28"/>
          <w:szCs w:val="24"/>
        </w:rPr>
        <w:t>to withhold treatment and when to contact the prescriber?</w:t>
      </w:r>
    </w:p>
    <w:tbl>
      <w:tblPr>
        <w:tblW w:w="5007" w:type="pct"/>
        <w:tblInd w:w="-7" w:type="dxa"/>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71"/>
        <w:gridCol w:w="1737"/>
      </w:tblGrid>
      <w:tr w:rsidR="00ED5FDA" w:rsidRPr="00B30BA3" w14:paraId="5D49972C" w14:textId="77777777" w:rsidTr="0013174C">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FF546D3" w14:textId="2D4608DA" w:rsidR="00ED5FDA" w:rsidRPr="002C7BC7" w:rsidRDefault="002C7BC7" w:rsidP="00ED5FDA">
            <w:pPr>
              <w:spacing w:after="160" w:line="259" w:lineRule="auto"/>
              <w:rPr>
                <w:b/>
                <w:bCs/>
                <w:sz w:val="20"/>
              </w:rPr>
            </w:pPr>
            <w:r>
              <w:rPr>
                <w:b/>
                <w:bCs/>
                <w:sz w:val="20"/>
              </w:rPr>
              <w:t>Prescriber communication</w:t>
            </w:r>
          </w:p>
          <w:p w14:paraId="61F70A0E" w14:textId="5FD662CC" w:rsidR="00ED5FDA" w:rsidRDefault="00ED5FDA" w:rsidP="00ED5FDA">
            <w:pPr>
              <w:spacing w:after="160" w:line="259" w:lineRule="auto"/>
              <w:rPr>
                <w:sz w:val="20"/>
              </w:rPr>
            </w:pPr>
            <w:r w:rsidRPr="00ED5FDA">
              <w:rPr>
                <w:sz w:val="20"/>
              </w:rPr>
              <w:t>Regular communication with your patients’ prescribers is an essential aspect of running a professional opioid pharmacotherapy service.</w:t>
            </w:r>
            <w:r>
              <w:rPr>
                <w:sz w:val="20"/>
              </w:rPr>
              <w:t xml:space="preserve"> </w:t>
            </w:r>
            <w:r w:rsidRPr="00ED5FDA">
              <w:rPr>
                <w:sz w:val="20"/>
              </w:rPr>
              <w:t>Consistency of dosing is key –</w:t>
            </w:r>
            <w:r w:rsidR="00195BB7">
              <w:rPr>
                <w:sz w:val="20"/>
              </w:rPr>
              <w:t xml:space="preserve"> </w:t>
            </w:r>
            <w:r w:rsidRPr="00ED5FDA">
              <w:rPr>
                <w:sz w:val="20"/>
              </w:rPr>
              <w:t>a good rule of thumb is that it is worthwhile contacting the prescriber if a patient’s presentation is inconsistent</w:t>
            </w:r>
            <w:r w:rsidR="002C7BC7">
              <w:rPr>
                <w:sz w:val="20"/>
              </w:rPr>
              <w:t xml:space="preserve">. </w:t>
            </w:r>
            <w:r w:rsidR="00195BB7">
              <w:rPr>
                <w:rFonts w:cs="Arial"/>
                <w:sz w:val="20"/>
              </w:rPr>
              <w:t>F</w:t>
            </w:r>
            <w:r w:rsidR="002C7BC7">
              <w:rPr>
                <w:rFonts w:cs="Arial"/>
                <w:sz w:val="20"/>
              </w:rPr>
              <w:t>amiliarity with your pharmacotherapy patients will provide a good sense of what constitutes a person’s “regular” attendance or “</w:t>
            </w:r>
            <w:r w:rsidR="00195BB7">
              <w:rPr>
                <w:rFonts w:cs="Arial"/>
                <w:sz w:val="20"/>
              </w:rPr>
              <w:t>usual/expected</w:t>
            </w:r>
            <w:r w:rsidR="002C7BC7">
              <w:rPr>
                <w:rFonts w:cs="Arial"/>
                <w:sz w:val="20"/>
              </w:rPr>
              <w:t>” behaviour.</w:t>
            </w:r>
          </w:p>
        </w:tc>
      </w:tr>
      <w:tr w:rsidR="000C5621" w:rsidRPr="00AF127A" w14:paraId="614D611F" w14:textId="77777777" w:rsidTr="004A3443">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323FC08" w14:textId="77777777" w:rsidR="000C5621" w:rsidRPr="008934C8" w:rsidRDefault="000C5621" w:rsidP="004A3443">
            <w:pPr>
              <w:rPr>
                <w:rFonts w:cs="Arial"/>
                <w:b/>
                <w:bCs/>
                <w:sz w:val="20"/>
              </w:rPr>
            </w:pPr>
            <w:r>
              <w:rPr>
                <w:rFonts w:cs="Arial"/>
                <w:b/>
                <w:bCs/>
                <w:sz w:val="20"/>
              </w:rPr>
              <w:t>Intoxication</w:t>
            </w:r>
          </w:p>
          <w:p w14:paraId="2688A928" w14:textId="77777777" w:rsidR="000C5621" w:rsidRDefault="000C5621" w:rsidP="004A3443">
            <w:pPr>
              <w:pStyle w:val="DHHSbody"/>
              <w:rPr>
                <w:rFonts w:cs="Arial"/>
              </w:rPr>
            </w:pPr>
            <w:r>
              <w:rPr>
                <w:rFonts w:cs="Arial"/>
              </w:rPr>
              <w:t>A patient may be intoxicated because of an excessive dose of pharmacotherapy medication, a combination of agents, or even a single agent which nevertheless poses an unacceptable risk if combined with the scheduled dose of pharmacotherapy.</w:t>
            </w:r>
          </w:p>
          <w:p w14:paraId="63CE2CBC" w14:textId="77777777" w:rsidR="000C5621" w:rsidRPr="00AF127A" w:rsidRDefault="000C5621" w:rsidP="004A3443">
            <w:pPr>
              <w:rPr>
                <w:rFonts w:cs="Arial"/>
                <w:sz w:val="20"/>
              </w:rPr>
            </w:pPr>
            <w:r w:rsidRPr="00AF127A">
              <w:rPr>
                <w:rFonts w:cs="Arial"/>
                <w:sz w:val="20"/>
              </w:rPr>
              <w:t>Symptoms of opioid toxicity include (but are not limited to):</w:t>
            </w:r>
          </w:p>
          <w:p w14:paraId="779713E4" w14:textId="77777777" w:rsidR="000C5621" w:rsidRPr="00AF127A" w:rsidRDefault="000C5621" w:rsidP="004A3443">
            <w:pPr>
              <w:pStyle w:val="ListParagraph"/>
              <w:numPr>
                <w:ilvl w:val="0"/>
                <w:numId w:val="20"/>
              </w:numPr>
              <w:spacing w:after="160" w:line="259" w:lineRule="auto"/>
              <w:rPr>
                <w:rFonts w:ascii="Arial" w:hAnsi="Arial" w:cs="Arial"/>
              </w:rPr>
            </w:pPr>
            <w:r w:rsidRPr="00AF127A">
              <w:rPr>
                <w:rFonts w:ascii="Arial" w:hAnsi="Arial" w:cs="Arial"/>
              </w:rPr>
              <w:t>Constricted pupils (tricky to assess, although familiarity with your patient could make this an easier task)</w:t>
            </w:r>
          </w:p>
          <w:p w14:paraId="79E30BBC" w14:textId="77777777" w:rsidR="000C5621" w:rsidRPr="00AF127A" w:rsidRDefault="000C5621" w:rsidP="004A3443">
            <w:pPr>
              <w:pStyle w:val="ListParagraph"/>
              <w:numPr>
                <w:ilvl w:val="0"/>
                <w:numId w:val="20"/>
              </w:numPr>
              <w:spacing w:after="160" w:line="259" w:lineRule="auto"/>
              <w:rPr>
                <w:rFonts w:ascii="Arial" w:hAnsi="Arial" w:cs="Arial"/>
              </w:rPr>
            </w:pPr>
            <w:r w:rsidRPr="00AF127A">
              <w:rPr>
                <w:rFonts w:ascii="Arial" w:hAnsi="Arial" w:cs="Arial"/>
              </w:rPr>
              <w:t>Excessive drowsiness</w:t>
            </w:r>
          </w:p>
          <w:p w14:paraId="16461985" w14:textId="77777777" w:rsidR="000C5621" w:rsidRPr="00AF127A" w:rsidRDefault="000C5621" w:rsidP="004A3443">
            <w:pPr>
              <w:pStyle w:val="ListParagraph"/>
              <w:numPr>
                <w:ilvl w:val="0"/>
                <w:numId w:val="20"/>
              </w:numPr>
              <w:spacing w:after="160" w:line="259" w:lineRule="auto"/>
              <w:rPr>
                <w:rFonts w:ascii="Arial" w:hAnsi="Arial" w:cs="Arial"/>
              </w:rPr>
            </w:pPr>
            <w:r w:rsidRPr="00AF127A">
              <w:rPr>
                <w:rFonts w:ascii="Arial" w:hAnsi="Arial" w:cs="Arial"/>
              </w:rPr>
              <w:t>Confusion</w:t>
            </w:r>
          </w:p>
          <w:p w14:paraId="1A4DBE4A" w14:textId="77777777" w:rsidR="000C5621" w:rsidRDefault="000C5621" w:rsidP="004A3443">
            <w:pPr>
              <w:pStyle w:val="ListParagraph"/>
              <w:numPr>
                <w:ilvl w:val="0"/>
                <w:numId w:val="20"/>
              </w:numPr>
              <w:spacing w:after="160" w:line="259" w:lineRule="auto"/>
              <w:rPr>
                <w:rFonts w:ascii="Arial" w:hAnsi="Arial" w:cs="Arial"/>
              </w:rPr>
            </w:pPr>
            <w:r w:rsidRPr="00AF127A">
              <w:rPr>
                <w:rFonts w:ascii="Arial" w:hAnsi="Arial" w:cs="Arial"/>
              </w:rPr>
              <w:t>Slurred speech</w:t>
            </w:r>
            <w:r>
              <w:rPr>
                <w:rFonts w:ascii="Arial" w:hAnsi="Arial" w:cs="Arial"/>
              </w:rPr>
              <w:t xml:space="preserve"> – engaging your patient in conversation can help to get a sense of this symptom</w:t>
            </w:r>
          </w:p>
          <w:p w14:paraId="3389CE7D" w14:textId="77777777" w:rsidR="000C5621" w:rsidRDefault="000C5621" w:rsidP="004A3443">
            <w:pPr>
              <w:rPr>
                <w:rFonts w:cs="Arial"/>
                <w:sz w:val="20"/>
              </w:rPr>
            </w:pPr>
            <w:r w:rsidRPr="00AF127A">
              <w:rPr>
                <w:rFonts w:cs="Arial"/>
                <w:b/>
                <w:bCs/>
                <w:sz w:val="20"/>
              </w:rPr>
              <w:t xml:space="preserve">Remember – the pharmacist administering the dose has the final word on whether it is safe to provide that dose. </w:t>
            </w:r>
            <w:r w:rsidRPr="00AF127A">
              <w:rPr>
                <w:rFonts w:cs="Arial"/>
                <w:sz w:val="20"/>
              </w:rPr>
              <w:t>Use your clinical and professional judgement.</w:t>
            </w:r>
          </w:p>
          <w:tbl>
            <w:tblPr>
              <w:tblStyle w:val="TableGrid"/>
              <w:tblW w:w="0" w:type="auto"/>
              <w:tblLook w:val="04A0" w:firstRow="1" w:lastRow="0" w:firstColumn="1" w:lastColumn="0" w:noHBand="0" w:noVBand="1"/>
            </w:tblPr>
            <w:tblGrid>
              <w:gridCol w:w="3005"/>
              <w:gridCol w:w="2827"/>
              <w:gridCol w:w="4111"/>
            </w:tblGrid>
            <w:tr w:rsidR="000C5621" w:rsidRPr="00AF127A" w14:paraId="5A776595" w14:textId="77777777" w:rsidTr="004A3443">
              <w:tc>
                <w:tcPr>
                  <w:tcW w:w="3005" w:type="dxa"/>
                </w:tcPr>
                <w:p w14:paraId="48C34E54" w14:textId="77777777" w:rsidR="000C5621" w:rsidRPr="00AF127A" w:rsidRDefault="000C5621" w:rsidP="004A3443">
                  <w:pPr>
                    <w:rPr>
                      <w:rFonts w:cs="Arial"/>
                      <w:b/>
                      <w:bCs/>
                      <w:sz w:val="20"/>
                    </w:rPr>
                  </w:pPr>
                  <w:r w:rsidRPr="00AF127A">
                    <w:rPr>
                      <w:rFonts w:cs="Arial"/>
                      <w:b/>
                      <w:bCs/>
                      <w:sz w:val="20"/>
                    </w:rPr>
                    <w:t>Scenario</w:t>
                  </w:r>
                </w:p>
              </w:tc>
              <w:tc>
                <w:tcPr>
                  <w:tcW w:w="2827" w:type="dxa"/>
                </w:tcPr>
                <w:p w14:paraId="07A0B9D8" w14:textId="77777777" w:rsidR="000C5621" w:rsidRPr="00AF127A" w:rsidRDefault="000C5621" w:rsidP="004A3443">
                  <w:pPr>
                    <w:rPr>
                      <w:rFonts w:cs="Arial"/>
                      <w:b/>
                      <w:bCs/>
                      <w:sz w:val="20"/>
                    </w:rPr>
                  </w:pPr>
                  <w:r w:rsidRPr="00AF127A">
                    <w:rPr>
                      <w:rFonts w:cs="Arial"/>
                      <w:b/>
                      <w:bCs/>
                      <w:sz w:val="20"/>
                    </w:rPr>
                    <w:t>Considerations</w:t>
                  </w:r>
                </w:p>
              </w:tc>
              <w:tc>
                <w:tcPr>
                  <w:tcW w:w="4111" w:type="dxa"/>
                </w:tcPr>
                <w:p w14:paraId="3C065854" w14:textId="77777777" w:rsidR="000C5621" w:rsidRPr="00AF127A" w:rsidRDefault="000C5621" w:rsidP="004A3443">
                  <w:pPr>
                    <w:rPr>
                      <w:rFonts w:cs="Arial"/>
                      <w:b/>
                      <w:bCs/>
                      <w:sz w:val="20"/>
                    </w:rPr>
                  </w:pPr>
                  <w:r w:rsidRPr="00AF127A">
                    <w:rPr>
                      <w:rFonts w:cs="Arial"/>
                      <w:b/>
                      <w:bCs/>
                      <w:sz w:val="20"/>
                    </w:rPr>
                    <w:t>Suggestion</w:t>
                  </w:r>
                </w:p>
              </w:tc>
            </w:tr>
            <w:tr w:rsidR="000C5621" w:rsidRPr="00AF127A" w14:paraId="526DFD56" w14:textId="77777777" w:rsidTr="004A3443">
              <w:tc>
                <w:tcPr>
                  <w:tcW w:w="3005" w:type="dxa"/>
                </w:tcPr>
                <w:p w14:paraId="3180E184" w14:textId="77777777" w:rsidR="000C5621" w:rsidRPr="00AF127A" w:rsidRDefault="000C5621" w:rsidP="004A3443">
                  <w:pPr>
                    <w:rPr>
                      <w:rFonts w:cs="Arial"/>
                      <w:sz w:val="20"/>
                    </w:rPr>
                  </w:pPr>
                  <w:r w:rsidRPr="00AF127A">
                    <w:rPr>
                      <w:rFonts w:cs="Arial"/>
                      <w:sz w:val="20"/>
                    </w:rPr>
                    <w:t>Mild intoxication</w:t>
                  </w:r>
                </w:p>
              </w:tc>
              <w:tc>
                <w:tcPr>
                  <w:tcW w:w="2827" w:type="dxa"/>
                </w:tcPr>
                <w:p w14:paraId="38585D5F" w14:textId="77777777" w:rsidR="000C5621" w:rsidRPr="00AF127A" w:rsidRDefault="000C5621" w:rsidP="004A3443">
                  <w:pPr>
                    <w:rPr>
                      <w:rFonts w:cs="Arial"/>
                      <w:sz w:val="20"/>
                    </w:rPr>
                  </w:pPr>
                  <w:r w:rsidRPr="00AF127A">
                    <w:rPr>
                      <w:rFonts w:cs="Arial"/>
                      <w:sz w:val="20"/>
                    </w:rPr>
                    <w:t>Patient may be safe to dose, given some time</w:t>
                  </w:r>
                </w:p>
              </w:tc>
              <w:tc>
                <w:tcPr>
                  <w:tcW w:w="4111" w:type="dxa"/>
                </w:tcPr>
                <w:p w14:paraId="3102C5E0" w14:textId="77777777" w:rsidR="000C5621" w:rsidRPr="00AF127A" w:rsidRDefault="000C5621" w:rsidP="004A3443">
                  <w:pPr>
                    <w:rPr>
                      <w:rFonts w:cs="Arial"/>
                      <w:sz w:val="20"/>
                    </w:rPr>
                  </w:pPr>
                  <w:r w:rsidRPr="00AF127A">
                    <w:rPr>
                      <w:rFonts w:cs="Arial"/>
                      <w:sz w:val="20"/>
                    </w:rPr>
                    <w:t>Ask the patient to return later in the day</w:t>
                  </w:r>
                </w:p>
              </w:tc>
            </w:tr>
            <w:tr w:rsidR="000C5621" w:rsidRPr="00AF127A" w14:paraId="5A65F735" w14:textId="77777777" w:rsidTr="004A3443">
              <w:tc>
                <w:tcPr>
                  <w:tcW w:w="3005" w:type="dxa"/>
                </w:tcPr>
                <w:p w14:paraId="609CB9B6" w14:textId="77777777" w:rsidR="000C5621" w:rsidRPr="00AF127A" w:rsidRDefault="000C5621" w:rsidP="004A3443">
                  <w:pPr>
                    <w:rPr>
                      <w:rFonts w:cs="Arial"/>
                      <w:sz w:val="20"/>
                    </w:rPr>
                  </w:pPr>
                  <w:r w:rsidRPr="00AF127A">
                    <w:rPr>
                      <w:rFonts w:cs="Arial"/>
                      <w:sz w:val="20"/>
                    </w:rPr>
                    <w:t>Moderate intoxication</w:t>
                  </w:r>
                </w:p>
              </w:tc>
              <w:tc>
                <w:tcPr>
                  <w:tcW w:w="2827" w:type="dxa"/>
                </w:tcPr>
                <w:p w14:paraId="778D636A" w14:textId="77777777" w:rsidR="000C5621" w:rsidRPr="00AF127A" w:rsidRDefault="000C5621" w:rsidP="004A3443">
                  <w:pPr>
                    <w:rPr>
                      <w:rFonts w:cs="Arial"/>
                      <w:sz w:val="20"/>
                    </w:rPr>
                  </w:pPr>
                  <w:r w:rsidRPr="00AF127A">
                    <w:rPr>
                      <w:rFonts w:cs="Arial"/>
                      <w:sz w:val="20"/>
                    </w:rPr>
                    <w:t>May be difficult to ascertain when it is safe to dose next</w:t>
                  </w:r>
                </w:p>
              </w:tc>
              <w:tc>
                <w:tcPr>
                  <w:tcW w:w="4111" w:type="dxa"/>
                </w:tcPr>
                <w:p w14:paraId="062BD3B8" w14:textId="77777777" w:rsidR="000C5621" w:rsidRPr="00AF127A" w:rsidRDefault="000C5621" w:rsidP="004A3443">
                  <w:pPr>
                    <w:rPr>
                      <w:rFonts w:cs="Arial"/>
                      <w:sz w:val="20"/>
                    </w:rPr>
                  </w:pPr>
                  <w:r w:rsidRPr="00AF127A">
                    <w:rPr>
                      <w:rFonts w:cs="Arial"/>
                      <w:sz w:val="20"/>
                    </w:rPr>
                    <w:t>Ask the patient to consult their prescriber</w:t>
                  </w:r>
                </w:p>
              </w:tc>
            </w:tr>
            <w:tr w:rsidR="000C5621" w:rsidRPr="00AF127A" w14:paraId="5E361959" w14:textId="77777777" w:rsidTr="004A3443">
              <w:tc>
                <w:tcPr>
                  <w:tcW w:w="3005" w:type="dxa"/>
                </w:tcPr>
                <w:p w14:paraId="14C9A365" w14:textId="77777777" w:rsidR="000C5621" w:rsidRPr="00AF127A" w:rsidRDefault="000C5621" w:rsidP="004A3443">
                  <w:pPr>
                    <w:rPr>
                      <w:rFonts w:cs="Arial"/>
                      <w:sz w:val="20"/>
                    </w:rPr>
                  </w:pPr>
                  <w:r w:rsidRPr="00AF127A">
                    <w:rPr>
                      <w:rFonts w:cs="Arial"/>
                      <w:sz w:val="20"/>
                    </w:rPr>
                    <w:t>Severe intoxication</w:t>
                  </w:r>
                </w:p>
              </w:tc>
              <w:tc>
                <w:tcPr>
                  <w:tcW w:w="2827" w:type="dxa"/>
                </w:tcPr>
                <w:p w14:paraId="168E05D4" w14:textId="77777777" w:rsidR="000C5621" w:rsidRPr="00AF127A" w:rsidRDefault="000C5621" w:rsidP="004A3443">
                  <w:pPr>
                    <w:rPr>
                      <w:rFonts w:cs="Arial"/>
                      <w:sz w:val="20"/>
                    </w:rPr>
                  </w:pPr>
                  <w:r w:rsidRPr="00AF127A">
                    <w:rPr>
                      <w:rFonts w:cs="Arial"/>
                      <w:sz w:val="20"/>
                    </w:rPr>
                    <w:t>Risk of overdose?</w:t>
                  </w:r>
                </w:p>
              </w:tc>
              <w:tc>
                <w:tcPr>
                  <w:tcW w:w="4111" w:type="dxa"/>
                </w:tcPr>
                <w:p w14:paraId="618248F7" w14:textId="77777777" w:rsidR="000C5621" w:rsidRPr="00AF127A" w:rsidRDefault="000C5621" w:rsidP="004A3443">
                  <w:pPr>
                    <w:rPr>
                      <w:rFonts w:cs="Arial"/>
                      <w:sz w:val="20"/>
                    </w:rPr>
                  </w:pPr>
                  <w:r w:rsidRPr="00AF127A">
                    <w:rPr>
                      <w:rFonts w:cs="Arial"/>
                      <w:sz w:val="20"/>
                    </w:rPr>
                    <w:t>Instruct the patient to attend a hospital ED</w:t>
                  </w:r>
                </w:p>
              </w:tc>
            </w:tr>
            <w:tr w:rsidR="000C5621" w:rsidRPr="00AF127A" w14:paraId="47CAB24F" w14:textId="77777777" w:rsidTr="004A3443">
              <w:tc>
                <w:tcPr>
                  <w:tcW w:w="3005" w:type="dxa"/>
                </w:tcPr>
                <w:p w14:paraId="5C776191" w14:textId="77777777" w:rsidR="000C5621" w:rsidRPr="00AF127A" w:rsidRDefault="000C5621" w:rsidP="004A3443">
                  <w:pPr>
                    <w:rPr>
                      <w:rFonts w:cs="Arial"/>
                      <w:sz w:val="20"/>
                    </w:rPr>
                  </w:pPr>
                  <w:r w:rsidRPr="00AF127A">
                    <w:rPr>
                      <w:rFonts w:cs="Arial"/>
                      <w:sz w:val="20"/>
                    </w:rPr>
                    <w:t>Patient refuses to leave without a dose</w:t>
                  </w:r>
                </w:p>
              </w:tc>
              <w:tc>
                <w:tcPr>
                  <w:tcW w:w="2827" w:type="dxa"/>
                </w:tcPr>
                <w:p w14:paraId="6AE6E9A4" w14:textId="77777777" w:rsidR="000C5621" w:rsidRPr="00AF127A" w:rsidRDefault="000C5621" w:rsidP="004A3443">
                  <w:pPr>
                    <w:rPr>
                      <w:rFonts w:cs="Arial"/>
                      <w:sz w:val="20"/>
                    </w:rPr>
                  </w:pPr>
                  <w:r w:rsidRPr="00AF127A">
                    <w:rPr>
                      <w:rFonts w:cs="Arial"/>
                      <w:sz w:val="20"/>
                    </w:rPr>
                    <w:t>Safety of staff and customers</w:t>
                  </w:r>
                </w:p>
              </w:tc>
              <w:tc>
                <w:tcPr>
                  <w:tcW w:w="4111" w:type="dxa"/>
                </w:tcPr>
                <w:p w14:paraId="379E1CFC" w14:textId="77777777" w:rsidR="000C5621" w:rsidRPr="00AF127A" w:rsidRDefault="000C5621" w:rsidP="004A3443">
                  <w:pPr>
                    <w:rPr>
                      <w:rFonts w:cs="Arial"/>
                      <w:sz w:val="20"/>
                    </w:rPr>
                  </w:pPr>
                  <w:r w:rsidRPr="00AF127A">
                    <w:rPr>
                      <w:rFonts w:cs="Arial"/>
                      <w:sz w:val="20"/>
                    </w:rPr>
                    <w:t>May be appropriate to administer a reduced or placebo dose</w:t>
                  </w:r>
                </w:p>
              </w:tc>
            </w:tr>
            <w:tr w:rsidR="000C5621" w:rsidRPr="00AF127A" w14:paraId="00466FE0" w14:textId="77777777" w:rsidTr="004A3443">
              <w:tc>
                <w:tcPr>
                  <w:tcW w:w="3005" w:type="dxa"/>
                  <w:tcBorders>
                    <w:bottom w:val="single" w:sz="4" w:space="0" w:color="auto"/>
                  </w:tcBorders>
                </w:tcPr>
                <w:p w14:paraId="46275478" w14:textId="77777777" w:rsidR="000C5621" w:rsidRPr="00AF127A" w:rsidRDefault="000C5621" w:rsidP="00FD7086">
                  <w:pPr>
                    <w:spacing w:after="0"/>
                    <w:rPr>
                      <w:rFonts w:cs="Arial"/>
                      <w:sz w:val="20"/>
                    </w:rPr>
                  </w:pPr>
                  <w:r w:rsidRPr="00AF127A">
                    <w:rPr>
                      <w:rFonts w:cs="Arial"/>
                      <w:sz w:val="20"/>
                    </w:rPr>
                    <w:t>Prescriber is unavailable</w:t>
                  </w:r>
                </w:p>
              </w:tc>
              <w:tc>
                <w:tcPr>
                  <w:tcW w:w="2827" w:type="dxa"/>
                  <w:tcBorders>
                    <w:bottom w:val="single" w:sz="4" w:space="0" w:color="auto"/>
                  </w:tcBorders>
                </w:tcPr>
                <w:p w14:paraId="6DE05C47" w14:textId="77777777" w:rsidR="000C5621" w:rsidRPr="00AF127A" w:rsidRDefault="000C5621" w:rsidP="00FD7086">
                  <w:pPr>
                    <w:spacing w:after="0"/>
                    <w:rPr>
                      <w:rFonts w:cs="Arial"/>
                      <w:sz w:val="20"/>
                    </w:rPr>
                  </w:pPr>
                  <w:r w:rsidRPr="00AF127A">
                    <w:rPr>
                      <w:rFonts w:cs="Arial"/>
                      <w:sz w:val="20"/>
                    </w:rPr>
                    <w:t>Clinical advice still necessary</w:t>
                  </w:r>
                </w:p>
              </w:tc>
              <w:tc>
                <w:tcPr>
                  <w:tcW w:w="4111" w:type="dxa"/>
                  <w:tcBorders>
                    <w:bottom w:val="single" w:sz="4" w:space="0" w:color="auto"/>
                  </w:tcBorders>
                </w:tcPr>
                <w:p w14:paraId="53410415" w14:textId="77777777" w:rsidR="000C5621" w:rsidRPr="00AF127A" w:rsidRDefault="000C5621" w:rsidP="00FD7086">
                  <w:pPr>
                    <w:spacing w:after="0"/>
                    <w:rPr>
                      <w:rFonts w:cs="Arial"/>
                      <w:sz w:val="20"/>
                    </w:rPr>
                  </w:pPr>
                  <w:r w:rsidRPr="00AF127A">
                    <w:rPr>
                      <w:rFonts w:cs="Arial"/>
                      <w:sz w:val="20"/>
                    </w:rPr>
                    <w:t>Contact DACAS</w:t>
                  </w:r>
                </w:p>
              </w:tc>
            </w:tr>
            <w:tr w:rsidR="000C5621" w:rsidRPr="00AF127A" w14:paraId="61B8F357" w14:textId="77777777" w:rsidTr="004A3443">
              <w:tc>
                <w:tcPr>
                  <w:tcW w:w="9943" w:type="dxa"/>
                  <w:gridSpan w:val="3"/>
                  <w:tcBorders>
                    <w:top w:val="single" w:sz="4" w:space="0" w:color="auto"/>
                    <w:left w:val="nil"/>
                    <w:bottom w:val="nil"/>
                    <w:right w:val="nil"/>
                  </w:tcBorders>
                </w:tcPr>
                <w:p w14:paraId="293E9A7A" w14:textId="68D7E795" w:rsidR="00FD7086" w:rsidRPr="00AF127A" w:rsidRDefault="00FD7086" w:rsidP="00FD7086">
                  <w:pPr>
                    <w:spacing w:after="0"/>
                    <w:rPr>
                      <w:rFonts w:cs="Arial"/>
                      <w:sz w:val="20"/>
                    </w:rPr>
                  </w:pPr>
                </w:p>
              </w:tc>
            </w:tr>
          </w:tbl>
          <w:p w14:paraId="0F5C419A" w14:textId="77777777" w:rsidR="000C5621" w:rsidRPr="00AF127A" w:rsidRDefault="000C5621" w:rsidP="004A3443">
            <w:pPr>
              <w:pStyle w:val="DHHSbody"/>
              <w:rPr>
                <w:rFonts w:cs="Arial"/>
              </w:rPr>
            </w:pPr>
          </w:p>
        </w:tc>
      </w:tr>
      <w:tr w:rsidR="000C5621" w:rsidRPr="00B30BA3" w14:paraId="73C89A94" w14:textId="77777777" w:rsidTr="004A3443">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93DA98" w14:textId="77777777" w:rsidR="000C5621" w:rsidRPr="00B30BA3" w:rsidRDefault="000C5621" w:rsidP="004A3443">
            <w:pPr>
              <w:pStyle w:val="DHHSbody"/>
              <w:rPr>
                <w:rFonts w:cs="Arial"/>
              </w:rPr>
            </w:pPr>
            <w:r w:rsidRPr="00B30BA3">
              <w:rPr>
                <w:rFonts w:cs="Arial"/>
              </w:rPr>
              <w:t xml:space="preserve">Have all pharmacists been informed that </w:t>
            </w:r>
            <w:r>
              <w:rPr>
                <w:rFonts w:cs="Arial"/>
              </w:rPr>
              <w:t>pharmacotherapy</w:t>
            </w:r>
            <w:r w:rsidRPr="00B30BA3">
              <w:rPr>
                <w:rFonts w:cs="Arial"/>
              </w:rPr>
              <w:t xml:space="preserve"> should </w:t>
            </w:r>
            <w:r w:rsidRPr="00B30BA3">
              <w:rPr>
                <w:rFonts w:cs="Arial"/>
                <w:b/>
              </w:rPr>
              <w:t>not</w:t>
            </w:r>
            <w:r w:rsidRPr="00B30BA3">
              <w:rPr>
                <w:rFonts w:cs="Arial"/>
              </w:rPr>
              <w:t xml:space="preserve"> be administered if a patient appears to be intoxicated? </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335EE7B" w14:textId="77777777" w:rsidR="000C5621" w:rsidRPr="00B30BA3" w:rsidRDefault="00CE59DA" w:rsidP="004A3443">
            <w:pPr>
              <w:pStyle w:val="DHHSbody"/>
              <w:rPr>
                <w:rFonts w:cs="Arial"/>
                <w:b/>
              </w:rPr>
            </w:pPr>
            <w:sdt>
              <w:sdtPr>
                <w:rPr>
                  <w:rFonts w:cs="Arial"/>
                  <w:b/>
                </w:rPr>
                <w:id w:val="2116949313"/>
                <w14:checkbox>
                  <w14:checked w14:val="0"/>
                  <w14:checkedState w14:val="2612" w14:font="MS Gothic"/>
                  <w14:uncheckedState w14:val="2610" w14:font="MS Gothic"/>
                </w14:checkbox>
              </w:sdtPr>
              <w:sdtEndPr/>
              <w:sdtContent>
                <w:r w:rsidR="000C5621" w:rsidRPr="00B30BA3">
                  <w:rPr>
                    <w:rFonts w:ascii="MS Gothic" w:eastAsia="MS Gothic" w:hAnsi="MS Gothic" w:cs="Arial"/>
                    <w:b/>
                  </w:rPr>
                  <w:t>☐</w:t>
                </w:r>
              </w:sdtContent>
            </w:sdt>
            <w:r w:rsidR="000C5621" w:rsidRPr="00B30BA3">
              <w:rPr>
                <w:rFonts w:cs="Arial"/>
                <w:b/>
              </w:rPr>
              <w:t xml:space="preserve"> Yes</w:t>
            </w:r>
          </w:p>
          <w:p w14:paraId="770AC8DC" w14:textId="77777777" w:rsidR="000C5621" w:rsidRPr="00B30BA3" w:rsidRDefault="00CE59DA" w:rsidP="004A3443">
            <w:pPr>
              <w:pStyle w:val="DHHSbody"/>
              <w:rPr>
                <w:rFonts w:cs="Arial"/>
              </w:rPr>
            </w:pPr>
            <w:sdt>
              <w:sdtPr>
                <w:rPr>
                  <w:rFonts w:cs="Arial"/>
                  <w:b/>
                  <w:bCs/>
                </w:rPr>
                <w:id w:val="-1460250628"/>
                <w14:checkbox>
                  <w14:checked w14:val="0"/>
                  <w14:checkedState w14:val="2612" w14:font="MS Gothic"/>
                  <w14:uncheckedState w14:val="2610" w14:font="MS Gothic"/>
                </w14:checkbox>
              </w:sdtPr>
              <w:sdtEndPr/>
              <w:sdtContent>
                <w:r w:rsidR="000C5621" w:rsidRPr="00B30BA3">
                  <w:rPr>
                    <w:rFonts w:ascii="MS Gothic" w:eastAsia="MS Gothic" w:hAnsi="MS Gothic" w:cs="Arial"/>
                    <w:b/>
                    <w:bCs/>
                  </w:rPr>
                  <w:t>☐</w:t>
                </w:r>
              </w:sdtContent>
            </w:sdt>
            <w:r w:rsidR="000C5621" w:rsidRPr="00B30BA3">
              <w:rPr>
                <w:rFonts w:cs="Arial"/>
                <w:b/>
                <w:bCs/>
              </w:rPr>
              <w:t xml:space="preserve"> No</w:t>
            </w:r>
            <w:r w:rsidR="000C5621" w:rsidRPr="00B30BA3">
              <w:rPr>
                <w:rFonts w:cs="Arial"/>
              </w:rPr>
              <w:t xml:space="preserve"> </w:t>
            </w:r>
          </w:p>
        </w:tc>
      </w:tr>
      <w:tr w:rsidR="00BA059E" w:rsidRPr="00B30BA3" w14:paraId="7243636A" w14:textId="77777777" w:rsidTr="00131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000" w:type="pct"/>
            <w:gridSpan w:val="2"/>
            <w:shd w:val="clear" w:color="auto" w:fill="auto"/>
          </w:tcPr>
          <w:p w14:paraId="7EE9CA4A" w14:textId="6A0286DF" w:rsidR="0082350F" w:rsidRPr="0082350F" w:rsidRDefault="0082350F" w:rsidP="003F787E">
            <w:pPr>
              <w:pStyle w:val="DHHSbody"/>
              <w:rPr>
                <w:rFonts w:cs="Arial"/>
                <w:b/>
                <w:bCs/>
              </w:rPr>
            </w:pPr>
            <w:r w:rsidRPr="0082350F">
              <w:rPr>
                <w:b/>
                <w:bCs/>
              </w:rPr>
              <w:t>Irregular dosing</w:t>
            </w:r>
          </w:p>
          <w:p w14:paraId="23D25FB0" w14:textId="77777777" w:rsidR="00BA059E" w:rsidRDefault="001B6303" w:rsidP="001B6303">
            <w:pPr>
              <w:pStyle w:val="DHHSbody"/>
              <w:rPr>
                <w:rFonts w:cs="Arial"/>
                <w:bCs/>
              </w:rPr>
            </w:pPr>
            <w:r>
              <w:rPr>
                <w:rFonts w:cs="Arial"/>
                <w:bCs/>
              </w:rPr>
              <w:t xml:space="preserve">A </w:t>
            </w:r>
            <w:r w:rsidR="00BA059E" w:rsidRPr="00B30BA3">
              <w:rPr>
                <w:rFonts w:cs="Arial"/>
                <w:bCs/>
              </w:rPr>
              <w:t xml:space="preserve">pattern of missed doses </w:t>
            </w:r>
            <w:r>
              <w:rPr>
                <w:rFonts w:cs="Arial"/>
                <w:bCs/>
              </w:rPr>
              <w:t xml:space="preserve">or irregular attendance </w:t>
            </w:r>
            <w:r w:rsidR="00BA059E" w:rsidRPr="00B30BA3">
              <w:rPr>
                <w:rFonts w:cs="Arial"/>
                <w:bCs/>
              </w:rPr>
              <w:t>may indicate underlying issues for a patient</w:t>
            </w:r>
            <w:r w:rsidR="00A14D11">
              <w:rPr>
                <w:rFonts w:cs="Arial"/>
                <w:bCs/>
              </w:rPr>
              <w:t xml:space="preserve"> which need to be addressed</w:t>
            </w:r>
            <w:r w:rsidR="00705454">
              <w:rPr>
                <w:rFonts w:cs="Arial"/>
                <w:bCs/>
              </w:rPr>
              <w:t>, especially if a patient has previously been stable</w:t>
            </w:r>
          </w:p>
          <w:p w14:paraId="5F9BACDC" w14:textId="464A7869" w:rsidR="00705454" w:rsidRPr="00B30BA3" w:rsidRDefault="007D6354" w:rsidP="001B6303">
            <w:pPr>
              <w:pStyle w:val="DHHSbody"/>
              <w:rPr>
                <w:rFonts w:cs="Arial"/>
                <w:bCs/>
              </w:rPr>
            </w:pPr>
            <w:r>
              <w:rPr>
                <w:rFonts w:cs="Arial"/>
                <w:bCs/>
              </w:rPr>
              <w:t>If a patient has also been issued take-away doses, if can become difficult to assess how many consecutive doses have been missed</w:t>
            </w:r>
          </w:p>
        </w:tc>
      </w:tr>
      <w:tr w:rsidR="00BA059E" w:rsidRPr="00B30BA3" w14:paraId="4949CB6D" w14:textId="77777777" w:rsidTr="00131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shd w:val="clear" w:color="auto" w:fill="DBE5F1" w:themeFill="accent1" w:themeFillTint="33"/>
          </w:tcPr>
          <w:p w14:paraId="1E49BE24" w14:textId="77777777" w:rsidR="00BA059E" w:rsidRPr="00B30BA3" w:rsidRDefault="00BA059E" w:rsidP="003F787E">
            <w:pPr>
              <w:pStyle w:val="DHHSbody"/>
              <w:rPr>
                <w:rFonts w:cs="Arial"/>
              </w:rPr>
            </w:pPr>
            <w:r w:rsidRPr="00B30BA3">
              <w:rPr>
                <w:rFonts w:cs="Arial"/>
              </w:rPr>
              <w:t>Are all pharmacists aware of the need to inform the prescriber when a patient’s attendance becomes irregular – regardless of whether take-away doses have been authorised?</w:t>
            </w:r>
          </w:p>
        </w:tc>
        <w:tc>
          <w:tcPr>
            <w:tcW w:w="851" w:type="pct"/>
            <w:shd w:val="clear" w:color="auto" w:fill="auto"/>
          </w:tcPr>
          <w:p w14:paraId="0E101C76" w14:textId="158BEA9F" w:rsidR="00BA059E" w:rsidRPr="00B30BA3" w:rsidRDefault="00CE59DA" w:rsidP="003F787E">
            <w:pPr>
              <w:pStyle w:val="DHHSbody"/>
              <w:rPr>
                <w:rFonts w:cs="Arial"/>
                <w:b/>
              </w:rPr>
            </w:pPr>
            <w:sdt>
              <w:sdtPr>
                <w:rPr>
                  <w:rFonts w:cs="Arial"/>
                  <w:b/>
                </w:rPr>
                <w:id w:val="839119517"/>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1B2082E2" w14:textId="1A5438DF" w:rsidR="00BA059E" w:rsidRPr="00B30BA3" w:rsidRDefault="00CE59DA" w:rsidP="003F787E">
            <w:pPr>
              <w:pStyle w:val="DHHSbody"/>
              <w:rPr>
                <w:rFonts w:cs="Arial"/>
              </w:rPr>
            </w:pPr>
            <w:sdt>
              <w:sdtPr>
                <w:rPr>
                  <w:rFonts w:cs="Arial"/>
                  <w:b/>
                  <w:bCs/>
                </w:rPr>
                <w:id w:val="-874152809"/>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r w:rsidR="00BA059E" w:rsidRPr="00B30BA3">
              <w:rPr>
                <w:rFonts w:cs="Arial"/>
              </w:rPr>
              <w:t xml:space="preserve"> </w:t>
            </w:r>
          </w:p>
        </w:tc>
      </w:tr>
      <w:tr w:rsidR="00BA059E" w:rsidRPr="00B30BA3" w14:paraId="46F0D44C" w14:textId="77777777" w:rsidTr="00823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shd w:val="clear" w:color="auto" w:fill="auto"/>
          </w:tcPr>
          <w:p w14:paraId="6675C8AC" w14:textId="77777777" w:rsidR="005A7969" w:rsidRDefault="005A7969" w:rsidP="003F787E">
            <w:pPr>
              <w:pStyle w:val="DHHSbody"/>
              <w:rPr>
                <w:rFonts w:cs="Arial"/>
                <w:b/>
                <w:bCs/>
              </w:rPr>
            </w:pPr>
            <w:r w:rsidRPr="005A7969">
              <w:rPr>
                <w:rFonts w:cs="Arial"/>
                <w:b/>
                <w:bCs/>
              </w:rPr>
              <w:t>Missing four or more consecutive doses</w:t>
            </w:r>
          </w:p>
          <w:p w14:paraId="2F0DFEB3" w14:textId="4FA06E3D" w:rsidR="00BA059E" w:rsidRPr="00B30BA3" w:rsidRDefault="00D66C06" w:rsidP="003F787E">
            <w:pPr>
              <w:pStyle w:val="DHHSbody"/>
              <w:rPr>
                <w:rFonts w:cs="Arial"/>
              </w:rPr>
            </w:pPr>
            <w:r>
              <w:rPr>
                <w:rFonts w:cs="Arial"/>
              </w:rPr>
              <w:t>Missing four or more doses of pharmacotherapy</w:t>
            </w:r>
            <w:r w:rsidR="0091271A">
              <w:rPr>
                <w:rFonts w:cs="Arial"/>
              </w:rPr>
              <w:t xml:space="preserve"> can reduce a patient’s tolerance to the</w:t>
            </w:r>
            <w:r w:rsidR="001B46A8">
              <w:rPr>
                <w:rFonts w:cs="Arial"/>
              </w:rPr>
              <w:t>ir</w:t>
            </w:r>
            <w:r w:rsidR="0091271A">
              <w:rPr>
                <w:rFonts w:cs="Arial"/>
              </w:rPr>
              <w:t xml:space="preserve"> medication and </w:t>
            </w:r>
            <w:r w:rsidR="00051BA8">
              <w:rPr>
                <w:rFonts w:cs="Arial"/>
              </w:rPr>
              <w:t>p</w:t>
            </w:r>
            <w:r w:rsidR="001B46A8">
              <w:rPr>
                <w:rFonts w:cs="Arial"/>
              </w:rPr>
              <w:t>uts them at</w:t>
            </w:r>
            <w:r w:rsidR="00051BA8">
              <w:rPr>
                <w:rFonts w:cs="Arial"/>
              </w:rPr>
              <w:t xml:space="preserve"> a risk of overdose if they take their previously-prescribed dosage.</w:t>
            </w:r>
            <w:r w:rsidR="003673AE">
              <w:rPr>
                <w:rFonts w:cs="Arial"/>
              </w:rPr>
              <w:t xml:space="preserve"> They may have also been using other drugs. </w:t>
            </w:r>
            <w:r w:rsidR="00BA059E" w:rsidRPr="00B30BA3">
              <w:rPr>
                <w:rFonts w:cs="Arial"/>
                <w:b/>
              </w:rPr>
              <w:t>In such cases, the prescriber should consider reducing the recommencement dose.</w:t>
            </w:r>
          </w:p>
        </w:tc>
      </w:tr>
      <w:tr w:rsidR="00BA059E" w:rsidRPr="00B30BA3" w14:paraId="072AA965" w14:textId="77777777" w:rsidTr="00823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shd w:val="clear" w:color="auto" w:fill="DBE5F1" w:themeFill="accent1" w:themeFillTint="33"/>
          </w:tcPr>
          <w:p w14:paraId="200D3516" w14:textId="6190DB74" w:rsidR="00BA059E" w:rsidRPr="00B30BA3" w:rsidRDefault="00271FCC" w:rsidP="003F787E">
            <w:pPr>
              <w:pStyle w:val="DHHSbody"/>
              <w:rPr>
                <w:rFonts w:cs="Arial"/>
                <w:bCs/>
              </w:rPr>
            </w:pPr>
            <w:r>
              <w:rPr>
                <w:rFonts w:cs="Arial"/>
                <w:bCs/>
              </w:rPr>
              <w:lastRenderedPageBreak/>
              <w:t>Are</w:t>
            </w:r>
            <w:r w:rsidR="00BA059E" w:rsidRPr="00B30BA3">
              <w:rPr>
                <w:rFonts w:cs="Arial"/>
                <w:bCs/>
              </w:rPr>
              <w:t xml:space="preserve"> all pharmacists </w:t>
            </w:r>
            <w:r>
              <w:rPr>
                <w:rFonts w:cs="Arial"/>
                <w:bCs/>
              </w:rPr>
              <w:t xml:space="preserve">aware that </w:t>
            </w:r>
            <w:r w:rsidR="00BA059E" w:rsidRPr="00B30BA3">
              <w:rPr>
                <w:rFonts w:cs="Arial"/>
                <w:bCs/>
              </w:rPr>
              <w:t xml:space="preserve">neither </w:t>
            </w:r>
            <w:r w:rsidR="00BA059E" w:rsidRPr="00B30BA3">
              <w:rPr>
                <w:rFonts w:cs="Arial"/>
                <w:b/>
                <w:bCs/>
              </w:rPr>
              <w:t>methadone</w:t>
            </w:r>
            <w:r w:rsidR="00BA059E" w:rsidRPr="00B30BA3">
              <w:rPr>
                <w:rFonts w:cs="Arial"/>
                <w:bCs/>
              </w:rPr>
              <w:t xml:space="preserve"> nor </w:t>
            </w:r>
            <w:r w:rsidR="00BA059E" w:rsidRPr="00B30BA3">
              <w:rPr>
                <w:rFonts w:cs="Arial"/>
                <w:b/>
                <w:bCs/>
              </w:rPr>
              <w:t>buprenorphine</w:t>
            </w:r>
            <w:r w:rsidR="00BA059E" w:rsidRPr="00B30BA3">
              <w:rPr>
                <w:rFonts w:cs="Arial"/>
                <w:bCs/>
              </w:rPr>
              <w:t xml:space="preserve"> </w:t>
            </w:r>
            <w:r w:rsidR="0065473E">
              <w:rPr>
                <w:rFonts w:cs="Arial"/>
                <w:bCs/>
              </w:rPr>
              <w:t>is</w:t>
            </w:r>
            <w:r w:rsidR="00BA059E" w:rsidRPr="00B30BA3">
              <w:rPr>
                <w:rFonts w:cs="Arial"/>
                <w:bCs/>
              </w:rPr>
              <w:t xml:space="preserve"> to be administered, without the prescriber’s authorisation, if a patient </w:t>
            </w:r>
            <w:r w:rsidR="00360639">
              <w:rPr>
                <w:rFonts w:cs="Arial"/>
                <w:bCs/>
              </w:rPr>
              <w:t xml:space="preserve">has </w:t>
            </w:r>
            <w:r w:rsidR="00BA059E" w:rsidRPr="00B30BA3">
              <w:rPr>
                <w:rFonts w:cs="Arial"/>
                <w:bCs/>
              </w:rPr>
              <w:t xml:space="preserve">missed doses on </w:t>
            </w:r>
            <w:r w:rsidR="00BA059E" w:rsidRPr="00B30BA3">
              <w:rPr>
                <w:rFonts w:cs="Arial"/>
                <w:b/>
                <w:bCs/>
              </w:rPr>
              <w:t>four or more</w:t>
            </w:r>
            <w:r w:rsidR="00BA059E" w:rsidRPr="00B30BA3">
              <w:rPr>
                <w:rFonts w:cs="Arial"/>
                <w:bCs/>
              </w:rPr>
              <w:t xml:space="preserve"> consecutive days?</w:t>
            </w:r>
          </w:p>
        </w:tc>
        <w:tc>
          <w:tcPr>
            <w:tcW w:w="851" w:type="pct"/>
            <w:shd w:val="clear" w:color="auto" w:fill="auto"/>
          </w:tcPr>
          <w:p w14:paraId="35BA5FCA" w14:textId="38BCB07B" w:rsidR="00BA059E" w:rsidRPr="00B30BA3" w:rsidRDefault="00CE59DA" w:rsidP="003F787E">
            <w:pPr>
              <w:pStyle w:val="DHHSbody"/>
              <w:rPr>
                <w:rFonts w:cs="Arial"/>
                <w:b/>
              </w:rPr>
            </w:pPr>
            <w:sdt>
              <w:sdtPr>
                <w:rPr>
                  <w:rFonts w:cs="Arial"/>
                  <w:b/>
                </w:rPr>
                <w:id w:val="337513341"/>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49F99735" w14:textId="5E88BF2B" w:rsidR="00BA059E" w:rsidRPr="00B30BA3" w:rsidRDefault="00CE59DA" w:rsidP="003F787E">
            <w:pPr>
              <w:pStyle w:val="DHHSbody"/>
              <w:rPr>
                <w:rFonts w:cs="Arial"/>
                <w:b/>
              </w:rPr>
            </w:pPr>
            <w:sdt>
              <w:sdtPr>
                <w:rPr>
                  <w:rFonts w:cs="Arial"/>
                  <w:b/>
                  <w:bCs/>
                </w:rPr>
                <w:id w:val="-49311880"/>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r w:rsidR="00BA059E" w:rsidRPr="00B30BA3">
              <w:rPr>
                <w:rFonts w:cs="Arial"/>
              </w:rPr>
              <w:t xml:space="preserve"> </w:t>
            </w:r>
          </w:p>
        </w:tc>
      </w:tr>
      <w:tr w:rsidR="00BA059E" w:rsidRPr="00B30BA3" w14:paraId="3FB4D91B" w14:textId="77777777" w:rsidTr="00823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shd w:val="clear" w:color="auto" w:fill="DBE5F1" w:themeFill="accent1" w:themeFillTint="33"/>
          </w:tcPr>
          <w:p w14:paraId="4AF2E0E8" w14:textId="7E8B7FAA" w:rsidR="00BA059E" w:rsidRPr="00B30BA3" w:rsidRDefault="00BA059E" w:rsidP="003F787E">
            <w:pPr>
              <w:pStyle w:val="DHHSbody"/>
              <w:rPr>
                <w:rFonts w:cs="Arial"/>
                <w:bCs/>
              </w:rPr>
            </w:pPr>
            <w:r w:rsidRPr="00B30BA3">
              <w:rPr>
                <w:rFonts w:cs="Arial"/>
                <w:bCs/>
              </w:rPr>
              <w:t xml:space="preserve">Have all pharmacists been informed that, if a patient recommences ORT after having missed doses on </w:t>
            </w:r>
            <w:r w:rsidRPr="00B30BA3">
              <w:rPr>
                <w:rFonts w:cs="Arial"/>
                <w:b/>
                <w:bCs/>
              </w:rPr>
              <w:t>four or more</w:t>
            </w:r>
            <w:r w:rsidRPr="00B30BA3">
              <w:rPr>
                <w:rFonts w:cs="Arial"/>
                <w:bCs/>
              </w:rPr>
              <w:t xml:space="preserve"> consecutive days, safety precautions should be similar to those that apply when a patient initially commences ORT?</w:t>
            </w:r>
          </w:p>
        </w:tc>
        <w:tc>
          <w:tcPr>
            <w:tcW w:w="851" w:type="pct"/>
            <w:shd w:val="clear" w:color="auto" w:fill="auto"/>
          </w:tcPr>
          <w:p w14:paraId="62AB02FD" w14:textId="26E22689" w:rsidR="00BA059E" w:rsidRPr="00B30BA3" w:rsidRDefault="00CE59DA" w:rsidP="003F787E">
            <w:pPr>
              <w:pStyle w:val="DHHSbody"/>
              <w:rPr>
                <w:rFonts w:cs="Arial"/>
                <w:b/>
              </w:rPr>
            </w:pPr>
            <w:sdt>
              <w:sdtPr>
                <w:rPr>
                  <w:rFonts w:cs="Arial"/>
                  <w:b/>
                </w:rPr>
                <w:id w:val="-1267067036"/>
                <w14:checkbox>
                  <w14:checked w14:val="0"/>
                  <w14:checkedState w14:val="2612" w14:font="MS Gothic"/>
                  <w14:uncheckedState w14:val="2610" w14:font="MS Gothic"/>
                </w14:checkbox>
              </w:sdtPr>
              <w:sdtEndPr/>
              <w:sdtContent>
                <w:r w:rsidR="00BA059E" w:rsidRPr="00B30BA3">
                  <w:rPr>
                    <w:rFonts w:ascii="MS Gothic" w:eastAsia="MS Gothic" w:hAnsi="MS Gothic" w:cs="Arial"/>
                    <w:b/>
                  </w:rPr>
                  <w:t>☐</w:t>
                </w:r>
              </w:sdtContent>
            </w:sdt>
            <w:r w:rsidR="00BA059E" w:rsidRPr="00B30BA3">
              <w:rPr>
                <w:rFonts w:cs="Arial"/>
                <w:b/>
              </w:rPr>
              <w:t xml:space="preserve"> Yes</w:t>
            </w:r>
          </w:p>
          <w:p w14:paraId="559E9487" w14:textId="62198EE4" w:rsidR="00BA059E" w:rsidRPr="00B30BA3" w:rsidRDefault="00CE59DA" w:rsidP="003F787E">
            <w:pPr>
              <w:pStyle w:val="DHHSbody"/>
              <w:rPr>
                <w:rFonts w:cs="Arial"/>
                <w:b/>
              </w:rPr>
            </w:pPr>
            <w:sdt>
              <w:sdtPr>
                <w:rPr>
                  <w:rFonts w:cs="Arial"/>
                  <w:b/>
                  <w:bCs/>
                </w:rPr>
                <w:id w:val="-1639174523"/>
                <w14:checkbox>
                  <w14:checked w14:val="0"/>
                  <w14:checkedState w14:val="2612" w14:font="MS Gothic"/>
                  <w14:uncheckedState w14:val="2610" w14:font="MS Gothic"/>
                </w14:checkbox>
              </w:sdtPr>
              <w:sdtEndPr/>
              <w:sdtContent>
                <w:r w:rsidR="00BA059E" w:rsidRPr="00B30BA3">
                  <w:rPr>
                    <w:rFonts w:ascii="MS Gothic" w:eastAsia="MS Gothic" w:hAnsi="MS Gothic" w:cs="Arial"/>
                    <w:b/>
                    <w:bCs/>
                  </w:rPr>
                  <w:t>☐</w:t>
                </w:r>
              </w:sdtContent>
            </w:sdt>
            <w:r w:rsidR="00BA059E" w:rsidRPr="00B30BA3">
              <w:rPr>
                <w:rFonts w:cs="Arial"/>
                <w:b/>
                <w:bCs/>
              </w:rPr>
              <w:t xml:space="preserve"> No</w:t>
            </w:r>
            <w:r w:rsidR="00BA059E" w:rsidRPr="00B30BA3">
              <w:rPr>
                <w:rFonts w:cs="Arial"/>
              </w:rPr>
              <w:t xml:space="preserve"> </w:t>
            </w:r>
          </w:p>
        </w:tc>
      </w:tr>
    </w:tbl>
    <w:p w14:paraId="4CFFA0A3" w14:textId="13B0C799" w:rsidR="00BA059E" w:rsidRPr="00B30BA3" w:rsidRDefault="00BA059E" w:rsidP="00BA059E">
      <w:pPr>
        <w:pStyle w:val="Heading2"/>
      </w:pPr>
      <w:r w:rsidRPr="00B30BA3">
        <w:t>Contemporaneous notes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359"/>
        <w:gridCol w:w="1835"/>
      </w:tblGrid>
      <w:tr w:rsidR="00BA059E" w:rsidRPr="00B30BA3" w14:paraId="0DD8B72F" w14:textId="77777777" w:rsidTr="000F66D3">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5C2663C" w14:textId="55EBDF96" w:rsidR="00BA059E" w:rsidRPr="00B30BA3" w:rsidRDefault="00C90F7C" w:rsidP="00A6333D">
            <w:pPr>
              <w:pStyle w:val="DHHSbody"/>
              <w:rPr>
                <w:rFonts w:cs="Arial"/>
              </w:rPr>
            </w:pPr>
            <w:r>
              <w:rPr>
                <w:rFonts w:cs="Arial"/>
              </w:rPr>
              <w:t>The inherent risks associated with the vulnerability of pharmacotherapy patients and the potential toxicity of pharmacotherapy medication make effective communication between pharmacists an essential component of a well-run pharmacotherapy program. Risks to patients are minimised when all pharmacists are aware of the key issues related to patient’s treatment.</w:t>
            </w:r>
            <w:r w:rsidR="00A6333D">
              <w:rPr>
                <w:rFonts w:cs="Arial"/>
              </w:rPr>
              <w:t xml:space="preserve"> This can be addressed easily by r</w:t>
            </w:r>
            <w:r w:rsidR="00BA059E" w:rsidRPr="00B30BA3">
              <w:rPr>
                <w:rFonts w:cs="Arial"/>
              </w:rPr>
              <w:t>eadily retrievable contemporaneous notes, which are maintained in a consistent manner and location</w:t>
            </w:r>
            <w:r w:rsidR="00A6333D">
              <w:rPr>
                <w:rFonts w:cs="Arial"/>
              </w:rPr>
              <w:t>.</w:t>
            </w:r>
          </w:p>
        </w:tc>
      </w:tr>
      <w:tr w:rsidR="00A6333D" w:rsidRPr="00B30BA3" w14:paraId="7C6ACE36" w14:textId="77777777" w:rsidTr="00A633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00"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0AB48E" w14:textId="04C8C227" w:rsidR="00A6333D" w:rsidRPr="00B30BA3" w:rsidRDefault="00A6333D" w:rsidP="003F787E">
            <w:pPr>
              <w:pStyle w:val="DHHSbody"/>
              <w:rPr>
                <w:rFonts w:cs="Arial"/>
              </w:rPr>
            </w:pPr>
            <w:r>
              <w:rPr>
                <w:rFonts w:cs="Arial"/>
              </w:rPr>
              <w:t>Do all pharmacists have access to, and maintain contemporaneous notes about the patients on your pharmacotherapy program?</w:t>
            </w:r>
          </w:p>
        </w:tc>
        <w:tc>
          <w:tcPr>
            <w:tcW w:w="900" w:type="pct"/>
            <w:tcBorders>
              <w:top w:val="single" w:sz="6" w:space="0" w:color="auto"/>
              <w:left w:val="single" w:sz="6" w:space="0" w:color="auto"/>
              <w:bottom w:val="single" w:sz="6" w:space="0" w:color="auto"/>
              <w:right w:val="single" w:sz="6" w:space="0" w:color="auto"/>
            </w:tcBorders>
          </w:tcPr>
          <w:p w14:paraId="52B30A1B" w14:textId="77777777" w:rsidR="00A6333D" w:rsidRPr="00B30BA3" w:rsidRDefault="00CE59DA" w:rsidP="00A6333D">
            <w:pPr>
              <w:pStyle w:val="DHHSbody"/>
              <w:rPr>
                <w:rFonts w:cs="Arial"/>
                <w:b/>
              </w:rPr>
            </w:pPr>
            <w:sdt>
              <w:sdtPr>
                <w:rPr>
                  <w:rFonts w:cs="Arial"/>
                  <w:b/>
                </w:rPr>
                <w:id w:val="1490977625"/>
                <w14:checkbox>
                  <w14:checked w14:val="0"/>
                  <w14:checkedState w14:val="2612" w14:font="MS Gothic"/>
                  <w14:uncheckedState w14:val="2610" w14:font="MS Gothic"/>
                </w14:checkbox>
              </w:sdtPr>
              <w:sdtEndPr/>
              <w:sdtContent>
                <w:r w:rsidR="00A6333D" w:rsidRPr="00B30BA3">
                  <w:rPr>
                    <w:rFonts w:ascii="MS Gothic" w:eastAsia="MS Gothic" w:hAnsi="MS Gothic" w:cs="Arial"/>
                    <w:b/>
                  </w:rPr>
                  <w:t>☐</w:t>
                </w:r>
              </w:sdtContent>
            </w:sdt>
            <w:r w:rsidR="00A6333D" w:rsidRPr="00B30BA3">
              <w:rPr>
                <w:rFonts w:cs="Arial"/>
                <w:b/>
              </w:rPr>
              <w:t xml:space="preserve"> Yes</w:t>
            </w:r>
          </w:p>
          <w:p w14:paraId="5C066558" w14:textId="399784A7" w:rsidR="00A6333D" w:rsidRPr="00B30BA3" w:rsidRDefault="00CE59DA" w:rsidP="00A6333D">
            <w:pPr>
              <w:pStyle w:val="DHHSbody"/>
              <w:rPr>
                <w:rFonts w:cs="Arial"/>
              </w:rPr>
            </w:pPr>
            <w:sdt>
              <w:sdtPr>
                <w:rPr>
                  <w:rFonts w:cs="Arial"/>
                  <w:b/>
                  <w:bCs/>
                </w:rPr>
                <w:id w:val="1419990929"/>
                <w14:checkbox>
                  <w14:checked w14:val="0"/>
                  <w14:checkedState w14:val="2612" w14:font="MS Gothic"/>
                  <w14:uncheckedState w14:val="2610" w14:font="MS Gothic"/>
                </w14:checkbox>
              </w:sdtPr>
              <w:sdtEndPr/>
              <w:sdtContent>
                <w:r w:rsidR="00A6333D" w:rsidRPr="00B30BA3">
                  <w:rPr>
                    <w:rFonts w:ascii="MS Gothic" w:eastAsia="MS Gothic" w:hAnsi="MS Gothic" w:cs="Arial"/>
                    <w:b/>
                    <w:bCs/>
                  </w:rPr>
                  <w:t>☐</w:t>
                </w:r>
              </w:sdtContent>
            </w:sdt>
            <w:r w:rsidR="00A6333D" w:rsidRPr="00B30BA3">
              <w:rPr>
                <w:rFonts w:cs="Arial"/>
                <w:b/>
                <w:bCs/>
              </w:rPr>
              <w:t xml:space="preserve"> No</w:t>
            </w:r>
          </w:p>
        </w:tc>
      </w:tr>
    </w:tbl>
    <w:p w14:paraId="56DEB510" w14:textId="080E7E81" w:rsidR="00665DC0" w:rsidRDefault="00665DC0" w:rsidP="00BA059E">
      <w:pPr>
        <w:pStyle w:val="Heading2"/>
      </w:pPr>
      <w:r>
        <w:t>Long-acting Injectable Buprenorphine</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9"/>
        <w:gridCol w:w="1735"/>
      </w:tblGrid>
      <w:tr w:rsidR="00BD6DA8" w:rsidRPr="00B30BA3" w14:paraId="455A61FC" w14:textId="77777777" w:rsidTr="003C188E">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71D3738" w14:textId="7BE543DD" w:rsidR="00BD6DA8" w:rsidRDefault="00BD6DA8" w:rsidP="003C188E">
            <w:pPr>
              <w:pStyle w:val="DHHSbody"/>
            </w:pPr>
            <w:r>
              <w:rPr>
                <w:b/>
                <w:bCs/>
              </w:rPr>
              <w:t xml:space="preserve">Long-acting injectable buprenorphine </w:t>
            </w:r>
            <w:r w:rsidR="006444A1">
              <w:rPr>
                <w:b/>
                <w:bCs/>
              </w:rPr>
              <w:t xml:space="preserve">(LAIB) </w:t>
            </w:r>
            <w:r>
              <w:rPr>
                <w:b/>
                <w:bCs/>
              </w:rPr>
              <w:t>formulations</w:t>
            </w:r>
          </w:p>
          <w:p w14:paraId="03EB89F9" w14:textId="7369D119" w:rsidR="00BD6DA8" w:rsidRDefault="00BD6DA8" w:rsidP="00BD6DA8">
            <w:pPr>
              <w:pStyle w:val="DHHSbody"/>
            </w:pPr>
            <w:r w:rsidRPr="00B30BA3">
              <w:t>Buvidal</w:t>
            </w:r>
            <w:r w:rsidRPr="00B30BA3">
              <w:rPr>
                <w:vertAlign w:val="superscript"/>
              </w:rPr>
              <w:t>®</w:t>
            </w:r>
            <w:r w:rsidRPr="00B30BA3">
              <w:t xml:space="preserve"> and Sublocade</w:t>
            </w:r>
            <w:r w:rsidRPr="00B30BA3">
              <w:rPr>
                <w:vertAlign w:val="superscript"/>
              </w:rPr>
              <w:t>®</w:t>
            </w:r>
            <w:r w:rsidRPr="00B30BA3">
              <w:t xml:space="preserve"> should be administered only by registered health practitioners who have completed the administration training and should </w:t>
            </w:r>
            <w:r w:rsidRPr="00B30BA3">
              <w:rPr>
                <w:b/>
              </w:rPr>
              <w:t>NOT</w:t>
            </w:r>
            <w:r w:rsidRPr="00B30BA3">
              <w:t xml:space="preserve"> supplied to (or handled by) patients or carers.</w:t>
            </w:r>
          </w:p>
          <w:p w14:paraId="3D87A325" w14:textId="72C80AA8" w:rsidR="00801879" w:rsidRPr="00B30BA3" w:rsidRDefault="00801879" w:rsidP="00801879">
            <w:pPr>
              <w:pStyle w:val="DHHSbody"/>
            </w:pPr>
            <w:r>
              <w:t>Any pharmacy with approval to supply pharmacotherapy medications is authorised to supply LAIB to an external clinician for administration. In these circumstances, it will be necessary to arrange for the medication to be delivered to the clinic by a representative of the pharmacy, or for the medication to be collected from the pharmacy by a representative of the clinic.</w:t>
            </w:r>
          </w:p>
          <w:p w14:paraId="39136248" w14:textId="7E18B8E5" w:rsidR="00BD6DA8" w:rsidRPr="00BD6DA8" w:rsidRDefault="00BD6DA8" w:rsidP="00BD6DA8">
            <w:pPr>
              <w:pStyle w:val="DHHSbody"/>
              <w:rPr>
                <w:rFonts w:cs="Arial"/>
              </w:rPr>
            </w:pPr>
            <w:r w:rsidRPr="00B30BA3">
              <w:t xml:space="preserve">Both products are formulated for </w:t>
            </w:r>
            <w:r w:rsidRPr="00B30BA3">
              <w:rPr>
                <w:b/>
                <w:bCs/>
              </w:rPr>
              <w:t>subcutaneous administration ONLY</w:t>
            </w:r>
            <w:r w:rsidRPr="00B30BA3">
              <w:t>.</w:t>
            </w:r>
          </w:p>
          <w:p w14:paraId="61A77630" w14:textId="77777777" w:rsidR="00BD6DA8" w:rsidRDefault="00BD6DA8" w:rsidP="003C188E">
            <w:pPr>
              <w:pStyle w:val="DHHSbody"/>
            </w:pPr>
            <w:r>
              <w:t xml:space="preserve">It is expected that </w:t>
            </w:r>
            <w:r w:rsidRPr="00B30BA3">
              <w:t>patients have been stabilised on a sublingual buprenorphine formulation for at least a week before transfer to the long-acting injection.</w:t>
            </w:r>
          </w:p>
          <w:p w14:paraId="0544E62D" w14:textId="25113BAA" w:rsidR="00BD6DA8" w:rsidRPr="00B30BA3" w:rsidRDefault="00CE59DA" w:rsidP="00BD6DA8">
            <w:pPr>
              <w:pStyle w:val="DHHSbody"/>
              <w:rPr>
                <w:rFonts w:cs="Arial"/>
                <w:bCs/>
              </w:rPr>
            </w:pPr>
            <w:hyperlink r:id="rId38" w:history="1">
              <w:r w:rsidR="00BD6DA8" w:rsidRPr="00B30BA3">
                <w:rPr>
                  <w:rStyle w:val="Hyperlink"/>
                  <w:rFonts w:cs="Arial"/>
                  <w:bCs/>
                </w:rPr>
                <w:t>Buvidal</w:t>
              </w:r>
              <w:r w:rsidR="00BD6DA8" w:rsidRPr="00B30BA3">
                <w:rPr>
                  <w:rStyle w:val="Hyperlink"/>
                  <w:rFonts w:cs="Arial"/>
                  <w:bCs/>
                  <w:vertAlign w:val="superscript"/>
                </w:rPr>
                <w:t>®</w:t>
              </w:r>
            </w:hyperlink>
            <w:r w:rsidR="00BD6DA8" w:rsidRPr="00B30BA3">
              <w:rPr>
                <w:rFonts w:cs="Arial"/>
                <w:bCs/>
              </w:rPr>
              <w:t xml:space="preserve"> is </w:t>
            </w:r>
            <w:r w:rsidR="00597136">
              <w:rPr>
                <w:rFonts w:cs="Arial"/>
                <w:bCs/>
              </w:rPr>
              <w:t>available</w:t>
            </w:r>
            <w:r w:rsidR="00BD6DA8" w:rsidRPr="00B30BA3">
              <w:rPr>
                <w:rFonts w:cs="Arial"/>
                <w:bCs/>
              </w:rPr>
              <w:t xml:space="preserve"> </w:t>
            </w:r>
            <w:r w:rsidR="00597136">
              <w:rPr>
                <w:rFonts w:cs="Arial"/>
                <w:bCs/>
              </w:rPr>
              <w:t xml:space="preserve">as </w:t>
            </w:r>
            <w:r w:rsidR="00BD6DA8" w:rsidRPr="00B30BA3">
              <w:rPr>
                <w:rFonts w:cs="Arial"/>
                <w:bCs/>
              </w:rPr>
              <w:t>both weekly and monthly administration</w:t>
            </w:r>
          </w:p>
          <w:p w14:paraId="1FE5B009" w14:textId="23305C42" w:rsidR="00BD6DA8" w:rsidRPr="00B30BA3" w:rsidRDefault="00CE59DA" w:rsidP="00BD6DA8">
            <w:pPr>
              <w:pStyle w:val="DHHSbody"/>
              <w:rPr>
                <w:rFonts w:cs="Arial"/>
                <w:bCs/>
              </w:rPr>
            </w:pPr>
            <w:hyperlink r:id="rId39" w:history="1">
              <w:r w:rsidR="00BD6DA8" w:rsidRPr="00B30BA3">
                <w:rPr>
                  <w:rStyle w:val="Hyperlink"/>
                  <w:rFonts w:cs="Arial"/>
                  <w:bCs/>
                </w:rPr>
                <w:t>Sublocade</w:t>
              </w:r>
              <w:r w:rsidR="00BD6DA8" w:rsidRPr="00B30BA3">
                <w:rPr>
                  <w:rStyle w:val="Hyperlink"/>
                  <w:rFonts w:cs="Arial"/>
                  <w:bCs/>
                  <w:vertAlign w:val="superscript"/>
                </w:rPr>
                <w:t>®</w:t>
              </w:r>
            </w:hyperlink>
            <w:r w:rsidR="00BD6DA8" w:rsidRPr="00B30BA3">
              <w:rPr>
                <w:rFonts w:cs="Arial"/>
                <w:bCs/>
              </w:rPr>
              <w:t xml:space="preserve"> is </w:t>
            </w:r>
            <w:r w:rsidR="00D7690E">
              <w:rPr>
                <w:rFonts w:cs="Arial"/>
                <w:bCs/>
              </w:rPr>
              <w:t xml:space="preserve">available as </w:t>
            </w:r>
            <w:r w:rsidR="00BD6DA8" w:rsidRPr="00B30BA3">
              <w:rPr>
                <w:rFonts w:cs="Arial"/>
                <w:bCs/>
              </w:rPr>
              <w:t>monthly administration</w:t>
            </w:r>
          </w:p>
          <w:p w14:paraId="06DC1D3D" w14:textId="0EE45A8D" w:rsidR="00BD6DA8" w:rsidRPr="00B30BA3" w:rsidRDefault="00CE59DA" w:rsidP="00BD6DA8">
            <w:pPr>
              <w:pStyle w:val="DHHSbody"/>
              <w:rPr>
                <w:rFonts w:cs="Arial"/>
              </w:rPr>
            </w:pPr>
            <w:hyperlink r:id="rId40" w:history="1">
              <w:r w:rsidR="00BD6DA8" w:rsidRPr="00B30BA3">
                <w:rPr>
                  <w:rStyle w:val="Hyperlink"/>
                  <w:rFonts w:cs="Arial"/>
                </w:rPr>
                <w:t>Clinical guidelines for long-acting injectable buprenorphine</w:t>
              </w:r>
            </w:hyperlink>
            <w:r w:rsidR="00BD6DA8" w:rsidRPr="00B30BA3">
              <w:rPr>
                <w:rFonts w:cs="Arial"/>
              </w:rPr>
              <w:t xml:space="preserve"> can be found at the Department of Health </w:t>
            </w:r>
            <w:hyperlink r:id="rId41" w:history="1">
              <w:r w:rsidR="00BD6DA8" w:rsidRPr="00B30BA3">
                <w:rPr>
                  <w:rStyle w:val="Hyperlink"/>
                  <w:rFonts w:cs="Arial"/>
                </w:rPr>
                <w:t>pharmacotherapy policy page</w:t>
              </w:r>
            </w:hyperlink>
            <w:r w:rsidR="00BD6DA8" w:rsidRPr="00B30BA3">
              <w:rPr>
                <w:rFonts w:cs="Arial"/>
              </w:rPr>
              <w:t>, alongside addendums to the Victorian pharmacotherapy policy document</w:t>
            </w:r>
            <w:r w:rsidR="00BD6DA8">
              <w:rPr>
                <w:rFonts w:cs="Arial"/>
              </w:rPr>
              <w:t>.</w:t>
            </w:r>
          </w:p>
        </w:tc>
      </w:tr>
      <w:tr w:rsidR="00801879" w:rsidRPr="00B30BA3" w14:paraId="6F2E2940" w14:textId="77777777" w:rsidTr="002C2C64">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381CA8" w14:textId="5FB0E4E1" w:rsidR="00801879" w:rsidRPr="002C2C64" w:rsidRDefault="00801879" w:rsidP="003C188E">
            <w:pPr>
              <w:pStyle w:val="DHHSbody"/>
            </w:pPr>
            <w:r>
              <w:t xml:space="preserve">Are all pharmacists aware that LAIB formulations </w:t>
            </w:r>
            <w:r w:rsidR="002C2C64">
              <w:t>should</w:t>
            </w:r>
            <w:r w:rsidR="002C2C64">
              <w:rPr>
                <w:b/>
                <w:bCs/>
              </w:rPr>
              <w:t xml:space="preserve"> NOT</w:t>
            </w:r>
            <w:r w:rsidR="002C2C64">
              <w:t xml:space="preserve"> be supplied to (or handled by) patients or carers, and that supply to an external clinician for administration requires either delivery to the clinic by a representative from the pharmacy, or collection from the pharmacy by a representative of the clinic?</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63855136" w14:textId="77777777" w:rsidR="00801879" w:rsidRPr="00B30BA3" w:rsidRDefault="00CE59DA" w:rsidP="00801879">
            <w:pPr>
              <w:pStyle w:val="DHHSbody"/>
              <w:rPr>
                <w:rFonts w:cs="Arial"/>
                <w:b/>
              </w:rPr>
            </w:pPr>
            <w:sdt>
              <w:sdtPr>
                <w:rPr>
                  <w:rFonts w:cs="Arial"/>
                  <w:b/>
                </w:rPr>
                <w:id w:val="445744421"/>
                <w14:checkbox>
                  <w14:checked w14:val="0"/>
                  <w14:checkedState w14:val="2612" w14:font="MS Gothic"/>
                  <w14:uncheckedState w14:val="2610" w14:font="MS Gothic"/>
                </w14:checkbox>
              </w:sdtPr>
              <w:sdtEndPr/>
              <w:sdtContent>
                <w:r w:rsidR="00801879" w:rsidRPr="00B30BA3">
                  <w:rPr>
                    <w:rFonts w:ascii="MS Gothic" w:eastAsia="MS Gothic" w:hAnsi="MS Gothic" w:cs="Arial"/>
                    <w:b/>
                  </w:rPr>
                  <w:t>☐</w:t>
                </w:r>
              </w:sdtContent>
            </w:sdt>
            <w:r w:rsidR="00801879" w:rsidRPr="00B30BA3">
              <w:rPr>
                <w:rFonts w:cs="Arial"/>
                <w:b/>
              </w:rPr>
              <w:t xml:space="preserve"> Yes</w:t>
            </w:r>
          </w:p>
          <w:p w14:paraId="46D4DCF9" w14:textId="0C897949" w:rsidR="00801879" w:rsidRPr="00801879" w:rsidRDefault="00CE59DA" w:rsidP="00801879">
            <w:pPr>
              <w:pStyle w:val="DHHSbody"/>
            </w:pPr>
            <w:sdt>
              <w:sdtPr>
                <w:rPr>
                  <w:rFonts w:cs="Arial"/>
                  <w:b/>
                  <w:bCs/>
                </w:rPr>
                <w:id w:val="797732529"/>
                <w14:checkbox>
                  <w14:checked w14:val="0"/>
                  <w14:checkedState w14:val="2612" w14:font="MS Gothic"/>
                  <w14:uncheckedState w14:val="2610" w14:font="MS Gothic"/>
                </w14:checkbox>
              </w:sdtPr>
              <w:sdtEndPr/>
              <w:sdtContent>
                <w:r w:rsidR="00801879" w:rsidRPr="00B30BA3">
                  <w:rPr>
                    <w:rFonts w:ascii="MS Gothic" w:eastAsia="MS Gothic" w:hAnsi="MS Gothic" w:cs="Arial"/>
                    <w:b/>
                    <w:bCs/>
                  </w:rPr>
                  <w:t>☐</w:t>
                </w:r>
              </w:sdtContent>
            </w:sdt>
            <w:r w:rsidR="00801879" w:rsidRPr="00B30BA3">
              <w:rPr>
                <w:rFonts w:cs="Arial"/>
                <w:b/>
                <w:bCs/>
              </w:rPr>
              <w:t xml:space="preserve"> No</w:t>
            </w:r>
          </w:p>
        </w:tc>
      </w:tr>
      <w:tr w:rsidR="00BD6DA8" w:rsidRPr="00B30BA3" w14:paraId="6E0E5D3F" w14:textId="77777777" w:rsidTr="003C188E">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010BC42" w14:textId="482DD208" w:rsidR="00BD6DA8" w:rsidRDefault="00BD6DA8" w:rsidP="003C188E">
            <w:pPr>
              <w:pStyle w:val="DHHSbody"/>
            </w:pPr>
            <w:r w:rsidRPr="00BD6DA8">
              <w:rPr>
                <w:b/>
                <w:bCs/>
              </w:rPr>
              <w:t>Pharmacist qualification to administer LAIB on the order of a prescriber</w:t>
            </w:r>
          </w:p>
          <w:p w14:paraId="65772A04" w14:textId="77777777" w:rsidR="00195BB7" w:rsidRDefault="00195BB7" w:rsidP="00195BB7">
            <w:pPr>
              <w:pStyle w:val="DHHSbullet1"/>
              <w:numPr>
                <w:ilvl w:val="0"/>
                <w:numId w:val="31"/>
              </w:numPr>
              <w:rPr>
                <w:lang w:eastAsia="en-AU"/>
              </w:rPr>
            </w:pPr>
            <w:r>
              <w:rPr>
                <w:lang w:eastAsia="en-AU"/>
              </w:rPr>
              <w:t xml:space="preserve">For </w:t>
            </w:r>
            <w:r>
              <w:rPr>
                <w:b/>
                <w:bCs/>
                <w:lang w:eastAsia="en-AU"/>
              </w:rPr>
              <w:t>pharmacists</w:t>
            </w:r>
            <w:r>
              <w:rPr>
                <w:lang w:eastAsia="en-AU"/>
              </w:rPr>
              <w:t xml:space="preserve"> to administer LAIB on the order of a prescriber it is </w:t>
            </w:r>
            <w:r>
              <w:rPr>
                <w:i/>
                <w:iCs/>
                <w:lang w:eastAsia="en-AU"/>
              </w:rPr>
              <w:t>expected</w:t>
            </w:r>
            <w:r>
              <w:rPr>
                <w:lang w:eastAsia="en-AU"/>
              </w:rPr>
              <w:t xml:space="preserve"> that:</w:t>
            </w:r>
          </w:p>
          <w:p w14:paraId="2793D01E" w14:textId="77777777" w:rsidR="00195BB7" w:rsidRDefault="00195BB7" w:rsidP="00195BB7">
            <w:pPr>
              <w:pStyle w:val="DHHSbullet1"/>
              <w:numPr>
                <w:ilvl w:val="0"/>
                <w:numId w:val="32"/>
              </w:numPr>
              <w:rPr>
                <w:lang w:eastAsia="en-AU"/>
              </w:rPr>
            </w:pPr>
            <w:r>
              <w:rPr>
                <w:lang w:eastAsia="en-AU"/>
              </w:rPr>
              <w:t>They are familiar with and understand requirements for pharmacotherapy program delivery by:</w:t>
            </w:r>
          </w:p>
          <w:p w14:paraId="6CA3E19E" w14:textId="70AAE1D3" w:rsidR="00195BB7" w:rsidRDefault="00195BB7" w:rsidP="00195BB7">
            <w:pPr>
              <w:pStyle w:val="DHHSbullet1"/>
              <w:numPr>
                <w:ilvl w:val="1"/>
                <w:numId w:val="32"/>
              </w:numPr>
              <w:rPr>
                <w:lang w:eastAsia="en-AU"/>
              </w:rPr>
            </w:pPr>
            <w:r>
              <w:rPr>
                <w:lang w:eastAsia="en-AU"/>
              </w:rPr>
              <w:t xml:space="preserve">Completing </w:t>
            </w:r>
            <w:hyperlink r:id="rId42" w:history="1">
              <w:r>
                <w:rPr>
                  <w:rStyle w:val="Hyperlink"/>
                </w:rPr>
                <w:t>Victorian Opioid Pharmacotherapy Program</w:t>
              </w:r>
            </w:hyperlink>
            <w:r>
              <w:t xml:space="preserve"> training developed by the Pharmaceutical Society of Australia (PSA); or</w:t>
            </w:r>
          </w:p>
          <w:p w14:paraId="6613589E" w14:textId="77777777" w:rsidR="00195BB7" w:rsidRDefault="00195BB7" w:rsidP="00195BB7">
            <w:pPr>
              <w:pStyle w:val="DHHSbullet1"/>
              <w:numPr>
                <w:ilvl w:val="1"/>
                <w:numId w:val="32"/>
              </w:numPr>
              <w:rPr>
                <w:lang w:eastAsia="en-AU"/>
              </w:rPr>
            </w:pPr>
            <w:r>
              <w:rPr>
                <w:lang w:eastAsia="en-AU"/>
              </w:rPr>
              <w:t>Working as a registered pharmacist in opioid replacement therapy delivery for at least five years</w:t>
            </w:r>
          </w:p>
          <w:p w14:paraId="0F3B86BC" w14:textId="77777777" w:rsidR="00195BB7" w:rsidRDefault="00195BB7" w:rsidP="00195BB7">
            <w:pPr>
              <w:pStyle w:val="DHHSbullet1"/>
              <w:numPr>
                <w:ilvl w:val="0"/>
                <w:numId w:val="32"/>
              </w:numPr>
              <w:rPr>
                <w:lang w:eastAsia="en-AU"/>
              </w:rPr>
            </w:pPr>
            <w:r>
              <w:rPr>
                <w:lang w:eastAsia="en-AU"/>
              </w:rPr>
              <w:lastRenderedPageBreak/>
              <w:t xml:space="preserve">They understand requirements for injection administration by completing an immunisation course approved by the Department of Health (see </w:t>
            </w:r>
            <w:hyperlink r:id="rId43" w:history="1">
              <w:r>
                <w:rPr>
                  <w:rStyle w:val="Hyperlink"/>
                </w:rPr>
                <w:t>PSA</w:t>
              </w:r>
            </w:hyperlink>
            <w:r>
              <w:rPr>
                <w:lang w:eastAsia="en-AU"/>
              </w:rPr>
              <w:t xml:space="preserve"> or </w:t>
            </w:r>
            <w:hyperlink r:id="rId44" w:history="1">
              <w:r>
                <w:rPr>
                  <w:rStyle w:val="Hyperlink"/>
                  <w:lang w:eastAsia="en-AU"/>
                </w:rPr>
                <w:t>The Pharmacy Guild of Australia)</w:t>
              </w:r>
            </w:hyperlink>
            <w:r>
              <w:rPr>
                <w:lang w:eastAsia="en-AU"/>
              </w:rPr>
              <w:t xml:space="preserve"> </w:t>
            </w:r>
          </w:p>
          <w:p w14:paraId="20DF5EFD" w14:textId="0C0ACF2C" w:rsidR="00195BB7" w:rsidRPr="00195BB7" w:rsidRDefault="00195BB7" w:rsidP="003C188E">
            <w:pPr>
              <w:pStyle w:val="DHHSbullet1"/>
              <w:numPr>
                <w:ilvl w:val="0"/>
                <w:numId w:val="32"/>
              </w:numPr>
              <w:rPr>
                <w:rFonts w:eastAsia="Arial" w:cs="Arial"/>
                <w:i/>
                <w:iCs/>
                <w:lang w:eastAsia="en-AU"/>
              </w:rPr>
            </w:pPr>
            <w:r>
              <w:rPr>
                <w:lang w:eastAsia="en-AU"/>
              </w:rPr>
              <w:t xml:space="preserve">They understand requirements specific to LAIB by completing </w:t>
            </w:r>
            <w:hyperlink r:id="rId45" w:history="1">
              <w:r>
                <w:rPr>
                  <w:rStyle w:val="Hyperlink"/>
                </w:rPr>
                <w:t>LAIB Administration by Pharmacists</w:t>
              </w:r>
            </w:hyperlink>
            <w:r>
              <w:rPr>
                <w:lang w:eastAsia="en-AU"/>
              </w:rPr>
              <w:t xml:space="preserve"> training developed by PSA </w:t>
            </w:r>
          </w:p>
          <w:p w14:paraId="63EC5928" w14:textId="79C31AC2" w:rsidR="00BD6DA8" w:rsidRPr="00801879" w:rsidRDefault="00195BB7" w:rsidP="00BD6DA8">
            <w:pPr>
              <w:pStyle w:val="DHHSbullet1"/>
              <w:numPr>
                <w:ilvl w:val="0"/>
                <w:numId w:val="31"/>
              </w:numPr>
              <w:rPr>
                <w:rFonts w:eastAsia="Arial" w:cs="Arial"/>
                <w:lang w:eastAsia="en-AU"/>
              </w:rPr>
            </w:pPr>
            <w:r>
              <w:rPr>
                <w:rFonts w:eastAsia="Arial" w:cs="Arial"/>
                <w:lang w:eastAsia="en-AU"/>
              </w:rPr>
              <w:t xml:space="preserve">It is </w:t>
            </w:r>
            <w:r>
              <w:rPr>
                <w:rFonts w:eastAsia="Arial" w:cs="Arial"/>
                <w:i/>
                <w:iCs/>
                <w:lang w:eastAsia="en-AU"/>
              </w:rPr>
              <w:t xml:space="preserve">expected </w:t>
            </w:r>
            <w:r>
              <w:rPr>
                <w:rFonts w:eastAsia="Arial" w:cs="Arial"/>
                <w:lang w:eastAsia="en-AU"/>
              </w:rPr>
              <w:t xml:space="preserve">that pharmacists will </w:t>
            </w:r>
            <w:r>
              <w:t>consolidate this knowledge by</w:t>
            </w:r>
            <w:r w:rsidRPr="00B30BA3">
              <w:t xml:space="preserve"> administer</w:t>
            </w:r>
            <w:r w:rsidR="00801879">
              <w:t>ing</w:t>
            </w:r>
            <w:r w:rsidRPr="00B30BA3">
              <w:t xml:space="preserve"> LAIB to a patient while under the supervision of a clin</w:t>
            </w:r>
            <w:r>
              <w:t>i</w:t>
            </w:r>
            <w:r w:rsidRPr="00B30BA3">
              <w:t>cian familiar with the use of the LAIB formulations.</w:t>
            </w:r>
            <w:r w:rsidR="00801879">
              <w:t xml:space="preserve"> There is no expectation from the department that this supervision be documented, although your Quality Care Pharmacy Program may require some form of record</w:t>
            </w:r>
            <w:r w:rsidR="0013174C">
              <w:t xml:space="preserve"> of this procedure.</w:t>
            </w:r>
          </w:p>
          <w:p w14:paraId="7068583F" w14:textId="27B8499A" w:rsidR="00801879" w:rsidRPr="00801879" w:rsidRDefault="00801879" w:rsidP="00801879">
            <w:pPr>
              <w:pStyle w:val="DHHSbullet1"/>
              <w:ind w:left="0" w:firstLine="0"/>
              <w:rPr>
                <w:rFonts w:eastAsia="Arial" w:cs="Arial"/>
                <w:lang w:eastAsia="en-AU"/>
              </w:rPr>
            </w:pPr>
          </w:p>
        </w:tc>
      </w:tr>
      <w:tr w:rsidR="00BD6DA8" w:rsidRPr="00B30BA3" w14:paraId="412DED6A" w14:textId="77777777" w:rsidTr="003C188E">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6DDC8F" w14:textId="4FDD5C4F" w:rsidR="00BD6DA8" w:rsidRPr="00B30BA3" w:rsidRDefault="00BD6DA8" w:rsidP="003C188E">
            <w:pPr>
              <w:pStyle w:val="DHHSbody"/>
              <w:rPr>
                <w:rFonts w:cs="Arial"/>
              </w:rPr>
            </w:pPr>
            <w:r>
              <w:rPr>
                <w:rFonts w:cs="Arial"/>
              </w:rPr>
              <w:lastRenderedPageBreak/>
              <w:t xml:space="preserve">Are all pharmacists aware of </w:t>
            </w:r>
            <w:r w:rsidR="00606700">
              <w:rPr>
                <w:rFonts w:cs="Arial"/>
              </w:rPr>
              <w:t>availability of LAIB formulations and the requirements for qualification to administer LAIB on the order of a prescriber?</w:t>
            </w:r>
          </w:p>
        </w:tc>
        <w:tc>
          <w:tcPr>
            <w:tcW w:w="851" w:type="pct"/>
            <w:tcBorders>
              <w:top w:val="single" w:sz="4" w:space="0" w:color="auto"/>
              <w:left w:val="single" w:sz="4" w:space="0" w:color="auto"/>
              <w:bottom w:val="single" w:sz="4" w:space="0" w:color="auto"/>
              <w:right w:val="single" w:sz="4" w:space="0" w:color="auto"/>
            </w:tcBorders>
          </w:tcPr>
          <w:p w14:paraId="0CB335E4" w14:textId="77777777" w:rsidR="00BD6DA8" w:rsidRPr="00B30BA3" w:rsidRDefault="00CE59DA" w:rsidP="003C188E">
            <w:pPr>
              <w:pStyle w:val="DHHSbody"/>
              <w:rPr>
                <w:rFonts w:cs="Arial"/>
                <w:b/>
              </w:rPr>
            </w:pPr>
            <w:sdt>
              <w:sdtPr>
                <w:rPr>
                  <w:rFonts w:cs="Arial"/>
                  <w:b/>
                </w:rPr>
                <w:id w:val="-1531720668"/>
                <w14:checkbox>
                  <w14:checked w14:val="0"/>
                  <w14:checkedState w14:val="2612" w14:font="MS Gothic"/>
                  <w14:uncheckedState w14:val="2610" w14:font="MS Gothic"/>
                </w14:checkbox>
              </w:sdtPr>
              <w:sdtEndPr/>
              <w:sdtContent>
                <w:r w:rsidR="00BD6DA8" w:rsidRPr="00B30BA3">
                  <w:rPr>
                    <w:rFonts w:ascii="MS Gothic" w:eastAsia="MS Gothic" w:hAnsi="MS Gothic" w:cs="Arial"/>
                    <w:b/>
                  </w:rPr>
                  <w:t>☐</w:t>
                </w:r>
              </w:sdtContent>
            </w:sdt>
            <w:r w:rsidR="00BD6DA8" w:rsidRPr="00B30BA3">
              <w:rPr>
                <w:rFonts w:cs="Arial"/>
                <w:b/>
              </w:rPr>
              <w:t xml:space="preserve"> Yes</w:t>
            </w:r>
          </w:p>
          <w:p w14:paraId="52271A6F" w14:textId="77777777" w:rsidR="00BD6DA8" w:rsidRPr="00B30BA3" w:rsidRDefault="00CE59DA" w:rsidP="003C188E">
            <w:pPr>
              <w:pStyle w:val="DHHSbody"/>
              <w:rPr>
                <w:rFonts w:cs="Arial"/>
              </w:rPr>
            </w:pPr>
            <w:sdt>
              <w:sdtPr>
                <w:rPr>
                  <w:rFonts w:cs="Arial"/>
                  <w:b/>
                  <w:bCs/>
                </w:rPr>
                <w:id w:val="-462578548"/>
                <w14:checkbox>
                  <w14:checked w14:val="0"/>
                  <w14:checkedState w14:val="2612" w14:font="MS Gothic"/>
                  <w14:uncheckedState w14:val="2610" w14:font="MS Gothic"/>
                </w14:checkbox>
              </w:sdtPr>
              <w:sdtEndPr/>
              <w:sdtContent>
                <w:r w:rsidR="00BD6DA8" w:rsidRPr="00B30BA3">
                  <w:rPr>
                    <w:rFonts w:ascii="MS Gothic" w:eastAsia="MS Gothic" w:hAnsi="MS Gothic" w:cs="Arial"/>
                    <w:b/>
                    <w:bCs/>
                  </w:rPr>
                  <w:t>☐</w:t>
                </w:r>
              </w:sdtContent>
            </w:sdt>
            <w:r w:rsidR="00BD6DA8" w:rsidRPr="00B30BA3">
              <w:rPr>
                <w:rFonts w:cs="Arial"/>
                <w:b/>
                <w:bCs/>
              </w:rPr>
              <w:t xml:space="preserve"> No</w:t>
            </w:r>
            <w:r w:rsidR="00BD6DA8" w:rsidRPr="00B30BA3">
              <w:rPr>
                <w:rFonts w:cs="Arial"/>
              </w:rPr>
              <w:t xml:space="preserve"> </w:t>
            </w:r>
          </w:p>
        </w:tc>
      </w:tr>
    </w:tbl>
    <w:p w14:paraId="4C25E0EE" w14:textId="38D516E8" w:rsidR="00BA059E" w:rsidRPr="00B30BA3" w:rsidRDefault="00A6333D" w:rsidP="00BA059E">
      <w:pPr>
        <w:pStyle w:val="Heading2"/>
      </w:pPr>
      <w:r>
        <w:t>Miscellaneous topics of importance to pharmacotherapy</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359"/>
        <w:gridCol w:w="100"/>
        <w:gridCol w:w="41"/>
        <w:gridCol w:w="1694"/>
      </w:tblGrid>
      <w:tr w:rsidR="00BA059E" w:rsidRPr="00B30BA3" w14:paraId="06A7C341" w14:textId="77777777" w:rsidTr="63D2B89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5965A46" w14:textId="04120AFF" w:rsidR="00E17522" w:rsidRPr="00E17522" w:rsidRDefault="00E17522" w:rsidP="003F787E">
            <w:pPr>
              <w:pStyle w:val="DHHSbody"/>
              <w:rPr>
                <w:b/>
                <w:bCs/>
              </w:rPr>
            </w:pPr>
            <w:r w:rsidRPr="00E17522">
              <w:rPr>
                <w:b/>
                <w:bCs/>
              </w:rPr>
              <w:t>Deputised prescribers in the absence of the usual approved prescriber</w:t>
            </w:r>
          </w:p>
          <w:p w14:paraId="74DD2A74" w14:textId="6A1AEFCA" w:rsidR="00BA059E" w:rsidRPr="00B30BA3" w:rsidRDefault="002C2C64" w:rsidP="003F787E">
            <w:pPr>
              <w:pStyle w:val="DHHSbody"/>
              <w:rPr>
                <w:rFonts w:cs="Arial"/>
              </w:rPr>
            </w:pPr>
            <w:r>
              <w:rPr>
                <w:rFonts w:cs="Arial"/>
              </w:rPr>
              <w:t xml:space="preserve">Any prescriber working at the same clinic as a pharmacotherapy permit holder may </w:t>
            </w:r>
            <w:r w:rsidR="00BA059E" w:rsidRPr="00B30BA3">
              <w:rPr>
                <w:rFonts w:cs="Arial"/>
                <w:b/>
              </w:rPr>
              <w:t>deputise</w:t>
            </w:r>
            <w:r w:rsidR="00BA059E" w:rsidRPr="00B30BA3">
              <w:rPr>
                <w:rFonts w:cs="Arial"/>
              </w:rPr>
              <w:t xml:space="preserve"> for </w:t>
            </w:r>
            <w:r w:rsidR="00503D78">
              <w:rPr>
                <w:rFonts w:cs="Arial"/>
              </w:rPr>
              <w:t>the pharmacotherapy permit holder</w:t>
            </w:r>
            <w:r>
              <w:rPr>
                <w:rFonts w:cs="Arial"/>
              </w:rPr>
              <w:t xml:space="preserve"> in their absence,</w:t>
            </w:r>
            <w:r w:rsidR="00BA059E" w:rsidRPr="00B30BA3">
              <w:rPr>
                <w:rFonts w:cs="Arial"/>
              </w:rPr>
              <w:t xml:space="preserve"> to continue the treatment of a </w:t>
            </w:r>
            <w:r w:rsidR="00BA059E" w:rsidRPr="00B30BA3">
              <w:rPr>
                <w:rFonts w:cs="Arial"/>
                <w:b/>
              </w:rPr>
              <w:t>stable</w:t>
            </w:r>
            <w:r w:rsidR="00BA059E" w:rsidRPr="00B30BA3">
              <w:rPr>
                <w:rFonts w:cs="Arial"/>
              </w:rPr>
              <w:t xml:space="preserve"> patient</w:t>
            </w:r>
            <w:r>
              <w:rPr>
                <w:rFonts w:cs="Arial"/>
              </w:rPr>
              <w:t>,</w:t>
            </w:r>
            <w:r w:rsidR="00BA059E" w:rsidRPr="00B30BA3">
              <w:rPr>
                <w:rFonts w:cs="Arial"/>
              </w:rPr>
              <w:t xml:space="preserve"> if the following circumstances are met:</w:t>
            </w:r>
          </w:p>
          <w:p w14:paraId="63B2A2EB" w14:textId="1AD58B94" w:rsidR="00BA059E" w:rsidRPr="00B30BA3" w:rsidRDefault="00BA059E" w:rsidP="00F2707B">
            <w:pPr>
              <w:pStyle w:val="DHHSbody"/>
              <w:numPr>
                <w:ilvl w:val="0"/>
                <w:numId w:val="12"/>
              </w:numPr>
              <w:rPr>
                <w:rFonts w:cs="Arial"/>
              </w:rPr>
            </w:pPr>
            <w:r w:rsidRPr="00B30BA3">
              <w:rPr>
                <w:rFonts w:cs="Arial"/>
              </w:rPr>
              <w:t xml:space="preserve">the deputising prescriber is practising at the same practice as the usual treating prescriber, </w:t>
            </w:r>
            <w:r w:rsidRPr="00B30BA3">
              <w:rPr>
                <w:rFonts w:cs="Arial"/>
                <w:b/>
              </w:rPr>
              <w:t>and</w:t>
            </w:r>
          </w:p>
          <w:p w14:paraId="5720F819" w14:textId="77777777" w:rsidR="00BA059E" w:rsidRPr="00B30BA3" w:rsidRDefault="00BA059E" w:rsidP="00F2707B">
            <w:pPr>
              <w:pStyle w:val="DHHSbody"/>
              <w:numPr>
                <w:ilvl w:val="0"/>
                <w:numId w:val="12"/>
              </w:numPr>
              <w:rPr>
                <w:rFonts w:cs="Arial"/>
              </w:rPr>
            </w:pPr>
            <w:r w:rsidRPr="00B30BA3">
              <w:rPr>
                <w:rFonts w:cs="Arial"/>
              </w:rPr>
              <w:t xml:space="preserve">the usual treating prescriber holds a current permit, </w:t>
            </w:r>
            <w:r w:rsidRPr="00B30BA3">
              <w:rPr>
                <w:rFonts w:cs="Arial"/>
                <w:b/>
              </w:rPr>
              <w:t>and</w:t>
            </w:r>
          </w:p>
          <w:p w14:paraId="26DAB20C" w14:textId="77777777" w:rsidR="00BA059E" w:rsidRPr="00B30BA3" w:rsidRDefault="00BA059E" w:rsidP="00F2707B">
            <w:pPr>
              <w:pStyle w:val="DHHSbody"/>
              <w:numPr>
                <w:ilvl w:val="0"/>
                <w:numId w:val="12"/>
              </w:numPr>
              <w:rPr>
                <w:rFonts w:cs="Arial"/>
              </w:rPr>
            </w:pPr>
            <w:r w:rsidRPr="00B30BA3">
              <w:rPr>
                <w:rFonts w:cs="Arial"/>
              </w:rPr>
              <w:t xml:space="preserve">the deputising prescriber is not re-starting treatment of a patient with pharmacotherapy (including where a patient has missed doses on four or more consecutive days), </w:t>
            </w:r>
            <w:r w:rsidRPr="00B30BA3">
              <w:rPr>
                <w:rFonts w:cs="Arial"/>
                <w:b/>
              </w:rPr>
              <w:t>and</w:t>
            </w:r>
          </w:p>
          <w:p w14:paraId="2EED3D78" w14:textId="77777777" w:rsidR="00BA059E" w:rsidRPr="00B30BA3" w:rsidRDefault="00BA059E" w:rsidP="00F2707B">
            <w:pPr>
              <w:pStyle w:val="DHHSbody"/>
              <w:numPr>
                <w:ilvl w:val="0"/>
                <w:numId w:val="12"/>
              </w:numPr>
              <w:rPr>
                <w:rFonts w:cs="Arial"/>
              </w:rPr>
            </w:pPr>
            <w:r w:rsidRPr="00B30BA3">
              <w:rPr>
                <w:rFonts w:cs="Arial"/>
              </w:rPr>
              <w:t xml:space="preserve">the duration of the prescription is limited to the expected period of absence of the usual prescriber, </w:t>
            </w:r>
            <w:r w:rsidRPr="00B30BA3">
              <w:rPr>
                <w:rFonts w:cs="Arial"/>
                <w:b/>
              </w:rPr>
              <w:t>and</w:t>
            </w:r>
          </w:p>
          <w:p w14:paraId="5E5BE687" w14:textId="77777777" w:rsidR="00BA059E" w:rsidRPr="00B30BA3" w:rsidRDefault="00BA059E" w:rsidP="00F2707B">
            <w:pPr>
              <w:pStyle w:val="DHHSbody"/>
              <w:numPr>
                <w:ilvl w:val="0"/>
                <w:numId w:val="12"/>
              </w:numPr>
              <w:rPr>
                <w:rFonts w:cs="Arial"/>
              </w:rPr>
            </w:pPr>
            <w:r w:rsidRPr="00B30BA3">
              <w:rPr>
                <w:rFonts w:cs="Arial"/>
              </w:rPr>
              <w:t>the prescription is endorsed to show that the prescriber is temporarily deputising for the usual prescriber</w:t>
            </w:r>
          </w:p>
        </w:tc>
      </w:tr>
      <w:tr w:rsidR="001021DB" w:rsidRPr="00B30BA3" w14:paraId="1DDB2A89" w14:textId="77777777" w:rsidTr="63D2B899">
        <w:tc>
          <w:tcPr>
            <w:tcW w:w="4169"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F9E2A3" w14:textId="32BFE4F4" w:rsidR="001021DB" w:rsidRPr="001021DB" w:rsidRDefault="001021DB" w:rsidP="003F787E">
            <w:pPr>
              <w:pStyle w:val="DHHSbody"/>
            </w:pPr>
            <w:r>
              <w:t>Are all pharmacists aware that, in the absence of a patient’s usual prescriber, a prescriber at the same clinic can be deputised to maintain an existing prescription, in the circumstances outlined above?</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302679F3" w14:textId="77777777" w:rsidR="001021DB" w:rsidRPr="00B30BA3" w:rsidRDefault="00CE59DA" w:rsidP="001021DB">
            <w:pPr>
              <w:pStyle w:val="DHHSbody"/>
              <w:rPr>
                <w:rFonts w:cs="Arial"/>
                <w:b/>
              </w:rPr>
            </w:pPr>
            <w:sdt>
              <w:sdtPr>
                <w:rPr>
                  <w:rFonts w:cs="Arial"/>
                  <w:b/>
                </w:rPr>
                <w:id w:val="1499083854"/>
                <w14:checkbox>
                  <w14:checked w14:val="0"/>
                  <w14:checkedState w14:val="2612" w14:font="MS Gothic"/>
                  <w14:uncheckedState w14:val="2610" w14:font="MS Gothic"/>
                </w14:checkbox>
              </w:sdtPr>
              <w:sdtEndPr/>
              <w:sdtContent>
                <w:r w:rsidR="001021DB" w:rsidRPr="00B30BA3">
                  <w:rPr>
                    <w:rFonts w:ascii="MS Gothic" w:eastAsia="MS Gothic" w:hAnsi="MS Gothic" w:cs="Arial"/>
                    <w:b/>
                  </w:rPr>
                  <w:t>☐</w:t>
                </w:r>
              </w:sdtContent>
            </w:sdt>
            <w:r w:rsidR="001021DB" w:rsidRPr="00B30BA3">
              <w:rPr>
                <w:rFonts w:cs="Arial"/>
                <w:b/>
              </w:rPr>
              <w:t xml:space="preserve"> Yes</w:t>
            </w:r>
          </w:p>
          <w:p w14:paraId="436F3F46" w14:textId="4F212BDA" w:rsidR="001021DB" w:rsidRPr="00E17522" w:rsidRDefault="00CE59DA" w:rsidP="001021DB">
            <w:pPr>
              <w:pStyle w:val="DHHSbody"/>
              <w:rPr>
                <w:b/>
                <w:bCs/>
              </w:rPr>
            </w:pPr>
            <w:sdt>
              <w:sdtPr>
                <w:rPr>
                  <w:rFonts w:cs="Arial"/>
                  <w:b/>
                  <w:bCs/>
                </w:rPr>
                <w:id w:val="-280261524"/>
                <w14:checkbox>
                  <w14:checked w14:val="0"/>
                  <w14:checkedState w14:val="2612" w14:font="MS Gothic"/>
                  <w14:uncheckedState w14:val="2610" w14:font="MS Gothic"/>
                </w14:checkbox>
              </w:sdtPr>
              <w:sdtEndPr/>
              <w:sdtContent>
                <w:r w:rsidR="001021DB" w:rsidRPr="00B30BA3">
                  <w:rPr>
                    <w:rFonts w:ascii="MS Gothic" w:eastAsia="MS Gothic" w:hAnsi="MS Gothic" w:cs="Arial"/>
                    <w:b/>
                    <w:bCs/>
                  </w:rPr>
                  <w:t>☐</w:t>
                </w:r>
              </w:sdtContent>
            </w:sdt>
            <w:r w:rsidR="001021DB" w:rsidRPr="00B30BA3">
              <w:rPr>
                <w:rFonts w:cs="Arial"/>
                <w:b/>
                <w:bCs/>
              </w:rPr>
              <w:t xml:space="preserve"> No</w:t>
            </w:r>
          </w:p>
        </w:tc>
      </w:tr>
      <w:tr w:rsidR="00BA059E" w:rsidRPr="00B30BA3" w14:paraId="549F09B4" w14:textId="77777777" w:rsidTr="63D2B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178EB16" w14:textId="16DF6836" w:rsidR="001021DB" w:rsidRPr="001021DB" w:rsidRDefault="22382F12" w:rsidP="63D2B899">
            <w:pPr>
              <w:spacing w:after="160" w:line="259" w:lineRule="auto"/>
              <w:rPr>
                <w:b/>
                <w:bCs/>
                <w:sz w:val="20"/>
              </w:rPr>
            </w:pPr>
            <w:r w:rsidRPr="63D2B899">
              <w:rPr>
                <w:b/>
                <w:bCs/>
                <w:sz w:val="20"/>
              </w:rPr>
              <w:t>Pharmacy days of opening</w:t>
            </w:r>
          </w:p>
          <w:p w14:paraId="2E67867C" w14:textId="13ADA275" w:rsidR="00BA059E" w:rsidRPr="000074E5" w:rsidRDefault="00BA059E" w:rsidP="003F787E">
            <w:pPr>
              <w:spacing w:after="160" w:line="259" w:lineRule="auto"/>
              <w:rPr>
                <w:rFonts w:cs="Arial"/>
                <w:sz w:val="20"/>
              </w:rPr>
            </w:pPr>
            <w:r w:rsidRPr="000074E5">
              <w:rPr>
                <w:rFonts w:cs="Arial"/>
                <w:sz w:val="20"/>
              </w:rPr>
              <w:t xml:space="preserve">Only stable patients for whom the prescriber has authorised take-away doses may be accepted at a pharmacy which is open fewer than seven days a </w:t>
            </w:r>
            <w:r w:rsidR="000074E5" w:rsidRPr="000074E5">
              <w:rPr>
                <w:rFonts w:cs="Arial"/>
                <w:sz w:val="20"/>
              </w:rPr>
              <w:t>week unless</w:t>
            </w:r>
            <w:r w:rsidRPr="000074E5">
              <w:rPr>
                <w:rFonts w:cs="Arial"/>
                <w:sz w:val="20"/>
              </w:rPr>
              <w:t xml:space="preserve"> special arrangements are made for dosing elsewhere on the days on which the pharmacy is closed.</w:t>
            </w:r>
          </w:p>
        </w:tc>
      </w:tr>
      <w:tr w:rsidR="00BA059E" w:rsidRPr="00B30BA3" w14:paraId="6FE5BA81" w14:textId="77777777" w:rsidTr="63D2B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4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4233E" w14:textId="6C6887B6" w:rsidR="00BA059E" w:rsidRPr="000074E5" w:rsidRDefault="00C37545" w:rsidP="003F787E">
            <w:pPr>
              <w:pStyle w:val="DHHSbody"/>
              <w:rPr>
                <w:rFonts w:cs="Arial"/>
              </w:rPr>
            </w:pPr>
            <w:r w:rsidRPr="000074E5">
              <w:rPr>
                <w:rFonts w:cs="Arial"/>
              </w:rPr>
              <w:t xml:space="preserve">If your pharmacy is open fewer than seven days a week, will </w:t>
            </w:r>
            <w:r w:rsidR="00BA059E" w:rsidRPr="000074E5">
              <w:rPr>
                <w:rFonts w:cs="Arial"/>
              </w:rPr>
              <w:t xml:space="preserve">you only accept clients for treatment on your program for whom their prescriber has authorised take-away doses, unless special dosing arrangements are made for </w:t>
            </w:r>
            <w:r w:rsidR="001021DB">
              <w:rPr>
                <w:rFonts w:cs="Arial"/>
              </w:rPr>
              <w:t xml:space="preserve">your pharmacy’s closed </w:t>
            </w:r>
            <w:r w:rsidR="00BA059E" w:rsidRPr="000074E5">
              <w:rPr>
                <w:rFonts w:cs="Arial"/>
              </w:rPr>
              <w:t>days</w:t>
            </w:r>
            <w:r w:rsidR="001021DB">
              <w:rPr>
                <w:rFonts w:cs="Arial"/>
              </w:rPr>
              <w:t>?</w:t>
            </w:r>
          </w:p>
        </w:tc>
        <w:tc>
          <w:tcPr>
            <w:tcW w:w="851" w:type="pct"/>
            <w:gridSpan w:val="2"/>
            <w:tcBorders>
              <w:top w:val="single" w:sz="4" w:space="0" w:color="auto"/>
              <w:left w:val="single" w:sz="4" w:space="0" w:color="auto"/>
              <w:bottom w:val="single" w:sz="4" w:space="0" w:color="auto"/>
              <w:right w:val="single" w:sz="4" w:space="0" w:color="auto"/>
            </w:tcBorders>
            <w:shd w:val="clear" w:color="auto" w:fill="auto"/>
          </w:tcPr>
          <w:p w14:paraId="7508EE17" w14:textId="5D1F85E3" w:rsidR="00BA059E" w:rsidRPr="000074E5" w:rsidRDefault="00CE59DA" w:rsidP="003F787E">
            <w:pPr>
              <w:pStyle w:val="DHHSbody"/>
              <w:rPr>
                <w:rFonts w:cs="Arial"/>
                <w:b/>
              </w:rPr>
            </w:pPr>
            <w:sdt>
              <w:sdtPr>
                <w:rPr>
                  <w:rFonts w:cs="Arial"/>
                  <w:b/>
                </w:rPr>
                <w:id w:val="-1830353880"/>
                <w14:checkbox>
                  <w14:checked w14:val="0"/>
                  <w14:checkedState w14:val="2612" w14:font="MS Gothic"/>
                  <w14:uncheckedState w14:val="2610" w14:font="MS Gothic"/>
                </w14:checkbox>
              </w:sdtPr>
              <w:sdtEndPr/>
              <w:sdtContent>
                <w:r w:rsidR="00BA059E" w:rsidRPr="000074E5">
                  <w:rPr>
                    <w:rFonts w:ascii="MS Gothic" w:eastAsia="MS Gothic" w:hAnsi="MS Gothic" w:cs="Arial"/>
                    <w:b/>
                  </w:rPr>
                  <w:t>☐</w:t>
                </w:r>
              </w:sdtContent>
            </w:sdt>
            <w:r w:rsidR="00BA059E" w:rsidRPr="000074E5">
              <w:rPr>
                <w:rFonts w:cs="Arial"/>
                <w:b/>
              </w:rPr>
              <w:t xml:space="preserve"> Yes</w:t>
            </w:r>
          </w:p>
          <w:p w14:paraId="72A2F033" w14:textId="77BBC6CE" w:rsidR="00BA059E" w:rsidRPr="000074E5" w:rsidRDefault="00CE59DA" w:rsidP="003F787E">
            <w:pPr>
              <w:pStyle w:val="DHHSbody"/>
              <w:rPr>
                <w:rFonts w:cs="Arial"/>
              </w:rPr>
            </w:pPr>
            <w:sdt>
              <w:sdtPr>
                <w:rPr>
                  <w:rFonts w:cs="Arial"/>
                  <w:b/>
                  <w:bCs/>
                </w:rPr>
                <w:id w:val="-1258208038"/>
                <w14:checkbox>
                  <w14:checked w14:val="0"/>
                  <w14:checkedState w14:val="2612" w14:font="MS Gothic"/>
                  <w14:uncheckedState w14:val="2610" w14:font="MS Gothic"/>
                </w14:checkbox>
              </w:sdtPr>
              <w:sdtEndPr/>
              <w:sdtContent>
                <w:r w:rsidR="00BA059E" w:rsidRPr="000074E5">
                  <w:rPr>
                    <w:rFonts w:ascii="MS Gothic" w:eastAsia="MS Gothic" w:hAnsi="MS Gothic" w:cs="Arial"/>
                    <w:b/>
                    <w:bCs/>
                  </w:rPr>
                  <w:t>☐</w:t>
                </w:r>
              </w:sdtContent>
            </w:sdt>
            <w:r w:rsidR="00BA059E" w:rsidRPr="000074E5">
              <w:rPr>
                <w:rFonts w:cs="Arial"/>
                <w:b/>
                <w:bCs/>
              </w:rPr>
              <w:t xml:space="preserve"> No</w:t>
            </w:r>
            <w:r w:rsidR="00BA059E" w:rsidRPr="000074E5">
              <w:rPr>
                <w:rFonts w:cs="Arial"/>
              </w:rPr>
              <w:t xml:space="preserve"> </w:t>
            </w:r>
          </w:p>
        </w:tc>
      </w:tr>
      <w:tr w:rsidR="00BA059E" w:rsidRPr="00B30BA3" w14:paraId="6C67C658" w14:textId="77777777" w:rsidTr="63D2B89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FC1E388" w14:textId="16497F0E" w:rsidR="001021DB" w:rsidRPr="001021DB" w:rsidRDefault="22382F12" w:rsidP="63D2B899">
            <w:pPr>
              <w:spacing w:after="160" w:line="259" w:lineRule="auto"/>
              <w:rPr>
                <w:b/>
                <w:bCs/>
                <w:sz w:val="20"/>
              </w:rPr>
            </w:pPr>
            <w:r w:rsidRPr="63D2B899">
              <w:rPr>
                <w:b/>
                <w:bCs/>
                <w:sz w:val="20"/>
              </w:rPr>
              <w:t xml:space="preserve">Pregnancy or breastfeeding while on </w:t>
            </w:r>
            <w:r w:rsidR="58D77E91" w:rsidRPr="63D2B899">
              <w:rPr>
                <w:b/>
                <w:bCs/>
                <w:sz w:val="20"/>
              </w:rPr>
              <w:t>pharmacotherapy</w:t>
            </w:r>
            <w:r w:rsidRPr="63D2B899">
              <w:rPr>
                <w:b/>
                <w:bCs/>
                <w:sz w:val="20"/>
              </w:rPr>
              <w:t xml:space="preserve"> </w:t>
            </w:r>
          </w:p>
          <w:p w14:paraId="50F74A90" w14:textId="4CE67E03" w:rsidR="00665DC0" w:rsidRDefault="00665DC0" w:rsidP="63D2B899">
            <w:pPr>
              <w:spacing w:after="160" w:line="259" w:lineRule="auto"/>
              <w:rPr>
                <w:rFonts w:cs="Arial"/>
                <w:sz w:val="20"/>
              </w:rPr>
            </w:pPr>
            <w:r w:rsidRPr="63D2B899">
              <w:rPr>
                <w:rFonts w:cs="Arial"/>
                <w:sz w:val="20"/>
              </w:rPr>
              <w:t xml:space="preserve">Continued pharmacotherapy treatment essential for pregnant patients – the benefits of maintenance far outweigh the risks which treatment cessation poses to both mother and baby. </w:t>
            </w:r>
          </w:p>
          <w:p w14:paraId="5E5B375D" w14:textId="66ED0802" w:rsidR="001021DB" w:rsidRPr="00B30BA3" w:rsidRDefault="00BA059E" w:rsidP="63D2B899">
            <w:pPr>
              <w:spacing w:after="160" w:line="259" w:lineRule="auto"/>
              <w:rPr>
                <w:rFonts w:cs="Arial"/>
                <w:sz w:val="20"/>
              </w:rPr>
            </w:pPr>
            <w:r w:rsidRPr="63D2B899">
              <w:rPr>
                <w:rFonts w:cs="Arial"/>
                <w:sz w:val="20"/>
              </w:rPr>
              <w:t>Prescribers are recommended to refer their patients to a specialist maternal pharmacotherapy prescribing service</w:t>
            </w:r>
            <w:r w:rsidR="22382F12" w:rsidRPr="63D2B899">
              <w:rPr>
                <w:rFonts w:cs="Arial"/>
                <w:sz w:val="20"/>
              </w:rPr>
              <w:t xml:space="preserve"> such as that found at the </w:t>
            </w:r>
            <w:hyperlink r:id="rId46">
              <w:r w:rsidRPr="63D2B899">
                <w:rPr>
                  <w:rStyle w:val="Hyperlink"/>
                  <w:rFonts w:cs="Arial"/>
                  <w:sz w:val="20"/>
                </w:rPr>
                <w:t>Royal Women’s Hospital</w:t>
              </w:r>
            </w:hyperlink>
            <w:r w:rsidR="22382F12" w:rsidRPr="63D2B899">
              <w:rPr>
                <w:rFonts w:cs="Arial"/>
                <w:sz w:val="20"/>
              </w:rPr>
              <w:t xml:space="preserve">. </w:t>
            </w:r>
            <w:r w:rsidRPr="63D2B899">
              <w:rPr>
                <w:rFonts w:cs="Arial"/>
                <w:sz w:val="20"/>
              </w:rPr>
              <w:t xml:space="preserve">Engagement with a </w:t>
            </w:r>
            <w:r w:rsidR="22382F12" w:rsidRPr="63D2B899">
              <w:rPr>
                <w:rFonts w:cs="Arial"/>
                <w:sz w:val="20"/>
              </w:rPr>
              <w:t>pharmacotherapy</w:t>
            </w:r>
            <w:r w:rsidRPr="63D2B899">
              <w:rPr>
                <w:rFonts w:cs="Arial"/>
                <w:sz w:val="20"/>
              </w:rPr>
              <w:t xml:space="preserve"> program – especially if connected to a specialist maternal pharmacotherapy prescriber – affords a patient access to comprehensive ante</w:t>
            </w:r>
            <w:r w:rsidR="352185E2" w:rsidRPr="63D2B899">
              <w:rPr>
                <w:rFonts w:cs="Arial"/>
                <w:sz w:val="20"/>
              </w:rPr>
              <w:t>-</w:t>
            </w:r>
            <w:r w:rsidRPr="63D2B899">
              <w:rPr>
                <w:rFonts w:cs="Arial"/>
                <w:sz w:val="20"/>
              </w:rPr>
              <w:t xml:space="preserve"> and postnatal care, important in addressing the risk of</w:t>
            </w:r>
            <w:r w:rsidR="352185E2" w:rsidRPr="63D2B899">
              <w:rPr>
                <w:rFonts w:cs="Arial"/>
                <w:sz w:val="20"/>
              </w:rPr>
              <w:t xml:space="preserve"> neonatal abstinence syndrome</w:t>
            </w:r>
            <w:r w:rsidR="00665DC0" w:rsidRPr="63D2B899">
              <w:rPr>
                <w:rFonts w:cs="Arial"/>
                <w:sz w:val="20"/>
              </w:rPr>
              <w:t xml:space="preserve"> </w:t>
            </w:r>
          </w:p>
        </w:tc>
      </w:tr>
      <w:tr w:rsidR="001021DB" w:rsidRPr="00B30BA3" w14:paraId="546D33B1" w14:textId="77777777" w:rsidTr="63D2B899">
        <w:tc>
          <w:tcPr>
            <w:tcW w:w="41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EEEDBB" w14:textId="2C26303F" w:rsidR="001021DB" w:rsidRPr="001021DB" w:rsidRDefault="22382F12" w:rsidP="63D2B899">
            <w:pPr>
              <w:spacing w:after="160" w:line="259" w:lineRule="auto"/>
              <w:rPr>
                <w:sz w:val="18"/>
                <w:szCs w:val="18"/>
              </w:rPr>
            </w:pPr>
            <w:r w:rsidRPr="63D2B899">
              <w:rPr>
                <w:sz w:val="20"/>
              </w:rPr>
              <w:lastRenderedPageBreak/>
              <w:t xml:space="preserve">Are all pharmacists aware that maintenance on pharmacotherapy is essential for </w:t>
            </w:r>
            <w:r w:rsidR="00665DC0" w:rsidRPr="63D2B899">
              <w:rPr>
                <w:sz w:val="20"/>
              </w:rPr>
              <w:t xml:space="preserve">pregnant </w:t>
            </w:r>
            <w:r w:rsidRPr="63D2B899">
              <w:rPr>
                <w:sz w:val="20"/>
              </w:rPr>
              <w:t xml:space="preserve">women </w:t>
            </w:r>
            <w:r w:rsidR="00665DC0" w:rsidRPr="63D2B899">
              <w:rPr>
                <w:sz w:val="20"/>
              </w:rPr>
              <w:t>who are established on the program, and that sudden withdrawal from pharmacotherapy has the potential to cause harm to both the mother and child?</w:t>
            </w:r>
          </w:p>
        </w:tc>
        <w:tc>
          <w:tcPr>
            <w:tcW w:w="900" w:type="pct"/>
            <w:gridSpan w:val="3"/>
            <w:tcBorders>
              <w:top w:val="single" w:sz="4" w:space="0" w:color="auto"/>
              <w:left w:val="single" w:sz="4" w:space="0" w:color="auto"/>
              <w:bottom w:val="single" w:sz="4" w:space="0" w:color="auto"/>
              <w:right w:val="single" w:sz="4" w:space="0" w:color="auto"/>
            </w:tcBorders>
            <w:shd w:val="clear" w:color="auto" w:fill="auto"/>
          </w:tcPr>
          <w:p w14:paraId="043077B5" w14:textId="77777777" w:rsidR="00665DC0" w:rsidRPr="000074E5" w:rsidRDefault="00CE59DA" w:rsidP="00665DC0">
            <w:pPr>
              <w:pStyle w:val="DHHSbody"/>
              <w:rPr>
                <w:rFonts w:cs="Arial"/>
                <w:b/>
              </w:rPr>
            </w:pPr>
            <w:sdt>
              <w:sdtPr>
                <w:rPr>
                  <w:rFonts w:cs="Arial"/>
                  <w:b/>
                </w:rPr>
                <w:id w:val="-171569262"/>
                <w14:checkbox>
                  <w14:checked w14:val="0"/>
                  <w14:checkedState w14:val="2612" w14:font="MS Gothic"/>
                  <w14:uncheckedState w14:val="2610" w14:font="MS Gothic"/>
                </w14:checkbox>
              </w:sdtPr>
              <w:sdtEndPr/>
              <w:sdtContent>
                <w:r w:rsidR="00665DC0" w:rsidRPr="000074E5">
                  <w:rPr>
                    <w:rFonts w:ascii="MS Gothic" w:eastAsia="MS Gothic" w:hAnsi="MS Gothic" w:cs="Arial"/>
                    <w:b/>
                  </w:rPr>
                  <w:t>☐</w:t>
                </w:r>
              </w:sdtContent>
            </w:sdt>
            <w:r w:rsidR="00665DC0" w:rsidRPr="000074E5">
              <w:rPr>
                <w:rFonts w:cs="Arial"/>
                <w:b/>
              </w:rPr>
              <w:t xml:space="preserve"> Yes</w:t>
            </w:r>
          </w:p>
          <w:p w14:paraId="65C868E6" w14:textId="526D03D0" w:rsidR="001021DB" w:rsidRPr="001021DB" w:rsidRDefault="00CE59DA" w:rsidP="00665DC0">
            <w:pPr>
              <w:spacing w:after="160" w:line="259" w:lineRule="auto"/>
              <w:rPr>
                <w:b/>
                <w:bCs/>
              </w:rPr>
            </w:pPr>
            <w:sdt>
              <w:sdtPr>
                <w:rPr>
                  <w:rFonts w:cs="Arial"/>
                  <w:b/>
                  <w:bCs/>
                  <w:sz w:val="20"/>
                </w:rPr>
                <w:id w:val="-1554298016"/>
                <w14:checkbox>
                  <w14:checked w14:val="0"/>
                  <w14:checkedState w14:val="2612" w14:font="MS Gothic"/>
                  <w14:uncheckedState w14:val="2610" w14:font="MS Gothic"/>
                </w14:checkbox>
              </w:sdtPr>
              <w:sdtEndPr/>
              <w:sdtContent>
                <w:r w:rsidR="00665DC0" w:rsidRPr="000074E5">
                  <w:rPr>
                    <w:rFonts w:ascii="MS Gothic" w:eastAsia="MS Gothic" w:hAnsi="MS Gothic" w:cs="Arial"/>
                    <w:b/>
                    <w:bCs/>
                    <w:sz w:val="20"/>
                  </w:rPr>
                  <w:t>☐</w:t>
                </w:r>
              </w:sdtContent>
            </w:sdt>
            <w:r w:rsidR="00665DC0" w:rsidRPr="000074E5">
              <w:rPr>
                <w:rFonts w:cs="Arial"/>
                <w:b/>
                <w:bCs/>
                <w:sz w:val="20"/>
              </w:rPr>
              <w:t xml:space="preserve"> No</w:t>
            </w:r>
          </w:p>
        </w:tc>
      </w:tr>
    </w:tbl>
    <w:p w14:paraId="06F0997E" w14:textId="589969D9" w:rsidR="00162CA9" w:rsidRDefault="00162CA9" w:rsidP="006A3767">
      <w:pPr>
        <w:pStyle w:val="Body"/>
      </w:pPr>
    </w:p>
    <w:p w14:paraId="107E9894" w14:textId="63B02B13" w:rsidR="00DC016E" w:rsidRDefault="00DC016E" w:rsidP="006A3767">
      <w:pPr>
        <w:pStyle w:val="Body"/>
      </w:pPr>
    </w:p>
    <w:tbl>
      <w:tblPr>
        <w:tblStyle w:val="TableGrid"/>
        <w:tblW w:w="10407" w:type="dxa"/>
        <w:tblLook w:val="04A0" w:firstRow="1" w:lastRow="0" w:firstColumn="1" w:lastColumn="0" w:noHBand="0" w:noVBand="1"/>
      </w:tblPr>
      <w:tblGrid>
        <w:gridCol w:w="10407"/>
      </w:tblGrid>
      <w:tr w:rsidR="00DC016E" w:rsidRPr="006C3485" w14:paraId="4B3F3C84" w14:textId="77777777" w:rsidTr="002D2BC3">
        <w:trPr>
          <w:trHeight w:val="3194"/>
        </w:trPr>
        <w:tc>
          <w:tcPr>
            <w:tcW w:w="10407" w:type="dxa"/>
          </w:tcPr>
          <w:p w14:paraId="79D035E4" w14:textId="1709BCED" w:rsidR="00A60009" w:rsidRDefault="00DC016E" w:rsidP="002D2BC3">
            <w:pPr>
              <w:pStyle w:val="NormalWeb"/>
              <w:shd w:val="clear" w:color="auto" w:fill="FFFFFF"/>
              <w:spacing w:before="0" w:beforeAutospacing="0" w:after="336" w:afterAutospacing="0" w:line="336" w:lineRule="atLeast"/>
              <w:rPr>
                <w:rFonts w:ascii="Arial" w:hAnsi="Arial" w:cs="Arial"/>
                <w:color w:val="323130"/>
                <w:sz w:val="20"/>
                <w:szCs w:val="20"/>
              </w:rPr>
            </w:pPr>
            <w:r w:rsidRPr="00DC016E">
              <w:rPr>
                <w:rFonts w:ascii="Arial" w:hAnsi="Arial" w:cs="Arial"/>
                <w:color w:val="323130"/>
                <w:sz w:val="20"/>
                <w:szCs w:val="20"/>
              </w:rPr>
              <w:t xml:space="preserve">To receive this document in another format, </w:t>
            </w:r>
            <w:r w:rsidRPr="00CE59DA">
              <w:rPr>
                <w:rFonts w:ascii="Arial" w:hAnsi="Arial" w:cs="Arial"/>
                <w:sz w:val="20"/>
                <w:szCs w:val="20"/>
              </w:rPr>
              <w:t>email</w:t>
            </w:r>
            <w:r w:rsidRPr="00DC016E">
              <w:rPr>
                <w:rFonts w:ascii="Arial" w:hAnsi="Arial" w:cs="Arial"/>
                <w:color w:val="323130"/>
                <w:sz w:val="20"/>
                <w:szCs w:val="20"/>
              </w:rPr>
              <w:t xml:space="preserve"> </w:t>
            </w:r>
            <w:hyperlink r:id="rId47" w:history="1">
              <w:r w:rsidRPr="00DC016E">
                <w:rPr>
                  <w:rStyle w:val="Hyperlink"/>
                  <w:rFonts w:ascii="Arial" w:hAnsi="Arial" w:cs="Arial"/>
                  <w:sz w:val="20"/>
                  <w:szCs w:val="20"/>
                </w:rPr>
                <w:t>Pharmacotherapy Enquires</w:t>
              </w:r>
            </w:hyperlink>
            <w:r w:rsidRPr="00DC016E">
              <w:rPr>
                <w:rFonts w:ascii="Arial" w:hAnsi="Arial" w:cs="Arial"/>
                <w:color w:val="323130"/>
                <w:sz w:val="20"/>
                <w:szCs w:val="20"/>
              </w:rPr>
              <w:t xml:space="preserve"> &lt;pharmacotherapy@health.vic.gov.au&gt;.</w:t>
            </w:r>
          </w:p>
          <w:p w14:paraId="3537EC7D" w14:textId="43B059BF" w:rsidR="00DC016E" w:rsidRPr="00A60009" w:rsidRDefault="00DC016E" w:rsidP="002D2BC3">
            <w:pPr>
              <w:pStyle w:val="NormalWeb"/>
              <w:shd w:val="clear" w:color="auto" w:fill="FFFFFF"/>
              <w:spacing w:before="0" w:beforeAutospacing="0" w:after="336" w:afterAutospacing="0" w:line="336" w:lineRule="atLeast"/>
              <w:rPr>
                <w:rFonts w:ascii="Arial" w:hAnsi="Arial" w:cs="Arial"/>
                <w:color w:val="323130"/>
                <w:sz w:val="20"/>
                <w:szCs w:val="20"/>
                <w:shd w:val="clear" w:color="auto" w:fill="FFFFFF"/>
              </w:rPr>
            </w:pPr>
            <w:r w:rsidRPr="00DC016E">
              <w:rPr>
                <w:rFonts w:ascii="Arial" w:hAnsi="Arial" w:cs="Arial"/>
                <w:color w:val="323130"/>
                <w:sz w:val="20"/>
                <w:szCs w:val="20"/>
                <w:shd w:val="clear" w:color="auto" w:fill="FFFFFF"/>
              </w:rPr>
              <w:t>Authorised and published by the Victorian Government, 1 Treasury Place, Melbourne.</w:t>
            </w:r>
            <w:r w:rsidRPr="00DC016E">
              <w:rPr>
                <w:rFonts w:ascii="Arial" w:hAnsi="Arial" w:cs="Arial"/>
                <w:color w:val="323130"/>
                <w:sz w:val="20"/>
                <w:szCs w:val="20"/>
              </w:rPr>
              <w:br/>
            </w:r>
            <w:r w:rsidRPr="00DC016E">
              <w:rPr>
                <w:rFonts w:ascii="Arial" w:hAnsi="Arial" w:cs="Arial"/>
                <w:color w:val="323130"/>
                <w:sz w:val="20"/>
                <w:szCs w:val="20"/>
                <w:shd w:val="clear" w:color="auto" w:fill="FFFFFF"/>
              </w:rPr>
              <w:t>© State of Victoria, Australia, Department of Health, August 2022.</w:t>
            </w:r>
          </w:p>
          <w:p w14:paraId="3D784D6E" w14:textId="2995D6CA" w:rsidR="00DC016E" w:rsidRPr="006C3485" w:rsidRDefault="00A60009" w:rsidP="002D2BC3">
            <w:pPr>
              <w:pStyle w:val="NormalWeb"/>
              <w:shd w:val="clear" w:color="auto" w:fill="FFFFFF"/>
              <w:spacing w:before="0" w:beforeAutospacing="0" w:after="0" w:afterAutospacing="0" w:line="336" w:lineRule="atLeast"/>
              <w:rPr>
                <w:rFonts w:ascii="Arial" w:hAnsi="Arial" w:cs="Arial"/>
                <w:color w:val="323130"/>
                <w:sz w:val="27"/>
                <w:szCs w:val="27"/>
              </w:rPr>
            </w:pPr>
            <w:r w:rsidRPr="00A60009">
              <w:rPr>
                <w:rFonts w:ascii="Arial" w:hAnsi="Arial" w:cs="Arial"/>
                <w:color w:val="323130"/>
                <w:sz w:val="20"/>
                <w:szCs w:val="20"/>
                <w:shd w:val="clear" w:color="auto" w:fill="FFFFFF"/>
              </w:rPr>
              <w:t xml:space="preserve">ISBN 978-1-76096-094-0 (pdf/online/MS word) </w:t>
            </w:r>
            <w:r w:rsidR="00DC016E" w:rsidRPr="00DC016E">
              <w:rPr>
                <w:rFonts w:ascii="Arial" w:hAnsi="Arial" w:cs="Arial"/>
                <w:color w:val="323130"/>
                <w:sz w:val="20"/>
                <w:szCs w:val="20"/>
              </w:rPr>
              <w:t>Available at &lt;</w:t>
            </w:r>
            <w:hyperlink r:id="rId48" w:anchor="permit-to-treat-an-opioid-dependent-person-%E2%80%93-application-form" w:history="1">
              <w:r w:rsidR="00DC016E" w:rsidRPr="00DC016E">
                <w:rPr>
                  <w:rStyle w:val="Hyperlink"/>
                  <w:rFonts w:ascii="Arial" w:hAnsi="Arial" w:cs="Arial"/>
                  <w:sz w:val="20"/>
                  <w:szCs w:val="20"/>
                </w:rPr>
                <w:t>Pharmacotherapy – forms, applications and Pharmacotherapy Networks</w:t>
              </w:r>
            </w:hyperlink>
            <w:r w:rsidR="00DC016E" w:rsidRPr="00DC016E">
              <w:rPr>
                <w:rFonts w:ascii="Arial" w:hAnsi="Arial" w:cs="Arial"/>
                <w:color w:val="323130"/>
                <w:sz w:val="20"/>
                <w:szCs w:val="20"/>
              </w:rPr>
              <w:t>&gt; &lt;</w:t>
            </w:r>
            <w:r w:rsidR="00DC016E" w:rsidRPr="00DC016E">
              <w:rPr>
                <w:rFonts w:ascii="Arial" w:hAnsi="Arial" w:cs="Arial"/>
                <w:sz w:val="20"/>
                <w:szCs w:val="20"/>
              </w:rPr>
              <w:t xml:space="preserve"> </w:t>
            </w:r>
            <w:r w:rsidR="00DC016E" w:rsidRPr="00DC016E">
              <w:rPr>
                <w:rFonts w:ascii="Arial" w:hAnsi="Arial" w:cs="Arial"/>
                <w:color w:val="323130"/>
                <w:sz w:val="20"/>
                <w:szCs w:val="20"/>
              </w:rPr>
              <w:t>https://www.health.vic.gov.au/drugs-and-poisons/pharmacotherapy-forms-applications-and-pharmacotherapy-networks#permit-to-treat-an-opioid-dependent-person-%E2%80%93-application-form&gt;</w:t>
            </w:r>
          </w:p>
        </w:tc>
      </w:tr>
    </w:tbl>
    <w:p w14:paraId="7871526A" w14:textId="4CAE5C32" w:rsidR="00DC016E" w:rsidRDefault="00DC016E" w:rsidP="00DC016E">
      <w:pPr>
        <w:pStyle w:val="DHHSbullet1"/>
      </w:pPr>
    </w:p>
    <w:sectPr w:rsidR="00DC016E" w:rsidSect="0064637D">
      <w:footerReference w:type="default" r:id="rId4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7928" w14:textId="77777777" w:rsidR="00691C28" w:rsidRDefault="00691C28">
      <w:r>
        <w:separator/>
      </w:r>
    </w:p>
  </w:endnote>
  <w:endnote w:type="continuationSeparator" w:id="0">
    <w:p w14:paraId="7CECB7DD" w14:textId="77777777" w:rsidR="00691C28" w:rsidRDefault="00691C28">
      <w:r>
        <w:continuationSeparator/>
      </w:r>
    </w:p>
  </w:endnote>
  <w:endnote w:type="continuationNotice" w:id="1">
    <w:p w14:paraId="346AEC3F" w14:textId="77777777" w:rsidR="00691C28" w:rsidRDefault="00691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1532" w14:textId="77777777" w:rsidR="005B3B50" w:rsidRDefault="005B3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B9DE" w14:textId="77777777" w:rsidR="004A3443" w:rsidRPr="00F65AA9" w:rsidRDefault="004A3443" w:rsidP="00F84FA0">
    <w:pPr>
      <w:pStyle w:val="Footer"/>
    </w:pPr>
    <w:r>
      <w:rPr>
        <w:noProof/>
        <w:lang w:eastAsia="en-AU"/>
      </w:rPr>
      <w:drawing>
        <wp:anchor distT="0" distB="0" distL="114300" distR="114300" simplePos="0" relativeHeight="251658242" behindDoc="1" locked="1" layoutInCell="1" allowOverlap="1" wp14:anchorId="44185C99" wp14:editId="75A53A89">
          <wp:simplePos x="542260" y="9324753"/>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EC39B9E" wp14:editId="1135F45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51E80" w14:textId="77777777" w:rsidR="004A3443" w:rsidRPr="00B21F90" w:rsidRDefault="004A344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C39B9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2951E80" w14:textId="77777777" w:rsidR="004A3443" w:rsidRPr="00B21F90" w:rsidRDefault="004A344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E433" w14:textId="77777777" w:rsidR="004A3443" w:rsidRDefault="004A3443">
    <w:pPr>
      <w:pStyle w:val="Footer"/>
    </w:pPr>
    <w:r>
      <w:rPr>
        <w:noProof/>
      </w:rPr>
      <mc:AlternateContent>
        <mc:Choice Requires="wps">
          <w:drawing>
            <wp:anchor distT="0" distB="0" distL="114300" distR="114300" simplePos="1" relativeHeight="251658241" behindDoc="0" locked="0" layoutInCell="0" allowOverlap="1" wp14:anchorId="5DEC3FD7" wp14:editId="4B5A13D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23F93" w14:textId="77777777" w:rsidR="004A3443" w:rsidRPr="00B21F90" w:rsidRDefault="004A344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EC3FD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3223F93" w14:textId="77777777" w:rsidR="004A3443" w:rsidRPr="00B21F90" w:rsidRDefault="004A344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027A" w14:textId="77777777" w:rsidR="004A3443" w:rsidRPr="00F65AA9" w:rsidRDefault="004A3443" w:rsidP="00F84FA0">
    <w:pPr>
      <w:pStyle w:val="Footer"/>
    </w:pPr>
    <w:r>
      <w:rPr>
        <w:noProof/>
      </w:rPr>
      <mc:AlternateContent>
        <mc:Choice Requires="wps">
          <w:drawing>
            <wp:anchor distT="0" distB="0" distL="114300" distR="114300" simplePos="0" relativeHeight="251658243" behindDoc="0" locked="0" layoutInCell="0" allowOverlap="1" wp14:anchorId="59B7044D" wp14:editId="5D2CF3D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1DB2B6" w14:textId="77777777" w:rsidR="004A3443" w:rsidRPr="00B07FF7" w:rsidRDefault="004A3443"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B7044D"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61DB2B6" w14:textId="77777777" w:rsidR="004A3443" w:rsidRPr="00B07FF7" w:rsidRDefault="004A3443"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1D70" w14:textId="77777777" w:rsidR="00691C28" w:rsidRDefault="00691C28" w:rsidP="002862F1">
      <w:pPr>
        <w:spacing w:before="120"/>
      </w:pPr>
      <w:r>
        <w:separator/>
      </w:r>
    </w:p>
  </w:footnote>
  <w:footnote w:type="continuationSeparator" w:id="0">
    <w:p w14:paraId="14C68247" w14:textId="77777777" w:rsidR="00691C28" w:rsidRDefault="00691C28">
      <w:r>
        <w:continuationSeparator/>
      </w:r>
    </w:p>
  </w:footnote>
  <w:footnote w:type="continuationNotice" w:id="1">
    <w:p w14:paraId="46296C0A" w14:textId="77777777" w:rsidR="00691C28" w:rsidRDefault="00691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DA00" w14:textId="77777777" w:rsidR="005B3B50" w:rsidRDefault="005B3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C8AE" w14:textId="77777777" w:rsidR="004A3443" w:rsidRDefault="004A3443"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5B56" w14:textId="77777777" w:rsidR="005B3B50" w:rsidRDefault="005B3B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4802" w14:textId="6B7CD0CC" w:rsidR="004A3443" w:rsidRPr="0051568D" w:rsidRDefault="004A3443" w:rsidP="0011701A">
    <w:pPr>
      <w:pStyle w:val="Header"/>
    </w:pPr>
    <w:r>
      <w:t>Pharmacotherapy: Pharmacy self-assessment checklist</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669"/>
    <w:multiLevelType w:val="hybridMultilevel"/>
    <w:tmpl w:val="E94CC60C"/>
    <w:lvl w:ilvl="0" w:tplc="8824581E">
      <w:start w:val="1"/>
      <w:numFmt w:val="bullet"/>
      <w:lvlText w:val=""/>
      <w:lvlJc w:val="left"/>
      <w:pPr>
        <w:tabs>
          <w:tab w:val="num" w:pos="720"/>
        </w:tabs>
        <w:ind w:left="720" w:hanging="360"/>
      </w:pPr>
      <w:rPr>
        <w:rFonts w:ascii="Wingdings" w:hAnsi="Wingdings" w:hint="default"/>
        <w:sz w:val="32"/>
      </w:rPr>
    </w:lvl>
    <w:lvl w:ilvl="1" w:tplc="0C090001">
      <w:start w:val="1"/>
      <w:numFmt w:val="bullet"/>
      <w:lvlText w:val=""/>
      <w:lvlJc w:val="left"/>
      <w:pPr>
        <w:tabs>
          <w:tab w:val="num" w:pos="1440"/>
        </w:tabs>
        <w:ind w:left="1440" w:hanging="360"/>
      </w:pPr>
      <w:rPr>
        <w:rFonts w:ascii="Symbol" w:hAnsi="Symbol"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B4FBB"/>
    <w:multiLevelType w:val="hybridMultilevel"/>
    <w:tmpl w:val="B6BA77C8"/>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75F86"/>
    <w:multiLevelType w:val="hybridMultilevel"/>
    <w:tmpl w:val="772EC46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51E7A9F"/>
    <w:multiLevelType w:val="hybridMultilevel"/>
    <w:tmpl w:val="15D4AB80"/>
    <w:lvl w:ilvl="0" w:tplc="D646F84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12904"/>
    <w:multiLevelType w:val="hybridMultilevel"/>
    <w:tmpl w:val="8F927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E842273"/>
    <w:multiLevelType w:val="hybridMultilevel"/>
    <w:tmpl w:val="00FE678A"/>
    <w:lvl w:ilvl="0" w:tplc="AFC2108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DE3B7F"/>
    <w:multiLevelType w:val="hybridMultilevel"/>
    <w:tmpl w:val="8E420D7A"/>
    <w:lvl w:ilvl="0" w:tplc="AFC2108E">
      <w:start w:val="1"/>
      <w:numFmt w:val="bullet"/>
      <w:lvlText w:val="-"/>
      <w:lvlJc w:val="left"/>
      <w:pPr>
        <w:ind w:left="720" w:hanging="360"/>
      </w:pPr>
      <w:rPr>
        <w:rFonts w:ascii="Courier New" w:hAnsi="Courier New" w:hint="default"/>
      </w:rPr>
    </w:lvl>
    <w:lvl w:ilvl="1" w:tplc="FAAC22E8">
      <w:numFmt w:val="bullet"/>
      <w:lvlText w:val="-"/>
      <w:lvlJc w:val="left"/>
      <w:pPr>
        <w:ind w:left="1440" w:hanging="36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FA78D6"/>
    <w:multiLevelType w:val="hybridMultilevel"/>
    <w:tmpl w:val="FC6EC54E"/>
    <w:lvl w:ilvl="0" w:tplc="0C090001">
      <w:start w:val="1"/>
      <w:numFmt w:val="bullet"/>
      <w:lvlText w:val=""/>
      <w:lvlJc w:val="left"/>
      <w:pPr>
        <w:ind w:left="720" w:hanging="360"/>
      </w:pPr>
      <w:rPr>
        <w:rFonts w:ascii="Symbol" w:hAnsi="Symbol" w:hint="default"/>
      </w:rPr>
    </w:lvl>
    <w:lvl w:ilvl="1" w:tplc="8A243254">
      <w:numFmt w:val="bullet"/>
      <w:lvlText w:val="-"/>
      <w:lvlJc w:val="left"/>
      <w:pPr>
        <w:ind w:left="1440" w:hanging="360"/>
      </w:pPr>
      <w:rPr>
        <w:rFonts w:ascii="Calibri" w:eastAsiaTheme="minorHAnsi" w:hAnsi="Calibri" w:cstheme="minorBidi" w:hint="default"/>
      </w:rPr>
    </w:lvl>
    <w:lvl w:ilvl="2" w:tplc="8A243254">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839B9"/>
    <w:multiLevelType w:val="hybridMultilevel"/>
    <w:tmpl w:val="E4201EC6"/>
    <w:lvl w:ilvl="0" w:tplc="8A243254">
      <w:numFmt w:val="bullet"/>
      <w:lvlText w:val="-"/>
      <w:lvlJc w:val="left"/>
      <w:pPr>
        <w:ind w:left="360" w:hanging="360"/>
      </w:pPr>
      <w:rPr>
        <w:rFonts w:ascii="Calibri" w:eastAsiaTheme="minorHAnsi" w:hAnsi="Calibri" w:cstheme="minorBidi" w:hint="default"/>
      </w:rPr>
    </w:lvl>
    <w:lvl w:ilvl="1" w:tplc="8A243254">
      <w:numFmt w:val="bullet"/>
      <w:lvlText w:val="-"/>
      <w:lvlJc w:val="left"/>
      <w:pPr>
        <w:ind w:left="1080" w:hanging="360"/>
      </w:pPr>
      <w:rPr>
        <w:rFonts w:ascii="Calibri" w:eastAsiaTheme="minorHAnsi" w:hAnsi="Calibri" w:cstheme="minorBidi" w:hint="default"/>
      </w:rPr>
    </w:lvl>
    <w:lvl w:ilvl="2" w:tplc="8A243254">
      <w:numFmt w:val="bullet"/>
      <w:lvlText w:val="-"/>
      <w:lvlJc w:val="left"/>
      <w:pPr>
        <w:ind w:left="1800" w:hanging="360"/>
      </w:pPr>
      <w:rPr>
        <w:rFonts w:ascii="Calibri" w:eastAsiaTheme="minorHAnsi" w:hAnsi="Calibri" w:cstheme="minorBid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C03E51"/>
    <w:multiLevelType w:val="hybridMultilevel"/>
    <w:tmpl w:val="9406198A"/>
    <w:lvl w:ilvl="0" w:tplc="0C09000F">
      <w:start w:val="1"/>
      <w:numFmt w:val="decimal"/>
      <w:lvlText w:val="%1."/>
      <w:lvlJc w:val="left"/>
      <w:pPr>
        <w:ind w:left="720" w:hanging="360"/>
      </w:pPr>
    </w:lvl>
    <w:lvl w:ilvl="1" w:tplc="FAAC22E8">
      <w:numFmt w:val="bullet"/>
      <w:lvlText w:val="-"/>
      <w:lvlJc w:val="left"/>
      <w:pPr>
        <w:ind w:left="1440" w:hanging="36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B67905"/>
    <w:multiLevelType w:val="hybridMultilevel"/>
    <w:tmpl w:val="25A0EED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F79EF"/>
    <w:multiLevelType w:val="hybridMultilevel"/>
    <w:tmpl w:val="48323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612FE9"/>
    <w:multiLevelType w:val="hybridMultilevel"/>
    <w:tmpl w:val="56A2EB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B47F24"/>
    <w:multiLevelType w:val="hybridMultilevel"/>
    <w:tmpl w:val="BD32D0B6"/>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EF3BD4"/>
    <w:multiLevelType w:val="hybridMultilevel"/>
    <w:tmpl w:val="AEBAC8D4"/>
    <w:lvl w:ilvl="0" w:tplc="2A324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085A9F"/>
    <w:multiLevelType w:val="hybridMultilevel"/>
    <w:tmpl w:val="86C6F7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8A243254">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DA766AE"/>
    <w:multiLevelType w:val="hybridMultilevel"/>
    <w:tmpl w:val="D9CADA46"/>
    <w:lvl w:ilvl="0" w:tplc="0C090001">
      <w:start w:val="1"/>
      <w:numFmt w:val="bullet"/>
      <w:lvlText w:val=""/>
      <w:lvlJc w:val="left"/>
      <w:pPr>
        <w:tabs>
          <w:tab w:val="num" w:pos="720"/>
        </w:tabs>
        <w:ind w:left="720" w:hanging="360"/>
      </w:pPr>
      <w:rPr>
        <w:rFonts w:ascii="Symbol" w:hAnsi="Symbol" w:hint="default"/>
        <w:sz w:val="32"/>
      </w:rPr>
    </w:lvl>
    <w:lvl w:ilvl="1" w:tplc="0C090001">
      <w:start w:val="1"/>
      <w:numFmt w:val="bullet"/>
      <w:lvlText w:val=""/>
      <w:lvlJc w:val="left"/>
      <w:pPr>
        <w:tabs>
          <w:tab w:val="num" w:pos="1440"/>
        </w:tabs>
        <w:ind w:left="1440" w:hanging="360"/>
      </w:pPr>
      <w:rPr>
        <w:rFonts w:ascii="Symbol" w:hAnsi="Symbol"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E060453"/>
    <w:multiLevelType w:val="hybridMultilevel"/>
    <w:tmpl w:val="2790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8381272"/>
    <w:multiLevelType w:val="hybridMultilevel"/>
    <w:tmpl w:val="B1164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3F0393"/>
    <w:multiLevelType w:val="hybridMultilevel"/>
    <w:tmpl w:val="995E4802"/>
    <w:lvl w:ilvl="0" w:tplc="DB44617C">
      <w:numFmt w:val="bullet"/>
      <w:lvlText w:val="-"/>
      <w:lvlJc w:val="left"/>
      <w:pPr>
        <w:ind w:left="1080" w:hanging="360"/>
      </w:pPr>
      <w:rPr>
        <w:rFonts w:ascii="Calibri" w:eastAsiaTheme="minorHAnsi" w:hAnsi="Calibri" w:cstheme="minorBidi" w:hint="default"/>
      </w:rPr>
    </w:lvl>
    <w:lvl w:ilvl="1" w:tplc="FAAC22E8">
      <w:numFmt w:val="bullet"/>
      <w:lvlText w:val="-"/>
      <w:lvlJc w:val="left"/>
      <w:pPr>
        <w:ind w:left="1800" w:hanging="360"/>
      </w:pPr>
      <w:rPr>
        <w:rFonts w:ascii="Calibri" w:eastAsiaTheme="minorHAnsi" w:hAnsi="Calibri" w:cstheme="minorBidi"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46304E2"/>
    <w:multiLevelType w:val="hybridMultilevel"/>
    <w:tmpl w:val="DD42CE50"/>
    <w:lvl w:ilvl="0" w:tplc="DB44617C">
      <w:numFmt w:val="bullet"/>
      <w:lvlText w:val="-"/>
      <w:lvlJc w:val="left"/>
      <w:pPr>
        <w:ind w:left="1080" w:hanging="360"/>
      </w:pPr>
      <w:rPr>
        <w:rFonts w:ascii="Calibri" w:eastAsiaTheme="minorHAnsi" w:hAnsi="Calibri" w:cstheme="minorBidi" w:hint="default"/>
      </w:rPr>
    </w:lvl>
    <w:lvl w:ilvl="1" w:tplc="FAAC22E8">
      <w:numFmt w:val="bullet"/>
      <w:lvlText w:val="-"/>
      <w:lvlJc w:val="left"/>
      <w:pPr>
        <w:ind w:left="1800" w:hanging="360"/>
      </w:pPr>
      <w:rPr>
        <w:rFonts w:ascii="Calibri" w:eastAsiaTheme="minorHAnsi" w:hAnsi="Calibri" w:cstheme="minorBidi"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47F20C3"/>
    <w:multiLevelType w:val="hybridMultilevel"/>
    <w:tmpl w:val="40FA36D0"/>
    <w:lvl w:ilvl="0" w:tplc="8A243254">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D57F7A"/>
    <w:multiLevelType w:val="hybridMultilevel"/>
    <w:tmpl w:val="4642CAEE"/>
    <w:lvl w:ilvl="0" w:tplc="8A243254">
      <w:numFmt w:val="bullet"/>
      <w:lvlText w:val="-"/>
      <w:lvlJc w:val="left"/>
      <w:pPr>
        <w:ind w:left="360" w:hanging="360"/>
      </w:pPr>
      <w:rPr>
        <w:rFonts w:ascii="Calibri" w:eastAsiaTheme="minorHAnsi" w:hAnsi="Calibri" w:cstheme="minorBidi" w:hint="default"/>
      </w:rPr>
    </w:lvl>
    <w:lvl w:ilvl="1" w:tplc="8A243254">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DD2E2F"/>
    <w:multiLevelType w:val="hybridMultilevel"/>
    <w:tmpl w:val="A3903E00"/>
    <w:lvl w:ilvl="0" w:tplc="FAAC22E8">
      <w:numFmt w:val="bullet"/>
      <w:lvlText w:val="-"/>
      <w:lvlJc w:val="left"/>
      <w:pPr>
        <w:ind w:left="851" w:hanging="284"/>
      </w:pPr>
      <w:rPr>
        <w:rFonts w:ascii="Calibri" w:eastAsiaTheme="minorHAnsi" w:hAnsi="Calibri" w:cstheme="minorBidi" w:hint="default"/>
      </w:rPr>
    </w:lvl>
    <w:lvl w:ilvl="1" w:tplc="8A243254">
      <w:numFmt w:val="bullet"/>
      <w:lvlText w:val="-"/>
      <w:lvlJc w:val="left"/>
      <w:pPr>
        <w:ind w:left="3240" w:hanging="360"/>
      </w:pPr>
      <w:rPr>
        <w:rFonts w:ascii="Calibri" w:eastAsiaTheme="minorHAnsi" w:hAnsi="Calibri" w:cstheme="minorBidi"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1" w15:restartNumberingAfterBreak="0">
    <w:nsid w:val="6E2B4567"/>
    <w:multiLevelType w:val="multilevel"/>
    <w:tmpl w:val="8690B36C"/>
    <w:lvl w:ilvl="0">
      <w:start w:val="8"/>
      <w:numFmt w:val="bullet"/>
      <w:lvlText w:val="-"/>
      <w:lvlJc w:val="left"/>
      <w:pPr>
        <w:tabs>
          <w:tab w:val="num" w:pos="360"/>
        </w:tabs>
        <w:ind w:left="360" w:hanging="360"/>
      </w:pPr>
      <w:rPr>
        <w:rFonts w:ascii="Calibri" w:eastAsiaTheme="minorHAnsi" w:hAnsi="Calibri" w:cs="Calibri" w:hint="default"/>
        <w:sz w:val="20"/>
      </w:rPr>
    </w:lvl>
    <w:lvl w:ilvl="1">
      <w:start w:val="1"/>
      <w:numFmt w:val="bullet"/>
      <w:lvlText w:val="-"/>
      <w:lvlJc w:val="left"/>
      <w:pPr>
        <w:ind w:left="1440" w:hanging="720"/>
      </w:pPr>
      <w:rPr>
        <w:rFonts w:ascii="Courier New" w:hAnsi="Courier New" w:hint="default"/>
      </w:rPr>
    </w:lvl>
    <w:lvl w:ilvl="2">
      <w:start w:val="1"/>
      <w:numFmt w:val="lowerRoman"/>
      <w:lvlText w:val="%3."/>
      <w:lvlJc w:val="righ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DEE7382"/>
    <w:multiLevelType w:val="hybridMultilevel"/>
    <w:tmpl w:val="9A10EECA"/>
    <w:lvl w:ilvl="0" w:tplc="A9801D5E">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9"/>
  </w:num>
  <w:num w:numId="2">
    <w:abstractNumId w:val="23"/>
  </w:num>
  <w:num w:numId="3">
    <w:abstractNumId w:val="22"/>
  </w:num>
  <w:num w:numId="4">
    <w:abstractNumId w:val="26"/>
  </w:num>
  <w:num w:numId="5">
    <w:abstractNumId w:val="20"/>
  </w:num>
  <w:num w:numId="6">
    <w:abstractNumId w:val="5"/>
  </w:num>
  <w:num w:numId="7">
    <w:abstractNumId w:val="21"/>
  </w:num>
  <w:num w:numId="8">
    <w:abstractNumId w:val="17"/>
  </w:num>
  <w:num w:numId="9">
    <w:abstractNumId w:val="0"/>
  </w:num>
  <w:num w:numId="10">
    <w:abstractNumId w:val="1"/>
  </w:num>
  <w:num w:numId="11">
    <w:abstractNumId w:val="10"/>
  </w:num>
  <w:num w:numId="12">
    <w:abstractNumId w:val="4"/>
  </w:num>
  <w:num w:numId="13">
    <w:abstractNumId w:val="30"/>
  </w:num>
  <w:num w:numId="14">
    <w:abstractNumId w:val="25"/>
  </w:num>
  <w:num w:numId="15">
    <w:abstractNumId w:val="27"/>
  </w:num>
  <w:num w:numId="16">
    <w:abstractNumId w:val="7"/>
  </w:num>
  <w:num w:numId="17">
    <w:abstractNumId w:val="15"/>
  </w:num>
  <w:num w:numId="18">
    <w:abstractNumId w:val="31"/>
  </w:num>
  <w:num w:numId="19">
    <w:abstractNumId w:val="29"/>
  </w:num>
  <w:num w:numId="20">
    <w:abstractNumId w:val="28"/>
  </w:num>
  <w:num w:numId="21">
    <w:abstractNumId w:val="14"/>
  </w:num>
  <w:num w:numId="22">
    <w:abstractNumId w:val="9"/>
  </w:num>
  <w:num w:numId="23">
    <w:abstractNumId w:val="3"/>
  </w:num>
  <w:num w:numId="24">
    <w:abstractNumId w:val="8"/>
  </w:num>
  <w:num w:numId="25">
    <w:abstractNumId w:val="24"/>
  </w:num>
  <w:num w:numId="26">
    <w:abstractNumId w:val="16"/>
  </w:num>
  <w:num w:numId="27">
    <w:abstractNumId w:val="13"/>
  </w:num>
  <w:num w:numId="28">
    <w:abstractNumId w:val="11"/>
  </w:num>
  <w:num w:numId="29">
    <w:abstractNumId w:val="12"/>
  </w:num>
  <w:num w:numId="30">
    <w:abstractNumId w:val="1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DSK4vjotUY6wDIudQAlCSOlMP8BNtvrGk21wdPoWRojiBOXjA7Q+xJ+gdwvuxnyBNzj4zIrB84WNZODlbtbv/Q==" w:salt="mfWQsFu+9SAGQwedKA0l2Q=="/>
  <w:defaultTabStop w:val="720"/>
  <w:drawingGridHorizontalSpacing w:val="181"/>
  <w:drawingGridVerticalSpacing w:val="181"/>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6C"/>
    <w:rsid w:val="00000719"/>
    <w:rsid w:val="00000E79"/>
    <w:rsid w:val="00002757"/>
    <w:rsid w:val="0000296B"/>
    <w:rsid w:val="00003403"/>
    <w:rsid w:val="00005347"/>
    <w:rsid w:val="00005682"/>
    <w:rsid w:val="000072B6"/>
    <w:rsid w:val="000074E5"/>
    <w:rsid w:val="0001021B"/>
    <w:rsid w:val="00011D89"/>
    <w:rsid w:val="00011FFA"/>
    <w:rsid w:val="00013047"/>
    <w:rsid w:val="00013560"/>
    <w:rsid w:val="000154FD"/>
    <w:rsid w:val="00015998"/>
    <w:rsid w:val="00016FBF"/>
    <w:rsid w:val="00020B8B"/>
    <w:rsid w:val="00022271"/>
    <w:rsid w:val="000235E8"/>
    <w:rsid w:val="00024D89"/>
    <w:rsid w:val="000250B6"/>
    <w:rsid w:val="00031A61"/>
    <w:rsid w:val="00031B54"/>
    <w:rsid w:val="00031C55"/>
    <w:rsid w:val="00033B61"/>
    <w:rsid w:val="00033D81"/>
    <w:rsid w:val="00037366"/>
    <w:rsid w:val="00041BF0"/>
    <w:rsid w:val="00041E6A"/>
    <w:rsid w:val="00042C8A"/>
    <w:rsid w:val="00043D52"/>
    <w:rsid w:val="0004536B"/>
    <w:rsid w:val="00045616"/>
    <w:rsid w:val="00045EE0"/>
    <w:rsid w:val="00046582"/>
    <w:rsid w:val="00046905"/>
    <w:rsid w:val="00046B68"/>
    <w:rsid w:val="00047B43"/>
    <w:rsid w:val="00051BA8"/>
    <w:rsid w:val="000527DD"/>
    <w:rsid w:val="00052C07"/>
    <w:rsid w:val="00054DF3"/>
    <w:rsid w:val="00055AE5"/>
    <w:rsid w:val="000578B2"/>
    <w:rsid w:val="00060959"/>
    <w:rsid w:val="00060C8F"/>
    <w:rsid w:val="00060D9A"/>
    <w:rsid w:val="000615CA"/>
    <w:rsid w:val="0006298A"/>
    <w:rsid w:val="00062FD1"/>
    <w:rsid w:val="00063A60"/>
    <w:rsid w:val="00065E7B"/>
    <w:rsid w:val="000663CD"/>
    <w:rsid w:val="00067604"/>
    <w:rsid w:val="000733FE"/>
    <w:rsid w:val="000734E2"/>
    <w:rsid w:val="00074219"/>
    <w:rsid w:val="00074ED5"/>
    <w:rsid w:val="00076253"/>
    <w:rsid w:val="00076978"/>
    <w:rsid w:val="00080E81"/>
    <w:rsid w:val="0008103E"/>
    <w:rsid w:val="00083491"/>
    <w:rsid w:val="000835C6"/>
    <w:rsid w:val="0008508E"/>
    <w:rsid w:val="000851BD"/>
    <w:rsid w:val="00087951"/>
    <w:rsid w:val="0009113B"/>
    <w:rsid w:val="00093402"/>
    <w:rsid w:val="00094DA3"/>
    <w:rsid w:val="0009545D"/>
    <w:rsid w:val="00096CD1"/>
    <w:rsid w:val="000A012C"/>
    <w:rsid w:val="000A0EB9"/>
    <w:rsid w:val="000A186C"/>
    <w:rsid w:val="000A1EA4"/>
    <w:rsid w:val="000A2476"/>
    <w:rsid w:val="000A6411"/>
    <w:rsid w:val="000A641A"/>
    <w:rsid w:val="000A6A31"/>
    <w:rsid w:val="000A7239"/>
    <w:rsid w:val="000B3EDB"/>
    <w:rsid w:val="000B543D"/>
    <w:rsid w:val="000B55F9"/>
    <w:rsid w:val="000B597E"/>
    <w:rsid w:val="000B5BF7"/>
    <w:rsid w:val="000B6BC8"/>
    <w:rsid w:val="000C0303"/>
    <w:rsid w:val="000C0E88"/>
    <w:rsid w:val="000C1D25"/>
    <w:rsid w:val="000C42EA"/>
    <w:rsid w:val="000C4546"/>
    <w:rsid w:val="000C55CC"/>
    <w:rsid w:val="000C5621"/>
    <w:rsid w:val="000C59A5"/>
    <w:rsid w:val="000C67BA"/>
    <w:rsid w:val="000D1242"/>
    <w:rsid w:val="000D29E5"/>
    <w:rsid w:val="000D4302"/>
    <w:rsid w:val="000D6B3B"/>
    <w:rsid w:val="000E0654"/>
    <w:rsid w:val="000E0970"/>
    <w:rsid w:val="000E15E6"/>
    <w:rsid w:val="000E1910"/>
    <w:rsid w:val="000E3CC7"/>
    <w:rsid w:val="000E499B"/>
    <w:rsid w:val="000E5269"/>
    <w:rsid w:val="000E6741"/>
    <w:rsid w:val="000E6BB6"/>
    <w:rsid w:val="000E6BD4"/>
    <w:rsid w:val="000E6D6D"/>
    <w:rsid w:val="000F1F1E"/>
    <w:rsid w:val="000F2221"/>
    <w:rsid w:val="000F2259"/>
    <w:rsid w:val="000F2B9D"/>
    <w:rsid w:val="000F2DDA"/>
    <w:rsid w:val="000F3843"/>
    <w:rsid w:val="000F3EF2"/>
    <w:rsid w:val="000F5213"/>
    <w:rsid w:val="000F66D3"/>
    <w:rsid w:val="00101001"/>
    <w:rsid w:val="001021DB"/>
    <w:rsid w:val="001029B0"/>
    <w:rsid w:val="00103276"/>
    <w:rsid w:val="0010392D"/>
    <w:rsid w:val="0010447F"/>
    <w:rsid w:val="00104FE3"/>
    <w:rsid w:val="0010664A"/>
    <w:rsid w:val="0010714F"/>
    <w:rsid w:val="001120C5"/>
    <w:rsid w:val="00113C21"/>
    <w:rsid w:val="00114765"/>
    <w:rsid w:val="001165A0"/>
    <w:rsid w:val="0011701A"/>
    <w:rsid w:val="0012067A"/>
    <w:rsid w:val="00120815"/>
    <w:rsid w:val="00120BD3"/>
    <w:rsid w:val="00122FEA"/>
    <w:rsid w:val="001232BD"/>
    <w:rsid w:val="00124014"/>
    <w:rsid w:val="00124ED5"/>
    <w:rsid w:val="00124FCD"/>
    <w:rsid w:val="001276FA"/>
    <w:rsid w:val="0013174C"/>
    <w:rsid w:val="00132ACC"/>
    <w:rsid w:val="00135EDF"/>
    <w:rsid w:val="001361EE"/>
    <w:rsid w:val="00141529"/>
    <w:rsid w:val="0014255B"/>
    <w:rsid w:val="00142A90"/>
    <w:rsid w:val="00143BDB"/>
    <w:rsid w:val="001447B3"/>
    <w:rsid w:val="00144C1B"/>
    <w:rsid w:val="00151DA5"/>
    <w:rsid w:val="00152073"/>
    <w:rsid w:val="001546BE"/>
    <w:rsid w:val="00154E2D"/>
    <w:rsid w:val="00156598"/>
    <w:rsid w:val="001603E6"/>
    <w:rsid w:val="00161939"/>
    <w:rsid w:val="00161AA0"/>
    <w:rsid w:val="00161D2E"/>
    <w:rsid w:val="00161F3E"/>
    <w:rsid w:val="00162093"/>
    <w:rsid w:val="00162CA9"/>
    <w:rsid w:val="00163CBB"/>
    <w:rsid w:val="00165202"/>
    <w:rsid w:val="00165459"/>
    <w:rsid w:val="00165A57"/>
    <w:rsid w:val="00165EDE"/>
    <w:rsid w:val="00170DB4"/>
    <w:rsid w:val="001712C2"/>
    <w:rsid w:val="0017199C"/>
    <w:rsid w:val="00172BAF"/>
    <w:rsid w:val="00174A59"/>
    <w:rsid w:val="001771DD"/>
    <w:rsid w:val="00177995"/>
    <w:rsid w:val="00177A8C"/>
    <w:rsid w:val="00177E8B"/>
    <w:rsid w:val="00183704"/>
    <w:rsid w:val="00184B9B"/>
    <w:rsid w:val="00186B33"/>
    <w:rsid w:val="00192F9D"/>
    <w:rsid w:val="00195BB7"/>
    <w:rsid w:val="00196EB8"/>
    <w:rsid w:val="00196EFB"/>
    <w:rsid w:val="001979FF"/>
    <w:rsid w:val="00197B17"/>
    <w:rsid w:val="001A1950"/>
    <w:rsid w:val="001A1C54"/>
    <w:rsid w:val="001A304F"/>
    <w:rsid w:val="001A3ACE"/>
    <w:rsid w:val="001A3BD2"/>
    <w:rsid w:val="001A64C5"/>
    <w:rsid w:val="001A735C"/>
    <w:rsid w:val="001B058F"/>
    <w:rsid w:val="001B149C"/>
    <w:rsid w:val="001B46A8"/>
    <w:rsid w:val="001B4DDB"/>
    <w:rsid w:val="001B6303"/>
    <w:rsid w:val="001B6B5D"/>
    <w:rsid w:val="001B738B"/>
    <w:rsid w:val="001C09DB"/>
    <w:rsid w:val="001C1D43"/>
    <w:rsid w:val="001C2631"/>
    <w:rsid w:val="001C277E"/>
    <w:rsid w:val="001C2A72"/>
    <w:rsid w:val="001C31B7"/>
    <w:rsid w:val="001C3906"/>
    <w:rsid w:val="001C5B07"/>
    <w:rsid w:val="001C71A4"/>
    <w:rsid w:val="001C7AA5"/>
    <w:rsid w:val="001D0B75"/>
    <w:rsid w:val="001D0C3B"/>
    <w:rsid w:val="001D2579"/>
    <w:rsid w:val="001D39A5"/>
    <w:rsid w:val="001D3C09"/>
    <w:rsid w:val="001D44E8"/>
    <w:rsid w:val="001D5BBF"/>
    <w:rsid w:val="001D5D56"/>
    <w:rsid w:val="001D60EC"/>
    <w:rsid w:val="001D6F59"/>
    <w:rsid w:val="001E0C5D"/>
    <w:rsid w:val="001E0F95"/>
    <w:rsid w:val="001E27EE"/>
    <w:rsid w:val="001E2A36"/>
    <w:rsid w:val="001E44DF"/>
    <w:rsid w:val="001E4767"/>
    <w:rsid w:val="001E4F59"/>
    <w:rsid w:val="001E5058"/>
    <w:rsid w:val="001E68A5"/>
    <w:rsid w:val="001E6BB0"/>
    <w:rsid w:val="001E7282"/>
    <w:rsid w:val="001F0C3F"/>
    <w:rsid w:val="001F19AB"/>
    <w:rsid w:val="001F1F7A"/>
    <w:rsid w:val="001F21D1"/>
    <w:rsid w:val="001F3286"/>
    <w:rsid w:val="001F3826"/>
    <w:rsid w:val="001F3888"/>
    <w:rsid w:val="001F3CF9"/>
    <w:rsid w:val="001F6E46"/>
    <w:rsid w:val="001F7186"/>
    <w:rsid w:val="001F7B48"/>
    <w:rsid w:val="001F7C91"/>
    <w:rsid w:val="00200176"/>
    <w:rsid w:val="00200B8B"/>
    <w:rsid w:val="002033B7"/>
    <w:rsid w:val="00205C0D"/>
    <w:rsid w:val="00206463"/>
    <w:rsid w:val="00206F2F"/>
    <w:rsid w:val="0021053D"/>
    <w:rsid w:val="00210A92"/>
    <w:rsid w:val="00215128"/>
    <w:rsid w:val="00216C03"/>
    <w:rsid w:val="00217D19"/>
    <w:rsid w:val="00220C04"/>
    <w:rsid w:val="002217E8"/>
    <w:rsid w:val="00222357"/>
    <w:rsid w:val="0022278D"/>
    <w:rsid w:val="00223BB4"/>
    <w:rsid w:val="0022701F"/>
    <w:rsid w:val="00227C68"/>
    <w:rsid w:val="0023016D"/>
    <w:rsid w:val="0023254B"/>
    <w:rsid w:val="002333F5"/>
    <w:rsid w:val="00233724"/>
    <w:rsid w:val="002350CF"/>
    <w:rsid w:val="002363D1"/>
    <w:rsid w:val="002365B4"/>
    <w:rsid w:val="00236F4E"/>
    <w:rsid w:val="002432E1"/>
    <w:rsid w:val="002436DE"/>
    <w:rsid w:val="00244ED3"/>
    <w:rsid w:val="00246207"/>
    <w:rsid w:val="00246B18"/>
    <w:rsid w:val="00246B38"/>
    <w:rsid w:val="00246C5E"/>
    <w:rsid w:val="00250960"/>
    <w:rsid w:val="00251343"/>
    <w:rsid w:val="00252B6B"/>
    <w:rsid w:val="002536A4"/>
    <w:rsid w:val="00254F58"/>
    <w:rsid w:val="002620BC"/>
    <w:rsid w:val="00262802"/>
    <w:rsid w:val="00263A90"/>
    <w:rsid w:val="00263C1F"/>
    <w:rsid w:val="0026408B"/>
    <w:rsid w:val="00266903"/>
    <w:rsid w:val="00267C3E"/>
    <w:rsid w:val="002706CE"/>
    <w:rsid w:val="002709BB"/>
    <w:rsid w:val="0027113F"/>
    <w:rsid w:val="00271485"/>
    <w:rsid w:val="00271FCC"/>
    <w:rsid w:val="00272F0C"/>
    <w:rsid w:val="00273BAC"/>
    <w:rsid w:val="0027602E"/>
    <w:rsid w:val="002763B3"/>
    <w:rsid w:val="002802E3"/>
    <w:rsid w:val="0028115C"/>
    <w:rsid w:val="002817B5"/>
    <w:rsid w:val="0028213D"/>
    <w:rsid w:val="00285904"/>
    <w:rsid w:val="002862F1"/>
    <w:rsid w:val="00287511"/>
    <w:rsid w:val="00291373"/>
    <w:rsid w:val="00291DB2"/>
    <w:rsid w:val="002958D5"/>
    <w:rsid w:val="0029597D"/>
    <w:rsid w:val="00296289"/>
    <w:rsid w:val="002962C3"/>
    <w:rsid w:val="0029752B"/>
    <w:rsid w:val="002A0A9C"/>
    <w:rsid w:val="002A1516"/>
    <w:rsid w:val="002A273E"/>
    <w:rsid w:val="002A47EB"/>
    <w:rsid w:val="002A483C"/>
    <w:rsid w:val="002A6E31"/>
    <w:rsid w:val="002B0C7C"/>
    <w:rsid w:val="002B1729"/>
    <w:rsid w:val="002B36C7"/>
    <w:rsid w:val="002B4DD4"/>
    <w:rsid w:val="002B5277"/>
    <w:rsid w:val="002B5375"/>
    <w:rsid w:val="002B66E2"/>
    <w:rsid w:val="002B6D08"/>
    <w:rsid w:val="002B77C1"/>
    <w:rsid w:val="002C0ED7"/>
    <w:rsid w:val="002C2728"/>
    <w:rsid w:val="002C2C64"/>
    <w:rsid w:val="002C7BC7"/>
    <w:rsid w:val="002D1E0D"/>
    <w:rsid w:val="002D5006"/>
    <w:rsid w:val="002D5634"/>
    <w:rsid w:val="002D5BD9"/>
    <w:rsid w:val="002E01D0"/>
    <w:rsid w:val="002E161D"/>
    <w:rsid w:val="002E3100"/>
    <w:rsid w:val="002E51C7"/>
    <w:rsid w:val="002E6524"/>
    <w:rsid w:val="002E6C95"/>
    <w:rsid w:val="002E7C36"/>
    <w:rsid w:val="002F0107"/>
    <w:rsid w:val="002F1DB0"/>
    <w:rsid w:val="002F207D"/>
    <w:rsid w:val="002F3D32"/>
    <w:rsid w:val="002F4EA8"/>
    <w:rsid w:val="002F507B"/>
    <w:rsid w:val="002F5415"/>
    <w:rsid w:val="002F5E76"/>
    <w:rsid w:val="002F5F31"/>
    <w:rsid w:val="002F5F46"/>
    <w:rsid w:val="0030008A"/>
    <w:rsid w:val="00302216"/>
    <w:rsid w:val="00303E53"/>
    <w:rsid w:val="00305CC1"/>
    <w:rsid w:val="00306E5F"/>
    <w:rsid w:val="00307E14"/>
    <w:rsid w:val="00310CB2"/>
    <w:rsid w:val="00312A89"/>
    <w:rsid w:val="00312AAC"/>
    <w:rsid w:val="00314054"/>
    <w:rsid w:val="00315BD8"/>
    <w:rsid w:val="00316182"/>
    <w:rsid w:val="00316EDB"/>
    <w:rsid w:val="00316F27"/>
    <w:rsid w:val="003214F1"/>
    <w:rsid w:val="00322E4B"/>
    <w:rsid w:val="00327870"/>
    <w:rsid w:val="00330AB4"/>
    <w:rsid w:val="00330B56"/>
    <w:rsid w:val="0033259D"/>
    <w:rsid w:val="003333D2"/>
    <w:rsid w:val="0033347F"/>
    <w:rsid w:val="0033674F"/>
    <w:rsid w:val="00336B47"/>
    <w:rsid w:val="003406C6"/>
    <w:rsid w:val="003418CC"/>
    <w:rsid w:val="003459BD"/>
    <w:rsid w:val="00350433"/>
    <w:rsid w:val="00350D38"/>
    <w:rsid w:val="00351B36"/>
    <w:rsid w:val="00352435"/>
    <w:rsid w:val="00352856"/>
    <w:rsid w:val="00352AD0"/>
    <w:rsid w:val="00354029"/>
    <w:rsid w:val="00354C59"/>
    <w:rsid w:val="00357B4E"/>
    <w:rsid w:val="00360639"/>
    <w:rsid w:val="00362B3D"/>
    <w:rsid w:val="00363771"/>
    <w:rsid w:val="00366778"/>
    <w:rsid w:val="003673AE"/>
    <w:rsid w:val="00370880"/>
    <w:rsid w:val="003716FD"/>
    <w:rsid w:val="0037204B"/>
    <w:rsid w:val="00373890"/>
    <w:rsid w:val="003744CF"/>
    <w:rsid w:val="00374717"/>
    <w:rsid w:val="0037676C"/>
    <w:rsid w:val="003768D4"/>
    <w:rsid w:val="003769AD"/>
    <w:rsid w:val="00381043"/>
    <w:rsid w:val="00381B16"/>
    <w:rsid w:val="003829E5"/>
    <w:rsid w:val="00386109"/>
    <w:rsid w:val="00386857"/>
    <w:rsid w:val="00386944"/>
    <w:rsid w:val="00387225"/>
    <w:rsid w:val="00387C83"/>
    <w:rsid w:val="00392533"/>
    <w:rsid w:val="00394A86"/>
    <w:rsid w:val="003956CC"/>
    <w:rsid w:val="0039588B"/>
    <w:rsid w:val="00395C9A"/>
    <w:rsid w:val="00396CE8"/>
    <w:rsid w:val="00397923"/>
    <w:rsid w:val="003A0853"/>
    <w:rsid w:val="003A3A42"/>
    <w:rsid w:val="003A4302"/>
    <w:rsid w:val="003A60C0"/>
    <w:rsid w:val="003A6AAB"/>
    <w:rsid w:val="003A6B67"/>
    <w:rsid w:val="003A7BD4"/>
    <w:rsid w:val="003B13B6"/>
    <w:rsid w:val="003B15E6"/>
    <w:rsid w:val="003B32D8"/>
    <w:rsid w:val="003B408A"/>
    <w:rsid w:val="003B5681"/>
    <w:rsid w:val="003B5733"/>
    <w:rsid w:val="003B6655"/>
    <w:rsid w:val="003C08A2"/>
    <w:rsid w:val="003C0C1A"/>
    <w:rsid w:val="003C188E"/>
    <w:rsid w:val="003C2045"/>
    <w:rsid w:val="003C43A1"/>
    <w:rsid w:val="003C4D0D"/>
    <w:rsid w:val="003C4FC0"/>
    <w:rsid w:val="003C5262"/>
    <w:rsid w:val="003C55F4"/>
    <w:rsid w:val="003C58FC"/>
    <w:rsid w:val="003C5D88"/>
    <w:rsid w:val="003C6766"/>
    <w:rsid w:val="003C7897"/>
    <w:rsid w:val="003C7A3F"/>
    <w:rsid w:val="003D10FB"/>
    <w:rsid w:val="003D11B7"/>
    <w:rsid w:val="003D22B9"/>
    <w:rsid w:val="003D2766"/>
    <w:rsid w:val="003D2A74"/>
    <w:rsid w:val="003D3A7F"/>
    <w:rsid w:val="003D3E8F"/>
    <w:rsid w:val="003D6475"/>
    <w:rsid w:val="003D7967"/>
    <w:rsid w:val="003D7FEB"/>
    <w:rsid w:val="003E1759"/>
    <w:rsid w:val="003E2BD2"/>
    <w:rsid w:val="003E3335"/>
    <w:rsid w:val="003E375C"/>
    <w:rsid w:val="003E4086"/>
    <w:rsid w:val="003E47A7"/>
    <w:rsid w:val="003E59A1"/>
    <w:rsid w:val="003E639E"/>
    <w:rsid w:val="003E71E5"/>
    <w:rsid w:val="003F0445"/>
    <w:rsid w:val="003F0CF0"/>
    <w:rsid w:val="003F14B1"/>
    <w:rsid w:val="003F2B20"/>
    <w:rsid w:val="003F2E23"/>
    <w:rsid w:val="003F3289"/>
    <w:rsid w:val="003F56B5"/>
    <w:rsid w:val="003F5CB9"/>
    <w:rsid w:val="003F787E"/>
    <w:rsid w:val="004013C7"/>
    <w:rsid w:val="00401FCF"/>
    <w:rsid w:val="0040248F"/>
    <w:rsid w:val="00403CC2"/>
    <w:rsid w:val="00406285"/>
    <w:rsid w:val="00406495"/>
    <w:rsid w:val="004065E5"/>
    <w:rsid w:val="004112C6"/>
    <w:rsid w:val="0041191D"/>
    <w:rsid w:val="004148F9"/>
    <w:rsid w:val="00414D4A"/>
    <w:rsid w:val="0041530B"/>
    <w:rsid w:val="004153AA"/>
    <w:rsid w:val="00416218"/>
    <w:rsid w:val="00416402"/>
    <w:rsid w:val="00420484"/>
    <w:rsid w:val="0042084E"/>
    <w:rsid w:val="00421EEF"/>
    <w:rsid w:val="00423925"/>
    <w:rsid w:val="00424D65"/>
    <w:rsid w:val="004362E7"/>
    <w:rsid w:val="00442C4A"/>
    <w:rsid w:val="00442C6C"/>
    <w:rsid w:val="00443CBE"/>
    <w:rsid w:val="00443E8A"/>
    <w:rsid w:val="004441BC"/>
    <w:rsid w:val="00445528"/>
    <w:rsid w:val="004468B4"/>
    <w:rsid w:val="00447E44"/>
    <w:rsid w:val="004500D0"/>
    <w:rsid w:val="00451F6D"/>
    <w:rsid w:val="0045230A"/>
    <w:rsid w:val="00454AD0"/>
    <w:rsid w:val="00456104"/>
    <w:rsid w:val="00456651"/>
    <w:rsid w:val="00457337"/>
    <w:rsid w:val="00461E9C"/>
    <w:rsid w:val="00462E3D"/>
    <w:rsid w:val="0046501A"/>
    <w:rsid w:val="00466308"/>
    <w:rsid w:val="00466E79"/>
    <w:rsid w:val="0047013A"/>
    <w:rsid w:val="00470D7D"/>
    <w:rsid w:val="00470F05"/>
    <w:rsid w:val="004735AB"/>
    <w:rsid w:val="0047372D"/>
    <w:rsid w:val="00473BA3"/>
    <w:rsid w:val="004743DD"/>
    <w:rsid w:val="00474CEA"/>
    <w:rsid w:val="00481AA4"/>
    <w:rsid w:val="004822B3"/>
    <w:rsid w:val="00483968"/>
    <w:rsid w:val="00484F86"/>
    <w:rsid w:val="00490746"/>
    <w:rsid w:val="00490852"/>
    <w:rsid w:val="00491C9C"/>
    <w:rsid w:val="00492F30"/>
    <w:rsid w:val="0049398C"/>
    <w:rsid w:val="004946F4"/>
    <w:rsid w:val="0049487E"/>
    <w:rsid w:val="00496586"/>
    <w:rsid w:val="004A0C66"/>
    <w:rsid w:val="004A160D"/>
    <w:rsid w:val="004A3443"/>
    <w:rsid w:val="004A3AA8"/>
    <w:rsid w:val="004A3E81"/>
    <w:rsid w:val="004A4195"/>
    <w:rsid w:val="004A5C62"/>
    <w:rsid w:val="004A5CE5"/>
    <w:rsid w:val="004A631A"/>
    <w:rsid w:val="004A707D"/>
    <w:rsid w:val="004A7CA5"/>
    <w:rsid w:val="004B1A70"/>
    <w:rsid w:val="004B27EE"/>
    <w:rsid w:val="004B6F0D"/>
    <w:rsid w:val="004C0274"/>
    <w:rsid w:val="004C4940"/>
    <w:rsid w:val="004C50B5"/>
    <w:rsid w:val="004C536E"/>
    <w:rsid w:val="004C5541"/>
    <w:rsid w:val="004C5FA9"/>
    <w:rsid w:val="004C6EEE"/>
    <w:rsid w:val="004C702B"/>
    <w:rsid w:val="004D0033"/>
    <w:rsid w:val="004D016B"/>
    <w:rsid w:val="004D10A3"/>
    <w:rsid w:val="004D1B22"/>
    <w:rsid w:val="004D23CC"/>
    <w:rsid w:val="004D3042"/>
    <w:rsid w:val="004D36F2"/>
    <w:rsid w:val="004D5419"/>
    <w:rsid w:val="004D7CDC"/>
    <w:rsid w:val="004E0F93"/>
    <w:rsid w:val="004E1106"/>
    <w:rsid w:val="004E138F"/>
    <w:rsid w:val="004E194F"/>
    <w:rsid w:val="004E4649"/>
    <w:rsid w:val="004E5C2B"/>
    <w:rsid w:val="004E66C7"/>
    <w:rsid w:val="004F00DD"/>
    <w:rsid w:val="004F2133"/>
    <w:rsid w:val="004F2D14"/>
    <w:rsid w:val="004F4D39"/>
    <w:rsid w:val="004F5398"/>
    <w:rsid w:val="004F55F1"/>
    <w:rsid w:val="004F6936"/>
    <w:rsid w:val="004F6C77"/>
    <w:rsid w:val="00500049"/>
    <w:rsid w:val="00503733"/>
    <w:rsid w:val="00503C18"/>
    <w:rsid w:val="00503D78"/>
    <w:rsid w:val="00503DC6"/>
    <w:rsid w:val="00506F5D"/>
    <w:rsid w:val="00510547"/>
    <w:rsid w:val="00510C37"/>
    <w:rsid w:val="0051146C"/>
    <w:rsid w:val="005126D0"/>
    <w:rsid w:val="0051568D"/>
    <w:rsid w:val="0052053B"/>
    <w:rsid w:val="00520E5C"/>
    <w:rsid w:val="005219E7"/>
    <w:rsid w:val="005241E1"/>
    <w:rsid w:val="00526AC7"/>
    <w:rsid w:val="00526C15"/>
    <w:rsid w:val="005300BE"/>
    <w:rsid w:val="00530624"/>
    <w:rsid w:val="00530929"/>
    <w:rsid w:val="005319A0"/>
    <w:rsid w:val="00533830"/>
    <w:rsid w:val="00536395"/>
    <w:rsid w:val="00536499"/>
    <w:rsid w:val="00537EBE"/>
    <w:rsid w:val="005402C9"/>
    <w:rsid w:val="0054081B"/>
    <w:rsid w:val="0054197B"/>
    <w:rsid w:val="00543903"/>
    <w:rsid w:val="00543F11"/>
    <w:rsid w:val="00546305"/>
    <w:rsid w:val="00547A95"/>
    <w:rsid w:val="00547AFC"/>
    <w:rsid w:val="00550CD9"/>
    <w:rsid w:val="0055119B"/>
    <w:rsid w:val="005548B5"/>
    <w:rsid w:val="00554C28"/>
    <w:rsid w:val="0055668E"/>
    <w:rsid w:val="00563EAB"/>
    <w:rsid w:val="005642B5"/>
    <w:rsid w:val="00571EAA"/>
    <w:rsid w:val="00572031"/>
    <w:rsid w:val="00572240"/>
    <w:rsid w:val="00572282"/>
    <w:rsid w:val="00573491"/>
    <w:rsid w:val="00573CE3"/>
    <w:rsid w:val="00576E84"/>
    <w:rsid w:val="00576EA2"/>
    <w:rsid w:val="00580394"/>
    <w:rsid w:val="005809CD"/>
    <w:rsid w:val="005821C8"/>
    <w:rsid w:val="00582B8C"/>
    <w:rsid w:val="0058757E"/>
    <w:rsid w:val="005950E2"/>
    <w:rsid w:val="00596A4B"/>
    <w:rsid w:val="00597136"/>
    <w:rsid w:val="00597507"/>
    <w:rsid w:val="005A479D"/>
    <w:rsid w:val="005A491D"/>
    <w:rsid w:val="005A69A2"/>
    <w:rsid w:val="005A7969"/>
    <w:rsid w:val="005B0A36"/>
    <w:rsid w:val="005B1C6D"/>
    <w:rsid w:val="005B21B6"/>
    <w:rsid w:val="005B265A"/>
    <w:rsid w:val="005B3A08"/>
    <w:rsid w:val="005B3B50"/>
    <w:rsid w:val="005B7A63"/>
    <w:rsid w:val="005C0955"/>
    <w:rsid w:val="005C12CB"/>
    <w:rsid w:val="005C49DA"/>
    <w:rsid w:val="005C50F3"/>
    <w:rsid w:val="005C54B5"/>
    <w:rsid w:val="005C5863"/>
    <w:rsid w:val="005C5D80"/>
    <w:rsid w:val="005C5D91"/>
    <w:rsid w:val="005C6C5A"/>
    <w:rsid w:val="005D07B8"/>
    <w:rsid w:val="005D0F92"/>
    <w:rsid w:val="005D19D0"/>
    <w:rsid w:val="005D4D77"/>
    <w:rsid w:val="005D6597"/>
    <w:rsid w:val="005D6A0E"/>
    <w:rsid w:val="005D7EA1"/>
    <w:rsid w:val="005E14E7"/>
    <w:rsid w:val="005E1853"/>
    <w:rsid w:val="005E1AA4"/>
    <w:rsid w:val="005E26A3"/>
    <w:rsid w:val="005E2ECB"/>
    <w:rsid w:val="005E3945"/>
    <w:rsid w:val="005E447E"/>
    <w:rsid w:val="005E4FD1"/>
    <w:rsid w:val="005E5AC9"/>
    <w:rsid w:val="005F0775"/>
    <w:rsid w:val="005F0CF5"/>
    <w:rsid w:val="005F21EB"/>
    <w:rsid w:val="005F7A6A"/>
    <w:rsid w:val="0060141E"/>
    <w:rsid w:val="00605908"/>
    <w:rsid w:val="00606700"/>
    <w:rsid w:val="006069EA"/>
    <w:rsid w:val="0060784B"/>
    <w:rsid w:val="00610D7C"/>
    <w:rsid w:val="00613414"/>
    <w:rsid w:val="00613CF8"/>
    <w:rsid w:val="00613E1F"/>
    <w:rsid w:val="00614896"/>
    <w:rsid w:val="006159FC"/>
    <w:rsid w:val="00620154"/>
    <w:rsid w:val="00621CCC"/>
    <w:rsid w:val="006230FC"/>
    <w:rsid w:val="0062408D"/>
    <w:rsid w:val="006240CC"/>
    <w:rsid w:val="00624940"/>
    <w:rsid w:val="006254F8"/>
    <w:rsid w:val="006259F2"/>
    <w:rsid w:val="00627DA7"/>
    <w:rsid w:val="00630DA4"/>
    <w:rsid w:val="00632597"/>
    <w:rsid w:val="006358B4"/>
    <w:rsid w:val="00635DC6"/>
    <w:rsid w:val="006368BC"/>
    <w:rsid w:val="00640B55"/>
    <w:rsid w:val="006419AA"/>
    <w:rsid w:val="00641BAA"/>
    <w:rsid w:val="00643CF8"/>
    <w:rsid w:val="006444A1"/>
    <w:rsid w:val="00644B1F"/>
    <w:rsid w:val="00644B7E"/>
    <w:rsid w:val="006454E6"/>
    <w:rsid w:val="00646235"/>
    <w:rsid w:val="0064637D"/>
    <w:rsid w:val="00646A68"/>
    <w:rsid w:val="0064794E"/>
    <w:rsid w:val="00647C9E"/>
    <w:rsid w:val="006505BD"/>
    <w:rsid w:val="006508EA"/>
    <w:rsid w:val="0065092E"/>
    <w:rsid w:val="00650ED6"/>
    <w:rsid w:val="00653267"/>
    <w:rsid w:val="00654152"/>
    <w:rsid w:val="006545E6"/>
    <w:rsid w:val="0065473E"/>
    <w:rsid w:val="006557A7"/>
    <w:rsid w:val="00656290"/>
    <w:rsid w:val="006572CF"/>
    <w:rsid w:val="00657966"/>
    <w:rsid w:val="00657EFB"/>
    <w:rsid w:val="006608D8"/>
    <w:rsid w:val="00661B77"/>
    <w:rsid w:val="006621D7"/>
    <w:rsid w:val="00662C88"/>
    <w:rsid w:val="00662DCC"/>
    <w:rsid w:val="0066302A"/>
    <w:rsid w:val="0066321B"/>
    <w:rsid w:val="00664DDF"/>
    <w:rsid w:val="00665DC0"/>
    <w:rsid w:val="00667770"/>
    <w:rsid w:val="00670597"/>
    <w:rsid w:val="006706D0"/>
    <w:rsid w:val="00671CD3"/>
    <w:rsid w:val="00677574"/>
    <w:rsid w:val="006843B7"/>
    <w:rsid w:val="0068454C"/>
    <w:rsid w:val="00685FCF"/>
    <w:rsid w:val="00690A98"/>
    <w:rsid w:val="00691B62"/>
    <w:rsid w:val="00691C28"/>
    <w:rsid w:val="00692E5B"/>
    <w:rsid w:val="006933B5"/>
    <w:rsid w:val="00693D14"/>
    <w:rsid w:val="00693DFD"/>
    <w:rsid w:val="00693FDA"/>
    <w:rsid w:val="00694735"/>
    <w:rsid w:val="0069526F"/>
    <w:rsid w:val="00696F27"/>
    <w:rsid w:val="006A1496"/>
    <w:rsid w:val="006A18C2"/>
    <w:rsid w:val="006A2CF4"/>
    <w:rsid w:val="006A30B7"/>
    <w:rsid w:val="006A3383"/>
    <w:rsid w:val="006A3767"/>
    <w:rsid w:val="006A4626"/>
    <w:rsid w:val="006A6FAB"/>
    <w:rsid w:val="006B077C"/>
    <w:rsid w:val="006B2C45"/>
    <w:rsid w:val="006B3738"/>
    <w:rsid w:val="006B395A"/>
    <w:rsid w:val="006B4215"/>
    <w:rsid w:val="006B4A3F"/>
    <w:rsid w:val="006B6803"/>
    <w:rsid w:val="006C27EA"/>
    <w:rsid w:val="006C41BE"/>
    <w:rsid w:val="006C4DE9"/>
    <w:rsid w:val="006D0256"/>
    <w:rsid w:val="006D0F16"/>
    <w:rsid w:val="006D1805"/>
    <w:rsid w:val="006D2A3F"/>
    <w:rsid w:val="006D2FBC"/>
    <w:rsid w:val="006D377A"/>
    <w:rsid w:val="006E0541"/>
    <w:rsid w:val="006E138B"/>
    <w:rsid w:val="006E244F"/>
    <w:rsid w:val="006E443C"/>
    <w:rsid w:val="006E4CAE"/>
    <w:rsid w:val="006F0330"/>
    <w:rsid w:val="006F1FDC"/>
    <w:rsid w:val="006F6B8C"/>
    <w:rsid w:val="007013EF"/>
    <w:rsid w:val="00702EE2"/>
    <w:rsid w:val="0070319C"/>
    <w:rsid w:val="00703EDA"/>
    <w:rsid w:val="00705454"/>
    <w:rsid w:val="007055BD"/>
    <w:rsid w:val="0070644B"/>
    <w:rsid w:val="007079AF"/>
    <w:rsid w:val="00707A45"/>
    <w:rsid w:val="00707ADA"/>
    <w:rsid w:val="00707D27"/>
    <w:rsid w:val="007109D5"/>
    <w:rsid w:val="007157C4"/>
    <w:rsid w:val="00715EC9"/>
    <w:rsid w:val="007173CA"/>
    <w:rsid w:val="007216AA"/>
    <w:rsid w:val="00721AB5"/>
    <w:rsid w:val="00721CFB"/>
    <w:rsid w:val="00721D3A"/>
    <w:rsid w:val="00721DEF"/>
    <w:rsid w:val="0072251A"/>
    <w:rsid w:val="00724A43"/>
    <w:rsid w:val="0072653D"/>
    <w:rsid w:val="007273AC"/>
    <w:rsid w:val="00731AD4"/>
    <w:rsid w:val="00732488"/>
    <w:rsid w:val="0073457B"/>
    <w:rsid w:val="007346E4"/>
    <w:rsid w:val="00734FCA"/>
    <w:rsid w:val="0073582E"/>
    <w:rsid w:val="00740F22"/>
    <w:rsid w:val="00741CF0"/>
    <w:rsid w:val="00741F1A"/>
    <w:rsid w:val="00742358"/>
    <w:rsid w:val="00744241"/>
    <w:rsid w:val="007447DA"/>
    <w:rsid w:val="00744FFD"/>
    <w:rsid w:val="007450F8"/>
    <w:rsid w:val="0074696E"/>
    <w:rsid w:val="00747AC3"/>
    <w:rsid w:val="00750135"/>
    <w:rsid w:val="00750EC2"/>
    <w:rsid w:val="00752B28"/>
    <w:rsid w:val="0075305A"/>
    <w:rsid w:val="007541A9"/>
    <w:rsid w:val="00754E36"/>
    <w:rsid w:val="00756688"/>
    <w:rsid w:val="00756EC3"/>
    <w:rsid w:val="0076166D"/>
    <w:rsid w:val="00761DE5"/>
    <w:rsid w:val="00763139"/>
    <w:rsid w:val="007652D9"/>
    <w:rsid w:val="00766F44"/>
    <w:rsid w:val="00770F37"/>
    <w:rsid w:val="007711A0"/>
    <w:rsid w:val="00771253"/>
    <w:rsid w:val="00772D5E"/>
    <w:rsid w:val="0077463E"/>
    <w:rsid w:val="00775924"/>
    <w:rsid w:val="00775F49"/>
    <w:rsid w:val="007764E8"/>
    <w:rsid w:val="00776928"/>
    <w:rsid w:val="00776E0F"/>
    <w:rsid w:val="007774B1"/>
    <w:rsid w:val="00777BE1"/>
    <w:rsid w:val="00780724"/>
    <w:rsid w:val="007833D8"/>
    <w:rsid w:val="00785677"/>
    <w:rsid w:val="00786F16"/>
    <w:rsid w:val="00787D5D"/>
    <w:rsid w:val="00791BD7"/>
    <w:rsid w:val="007933B8"/>
    <w:rsid w:val="007933F7"/>
    <w:rsid w:val="00793545"/>
    <w:rsid w:val="00795669"/>
    <w:rsid w:val="00796A59"/>
    <w:rsid w:val="00796E20"/>
    <w:rsid w:val="0079758B"/>
    <w:rsid w:val="007975C5"/>
    <w:rsid w:val="00797C32"/>
    <w:rsid w:val="007A11E8"/>
    <w:rsid w:val="007A1578"/>
    <w:rsid w:val="007A297C"/>
    <w:rsid w:val="007A46C0"/>
    <w:rsid w:val="007A4B2F"/>
    <w:rsid w:val="007A4D0D"/>
    <w:rsid w:val="007A52B5"/>
    <w:rsid w:val="007B0914"/>
    <w:rsid w:val="007B1374"/>
    <w:rsid w:val="007B15B0"/>
    <w:rsid w:val="007B2D41"/>
    <w:rsid w:val="007B32E5"/>
    <w:rsid w:val="007B3DB9"/>
    <w:rsid w:val="007B4668"/>
    <w:rsid w:val="007B589F"/>
    <w:rsid w:val="007B6186"/>
    <w:rsid w:val="007B719F"/>
    <w:rsid w:val="007B73BC"/>
    <w:rsid w:val="007B776E"/>
    <w:rsid w:val="007C0857"/>
    <w:rsid w:val="007C1838"/>
    <w:rsid w:val="007C20B9"/>
    <w:rsid w:val="007C7301"/>
    <w:rsid w:val="007C7859"/>
    <w:rsid w:val="007C7F28"/>
    <w:rsid w:val="007D1466"/>
    <w:rsid w:val="007D1478"/>
    <w:rsid w:val="007D2BDE"/>
    <w:rsid w:val="007D2FB6"/>
    <w:rsid w:val="007D49EB"/>
    <w:rsid w:val="007D5E1C"/>
    <w:rsid w:val="007D6354"/>
    <w:rsid w:val="007D6983"/>
    <w:rsid w:val="007D741D"/>
    <w:rsid w:val="007E0DE2"/>
    <w:rsid w:val="007E1227"/>
    <w:rsid w:val="007E209E"/>
    <w:rsid w:val="007E25B8"/>
    <w:rsid w:val="007E3B98"/>
    <w:rsid w:val="007E417A"/>
    <w:rsid w:val="007F06B6"/>
    <w:rsid w:val="007F267A"/>
    <w:rsid w:val="007F2EB2"/>
    <w:rsid w:val="007F31B6"/>
    <w:rsid w:val="007F3C54"/>
    <w:rsid w:val="007F546C"/>
    <w:rsid w:val="007F625F"/>
    <w:rsid w:val="007F665E"/>
    <w:rsid w:val="007F6813"/>
    <w:rsid w:val="007F7D1B"/>
    <w:rsid w:val="00800412"/>
    <w:rsid w:val="00801879"/>
    <w:rsid w:val="0080200D"/>
    <w:rsid w:val="0080587B"/>
    <w:rsid w:val="00806468"/>
    <w:rsid w:val="00810D63"/>
    <w:rsid w:val="008119CA"/>
    <w:rsid w:val="008130C4"/>
    <w:rsid w:val="008155F0"/>
    <w:rsid w:val="00816735"/>
    <w:rsid w:val="00820141"/>
    <w:rsid w:val="00820E0C"/>
    <w:rsid w:val="008213F0"/>
    <w:rsid w:val="0082156C"/>
    <w:rsid w:val="00823275"/>
    <w:rsid w:val="0082350F"/>
    <w:rsid w:val="0082366F"/>
    <w:rsid w:val="008242D6"/>
    <w:rsid w:val="00825B92"/>
    <w:rsid w:val="00826D8D"/>
    <w:rsid w:val="00831C04"/>
    <w:rsid w:val="008338A2"/>
    <w:rsid w:val="008358D4"/>
    <w:rsid w:val="00835FAF"/>
    <w:rsid w:val="00841AA9"/>
    <w:rsid w:val="00842BC6"/>
    <w:rsid w:val="0084452E"/>
    <w:rsid w:val="00845CC7"/>
    <w:rsid w:val="00846494"/>
    <w:rsid w:val="008474FE"/>
    <w:rsid w:val="008475AF"/>
    <w:rsid w:val="00852A26"/>
    <w:rsid w:val="0085348F"/>
    <w:rsid w:val="00853EE4"/>
    <w:rsid w:val="00855535"/>
    <w:rsid w:val="00855920"/>
    <w:rsid w:val="00857C5A"/>
    <w:rsid w:val="008604D6"/>
    <w:rsid w:val="0086255E"/>
    <w:rsid w:val="008633F0"/>
    <w:rsid w:val="00865310"/>
    <w:rsid w:val="00867760"/>
    <w:rsid w:val="00867D9D"/>
    <w:rsid w:val="00872E0A"/>
    <w:rsid w:val="00873594"/>
    <w:rsid w:val="0087387C"/>
    <w:rsid w:val="00875285"/>
    <w:rsid w:val="008759EC"/>
    <w:rsid w:val="00877466"/>
    <w:rsid w:val="00881913"/>
    <w:rsid w:val="00882632"/>
    <w:rsid w:val="00884B62"/>
    <w:rsid w:val="00884D54"/>
    <w:rsid w:val="0088529C"/>
    <w:rsid w:val="0088783E"/>
    <w:rsid w:val="00887903"/>
    <w:rsid w:val="00892490"/>
    <w:rsid w:val="0089270A"/>
    <w:rsid w:val="008934C8"/>
    <w:rsid w:val="00893AF6"/>
    <w:rsid w:val="0089407F"/>
    <w:rsid w:val="00894BC4"/>
    <w:rsid w:val="00896FC5"/>
    <w:rsid w:val="008A1CEC"/>
    <w:rsid w:val="008A28A8"/>
    <w:rsid w:val="008A427A"/>
    <w:rsid w:val="008A53E3"/>
    <w:rsid w:val="008A5ADF"/>
    <w:rsid w:val="008A5B32"/>
    <w:rsid w:val="008B0859"/>
    <w:rsid w:val="008B2EE4"/>
    <w:rsid w:val="008B4D3D"/>
    <w:rsid w:val="008B57C7"/>
    <w:rsid w:val="008C2F92"/>
    <w:rsid w:val="008C3697"/>
    <w:rsid w:val="008C483F"/>
    <w:rsid w:val="008C5557"/>
    <w:rsid w:val="008C589D"/>
    <w:rsid w:val="008C6D51"/>
    <w:rsid w:val="008D0A18"/>
    <w:rsid w:val="008D13FF"/>
    <w:rsid w:val="008D2846"/>
    <w:rsid w:val="008D4236"/>
    <w:rsid w:val="008D462F"/>
    <w:rsid w:val="008D510B"/>
    <w:rsid w:val="008D5BA4"/>
    <w:rsid w:val="008D6DCF"/>
    <w:rsid w:val="008E3DE9"/>
    <w:rsid w:val="008E413B"/>
    <w:rsid w:val="008E4376"/>
    <w:rsid w:val="008E462C"/>
    <w:rsid w:val="008E5869"/>
    <w:rsid w:val="008E62F3"/>
    <w:rsid w:val="008E7A0A"/>
    <w:rsid w:val="008E7B49"/>
    <w:rsid w:val="008F5158"/>
    <w:rsid w:val="008F59F6"/>
    <w:rsid w:val="00900719"/>
    <w:rsid w:val="009017AC"/>
    <w:rsid w:val="00902A9A"/>
    <w:rsid w:val="00904A1C"/>
    <w:rsid w:val="00904AB4"/>
    <w:rsid w:val="00905030"/>
    <w:rsid w:val="00906490"/>
    <w:rsid w:val="009108E5"/>
    <w:rsid w:val="009111B2"/>
    <w:rsid w:val="0091271A"/>
    <w:rsid w:val="00914485"/>
    <w:rsid w:val="00914B30"/>
    <w:rsid w:val="009151F5"/>
    <w:rsid w:val="009220CA"/>
    <w:rsid w:val="00923523"/>
    <w:rsid w:val="009243C0"/>
    <w:rsid w:val="00924AE1"/>
    <w:rsid w:val="009269B1"/>
    <w:rsid w:val="0092724D"/>
    <w:rsid w:val="009272B3"/>
    <w:rsid w:val="009315BE"/>
    <w:rsid w:val="00931BB2"/>
    <w:rsid w:val="00931FC3"/>
    <w:rsid w:val="0093338F"/>
    <w:rsid w:val="009351AC"/>
    <w:rsid w:val="009364FB"/>
    <w:rsid w:val="00936F65"/>
    <w:rsid w:val="00937183"/>
    <w:rsid w:val="00937BD9"/>
    <w:rsid w:val="00942210"/>
    <w:rsid w:val="009438C3"/>
    <w:rsid w:val="00944109"/>
    <w:rsid w:val="009444E9"/>
    <w:rsid w:val="00946934"/>
    <w:rsid w:val="00950E2C"/>
    <w:rsid w:val="00951D50"/>
    <w:rsid w:val="009525EB"/>
    <w:rsid w:val="0095470B"/>
    <w:rsid w:val="00954874"/>
    <w:rsid w:val="009552EB"/>
    <w:rsid w:val="0095615A"/>
    <w:rsid w:val="00961400"/>
    <w:rsid w:val="00963646"/>
    <w:rsid w:val="0096490B"/>
    <w:rsid w:val="0096632D"/>
    <w:rsid w:val="009666B8"/>
    <w:rsid w:val="00967925"/>
    <w:rsid w:val="009702E3"/>
    <w:rsid w:val="0097101D"/>
    <w:rsid w:val="009717BE"/>
    <w:rsid w:val="009718C7"/>
    <w:rsid w:val="0097559F"/>
    <w:rsid w:val="0097576F"/>
    <w:rsid w:val="0097761E"/>
    <w:rsid w:val="00982454"/>
    <w:rsid w:val="00982CF0"/>
    <w:rsid w:val="009853E1"/>
    <w:rsid w:val="00986429"/>
    <w:rsid w:val="00986BB0"/>
    <w:rsid w:val="00986E6B"/>
    <w:rsid w:val="00990032"/>
    <w:rsid w:val="009906F8"/>
    <w:rsid w:val="00990B19"/>
    <w:rsid w:val="009911E4"/>
    <w:rsid w:val="0099153B"/>
    <w:rsid w:val="00991769"/>
    <w:rsid w:val="0099232C"/>
    <w:rsid w:val="009927F5"/>
    <w:rsid w:val="00994386"/>
    <w:rsid w:val="00997BE8"/>
    <w:rsid w:val="009A13D8"/>
    <w:rsid w:val="009A279E"/>
    <w:rsid w:val="009A3015"/>
    <w:rsid w:val="009A3490"/>
    <w:rsid w:val="009A7F68"/>
    <w:rsid w:val="009A7F6C"/>
    <w:rsid w:val="009B0687"/>
    <w:rsid w:val="009B0A6F"/>
    <w:rsid w:val="009B0A94"/>
    <w:rsid w:val="009B0B56"/>
    <w:rsid w:val="009B1C69"/>
    <w:rsid w:val="009B1F77"/>
    <w:rsid w:val="009B2AE8"/>
    <w:rsid w:val="009B2B4A"/>
    <w:rsid w:val="009B59E9"/>
    <w:rsid w:val="009B70AA"/>
    <w:rsid w:val="009C1E68"/>
    <w:rsid w:val="009C5E77"/>
    <w:rsid w:val="009C7A7E"/>
    <w:rsid w:val="009C7C24"/>
    <w:rsid w:val="009D02E8"/>
    <w:rsid w:val="009D1B37"/>
    <w:rsid w:val="009D3B34"/>
    <w:rsid w:val="009D44A3"/>
    <w:rsid w:val="009D51D0"/>
    <w:rsid w:val="009D70A4"/>
    <w:rsid w:val="009D7B14"/>
    <w:rsid w:val="009E08D1"/>
    <w:rsid w:val="009E1B95"/>
    <w:rsid w:val="009E496F"/>
    <w:rsid w:val="009E4B0D"/>
    <w:rsid w:val="009E5250"/>
    <w:rsid w:val="009E5C1F"/>
    <w:rsid w:val="009E7F92"/>
    <w:rsid w:val="009F02A3"/>
    <w:rsid w:val="009F0F32"/>
    <w:rsid w:val="009F2F27"/>
    <w:rsid w:val="009F34AA"/>
    <w:rsid w:val="009F3856"/>
    <w:rsid w:val="009F683D"/>
    <w:rsid w:val="009F6BCB"/>
    <w:rsid w:val="009F7B78"/>
    <w:rsid w:val="009F7C7C"/>
    <w:rsid w:val="009F7F7F"/>
    <w:rsid w:val="00A0001B"/>
    <w:rsid w:val="00A0057A"/>
    <w:rsid w:val="00A02B25"/>
    <w:rsid w:val="00A02FA1"/>
    <w:rsid w:val="00A04CCE"/>
    <w:rsid w:val="00A07421"/>
    <w:rsid w:val="00A0776B"/>
    <w:rsid w:val="00A079C9"/>
    <w:rsid w:val="00A10FB9"/>
    <w:rsid w:val="00A1115E"/>
    <w:rsid w:val="00A11421"/>
    <w:rsid w:val="00A11EB0"/>
    <w:rsid w:val="00A1389F"/>
    <w:rsid w:val="00A14BC3"/>
    <w:rsid w:val="00A14D11"/>
    <w:rsid w:val="00A157B1"/>
    <w:rsid w:val="00A16311"/>
    <w:rsid w:val="00A16CDE"/>
    <w:rsid w:val="00A2168F"/>
    <w:rsid w:val="00A22229"/>
    <w:rsid w:val="00A24074"/>
    <w:rsid w:val="00A24442"/>
    <w:rsid w:val="00A25745"/>
    <w:rsid w:val="00A259CC"/>
    <w:rsid w:val="00A26F51"/>
    <w:rsid w:val="00A330BB"/>
    <w:rsid w:val="00A3432D"/>
    <w:rsid w:val="00A37349"/>
    <w:rsid w:val="00A408DB"/>
    <w:rsid w:val="00A43D81"/>
    <w:rsid w:val="00A44882"/>
    <w:rsid w:val="00A45125"/>
    <w:rsid w:val="00A45F1A"/>
    <w:rsid w:val="00A46884"/>
    <w:rsid w:val="00A4769D"/>
    <w:rsid w:val="00A47CA6"/>
    <w:rsid w:val="00A47EED"/>
    <w:rsid w:val="00A54715"/>
    <w:rsid w:val="00A54B4C"/>
    <w:rsid w:val="00A60009"/>
    <w:rsid w:val="00A6061C"/>
    <w:rsid w:val="00A60EDD"/>
    <w:rsid w:val="00A62D44"/>
    <w:rsid w:val="00A6333D"/>
    <w:rsid w:val="00A67263"/>
    <w:rsid w:val="00A67588"/>
    <w:rsid w:val="00A70178"/>
    <w:rsid w:val="00A70487"/>
    <w:rsid w:val="00A7161C"/>
    <w:rsid w:val="00A74136"/>
    <w:rsid w:val="00A74370"/>
    <w:rsid w:val="00A779CB"/>
    <w:rsid w:val="00A77AA3"/>
    <w:rsid w:val="00A81897"/>
    <w:rsid w:val="00A8236D"/>
    <w:rsid w:val="00A83455"/>
    <w:rsid w:val="00A854EB"/>
    <w:rsid w:val="00A872E5"/>
    <w:rsid w:val="00A91406"/>
    <w:rsid w:val="00A9562E"/>
    <w:rsid w:val="00A96E65"/>
    <w:rsid w:val="00A97C72"/>
    <w:rsid w:val="00AA0BE9"/>
    <w:rsid w:val="00AA14A3"/>
    <w:rsid w:val="00AA268E"/>
    <w:rsid w:val="00AA2A88"/>
    <w:rsid w:val="00AA310B"/>
    <w:rsid w:val="00AA45E7"/>
    <w:rsid w:val="00AA63D4"/>
    <w:rsid w:val="00AA793D"/>
    <w:rsid w:val="00AA7947"/>
    <w:rsid w:val="00AB06AE"/>
    <w:rsid w:val="00AB06E8"/>
    <w:rsid w:val="00AB0780"/>
    <w:rsid w:val="00AB1CD3"/>
    <w:rsid w:val="00AB352F"/>
    <w:rsid w:val="00AB53B3"/>
    <w:rsid w:val="00AB5EA8"/>
    <w:rsid w:val="00AB606A"/>
    <w:rsid w:val="00AC274B"/>
    <w:rsid w:val="00AC2798"/>
    <w:rsid w:val="00AC4764"/>
    <w:rsid w:val="00AC6D36"/>
    <w:rsid w:val="00AD09CE"/>
    <w:rsid w:val="00AD0A88"/>
    <w:rsid w:val="00AD0CBA"/>
    <w:rsid w:val="00AD177A"/>
    <w:rsid w:val="00AD2087"/>
    <w:rsid w:val="00AD26E2"/>
    <w:rsid w:val="00AD3AB1"/>
    <w:rsid w:val="00AD6CBE"/>
    <w:rsid w:val="00AD784C"/>
    <w:rsid w:val="00AE126A"/>
    <w:rsid w:val="00AE1BAE"/>
    <w:rsid w:val="00AE3005"/>
    <w:rsid w:val="00AE3BD5"/>
    <w:rsid w:val="00AE55A1"/>
    <w:rsid w:val="00AE59A0"/>
    <w:rsid w:val="00AE77A3"/>
    <w:rsid w:val="00AF0C57"/>
    <w:rsid w:val="00AF0FD0"/>
    <w:rsid w:val="00AF127A"/>
    <w:rsid w:val="00AF26F3"/>
    <w:rsid w:val="00AF328F"/>
    <w:rsid w:val="00AF5F04"/>
    <w:rsid w:val="00B00672"/>
    <w:rsid w:val="00B01B4D"/>
    <w:rsid w:val="00B03704"/>
    <w:rsid w:val="00B052EE"/>
    <w:rsid w:val="00B06571"/>
    <w:rsid w:val="00B068BA"/>
    <w:rsid w:val="00B06DE3"/>
    <w:rsid w:val="00B07FF7"/>
    <w:rsid w:val="00B13552"/>
    <w:rsid w:val="00B13851"/>
    <w:rsid w:val="00B13B1C"/>
    <w:rsid w:val="00B14780"/>
    <w:rsid w:val="00B156BE"/>
    <w:rsid w:val="00B15DB8"/>
    <w:rsid w:val="00B1726C"/>
    <w:rsid w:val="00B21B92"/>
    <w:rsid w:val="00B21F90"/>
    <w:rsid w:val="00B22291"/>
    <w:rsid w:val="00B22F4C"/>
    <w:rsid w:val="00B23F9A"/>
    <w:rsid w:val="00B2417B"/>
    <w:rsid w:val="00B24E6F"/>
    <w:rsid w:val="00B256B4"/>
    <w:rsid w:val="00B26CB5"/>
    <w:rsid w:val="00B2752E"/>
    <w:rsid w:val="00B307CC"/>
    <w:rsid w:val="00B30BA3"/>
    <w:rsid w:val="00B323FD"/>
    <w:rsid w:val="00B32471"/>
    <w:rsid w:val="00B326B7"/>
    <w:rsid w:val="00B35096"/>
    <w:rsid w:val="00B3588E"/>
    <w:rsid w:val="00B41A24"/>
    <w:rsid w:val="00B41F3D"/>
    <w:rsid w:val="00B42A92"/>
    <w:rsid w:val="00B431E8"/>
    <w:rsid w:val="00B45141"/>
    <w:rsid w:val="00B45470"/>
    <w:rsid w:val="00B46DE7"/>
    <w:rsid w:val="00B472DE"/>
    <w:rsid w:val="00B47A0B"/>
    <w:rsid w:val="00B519CD"/>
    <w:rsid w:val="00B5273A"/>
    <w:rsid w:val="00B52843"/>
    <w:rsid w:val="00B57329"/>
    <w:rsid w:val="00B60E61"/>
    <w:rsid w:val="00B62B50"/>
    <w:rsid w:val="00B635B7"/>
    <w:rsid w:val="00B63AE8"/>
    <w:rsid w:val="00B63B6F"/>
    <w:rsid w:val="00B63E3D"/>
    <w:rsid w:val="00B63FA6"/>
    <w:rsid w:val="00B643F4"/>
    <w:rsid w:val="00B65950"/>
    <w:rsid w:val="00B66D83"/>
    <w:rsid w:val="00B672C0"/>
    <w:rsid w:val="00B676FD"/>
    <w:rsid w:val="00B704D7"/>
    <w:rsid w:val="00B73A2E"/>
    <w:rsid w:val="00B75646"/>
    <w:rsid w:val="00B762D5"/>
    <w:rsid w:val="00B809AC"/>
    <w:rsid w:val="00B83662"/>
    <w:rsid w:val="00B84E4A"/>
    <w:rsid w:val="00B85297"/>
    <w:rsid w:val="00B90729"/>
    <w:rsid w:val="00B907DA"/>
    <w:rsid w:val="00B90C13"/>
    <w:rsid w:val="00B93689"/>
    <w:rsid w:val="00B94C61"/>
    <w:rsid w:val="00B94CD5"/>
    <w:rsid w:val="00B950BC"/>
    <w:rsid w:val="00B969F1"/>
    <w:rsid w:val="00B9714C"/>
    <w:rsid w:val="00BA059E"/>
    <w:rsid w:val="00BA15A3"/>
    <w:rsid w:val="00BA1C88"/>
    <w:rsid w:val="00BA29AD"/>
    <w:rsid w:val="00BA33CF"/>
    <w:rsid w:val="00BA3F8D"/>
    <w:rsid w:val="00BA5249"/>
    <w:rsid w:val="00BA594D"/>
    <w:rsid w:val="00BB111E"/>
    <w:rsid w:val="00BB718A"/>
    <w:rsid w:val="00BB7A10"/>
    <w:rsid w:val="00BC120F"/>
    <w:rsid w:val="00BC3E8F"/>
    <w:rsid w:val="00BC5104"/>
    <w:rsid w:val="00BC55AF"/>
    <w:rsid w:val="00BC60BE"/>
    <w:rsid w:val="00BC7468"/>
    <w:rsid w:val="00BC7D4F"/>
    <w:rsid w:val="00BC7ED1"/>
    <w:rsid w:val="00BC7ED7"/>
    <w:rsid w:val="00BD2850"/>
    <w:rsid w:val="00BD3495"/>
    <w:rsid w:val="00BD38BD"/>
    <w:rsid w:val="00BD4F9A"/>
    <w:rsid w:val="00BD52B9"/>
    <w:rsid w:val="00BD6DA8"/>
    <w:rsid w:val="00BD6FCD"/>
    <w:rsid w:val="00BE043D"/>
    <w:rsid w:val="00BE0C11"/>
    <w:rsid w:val="00BE28D2"/>
    <w:rsid w:val="00BE2D7E"/>
    <w:rsid w:val="00BE315C"/>
    <w:rsid w:val="00BE4A64"/>
    <w:rsid w:val="00BE5E43"/>
    <w:rsid w:val="00BF09E6"/>
    <w:rsid w:val="00BF30B2"/>
    <w:rsid w:val="00BF3AC8"/>
    <w:rsid w:val="00BF557D"/>
    <w:rsid w:val="00BF5CA3"/>
    <w:rsid w:val="00BF5F03"/>
    <w:rsid w:val="00BF6A1F"/>
    <w:rsid w:val="00BF7F58"/>
    <w:rsid w:val="00C01381"/>
    <w:rsid w:val="00C01AB1"/>
    <w:rsid w:val="00C026A0"/>
    <w:rsid w:val="00C02EE2"/>
    <w:rsid w:val="00C057D7"/>
    <w:rsid w:val="00C06137"/>
    <w:rsid w:val="00C06CA0"/>
    <w:rsid w:val="00C079B8"/>
    <w:rsid w:val="00C10037"/>
    <w:rsid w:val="00C1130A"/>
    <w:rsid w:val="00C123EA"/>
    <w:rsid w:val="00C12A49"/>
    <w:rsid w:val="00C133EE"/>
    <w:rsid w:val="00C13D8A"/>
    <w:rsid w:val="00C14118"/>
    <w:rsid w:val="00C149D0"/>
    <w:rsid w:val="00C24BD7"/>
    <w:rsid w:val="00C25788"/>
    <w:rsid w:val="00C25836"/>
    <w:rsid w:val="00C26588"/>
    <w:rsid w:val="00C27DE9"/>
    <w:rsid w:val="00C3085B"/>
    <w:rsid w:val="00C32989"/>
    <w:rsid w:val="00C33388"/>
    <w:rsid w:val="00C33DC4"/>
    <w:rsid w:val="00C35484"/>
    <w:rsid w:val="00C364E8"/>
    <w:rsid w:val="00C37545"/>
    <w:rsid w:val="00C377D1"/>
    <w:rsid w:val="00C41254"/>
    <w:rsid w:val="00C4173A"/>
    <w:rsid w:val="00C42330"/>
    <w:rsid w:val="00C43AE3"/>
    <w:rsid w:val="00C4464A"/>
    <w:rsid w:val="00C4513D"/>
    <w:rsid w:val="00C50DED"/>
    <w:rsid w:val="00C561B5"/>
    <w:rsid w:val="00C57DD4"/>
    <w:rsid w:val="00C600C6"/>
    <w:rsid w:val="00C602FF"/>
    <w:rsid w:val="00C61174"/>
    <w:rsid w:val="00C61370"/>
    <w:rsid w:val="00C6148F"/>
    <w:rsid w:val="00C621B1"/>
    <w:rsid w:val="00C625D0"/>
    <w:rsid w:val="00C62F7A"/>
    <w:rsid w:val="00C63B9C"/>
    <w:rsid w:val="00C6682F"/>
    <w:rsid w:val="00C67BF4"/>
    <w:rsid w:val="00C7275E"/>
    <w:rsid w:val="00C74580"/>
    <w:rsid w:val="00C74C5D"/>
    <w:rsid w:val="00C81C0A"/>
    <w:rsid w:val="00C8362A"/>
    <w:rsid w:val="00C863C4"/>
    <w:rsid w:val="00C8746D"/>
    <w:rsid w:val="00C90F7C"/>
    <w:rsid w:val="00C920EA"/>
    <w:rsid w:val="00C92780"/>
    <w:rsid w:val="00C93C3E"/>
    <w:rsid w:val="00C97795"/>
    <w:rsid w:val="00CA12E3"/>
    <w:rsid w:val="00CA1476"/>
    <w:rsid w:val="00CA273C"/>
    <w:rsid w:val="00CA6611"/>
    <w:rsid w:val="00CA6AE6"/>
    <w:rsid w:val="00CA782F"/>
    <w:rsid w:val="00CA7DA5"/>
    <w:rsid w:val="00CB187B"/>
    <w:rsid w:val="00CB211E"/>
    <w:rsid w:val="00CB2835"/>
    <w:rsid w:val="00CB3285"/>
    <w:rsid w:val="00CB4500"/>
    <w:rsid w:val="00CB7800"/>
    <w:rsid w:val="00CC0C72"/>
    <w:rsid w:val="00CC1D58"/>
    <w:rsid w:val="00CC2BFD"/>
    <w:rsid w:val="00CC4491"/>
    <w:rsid w:val="00CC5832"/>
    <w:rsid w:val="00CC6666"/>
    <w:rsid w:val="00CC70E2"/>
    <w:rsid w:val="00CD3391"/>
    <w:rsid w:val="00CD3476"/>
    <w:rsid w:val="00CD5322"/>
    <w:rsid w:val="00CD5E0B"/>
    <w:rsid w:val="00CD64DF"/>
    <w:rsid w:val="00CD7600"/>
    <w:rsid w:val="00CE225F"/>
    <w:rsid w:val="00CE59DA"/>
    <w:rsid w:val="00CF2F50"/>
    <w:rsid w:val="00CF6198"/>
    <w:rsid w:val="00CF67B7"/>
    <w:rsid w:val="00D02919"/>
    <w:rsid w:val="00D04C61"/>
    <w:rsid w:val="00D05B8D"/>
    <w:rsid w:val="00D065A2"/>
    <w:rsid w:val="00D079AA"/>
    <w:rsid w:val="00D07B35"/>
    <w:rsid w:val="00D07F00"/>
    <w:rsid w:val="00D1130F"/>
    <w:rsid w:val="00D116FD"/>
    <w:rsid w:val="00D129F8"/>
    <w:rsid w:val="00D14FF1"/>
    <w:rsid w:val="00D1589C"/>
    <w:rsid w:val="00D15DB7"/>
    <w:rsid w:val="00D17B72"/>
    <w:rsid w:val="00D2411E"/>
    <w:rsid w:val="00D27B3A"/>
    <w:rsid w:val="00D3185C"/>
    <w:rsid w:val="00D3205F"/>
    <w:rsid w:val="00D32B93"/>
    <w:rsid w:val="00D3318E"/>
    <w:rsid w:val="00D33E72"/>
    <w:rsid w:val="00D34789"/>
    <w:rsid w:val="00D34E55"/>
    <w:rsid w:val="00D35BD6"/>
    <w:rsid w:val="00D361B5"/>
    <w:rsid w:val="00D37CEB"/>
    <w:rsid w:val="00D405AC"/>
    <w:rsid w:val="00D411A2"/>
    <w:rsid w:val="00D42EE4"/>
    <w:rsid w:val="00D4606D"/>
    <w:rsid w:val="00D46C92"/>
    <w:rsid w:val="00D50AF8"/>
    <w:rsid w:val="00D50B9C"/>
    <w:rsid w:val="00D50F09"/>
    <w:rsid w:val="00D52688"/>
    <w:rsid w:val="00D52D73"/>
    <w:rsid w:val="00D52E58"/>
    <w:rsid w:val="00D545AA"/>
    <w:rsid w:val="00D5594F"/>
    <w:rsid w:val="00D56250"/>
    <w:rsid w:val="00D56B20"/>
    <w:rsid w:val="00D56CF9"/>
    <w:rsid w:val="00D578B3"/>
    <w:rsid w:val="00D618F4"/>
    <w:rsid w:val="00D642F4"/>
    <w:rsid w:val="00D66C06"/>
    <w:rsid w:val="00D7014E"/>
    <w:rsid w:val="00D714CC"/>
    <w:rsid w:val="00D73C39"/>
    <w:rsid w:val="00D75EA7"/>
    <w:rsid w:val="00D7690E"/>
    <w:rsid w:val="00D76B25"/>
    <w:rsid w:val="00D81ADF"/>
    <w:rsid w:val="00D81F21"/>
    <w:rsid w:val="00D82339"/>
    <w:rsid w:val="00D864F2"/>
    <w:rsid w:val="00D92F95"/>
    <w:rsid w:val="00D943F8"/>
    <w:rsid w:val="00D95470"/>
    <w:rsid w:val="00D95C42"/>
    <w:rsid w:val="00D96B55"/>
    <w:rsid w:val="00DA2619"/>
    <w:rsid w:val="00DA4239"/>
    <w:rsid w:val="00DA65DE"/>
    <w:rsid w:val="00DB0B61"/>
    <w:rsid w:val="00DB1474"/>
    <w:rsid w:val="00DB2962"/>
    <w:rsid w:val="00DB321E"/>
    <w:rsid w:val="00DB52FB"/>
    <w:rsid w:val="00DB5404"/>
    <w:rsid w:val="00DB7E62"/>
    <w:rsid w:val="00DC013B"/>
    <w:rsid w:val="00DC016E"/>
    <w:rsid w:val="00DC090B"/>
    <w:rsid w:val="00DC1679"/>
    <w:rsid w:val="00DC219B"/>
    <w:rsid w:val="00DC2342"/>
    <w:rsid w:val="00DC2CF1"/>
    <w:rsid w:val="00DC4FCF"/>
    <w:rsid w:val="00DC50E0"/>
    <w:rsid w:val="00DC6386"/>
    <w:rsid w:val="00DD0202"/>
    <w:rsid w:val="00DD090B"/>
    <w:rsid w:val="00DD1130"/>
    <w:rsid w:val="00DD1839"/>
    <w:rsid w:val="00DD1951"/>
    <w:rsid w:val="00DD2546"/>
    <w:rsid w:val="00DD487D"/>
    <w:rsid w:val="00DD4E83"/>
    <w:rsid w:val="00DD6628"/>
    <w:rsid w:val="00DD6945"/>
    <w:rsid w:val="00DD7F48"/>
    <w:rsid w:val="00DE2D04"/>
    <w:rsid w:val="00DE3250"/>
    <w:rsid w:val="00DE451A"/>
    <w:rsid w:val="00DE6028"/>
    <w:rsid w:val="00DE78A3"/>
    <w:rsid w:val="00DF0DE3"/>
    <w:rsid w:val="00DF1A71"/>
    <w:rsid w:val="00DF30A9"/>
    <w:rsid w:val="00DF50FC"/>
    <w:rsid w:val="00DF5528"/>
    <w:rsid w:val="00DF68C7"/>
    <w:rsid w:val="00DF731A"/>
    <w:rsid w:val="00DF7851"/>
    <w:rsid w:val="00E0254C"/>
    <w:rsid w:val="00E02608"/>
    <w:rsid w:val="00E0278E"/>
    <w:rsid w:val="00E06833"/>
    <w:rsid w:val="00E06B75"/>
    <w:rsid w:val="00E11332"/>
    <w:rsid w:val="00E11352"/>
    <w:rsid w:val="00E14902"/>
    <w:rsid w:val="00E15919"/>
    <w:rsid w:val="00E170DC"/>
    <w:rsid w:val="00E17522"/>
    <w:rsid w:val="00E17546"/>
    <w:rsid w:val="00E210B5"/>
    <w:rsid w:val="00E231B5"/>
    <w:rsid w:val="00E2366F"/>
    <w:rsid w:val="00E261B3"/>
    <w:rsid w:val="00E26818"/>
    <w:rsid w:val="00E26AF3"/>
    <w:rsid w:val="00E27FFC"/>
    <w:rsid w:val="00E30B15"/>
    <w:rsid w:val="00E3167F"/>
    <w:rsid w:val="00E31B67"/>
    <w:rsid w:val="00E33237"/>
    <w:rsid w:val="00E33E47"/>
    <w:rsid w:val="00E356F3"/>
    <w:rsid w:val="00E35B72"/>
    <w:rsid w:val="00E40181"/>
    <w:rsid w:val="00E41FB2"/>
    <w:rsid w:val="00E46335"/>
    <w:rsid w:val="00E5179D"/>
    <w:rsid w:val="00E54950"/>
    <w:rsid w:val="00E54DCA"/>
    <w:rsid w:val="00E56A01"/>
    <w:rsid w:val="00E56E7C"/>
    <w:rsid w:val="00E60A88"/>
    <w:rsid w:val="00E62129"/>
    <w:rsid w:val="00E62257"/>
    <w:rsid w:val="00E6257C"/>
    <w:rsid w:val="00E62622"/>
    <w:rsid w:val="00E629A1"/>
    <w:rsid w:val="00E6739A"/>
    <w:rsid w:val="00E6794C"/>
    <w:rsid w:val="00E71591"/>
    <w:rsid w:val="00E71CEB"/>
    <w:rsid w:val="00E73BEF"/>
    <w:rsid w:val="00E7474F"/>
    <w:rsid w:val="00E8027B"/>
    <w:rsid w:val="00E80DE3"/>
    <w:rsid w:val="00E81889"/>
    <w:rsid w:val="00E82C55"/>
    <w:rsid w:val="00E84A39"/>
    <w:rsid w:val="00E8787E"/>
    <w:rsid w:val="00E92AC3"/>
    <w:rsid w:val="00E94484"/>
    <w:rsid w:val="00E97F9D"/>
    <w:rsid w:val="00EA017B"/>
    <w:rsid w:val="00EA1360"/>
    <w:rsid w:val="00EA2DF9"/>
    <w:rsid w:val="00EA2F6A"/>
    <w:rsid w:val="00EA417E"/>
    <w:rsid w:val="00EA4C51"/>
    <w:rsid w:val="00EB00E0"/>
    <w:rsid w:val="00EB043A"/>
    <w:rsid w:val="00EB08D1"/>
    <w:rsid w:val="00EB60E1"/>
    <w:rsid w:val="00EB7C0A"/>
    <w:rsid w:val="00EC059F"/>
    <w:rsid w:val="00EC1BDA"/>
    <w:rsid w:val="00EC1F24"/>
    <w:rsid w:val="00EC22F6"/>
    <w:rsid w:val="00EC40D5"/>
    <w:rsid w:val="00EC45D4"/>
    <w:rsid w:val="00EC6920"/>
    <w:rsid w:val="00ED0773"/>
    <w:rsid w:val="00ED4A2E"/>
    <w:rsid w:val="00ED53B5"/>
    <w:rsid w:val="00ED5B9B"/>
    <w:rsid w:val="00ED5FDA"/>
    <w:rsid w:val="00ED6A68"/>
    <w:rsid w:val="00ED6BAD"/>
    <w:rsid w:val="00ED7447"/>
    <w:rsid w:val="00ED797A"/>
    <w:rsid w:val="00EE00D6"/>
    <w:rsid w:val="00EE11E7"/>
    <w:rsid w:val="00EE12A8"/>
    <w:rsid w:val="00EE1488"/>
    <w:rsid w:val="00EE29AD"/>
    <w:rsid w:val="00EE3E24"/>
    <w:rsid w:val="00EE4D5D"/>
    <w:rsid w:val="00EE5131"/>
    <w:rsid w:val="00EF0133"/>
    <w:rsid w:val="00EF0444"/>
    <w:rsid w:val="00EF109B"/>
    <w:rsid w:val="00EF201C"/>
    <w:rsid w:val="00EF25EB"/>
    <w:rsid w:val="00EF36AF"/>
    <w:rsid w:val="00EF38D9"/>
    <w:rsid w:val="00EF436A"/>
    <w:rsid w:val="00EF51F8"/>
    <w:rsid w:val="00EF59A3"/>
    <w:rsid w:val="00EF6675"/>
    <w:rsid w:val="00F00F9C"/>
    <w:rsid w:val="00F0130E"/>
    <w:rsid w:val="00F01E5F"/>
    <w:rsid w:val="00F024F3"/>
    <w:rsid w:val="00F02ABA"/>
    <w:rsid w:val="00F037EF"/>
    <w:rsid w:val="00F0437A"/>
    <w:rsid w:val="00F053C7"/>
    <w:rsid w:val="00F101B8"/>
    <w:rsid w:val="00F11037"/>
    <w:rsid w:val="00F1183D"/>
    <w:rsid w:val="00F11989"/>
    <w:rsid w:val="00F12BE1"/>
    <w:rsid w:val="00F13573"/>
    <w:rsid w:val="00F13D0F"/>
    <w:rsid w:val="00F16CD4"/>
    <w:rsid w:val="00F16F1B"/>
    <w:rsid w:val="00F22790"/>
    <w:rsid w:val="00F2384F"/>
    <w:rsid w:val="00F244DB"/>
    <w:rsid w:val="00F250A9"/>
    <w:rsid w:val="00F267AF"/>
    <w:rsid w:val="00F2707B"/>
    <w:rsid w:val="00F30FF4"/>
    <w:rsid w:val="00F3122E"/>
    <w:rsid w:val="00F31CF3"/>
    <w:rsid w:val="00F32368"/>
    <w:rsid w:val="00F331AD"/>
    <w:rsid w:val="00F35287"/>
    <w:rsid w:val="00F35752"/>
    <w:rsid w:val="00F35801"/>
    <w:rsid w:val="00F40A70"/>
    <w:rsid w:val="00F43A37"/>
    <w:rsid w:val="00F451AB"/>
    <w:rsid w:val="00F4641B"/>
    <w:rsid w:val="00F46EB8"/>
    <w:rsid w:val="00F50CD1"/>
    <w:rsid w:val="00F511E4"/>
    <w:rsid w:val="00F517FF"/>
    <w:rsid w:val="00F52D09"/>
    <w:rsid w:val="00F52E08"/>
    <w:rsid w:val="00F53A66"/>
    <w:rsid w:val="00F53DDD"/>
    <w:rsid w:val="00F5462D"/>
    <w:rsid w:val="00F559CA"/>
    <w:rsid w:val="00F55B21"/>
    <w:rsid w:val="00F56814"/>
    <w:rsid w:val="00F56EF6"/>
    <w:rsid w:val="00F60082"/>
    <w:rsid w:val="00F61A9F"/>
    <w:rsid w:val="00F61B5F"/>
    <w:rsid w:val="00F61D79"/>
    <w:rsid w:val="00F62AB8"/>
    <w:rsid w:val="00F64696"/>
    <w:rsid w:val="00F65AA9"/>
    <w:rsid w:val="00F6768F"/>
    <w:rsid w:val="00F712D8"/>
    <w:rsid w:val="00F72063"/>
    <w:rsid w:val="00F72C2C"/>
    <w:rsid w:val="00F76CAB"/>
    <w:rsid w:val="00F772C6"/>
    <w:rsid w:val="00F80DF2"/>
    <w:rsid w:val="00F815B5"/>
    <w:rsid w:val="00F84FA0"/>
    <w:rsid w:val="00F85195"/>
    <w:rsid w:val="00F868E3"/>
    <w:rsid w:val="00F874E9"/>
    <w:rsid w:val="00F929BB"/>
    <w:rsid w:val="00F938BA"/>
    <w:rsid w:val="00F947D3"/>
    <w:rsid w:val="00F9539D"/>
    <w:rsid w:val="00F97919"/>
    <w:rsid w:val="00FA2C46"/>
    <w:rsid w:val="00FA3525"/>
    <w:rsid w:val="00FA5A53"/>
    <w:rsid w:val="00FA7324"/>
    <w:rsid w:val="00FB07F1"/>
    <w:rsid w:val="00FB22BB"/>
    <w:rsid w:val="00FB2551"/>
    <w:rsid w:val="00FB4769"/>
    <w:rsid w:val="00FB4CDA"/>
    <w:rsid w:val="00FB6064"/>
    <w:rsid w:val="00FB6481"/>
    <w:rsid w:val="00FB6D36"/>
    <w:rsid w:val="00FC0965"/>
    <w:rsid w:val="00FC0F81"/>
    <w:rsid w:val="00FC252F"/>
    <w:rsid w:val="00FC395C"/>
    <w:rsid w:val="00FC5E8E"/>
    <w:rsid w:val="00FC6BD8"/>
    <w:rsid w:val="00FD3766"/>
    <w:rsid w:val="00FD47C4"/>
    <w:rsid w:val="00FD5253"/>
    <w:rsid w:val="00FD6D32"/>
    <w:rsid w:val="00FD7086"/>
    <w:rsid w:val="00FD722A"/>
    <w:rsid w:val="00FD7692"/>
    <w:rsid w:val="00FE2170"/>
    <w:rsid w:val="00FE2DCF"/>
    <w:rsid w:val="00FE3DCA"/>
    <w:rsid w:val="00FE3FA7"/>
    <w:rsid w:val="00FE6E2A"/>
    <w:rsid w:val="00FF0C36"/>
    <w:rsid w:val="00FF10C9"/>
    <w:rsid w:val="00FF2A4E"/>
    <w:rsid w:val="00FF2FCE"/>
    <w:rsid w:val="00FF4DE4"/>
    <w:rsid w:val="00FF4F7D"/>
    <w:rsid w:val="00FF54DF"/>
    <w:rsid w:val="00FF6D9D"/>
    <w:rsid w:val="00FF7DD5"/>
    <w:rsid w:val="025D57F6"/>
    <w:rsid w:val="02C6511D"/>
    <w:rsid w:val="089E2859"/>
    <w:rsid w:val="0A0C9397"/>
    <w:rsid w:val="0AA173E0"/>
    <w:rsid w:val="0B99AB50"/>
    <w:rsid w:val="0BB84103"/>
    <w:rsid w:val="12617247"/>
    <w:rsid w:val="12C21DFC"/>
    <w:rsid w:val="212AC408"/>
    <w:rsid w:val="22382F12"/>
    <w:rsid w:val="23EBADE7"/>
    <w:rsid w:val="23F4F93D"/>
    <w:rsid w:val="2BC90B9A"/>
    <w:rsid w:val="2D92DBAE"/>
    <w:rsid w:val="31523068"/>
    <w:rsid w:val="34B10CB5"/>
    <w:rsid w:val="352185E2"/>
    <w:rsid w:val="371C107B"/>
    <w:rsid w:val="3AFCC7DC"/>
    <w:rsid w:val="3D16F8EC"/>
    <w:rsid w:val="3F4BB1EE"/>
    <w:rsid w:val="43C45EF4"/>
    <w:rsid w:val="45329107"/>
    <w:rsid w:val="49E6AEA9"/>
    <w:rsid w:val="4EA5389A"/>
    <w:rsid w:val="50C39BA5"/>
    <w:rsid w:val="512483A4"/>
    <w:rsid w:val="532FE12A"/>
    <w:rsid w:val="55D904C2"/>
    <w:rsid w:val="58D77E91"/>
    <w:rsid w:val="63909647"/>
    <w:rsid w:val="63D2B899"/>
    <w:rsid w:val="76621479"/>
    <w:rsid w:val="7E1BF7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7CFC113"/>
  <w15:docId w15:val="{562F3866-D83A-4785-A2A6-96F1C42D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10"/>
    <w:rsid w:val="00D46C92"/>
    <w:pPr>
      <w:keepLines/>
      <w:tabs>
        <w:tab w:val="right" w:leader="dot" w:pos="10206"/>
      </w:tabs>
      <w:spacing w:after="60"/>
      <w:ind w:left="284"/>
    </w:pPr>
    <w:rPr>
      <w:rFonts w:cs="Arial"/>
    </w:rPr>
  </w:style>
  <w:style w:type="paragraph" w:styleId="TOC4">
    <w:name w:val="toc 4"/>
    <w:basedOn w:val="TOC3"/>
    <w:uiPriority w:val="5"/>
    <w:rsid w:val="00D46C92"/>
    <w:pPr>
      <w:ind w:left="567"/>
    </w:pPr>
  </w:style>
  <w:style w:type="paragraph" w:styleId="TOC5">
    <w:name w:val="toc 5"/>
    <w:basedOn w:val="TOC4"/>
    <w:uiPriority w:val="39"/>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AF0FD0"/>
    <w:pPr>
      <w:spacing w:after="120" w:line="270" w:lineRule="atLeast"/>
    </w:pPr>
    <w:rPr>
      <w:rFonts w:ascii="Arial" w:eastAsia="Times" w:hAnsi="Arial"/>
      <w:lang w:eastAsia="en-US"/>
    </w:rPr>
  </w:style>
  <w:style w:type="character" w:styleId="PlaceholderText">
    <w:name w:val="Placeholder Text"/>
    <w:basedOn w:val="DefaultParagraphFont"/>
    <w:uiPriority w:val="99"/>
    <w:unhideWhenUsed/>
    <w:rsid w:val="00AF0FD0"/>
    <w:rPr>
      <w:color w:val="808080"/>
    </w:rPr>
  </w:style>
  <w:style w:type="character" w:styleId="Emphasis">
    <w:name w:val="Emphasis"/>
    <w:basedOn w:val="DefaultParagraphFont"/>
    <w:uiPriority w:val="20"/>
    <w:qFormat/>
    <w:rsid w:val="00D7014E"/>
    <w:rPr>
      <w:i/>
      <w:iCs/>
    </w:rPr>
  </w:style>
  <w:style w:type="paragraph" w:customStyle="1" w:styleId="DHHSbullet1">
    <w:name w:val="DHHS bullet 1"/>
    <w:basedOn w:val="DHHSbody"/>
    <w:qFormat/>
    <w:rsid w:val="00174A59"/>
    <w:pPr>
      <w:spacing w:after="40"/>
      <w:ind w:left="284" w:hanging="284"/>
    </w:pPr>
  </w:style>
  <w:style w:type="paragraph" w:customStyle="1" w:styleId="DHHSbullet2">
    <w:name w:val="DHHS bullet 2"/>
    <w:basedOn w:val="DHHSbody"/>
    <w:uiPriority w:val="2"/>
    <w:qFormat/>
    <w:rsid w:val="00174A59"/>
    <w:pPr>
      <w:spacing w:after="40"/>
      <w:ind w:left="567" w:hanging="283"/>
    </w:pPr>
  </w:style>
  <w:style w:type="paragraph" w:customStyle="1" w:styleId="DHHStablebullet">
    <w:name w:val="DHHS table bullet"/>
    <w:basedOn w:val="Normal"/>
    <w:uiPriority w:val="3"/>
    <w:qFormat/>
    <w:rsid w:val="00174A59"/>
    <w:pPr>
      <w:spacing w:before="80" w:after="60" w:line="240" w:lineRule="auto"/>
      <w:ind w:left="227" w:hanging="227"/>
    </w:pPr>
    <w:rPr>
      <w:sz w:val="20"/>
    </w:rPr>
  </w:style>
  <w:style w:type="paragraph" w:customStyle="1" w:styleId="DHHSbulletindent">
    <w:name w:val="DHHS bullet indent"/>
    <w:basedOn w:val="DHHSbody"/>
    <w:rsid w:val="00174A59"/>
    <w:pPr>
      <w:spacing w:after="40"/>
      <w:ind w:left="680" w:hanging="283"/>
    </w:pPr>
  </w:style>
  <w:style w:type="paragraph" w:customStyle="1" w:styleId="DHHSbullet1lastline">
    <w:name w:val="DHHS bullet 1 last line"/>
    <w:basedOn w:val="DHHSbullet1"/>
    <w:qFormat/>
    <w:rsid w:val="00174A59"/>
    <w:pPr>
      <w:spacing w:after="120"/>
    </w:pPr>
  </w:style>
  <w:style w:type="paragraph" w:customStyle="1" w:styleId="DHHSbullet2lastline">
    <w:name w:val="DHHS bullet 2 last line"/>
    <w:basedOn w:val="DHHSbullet2"/>
    <w:uiPriority w:val="2"/>
    <w:qFormat/>
    <w:rsid w:val="00174A59"/>
    <w:pPr>
      <w:spacing w:after="120"/>
    </w:pPr>
  </w:style>
  <w:style w:type="paragraph" w:customStyle="1" w:styleId="DHHSbulletindentlastline">
    <w:name w:val="DHHS bullet indent last line"/>
    <w:basedOn w:val="DHHSbody"/>
    <w:rsid w:val="00174A59"/>
    <w:pPr>
      <w:ind w:left="680" w:hanging="283"/>
    </w:pPr>
  </w:style>
  <w:style w:type="paragraph" w:customStyle="1" w:styleId="DHHStabletext6pt">
    <w:name w:val="DHHS table text + 6pt"/>
    <w:basedOn w:val="DHHStabletext"/>
    <w:rsid w:val="00BA059E"/>
    <w:pPr>
      <w:spacing w:after="120"/>
    </w:pPr>
  </w:style>
  <w:style w:type="paragraph" w:customStyle="1" w:styleId="DHHSbodynospace">
    <w:name w:val="DHHS body no space"/>
    <w:basedOn w:val="DHHSbody"/>
    <w:uiPriority w:val="1"/>
    <w:rsid w:val="00BA059E"/>
    <w:pPr>
      <w:spacing w:after="0"/>
    </w:pPr>
  </w:style>
  <w:style w:type="paragraph" w:customStyle="1" w:styleId="DHHSTOCheadingfactsheet">
    <w:name w:val="DHHS TOC heading fact sheet"/>
    <w:basedOn w:val="Heading2"/>
    <w:next w:val="DHHSbody"/>
    <w:link w:val="DHHSTOCheadingfactsheetChar"/>
    <w:uiPriority w:val="4"/>
    <w:rsid w:val="00BA059E"/>
    <w:pPr>
      <w:spacing w:before="0" w:after="200" w:line="320" w:lineRule="atLeast"/>
      <w:outlineLvl w:val="9"/>
    </w:pPr>
    <w:rPr>
      <w:color w:val="201547"/>
      <w:sz w:val="28"/>
    </w:rPr>
  </w:style>
  <w:style w:type="character" w:customStyle="1" w:styleId="DHHSTOCheadingfactsheetChar">
    <w:name w:val="DHHS TOC heading fact sheet Char"/>
    <w:link w:val="DHHSTOCheadingfactsheet"/>
    <w:uiPriority w:val="4"/>
    <w:rsid w:val="00BA059E"/>
    <w:rPr>
      <w:rFonts w:ascii="Arial" w:hAnsi="Arial"/>
      <w:b/>
      <w:color w:val="201547"/>
      <w:sz w:val="28"/>
      <w:szCs w:val="28"/>
      <w:lang w:eastAsia="en-US"/>
    </w:rPr>
  </w:style>
  <w:style w:type="paragraph" w:customStyle="1" w:styleId="DHHStabletext">
    <w:name w:val="DHHS table text"/>
    <w:uiPriority w:val="3"/>
    <w:qFormat/>
    <w:rsid w:val="00BA059E"/>
    <w:pPr>
      <w:spacing w:before="80" w:after="60"/>
    </w:pPr>
    <w:rPr>
      <w:rFonts w:ascii="Arial" w:hAnsi="Arial"/>
      <w:lang w:eastAsia="en-US"/>
    </w:rPr>
  </w:style>
  <w:style w:type="paragraph" w:customStyle="1" w:styleId="DHHStablecaption">
    <w:name w:val="DHHS table caption"/>
    <w:next w:val="DHHSbody"/>
    <w:uiPriority w:val="3"/>
    <w:qFormat/>
    <w:rsid w:val="00BA059E"/>
    <w:pPr>
      <w:keepNext/>
      <w:keepLines/>
      <w:spacing w:before="240" w:after="120" w:line="240" w:lineRule="atLeast"/>
    </w:pPr>
    <w:rPr>
      <w:rFonts w:ascii="Arial" w:hAnsi="Arial"/>
      <w:b/>
      <w:lang w:eastAsia="en-US"/>
    </w:rPr>
  </w:style>
  <w:style w:type="paragraph" w:customStyle="1" w:styleId="DHHSmainheading">
    <w:name w:val="DHHS main heading"/>
    <w:uiPriority w:val="8"/>
    <w:rsid w:val="00BA059E"/>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BA059E"/>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BA059E"/>
    <w:pPr>
      <w:keepNext/>
      <w:keepLines/>
      <w:spacing w:before="240" w:after="120"/>
    </w:pPr>
    <w:rPr>
      <w:rFonts w:ascii="Arial" w:hAnsi="Arial"/>
      <w:b/>
      <w:lang w:eastAsia="en-US"/>
    </w:rPr>
  </w:style>
  <w:style w:type="paragraph" w:customStyle="1" w:styleId="DHHStablecolhead">
    <w:name w:val="DHHS table col head"/>
    <w:uiPriority w:val="3"/>
    <w:qFormat/>
    <w:rsid w:val="00BA059E"/>
    <w:pPr>
      <w:spacing w:before="80" w:after="60"/>
    </w:pPr>
    <w:rPr>
      <w:rFonts w:ascii="Arial" w:hAnsi="Arial"/>
      <w:b/>
      <w:color w:val="004EA8"/>
      <w:lang w:eastAsia="en-US"/>
    </w:rPr>
  </w:style>
  <w:style w:type="paragraph" w:customStyle="1" w:styleId="DHHSmainsubheading">
    <w:name w:val="DHHS main subheading"/>
    <w:uiPriority w:val="8"/>
    <w:rsid w:val="00BA059E"/>
    <w:rPr>
      <w:rFonts w:ascii="Arial" w:hAnsi="Arial"/>
      <w:color w:val="FFFFFF"/>
      <w:sz w:val="28"/>
      <w:szCs w:val="24"/>
      <w:lang w:eastAsia="en-US"/>
    </w:rPr>
  </w:style>
  <w:style w:type="numbering" w:customStyle="1" w:styleId="ZZNumbers">
    <w:name w:val="ZZ Numbers"/>
    <w:rsid w:val="00BA059E"/>
    <w:pPr>
      <w:numPr>
        <w:numId w:val="8"/>
      </w:numPr>
    </w:pPr>
  </w:style>
  <w:style w:type="paragraph" w:customStyle="1" w:styleId="DHHSnumberdigit">
    <w:name w:val="DHHS number digit"/>
    <w:basedOn w:val="DHHSbody"/>
    <w:uiPriority w:val="2"/>
    <w:rsid w:val="00BA059E"/>
    <w:pPr>
      <w:numPr>
        <w:numId w:val="8"/>
      </w:numPr>
    </w:pPr>
  </w:style>
  <w:style w:type="paragraph" w:customStyle="1" w:styleId="DHHSnumberloweralphaindent">
    <w:name w:val="DHHS number lower alpha indent"/>
    <w:basedOn w:val="DHHSbody"/>
    <w:uiPriority w:val="3"/>
    <w:rsid w:val="00BA059E"/>
    <w:pPr>
      <w:numPr>
        <w:ilvl w:val="3"/>
        <w:numId w:val="8"/>
      </w:numPr>
    </w:pPr>
  </w:style>
  <w:style w:type="paragraph" w:customStyle="1" w:styleId="DHHSnumberdigitindent">
    <w:name w:val="DHHS number digit indent"/>
    <w:basedOn w:val="DHHSnumberloweralphaindent"/>
    <w:uiPriority w:val="3"/>
    <w:rsid w:val="00BA059E"/>
    <w:pPr>
      <w:numPr>
        <w:ilvl w:val="1"/>
      </w:numPr>
    </w:pPr>
  </w:style>
  <w:style w:type="paragraph" w:customStyle="1" w:styleId="DHHSnumberloweralpha">
    <w:name w:val="DHHS number lower alpha"/>
    <w:basedOn w:val="DHHSbody"/>
    <w:uiPriority w:val="3"/>
    <w:rsid w:val="00BA059E"/>
    <w:pPr>
      <w:numPr>
        <w:ilvl w:val="2"/>
        <w:numId w:val="8"/>
      </w:numPr>
    </w:pPr>
  </w:style>
  <w:style w:type="paragraph" w:customStyle="1" w:styleId="DHHSnumberlowerroman">
    <w:name w:val="DHHS number lower roman"/>
    <w:basedOn w:val="DHHSbody"/>
    <w:uiPriority w:val="3"/>
    <w:rsid w:val="00BA059E"/>
    <w:pPr>
      <w:numPr>
        <w:ilvl w:val="4"/>
        <w:numId w:val="8"/>
      </w:numPr>
    </w:pPr>
  </w:style>
  <w:style w:type="paragraph" w:customStyle="1" w:styleId="DHHSnumberlowerromanindent">
    <w:name w:val="DHHS number lower roman indent"/>
    <w:basedOn w:val="DHHSbody"/>
    <w:uiPriority w:val="3"/>
    <w:rsid w:val="00BA059E"/>
    <w:pPr>
      <w:numPr>
        <w:ilvl w:val="5"/>
        <w:numId w:val="8"/>
      </w:numPr>
    </w:pPr>
  </w:style>
  <w:style w:type="paragraph" w:customStyle="1" w:styleId="DHHSquote">
    <w:name w:val="DHHS quote"/>
    <w:basedOn w:val="DHHSbody"/>
    <w:uiPriority w:val="4"/>
    <w:rsid w:val="00BA059E"/>
    <w:pPr>
      <w:ind w:left="397"/>
    </w:pPr>
    <w:rPr>
      <w:szCs w:val="18"/>
    </w:rPr>
  </w:style>
  <w:style w:type="paragraph" w:customStyle="1" w:styleId="DHHStablefigurenote">
    <w:name w:val="DHHS table/figure note"/>
    <w:uiPriority w:val="4"/>
    <w:rsid w:val="00BA059E"/>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BA059E"/>
    <w:pPr>
      <w:spacing w:before="240"/>
    </w:pPr>
  </w:style>
  <w:style w:type="paragraph" w:customStyle="1" w:styleId="DHHSfooter">
    <w:name w:val="DHHS footer"/>
    <w:uiPriority w:val="11"/>
    <w:rsid w:val="00BA059E"/>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BA059E"/>
  </w:style>
  <w:style w:type="paragraph" w:customStyle="1" w:styleId="DHbody">
    <w:name w:val="DH body"/>
    <w:link w:val="DHbodyChar"/>
    <w:rsid w:val="00BA059E"/>
    <w:pPr>
      <w:spacing w:after="120" w:line="270" w:lineRule="exact"/>
    </w:pPr>
    <w:rPr>
      <w:rFonts w:ascii="Arial" w:eastAsia="Times" w:hAnsi="Arial"/>
      <w:lang w:eastAsia="en-US"/>
    </w:rPr>
  </w:style>
  <w:style w:type="character" w:customStyle="1" w:styleId="DHbodyChar">
    <w:name w:val="DH body Char"/>
    <w:link w:val="DHbody"/>
    <w:rsid w:val="00BA059E"/>
    <w:rPr>
      <w:rFonts w:ascii="Arial" w:eastAsia="Times" w:hAnsi="Arial"/>
      <w:lang w:eastAsia="en-US"/>
    </w:rPr>
  </w:style>
  <w:style w:type="paragraph" w:customStyle="1" w:styleId="DHheading2">
    <w:name w:val="DH heading 2"/>
    <w:next w:val="DHbody"/>
    <w:link w:val="DHheading2Char"/>
    <w:rsid w:val="00BA059E"/>
    <w:pPr>
      <w:spacing w:before="240" w:after="90" w:line="320" w:lineRule="exact"/>
    </w:pPr>
    <w:rPr>
      <w:rFonts w:ascii="Arial" w:hAnsi="Arial"/>
      <w:b/>
      <w:bCs/>
      <w:sz w:val="28"/>
      <w:szCs w:val="24"/>
      <w:lang w:eastAsia="en-US"/>
    </w:rPr>
  </w:style>
  <w:style w:type="character" w:customStyle="1" w:styleId="DHheading2Char">
    <w:name w:val="DH heading 2 Char"/>
    <w:link w:val="DHheading2"/>
    <w:rsid w:val="00BA059E"/>
    <w:rPr>
      <w:rFonts w:ascii="Arial" w:hAnsi="Arial"/>
      <w:b/>
      <w:bCs/>
      <w:sz w:val="28"/>
      <w:szCs w:val="24"/>
      <w:lang w:eastAsia="en-US"/>
    </w:rPr>
  </w:style>
  <w:style w:type="numbering" w:customStyle="1" w:styleId="ZZBullets1">
    <w:name w:val="ZZ Bullets1"/>
    <w:rsid w:val="00BA059E"/>
  </w:style>
  <w:style w:type="numbering" w:customStyle="1" w:styleId="ZZBullets2">
    <w:name w:val="ZZ Bullets2"/>
    <w:rsid w:val="00BA059E"/>
  </w:style>
  <w:style w:type="numbering" w:customStyle="1" w:styleId="ZZBullets3">
    <w:name w:val="ZZ Bullets3"/>
    <w:rsid w:val="00BA059E"/>
  </w:style>
  <w:style w:type="paragraph" w:styleId="ListParagraph">
    <w:name w:val="List Paragraph"/>
    <w:basedOn w:val="Normal"/>
    <w:uiPriority w:val="34"/>
    <w:qFormat/>
    <w:rsid w:val="00BA059E"/>
    <w:pPr>
      <w:spacing w:after="0" w:line="240" w:lineRule="auto"/>
      <w:ind w:left="720"/>
      <w:contextualSpacing/>
    </w:pPr>
    <w:rPr>
      <w:rFonts w:ascii="Cambria" w:hAnsi="Cambria"/>
      <w:sz w:val="20"/>
    </w:rPr>
  </w:style>
  <w:style w:type="paragraph" w:styleId="NormalWeb">
    <w:name w:val="Normal (Web)"/>
    <w:basedOn w:val="Normal"/>
    <w:uiPriority w:val="99"/>
    <w:unhideWhenUsed/>
    <w:rsid w:val="00BA059E"/>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BA059E"/>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BE31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8801469">
      <w:bodyDiv w:val="1"/>
      <w:marLeft w:val="0"/>
      <w:marRight w:val="0"/>
      <w:marTop w:val="0"/>
      <w:marBottom w:val="0"/>
      <w:divBdr>
        <w:top w:val="none" w:sz="0" w:space="0" w:color="auto"/>
        <w:left w:val="none" w:sz="0" w:space="0" w:color="auto"/>
        <w:bottom w:val="none" w:sz="0" w:space="0" w:color="auto"/>
        <w:right w:val="none" w:sz="0" w:space="0" w:color="auto"/>
      </w:divBdr>
    </w:div>
    <w:div w:id="11074313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0147966">
      <w:bodyDiv w:val="1"/>
      <w:marLeft w:val="0"/>
      <w:marRight w:val="0"/>
      <w:marTop w:val="0"/>
      <w:marBottom w:val="0"/>
      <w:divBdr>
        <w:top w:val="none" w:sz="0" w:space="0" w:color="auto"/>
        <w:left w:val="none" w:sz="0" w:space="0" w:color="auto"/>
        <w:bottom w:val="none" w:sz="0" w:space="0" w:color="auto"/>
        <w:right w:val="none" w:sz="0" w:space="0" w:color="auto"/>
      </w:divBdr>
    </w:div>
    <w:div w:id="158251901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942171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rvic.org.au/pams" TargetMode="External"/><Relationship Id="rId39" Type="http://schemas.openxmlformats.org/officeDocument/2006/relationships/hyperlink" Target="http://www.indivior.com/" TargetMode="External"/><Relationship Id="rId3" Type="http://schemas.openxmlformats.org/officeDocument/2006/relationships/customXml" Target="../customXml/item3.xml"/><Relationship Id="rId21" Type="http://schemas.openxmlformats.org/officeDocument/2006/relationships/hyperlink" Target="https://www2.health.vic.gov.au/public-health/drugs-and-poisons/pharmacotherapy/pharmacotherapy-policy-in-victoria" TargetMode="External"/><Relationship Id="rId34" Type="http://schemas.openxmlformats.org/officeDocument/2006/relationships/hyperlink" Target="https://www2.health.vic.gov.au/public-health/drugs-and-poisons/pharmacotherapy/pharmacotherapy-transfers-into-victoria" TargetMode="External"/><Relationship Id="rId42" Type="http://schemas.openxmlformats.org/officeDocument/2006/relationships/hyperlink" Target="https://www.psa.org.au/practice-support-industry/victorian-opioid-pharmacotherapy-program/" TargetMode="External"/><Relationship Id="rId47" Type="http://schemas.openxmlformats.org/officeDocument/2006/relationships/hyperlink" Target="mailto:pharmacotherapy@health.vic.gov.au"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acas.org.au/" TargetMode="External"/><Relationship Id="rId33" Type="http://schemas.openxmlformats.org/officeDocument/2006/relationships/hyperlink" Target="https://www2.health.vic.gov.au/public-health/drugs-and-poisons" TargetMode="External"/><Relationship Id="rId38" Type="http://schemas.openxmlformats.org/officeDocument/2006/relationships/hyperlink" Target="https://www.camurus.com/camurus/" TargetMode="External"/><Relationship Id="rId46" Type="http://schemas.openxmlformats.org/officeDocument/2006/relationships/hyperlink" Target="https://www.thewomens.org.au/patients-visitors/clinics-and-services/pregnancy-birth/pregnancy-care-options/womens-alcohol-drug-servic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ga.gov.au/publication/poisons-standard-susmp" TargetMode="External"/><Relationship Id="rId29" Type="http://schemas.openxmlformats.org/officeDocument/2006/relationships/hyperlink" Target="https://www.nada.org.au/wp-content/uploads/2018/03/language_matters_-_online_-_final.pdf" TargetMode="External"/><Relationship Id="rId41" Type="http://schemas.openxmlformats.org/officeDocument/2006/relationships/hyperlink" Target="https://www2.health.vic.gov.au/public-health/drugs-and-poisons/pharmacotherapy/pharmacotherapy-policy-in-victo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resources/publications/national-guidelines-for-medication-assisted-treatment-of-opioid-dependence" TargetMode="External"/><Relationship Id="rId32" Type="http://schemas.openxmlformats.org/officeDocument/2006/relationships/hyperlink" Target="https://www.penington.org.au/resources/overdose-response-resources/" TargetMode="External"/><Relationship Id="rId37" Type="http://schemas.openxmlformats.org/officeDocument/2006/relationships/hyperlink" Target="https://www2.health.vic.gov.au/about/publications/policiesandguidelines/policy-for-maintenance-pharmacotherapy-for-opioid-dependence" TargetMode="External"/><Relationship Id="rId40" Type="http://schemas.openxmlformats.org/officeDocument/2006/relationships/hyperlink" Target="https://www2.health.vic.gov.au/Api/downloadmedia/%7BC4D766A2-5113-4F8C-B181-8D8AC9DF346D%7D" TargetMode="External"/><Relationship Id="rId45" Type="http://schemas.openxmlformats.org/officeDocument/2006/relationships/hyperlink" Target="https://my.psa.org.au/s/training-plan/a110o00000AiHEN/longacting-injectable-buprenorphine-laib-administration-by-pharmacis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health.vic.gov.au/public-health/drugs-and-poisons/pharmacotherapy/pharmacotherapy-policy-in-victoria" TargetMode="External"/><Relationship Id="rId28" Type="http://schemas.openxmlformats.org/officeDocument/2006/relationships/hyperlink" Target="https://www.psa.org.au/practice-support-industry/victorian-opioid-pharmacotherapy-program/" TargetMode="External"/><Relationship Id="rId36" Type="http://schemas.openxmlformats.org/officeDocument/2006/relationships/hyperlink" Target="https://www2.health.vic.gov.au/public-health/drugs-and-poisons/pharmacotherapy/policy-resources-pharmacotherapy"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https://www.penington.org.au/resources/cope-overdose-first-aid/" TargetMode="External"/><Relationship Id="rId44" Type="http://schemas.openxmlformats.org/officeDocument/2006/relationships/hyperlink" Target="https://www.pharmacyguild.edu.au/immunisatio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resources/publications/national-guidelines-for-medication-assisted-treatment-of-opioid-dependence" TargetMode="External"/><Relationship Id="rId27" Type="http://schemas.openxmlformats.org/officeDocument/2006/relationships/hyperlink" Target="https://www.directline.org.au/" TargetMode="External"/><Relationship Id="rId30" Type="http://schemas.openxmlformats.org/officeDocument/2006/relationships/hyperlink" Target="https://adf.org.au/resources/power-words/" TargetMode="External"/><Relationship Id="rId35" Type="http://schemas.openxmlformats.org/officeDocument/2006/relationships/hyperlink" Target="mailto:dpcs@health.vic.gov.au" TargetMode="External"/><Relationship Id="rId43" Type="http://schemas.openxmlformats.org/officeDocument/2006/relationships/hyperlink" Target="https://www.psa.org.au/practice-support-industry/programs/immunisation/" TargetMode="External"/><Relationship Id="rId48" Type="http://schemas.openxmlformats.org/officeDocument/2006/relationships/hyperlink" Target="https://www.health.vic.gov.au/drugs-and-poisons/pharmacotherapy-forms-applications-and-pharmacotherapy-networks" TargetMode="External"/><Relationship Id="rId8" Type="http://schemas.openxmlformats.org/officeDocument/2006/relationships/webSettings" Target="webSettings.xml"/><Relationship Id="rId51"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E9A9B244247C0B488BA5556054CA8"/>
        <w:category>
          <w:name w:val="General"/>
          <w:gallery w:val="placeholder"/>
        </w:category>
        <w:types>
          <w:type w:val="bbPlcHdr"/>
        </w:types>
        <w:behaviors>
          <w:behavior w:val="content"/>
        </w:behaviors>
        <w:guid w:val="{8845F0E0-57E3-401E-B701-8934C6699719}"/>
      </w:docPartPr>
      <w:docPartBody>
        <w:p w:rsidR="006F071F" w:rsidRDefault="009E5C1F" w:rsidP="009E5C1F">
          <w:pPr>
            <w:pStyle w:val="05CE9A9B244247C0B488BA5556054CA8"/>
          </w:pPr>
          <w:r w:rsidRPr="00FC5F0A">
            <w:rPr>
              <w:rStyle w:val="PlaceholderText"/>
            </w:rPr>
            <w:t>Click or tap here to enter text.</w:t>
          </w:r>
        </w:p>
      </w:docPartBody>
    </w:docPart>
    <w:docPart>
      <w:docPartPr>
        <w:name w:val="E03BCD1A1AB141748979C27BA7856205"/>
        <w:category>
          <w:name w:val="General"/>
          <w:gallery w:val="placeholder"/>
        </w:category>
        <w:types>
          <w:type w:val="bbPlcHdr"/>
        </w:types>
        <w:behaviors>
          <w:behavior w:val="content"/>
        </w:behaviors>
        <w:guid w:val="{DA3ED04F-5139-4D22-BBD6-4503D510BFAE}"/>
      </w:docPartPr>
      <w:docPartBody>
        <w:p w:rsidR="006F071F" w:rsidRDefault="009E5C1F" w:rsidP="009E5C1F">
          <w:pPr>
            <w:pStyle w:val="E03BCD1A1AB141748979C27BA7856205"/>
          </w:pPr>
          <w:r w:rsidRPr="00FC5F0A">
            <w:rPr>
              <w:rStyle w:val="PlaceholderText"/>
            </w:rPr>
            <w:t>Click or tap here to enter text.</w:t>
          </w:r>
        </w:p>
      </w:docPartBody>
    </w:docPart>
    <w:docPart>
      <w:docPartPr>
        <w:name w:val="16013F65254B47AAA72BBA0A2F42A9A6"/>
        <w:category>
          <w:name w:val="General"/>
          <w:gallery w:val="placeholder"/>
        </w:category>
        <w:types>
          <w:type w:val="bbPlcHdr"/>
        </w:types>
        <w:behaviors>
          <w:behavior w:val="content"/>
        </w:behaviors>
        <w:guid w:val="{FF1331F1-249A-43CB-BE29-164C9DC31D94}"/>
      </w:docPartPr>
      <w:docPartBody>
        <w:p w:rsidR="006F071F" w:rsidRDefault="009E5C1F" w:rsidP="009E5C1F">
          <w:pPr>
            <w:pStyle w:val="16013F65254B47AAA72BBA0A2F42A9A6"/>
          </w:pPr>
          <w:r w:rsidRPr="00FC5F0A">
            <w:rPr>
              <w:rStyle w:val="PlaceholderText"/>
            </w:rPr>
            <w:t>Click or tap here to enter text.</w:t>
          </w:r>
        </w:p>
      </w:docPartBody>
    </w:docPart>
    <w:docPart>
      <w:docPartPr>
        <w:name w:val="2BBAABC92F79418AAA272C65E5307B81"/>
        <w:category>
          <w:name w:val="General"/>
          <w:gallery w:val="placeholder"/>
        </w:category>
        <w:types>
          <w:type w:val="bbPlcHdr"/>
        </w:types>
        <w:behaviors>
          <w:behavior w:val="content"/>
        </w:behaviors>
        <w:guid w:val="{0713C6C1-8B19-4DBD-B597-7F93681171D8}"/>
      </w:docPartPr>
      <w:docPartBody>
        <w:p w:rsidR="006F071F" w:rsidRDefault="009E5C1F" w:rsidP="009E5C1F">
          <w:pPr>
            <w:pStyle w:val="2BBAABC92F79418AAA272C65E5307B81"/>
          </w:pPr>
          <w:r w:rsidRPr="00FC5F0A">
            <w:rPr>
              <w:rStyle w:val="PlaceholderText"/>
            </w:rPr>
            <w:t>Click or tap here to enter text.</w:t>
          </w:r>
        </w:p>
      </w:docPartBody>
    </w:docPart>
    <w:docPart>
      <w:docPartPr>
        <w:name w:val="826369243EAC4E4F91D6CD17E1E93EC2"/>
        <w:category>
          <w:name w:val="General"/>
          <w:gallery w:val="placeholder"/>
        </w:category>
        <w:types>
          <w:type w:val="bbPlcHdr"/>
        </w:types>
        <w:behaviors>
          <w:behavior w:val="content"/>
        </w:behaviors>
        <w:guid w:val="{3926999E-42D9-4107-86D6-CE7E28FCF282}"/>
      </w:docPartPr>
      <w:docPartBody>
        <w:p w:rsidR="006F071F" w:rsidRDefault="009E5C1F" w:rsidP="009E5C1F">
          <w:pPr>
            <w:pStyle w:val="826369243EAC4E4F91D6CD17E1E93EC2"/>
          </w:pPr>
          <w:r w:rsidRPr="00FC5F0A">
            <w:rPr>
              <w:rStyle w:val="PlaceholderText"/>
            </w:rPr>
            <w:t>Click or tap here to enter text.</w:t>
          </w:r>
        </w:p>
      </w:docPartBody>
    </w:docPart>
    <w:docPart>
      <w:docPartPr>
        <w:name w:val="A5B1B3C489904A738F8D5902A9DE618A"/>
        <w:category>
          <w:name w:val="General"/>
          <w:gallery w:val="placeholder"/>
        </w:category>
        <w:types>
          <w:type w:val="bbPlcHdr"/>
        </w:types>
        <w:behaviors>
          <w:behavior w:val="content"/>
        </w:behaviors>
        <w:guid w:val="{F7DEC932-AC30-4D30-A310-46243CFEFA9E}"/>
      </w:docPartPr>
      <w:docPartBody>
        <w:p w:rsidR="003F6728" w:rsidRDefault="00B13552" w:rsidP="00B13552">
          <w:pPr>
            <w:pStyle w:val="A5B1B3C489904A738F8D5902A9DE618A"/>
          </w:pPr>
          <w:r w:rsidRPr="00FC5F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1F"/>
    <w:rsid w:val="00215CEC"/>
    <w:rsid w:val="003072DD"/>
    <w:rsid w:val="003E61EC"/>
    <w:rsid w:val="003F6728"/>
    <w:rsid w:val="006941C6"/>
    <w:rsid w:val="006F071F"/>
    <w:rsid w:val="0072056F"/>
    <w:rsid w:val="009E5C1F"/>
    <w:rsid w:val="009F7F3C"/>
    <w:rsid w:val="00A40FAC"/>
    <w:rsid w:val="00A87D35"/>
    <w:rsid w:val="00B13552"/>
    <w:rsid w:val="00B232B6"/>
    <w:rsid w:val="00C37D5C"/>
    <w:rsid w:val="00CD5A34"/>
    <w:rsid w:val="00D403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13552"/>
    <w:rPr>
      <w:color w:val="808080"/>
    </w:rPr>
  </w:style>
  <w:style w:type="paragraph" w:customStyle="1" w:styleId="05CE9A9B244247C0B488BA5556054CA8">
    <w:name w:val="05CE9A9B244247C0B488BA5556054CA8"/>
    <w:rsid w:val="009E5C1F"/>
  </w:style>
  <w:style w:type="paragraph" w:customStyle="1" w:styleId="E03BCD1A1AB141748979C27BA7856205">
    <w:name w:val="E03BCD1A1AB141748979C27BA7856205"/>
    <w:rsid w:val="009E5C1F"/>
  </w:style>
  <w:style w:type="paragraph" w:customStyle="1" w:styleId="16013F65254B47AAA72BBA0A2F42A9A6">
    <w:name w:val="16013F65254B47AAA72BBA0A2F42A9A6"/>
    <w:rsid w:val="009E5C1F"/>
  </w:style>
  <w:style w:type="paragraph" w:customStyle="1" w:styleId="2BBAABC92F79418AAA272C65E5307B81">
    <w:name w:val="2BBAABC92F79418AAA272C65E5307B81"/>
    <w:rsid w:val="009E5C1F"/>
  </w:style>
  <w:style w:type="paragraph" w:customStyle="1" w:styleId="826369243EAC4E4F91D6CD17E1E93EC2">
    <w:name w:val="826369243EAC4E4F91D6CD17E1E93EC2"/>
    <w:rsid w:val="009E5C1F"/>
  </w:style>
  <w:style w:type="paragraph" w:customStyle="1" w:styleId="A5B1B3C489904A738F8D5902A9DE618A">
    <w:name w:val="A5B1B3C489904A738F8D5902A9DE618A"/>
    <w:rsid w:val="00B13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4" ma:contentTypeDescription="" ma:contentTypeScope="" ma:versionID="659ab1394b4325a302dd7a02f205972a">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02366b30647ceee82f0515b01e238ca8"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Attachment 1 - Pharmacotherapy self-assessment - checklist for pharmacist July 2022</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i:0#.f|membership|imogen.harrop@health.vic.gov.au</DisplayName>
        <AccountId>35020</AccountId>
        <AccountType/>
      </UserInfo>
      <UserInfo>
        <DisplayName>i:0#.f|membership|kris.drew@health.vic.gov.au</DisplayName>
        <AccountId>27847</AccountId>
        <AccountType/>
      </UserInfo>
    </CBSReviewersContributors>
    <CBSDocComments xmlns="59098f23-3ca6-4eec-8c4e-6f77ceae2d9e" xsi:nil="true"/>
    <CBSDueBy xmlns="59098f23-3ca6-4eec-8c4e-6f77ceae2d9e">2022-07-17T14:00:00+00:00</CBSDueBy>
    <SendEmailToAuthors xmlns="59098f23-3ca6-4eec-8c4e-6f77ceae2d9e">Send Email</SendEmailToAuthors>
    <IconOverlay xmlns="http://schemas.microsoft.com/sharepoint/v4" xsi:nil="true"/>
    <TaxCatchAll xmlns="5ce0f2b5-5be5-4508-bce9-d7011ece0659" xsi:nil="true"/>
    <RecordStatus xmlns="4e6cfa50-9814-4036-b2f8-54bb7ef1e7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4BD31-1FCC-4E19-8A0D-7F9E2230A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59098f23-3ca6-4eec-8c4e-6f77ceae2d9e"/>
    <ds:schemaRef ds:uri="9bb0acc9-d7bd-4cdf-ad2b-ac1699117d04"/>
    <ds:schemaRef ds:uri="http://schemas.microsoft.com/sharepoint/v4"/>
    <ds:schemaRef ds:uri="5ce0f2b5-5be5-4508-bce9-d7011ece0659"/>
    <ds:schemaRef ds:uri="4e6cfa50-9814-4036-b2f8-54bb7ef1e7f8"/>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6943934-0E85-47BE-97DB-FBC50FBC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19</Pages>
  <Words>7622</Words>
  <Characters>45967</Characters>
  <Application>Microsoft Office Word</Application>
  <DocSecurity>0</DocSecurity>
  <Lines>383</Lines>
  <Paragraphs>106</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53483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Melanie Kowalski (DHHS)</dc:creator>
  <cp:keywords/>
  <dc:description/>
  <cp:lastModifiedBy>Imogen Harrop (Health)</cp:lastModifiedBy>
  <cp:revision>9</cp:revision>
  <cp:lastPrinted>2020-03-30T21:28:00Z</cp:lastPrinted>
  <dcterms:created xsi:type="dcterms:W3CDTF">2022-08-05T02:16:00Z</dcterms:created>
  <dcterms:modified xsi:type="dcterms:W3CDTF">2022-08-15T23:58:00Z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2022-08-15T23:58:48Z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266c75d7-1b25-42eb-a342-f31359e3155a</vt:lpwstr>
  </property>
  <property fmtid="{D5CDD505-2E9C-101B-9397-08002B2CF9AE}" pid="12" name="MSIP_Label_43e64453-338c-4f93-8a4d-0039a0a41f2a_ContentBits">
    <vt:lpwstr>2</vt:lpwstr>
  </property>
</Properties>
</file>