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DF54" w14:textId="77777777" w:rsidR="00056EC4" w:rsidRPr="009C7C0E" w:rsidRDefault="00E9042A" w:rsidP="00056EC4">
      <w:pPr>
        <w:pStyle w:val="Body"/>
        <w:rPr>
          <w:rFonts w:cs="Arial"/>
        </w:rPr>
      </w:pPr>
      <w:r w:rsidRPr="009C7C0E">
        <w:rPr>
          <w:rFonts w:cs="Arial"/>
          <w:noProof/>
        </w:rPr>
        <w:drawing>
          <wp:anchor distT="0" distB="0" distL="114300" distR="114300" simplePos="0" relativeHeight="251658240" behindDoc="1" locked="1" layoutInCell="1" allowOverlap="0" wp14:anchorId="0F4472B2" wp14:editId="4FF0BF6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146665"/>
            <wp:effectExtent l="0" t="0" r="635" b="635"/>
            <wp:wrapNone/>
            <wp:docPr id="3" name="Picture 3" descr="Victoria State Government Department of Heal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ictoria State Government Department of Heal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9C7C0E" w14:paraId="04A18285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24D6B8F3" w14:textId="77777777" w:rsidR="00283F71" w:rsidRDefault="00283F71" w:rsidP="00CC3BB0">
            <w:pPr>
              <w:pStyle w:val="Documenttitle"/>
              <w:rPr>
                <w:rFonts w:cs="Arial"/>
              </w:rPr>
            </w:pPr>
            <w:r>
              <w:rPr>
                <w:rFonts w:cs="Arial"/>
              </w:rPr>
              <w:t>User Guide</w:t>
            </w:r>
          </w:p>
          <w:p w14:paraId="581DA721" w14:textId="22AB688D" w:rsidR="00AD784C" w:rsidRPr="009C7C0E" w:rsidRDefault="00892FC6" w:rsidP="00CC3BB0">
            <w:pPr>
              <w:pStyle w:val="Documenttitle"/>
              <w:rPr>
                <w:rFonts w:cs="Arial"/>
              </w:rPr>
            </w:pPr>
            <w:r>
              <w:rPr>
                <w:rFonts w:cs="Arial"/>
              </w:rPr>
              <w:t>Outcome Measure Tasks</w:t>
            </w:r>
          </w:p>
        </w:tc>
      </w:tr>
      <w:tr w:rsidR="00AD784C" w:rsidRPr="009C7C0E" w14:paraId="2C69E446" w14:textId="77777777" w:rsidTr="00431F42">
        <w:trPr>
          <w:cantSplit/>
        </w:trPr>
        <w:tc>
          <w:tcPr>
            <w:tcW w:w="0" w:type="auto"/>
          </w:tcPr>
          <w:p w14:paraId="4318E083" w14:textId="5C4A73A0" w:rsidR="00386109" w:rsidRPr="009C7C0E" w:rsidRDefault="005912C9" w:rsidP="009315BE">
            <w:pPr>
              <w:pStyle w:val="Documentsubtitle"/>
              <w:rPr>
                <w:rFonts w:cs="Arial"/>
              </w:rPr>
            </w:pPr>
            <w:r>
              <w:rPr>
                <w:rFonts w:cs="Arial"/>
                <w:color w:val="002060"/>
              </w:rPr>
              <w:t xml:space="preserve">A guide for </w:t>
            </w:r>
            <w:r w:rsidR="00892FC6">
              <w:rPr>
                <w:rFonts w:cs="Arial"/>
                <w:color w:val="002060"/>
              </w:rPr>
              <w:t xml:space="preserve">creating concurrent episodes </w:t>
            </w:r>
            <w:r w:rsidR="00374D29">
              <w:rPr>
                <w:rFonts w:cs="Arial"/>
                <w:color w:val="002060"/>
              </w:rPr>
              <w:t>maintaining one stream of outcome measure tasks</w:t>
            </w:r>
            <w:r w:rsidR="00FF5DBC">
              <w:rPr>
                <w:rFonts w:cs="Arial"/>
                <w:color w:val="002060"/>
              </w:rPr>
              <w:t xml:space="preserve"> v0.2</w:t>
            </w:r>
          </w:p>
        </w:tc>
      </w:tr>
      <w:tr w:rsidR="00430393" w:rsidRPr="009C7C0E" w14:paraId="0D78DB58" w14:textId="77777777" w:rsidTr="00431F42">
        <w:trPr>
          <w:cantSplit/>
        </w:trPr>
        <w:tc>
          <w:tcPr>
            <w:tcW w:w="0" w:type="auto"/>
          </w:tcPr>
          <w:p w14:paraId="75670D5F" w14:textId="77777777" w:rsidR="00430393" w:rsidRPr="009C7C0E" w:rsidRDefault="00024485" w:rsidP="00430393">
            <w:pPr>
              <w:pStyle w:val="Bannermarking"/>
              <w:rPr>
                <w:rFonts w:cs="Arial"/>
              </w:rPr>
            </w:pPr>
            <w:r w:rsidRPr="009C7C0E">
              <w:rPr>
                <w:rFonts w:cs="Arial"/>
              </w:rPr>
              <w:fldChar w:fldCharType="begin"/>
            </w:r>
            <w:r w:rsidRPr="009C7C0E">
              <w:rPr>
                <w:rFonts w:cs="Arial"/>
              </w:rPr>
              <w:instrText xml:space="preserve"> FILLIN  "Type the protective marking" \d OFFICIAL \o  \* MERGEFORMAT </w:instrText>
            </w:r>
            <w:r w:rsidRPr="009C7C0E">
              <w:rPr>
                <w:rFonts w:cs="Arial"/>
              </w:rPr>
              <w:fldChar w:fldCharType="separate"/>
            </w:r>
            <w:r w:rsidR="009C7C0E" w:rsidRPr="009C7C0E">
              <w:rPr>
                <w:rFonts w:cs="Arial"/>
              </w:rPr>
              <w:t>OFFICIAL</w:t>
            </w:r>
            <w:r w:rsidRPr="009C7C0E">
              <w:rPr>
                <w:rFonts w:cs="Arial"/>
              </w:rPr>
              <w:fldChar w:fldCharType="end"/>
            </w:r>
          </w:p>
        </w:tc>
      </w:tr>
    </w:tbl>
    <w:p w14:paraId="70836CBF" w14:textId="77777777" w:rsidR="00FE4081" w:rsidRPr="009C7C0E" w:rsidRDefault="00FE4081" w:rsidP="00FE4081">
      <w:pPr>
        <w:pStyle w:val="Body"/>
        <w:rPr>
          <w:rFonts w:cs="Arial"/>
        </w:rPr>
      </w:pPr>
    </w:p>
    <w:p w14:paraId="7CEFDAE9" w14:textId="77777777" w:rsidR="00FE4081" w:rsidRPr="009C7C0E" w:rsidRDefault="00FE4081" w:rsidP="00FE4081">
      <w:pPr>
        <w:pStyle w:val="Body"/>
        <w:rPr>
          <w:rFonts w:cs="Arial"/>
        </w:rPr>
        <w:sectPr w:rsidR="00FE4081" w:rsidRPr="009C7C0E" w:rsidSect="002C5B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18AE22D8" w14:textId="56E756E0" w:rsidR="00431F42" w:rsidRPr="009C7C0E" w:rsidRDefault="00431F42" w:rsidP="00431F42">
      <w:pPr>
        <w:pStyle w:val="Body"/>
        <w:rPr>
          <w:rFonts w:cs="Arial"/>
        </w:rPr>
      </w:pPr>
    </w:p>
    <w:p w14:paraId="28C282FF" w14:textId="6A6CAB27" w:rsidR="000D2ABA" w:rsidRDefault="000D2ABA" w:rsidP="00431F42">
      <w:pPr>
        <w:pStyle w:val="Body"/>
        <w:rPr>
          <w:rFonts w:cs="Arial"/>
        </w:rPr>
      </w:pPr>
    </w:p>
    <w:p w14:paraId="65EEE96E" w14:textId="197E213E" w:rsidR="009C7C0E" w:rsidRDefault="009C7C0E" w:rsidP="00431F42">
      <w:pPr>
        <w:pStyle w:val="Body"/>
        <w:rPr>
          <w:rFonts w:cs="Arial"/>
        </w:rPr>
      </w:pPr>
    </w:p>
    <w:p w14:paraId="16CDF9CE" w14:textId="76F502BD" w:rsidR="009C7C0E" w:rsidRDefault="009C7C0E" w:rsidP="00431F42">
      <w:pPr>
        <w:pStyle w:val="Body"/>
        <w:rPr>
          <w:rFonts w:cs="Arial"/>
        </w:rPr>
      </w:pPr>
    </w:p>
    <w:p w14:paraId="307701A0" w14:textId="60861F6E" w:rsidR="009C7C0E" w:rsidRDefault="009C7C0E" w:rsidP="00431F42">
      <w:pPr>
        <w:pStyle w:val="Body"/>
        <w:rPr>
          <w:rFonts w:cs="Arial"/>
        </w:rPr>
      </w:pPr>
    </w:p>
    <w:p w14:paraId="1470A3AB" w14:textId="40438F64" w:rsidR="009C7C0E" w:rsidRDefault="009C7C0E" w:rsidP="00431F42">
      <w:pPr>
        <w:pStyle w:val="Body"/>
        <w:rPr>
          <w:rFonts w:cs="Arial"/>
        </w:rPr>
      </w:pPr>
    </w:p>
    <w:p w14:paraId="7AE0D8F9" w14:textId="1EF0CD02" w:rsidR="009C7C0E" w:rsidRDefault="009C7C0E" w:rsidP="00431F42">
      <w:pPr>
        <w:pStyle w:val="Body"/>
        <w:rPr>
          <w:rFonts w:cs="Arial"/>
        </w:rPr>
      </w:pPr>
    </w:p>
    <w:p w14:paraId="16F585A5" w14:textId="6414BC18" w:rsidR="009C7C0E" w:rsidRDefault="009C7C0E" w:rsidP="00431F42">
      <w:pPr>
        <w:pStyle w:val="Body"/>
        <w:rPr>
          <w:rFonts w:cs="Arial"/>
        </w:rPr>
      </w:pPr>
    </w:p>
    <w:p w14:paraId="0A80C48E" w14:textId="09013B47" w:rsidR="009C7C0E" w:rsidRDefault="009C7C0E" w:rsidP="00431F42">
      <w:pPr>
        <w:pStyle w:val="Body"/>
        <w:rPr>
          <w:rFonts w:cs="Arial"/>
        </w:rPr>
      </w:pPr>
    </w:p>
    <w:p w14:paraId="0F4BD568" w14:textId="6B46BC9D" w:rsidR="009C7C0E" w:rsidRDefault="009C7C0E" w:rsidP="00431F42">
      <w:pPr>
        <w:pStyle w:val="Body"/>
        <w:rPr>
          <w:rFonts w:cs="Arial"/>
        </w:rPr>
      </w:pPr>
    </w:p>
    <w:p w14:paraId="13BEB7F7" w14:textId="16A44BFC" w:rsidR="009C7C0E" w:rsidRDefault="009C7C0E" w:rsidP="00431F42">
      <w:pPr>
        <w:pStyle w:val="Body"/>
        <w:rPr>
          <w:rFonts w:cs="Arial"/>
        </w:rPr>
      </w:pPr>
    </w:p>
    <w:p w14:paraId="3803C070" w14:textId="02FA63E1" w:rsidR="009C7C0E" w:rsidRDefault="009C7C0E" w:rsidP="00431F42">
      <w:pPr>
        <w:pStyle w:val="Body"/>
        <w:rPr>
          <w:rFonts w:cs="Arial"/>
        </w:rPr>
      </w:pPr>
    </w:p>
    <w:p w14:paraId="5AD66463" w14:textId="6DD605E7" w:rsidR="009C7C0E" w:rsidRDefault="009C7C0E" w:rsidP="00431F42">
      <w:pPr>
        <w:pStyle w:val="Body"/>
        <w:rPr>
          <w:rFonts w:cs="Arial"/>
        </w:rPr>
      </w:pPr>
    </w:p>
    <w:p w14:paraId="46AD5AE4" w14:textId="0384ACEE" w:rsidR="009C7C0E" w:rsidRDefault="009C7C0E" w:rsidP="00431F42">
      <w:pPr>
        <w:pStyle w:val="Body"/>
        <w:rPr>
          <w:rFonts w:cs="Arial"/>
        </w:rPr>
      </w:pPr>
    </w:p>
    <w:p w14:paraId="13EAE09C" w14:textId="34B7725A" w:rsidR="009C7C0E" w:rsidRDefault="009C7C0E" w:rsidP="00431F42">
      <w:pPr>
        <w:pStyle w:val="Body"/>
        <w:rPr>
          <w:rFonts w:cs="Arial"/>
        </w:rPr>
      </w:pPr>
    </w:p>
    <w:p w14:paraId="7CAAAA94" w14:textId="3A5EDF56" w:rsidR="009C7C0E" w:rsidRDefault="009C7C0E" w:rsidP="00431F42">
      <w:pPr>
        <w:pStyle w:val="Body"/>
        <w:rPr>
          <w:rFonts w:cs="Arial"/>
        </w:rPr>
      </w:pPr>
    </w:p>
    <w:p w14:paraId="64AAAB8D" w14:textId="02841ABD" w:rsidR="009C7C0E" w:rsidRDefault="009C7C0E" w:rsidP="00431F42">
      <w:pPr>
        <w:pStyle w:val="Body"/>
        <w:rPr>
          <w:rFonts w:cs="Arial"/>
        </w:rPr>
      </w:pPr>
    </w:p>
    <w:p w14:paraId="21028853" w14:textId="79348C74" w:rsidR="009C7C0E" w:rsidRDefault="009C7C0E" w:rsidP="00431F42">
      <w:pPr>
        <w:pStyle w:val="Body"/>
        <w:rPr>
          <w:rFonts w:cs="Arial"/>
        </w:rPr>
      </w:pPr>
    </w:p>
    <w:p w14:paraId="6FFD26BD" w14:textId="5DC41060" w:rsidR="009C7C0E" w:rsidRDefault="009C7C0E" w:rsidP="00431F42">
      <w:pPr>
        <w:pStyle w:val="Body"/>
        <w:rPr>
          <w:rFonts w:cs="Arial"/>
        </w:rPr>
      </w:pPr>
    </w:p>
    <w:p w14:paraId="45B52C7C" w14:textId="52786351" w:rsidR="009C7C0E" w:rsidRDefault="009C7C0E" w:rsidP="00431F42">
      <w:pPr>
        <w:pStyle w:val="Body"/>
        <w:rPr>
          <w:rFonts w:cs="Arial"/>
        </w:rPr>
      </w:pPr>
    </w:p>
    <w:p w14:paraId="6F870532" w14:textId="29DF4926" w:rsidR="009C7C0E" w:rsidRDefault="009C7C0E" w:rsidP="00431F42">
      <w:pPr>
        <w:pStyle w:val="Body"/>
        <w:rPr>
          <w:rFonts w:cs="Arial"/>
        </w:rPr>
      </w:pPr>
    </w:p>
    <w:p w14:paraId="7606058D" w14:textId="600FEEC0" w:rsidR="009C7C0E" w:rsidRDefault="009C7C0E" w:rsidP="00431F42">
      <w:pPr>
        <w:pStyle w:val="Body"/>
        <w:rPr>
          <w:rFonts w:cs="Arial"/>
        </w:rPr>
      </w:pPr>
    </w:p>
    <w:p w14:paraId="5E4737C1" w14:textId="6D32D88D" w:rsidR="009C7C0E" w:rsidRDefault="009C7C0E" w:rsidP="00431F42">
      <w:pPr>
        <w:pStyle w:val="Body"/>
        <w:rPr>
          <w:rFonts w:cs="Arial"/>
        </w:rPr>
      </w:pPr>
    </w:p>
    <w:p w14:paraId="50BE1C62" w14:textId="77777777" w:rsidR="009C7C0E" w:rsidRPr="009C7C0E" w:rsidRDefault="009C7C0E" w:rsidP="00431F42">
      <w:pPr>
        <w:pStyle w:val="Body"/>
        <w:rPr>
          <w:rFonts w:cs="Arial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33"/>
      </w:tblGrid>
      <w:tr w:rsidR="009F2182" w:rsidRPr="009C7C0E" w14:paraId="30E682EB" w14:textId="77777777" w:rsidTr="009533AC">
        <w:trPr>
          <w:cantSplit/>
          <w:trHeight w:val="1966"/>
        </w:trPr>
        <w:tc>
          <w:tcPr>
            <w:tcW w:w="9033" w:type="dxa"/>
            <w:vAlign w:val="bottom"/>
          </w:tcPr>
          <w:p w14:paraId="40A75CBC" w14:textId="77777777" w:rsidR="009533AC" w:rsidRDefault="009F2182" w:rsidP="009533AC">
            <w:pPr>
              <w:pStyle w:val="Accessibilitypara"/>
              <w:spacing w:before="0" w:after="0"/>
              <w:rPr>
                <w:rFonts w:cs="Arial"/>
                <w:sz w:val="21"/>
                <w:szCs w:val="21"/>
              </w:rPr>
            </w:pPr>
            <w:r w:rsidRPr="009533AC">
              <w:rPr>
                <w:rFonts w:cs="Arial"/>
                <w:sz w:val="21"/>
                <w:szCs w:val="21"/>
              </w:rPr>
              <w:t>To receive this document in another format email</w:t>
            </w:r>
            <w:r w:rsidR="009533AC">
              <w:rPr>
                <w:rFonts w:cs="Arial"/>
                <w:sz w:val="21"/>
                <w:szCs w:val="21"/>
              </w:rPr>
              <w:t>:</w:t>
            </w:r>
          </w:p>
          <w:p w14:paraId="6C19C601" w14:textId="250BCC8F" w:rsidR="009F2182" w:rsidRDefault="00FE50F6" w:rsidP="009533AC">
            <w:pPr>
              <w:pStyle w:val="Accessibilitypara"/>
              <w:spacing w:before="0" w:after="0"/>
              <w:rPr>
                <w:rFonts w:cs="Arial"/>
                <w:sz w:val="21"/>
                <w:szCs w:val="21"/>
              </w:rPr>
            </w:pPr>
            <w:hyperlink r:id="rId15" w:history="1">
              <w:r w:rsidR="009533AC" w:rsidRPr="004531BF">
                <w:rPr>
                  <w:rStyle w:val="Hyperlink"/>
                  <w:rFonts w:cs="Arial"/>
                  <w:sz w:val="21"/>
                  <w:szCs w:val="21"/>
                </w:rPr>
                <w:t>MHDReporting@health.vic.gov.au</w:t>
              </w:r>
            </w:hyperlink>
            <w:r w:rsidR="009C7C0E" w:rsidRPr="009533AC">
              <w:rPr>
                <w:rFonts w:cs="Arial"/>
                <w:sz w:val="21"/>
                <w:szCs w:val="21"/>
              </w:rPr>
              <w:t xml:space="preserve"> </w:t>
            </w:r>
            <w:r w:rsidR="009F2182" w:rsidRPr="009533AC">
              <w:rPr>
                <w:rFonts w:cs="Arial"/>
                <w:sz w:val="21"/>
                <w:szCs w:val="21"/>
              </w:rPr>
              <w:t xml:space="preserve"> &lt;</w:t>
            </w:r>
            <w:r w:rsidR="009C7C0E" w:rsidRPr="009533AC">
              <w:rPr>
                <w:rFonts w:cs="Arial"/>
                <w:sz w:val="21"/>
                <w:szCs w:val="21"/>
              </w:rPr>
              <w:t>MHDReporting@health.vic.gov.au</w:t>
            </w:r>
            <w:r w:rsidR="009F2182" w:rsidRPr="009533AC">
              <w:rPr>
                <w:rFonts w:cs="Arial"/>
                <w:sz w:val="21"/>
                <w:szCs w:val="21"/>
              </w:rPr>
              <w:t>&gt;.</w:t>
            </w:r>
          </w:p>
          <w:p w14:paraId="50B358EC" w14:textId="77777777" w:rsidR="009533AC" w:rsidRPr="009533AC" w:rsidRDefault="009533AC" w:rsidP="009533AC">
            <w:pPr>
              <w:pStyle w:val="Accessibilitypara"/>
              <w:spacing w:before="0" w:after="0"/>
              <w:rPr>
                <w:rFonts w:cs="Arial"/>
                <w:sz w:val="21"/>
                <w:szCs w:val="21"/>
              </w:rPr>
            </w:pPr>
          </w:p>
          <w:p w14:paraId="33CE00B6" w14:textId="77777777" w:rsidR="009F2182" w:rsidRPr="00632394" w:rsidRDefault="009F2182" w:rsidP="009533AC">
            <w:pPr>
              <w:pStyle w:val="Imprint"/>
              <w:spacing w:after="0"/>
              <w:rPr>
                <w:rFonts w:cs="Arial"/>
                <w:color w:val="auto"/>
              </w:rPr>
            </w:pPr>
            <w:r w:rsidRPr="00632394">
              <w:rPr>
                <w:rFonts w:cs="Arial"/>
                <w:color w:val="auto"/>
              </w:rPr>
              <w:t>Authorised and published by the Victorian Government, 1 Treasury Place, Melbourne.</w:t>
            </w:r>
          </w:p>
          <w:p w14:paraId="00FE12C6" w14:textId="74A13ACA" w:rsidR="009F2182" w:rsidRPr="00632394" w:rsidRDefault="009F2182" w:rsidP="009533AC">
            <w:pPr>
              <w:pStyle w:val="Imprint"/>
              <w:spacing w:after="0"/>
              <w:rPr>
                <w:rFonts w:cs="Arial"/>
                <w:color w:val="auto"/>
              </w:rPr>
            </w:pPr>
            <w:r w:rsidRPr="00632394">
              <w:rPr>
                <w:rFonts w:cs="Arial"/>
                <w:color w:val="auto"/>
              </w:rPr>
              <w:t xml:space="preserve">© State of Victoria, Australia, Department of </w:t>
            </w:r>
            <w:r w:rsidR="00D76ECC" w:rsidRPr="00632394">
              <w:rPr>
                <w:rFonts w:cs="Arial"/>
                <w:color w:val="auto"/>
              </w:rPr>
              <w:t>Health</w:t>
            </w:r>
            <w:r w:rsidRPr="00632394">
              <w:rPr>
                <w:rFonts w:cs="Arial"/>
                <w:color w:val="auto"/>
              </w:rPr>
              <w:t xml:space="preserve">, </w:t>
            </w:r>
            <w:r w:rsidR="00892FC6">
              <w:rPr>
                <w:rFonts w:cs="Arial"/>
                <w:color w:val="auto"/>
              </w:rPr>
              <w:t>April 2023</w:t>
            </w:r>
          </w:p>
          <w:p w14:paraId="0B55B87C" w14:textId="77777777" w:rsidR="009F2182" w:rsidRPr="00632394" w:rsidRDefault="009F2182" w:rsidP="009533AC">
            <w:pPr>
              <w:pStyle w:val="Imprint"/>
              <w:spacing w:after="0"/>
              <w:rPr>
                <w:rFonts w:cs="Arial"/>
                <w:color w:val="auto"/>
              </w:rPr>
            </w:pPr>
            <w:bookmarkStart w:id="0" w:name="_Hlk62746129"/>
            <w:r w:rsidRPr="00632394">
              <w:rPr>
                <w:rFonts w:cs="Arial"/>
                <w:color w:val="auto"/>
              </w:rPr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2AD5152B" w14:textId="77777777" w:rsidR="009F2182" w:rsidRDefault="009533AC" w:rsidP="009533AC">
            <w:pPr>
              <w:pStyle w:val="Imprint"/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978-1-76131-134-5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bookmarkEnd w:id="0"/>
          </w:p>
          <w:p w14:paraId="6A286703" w14:textId="77777777" w:rsidR="00FF5DBC" w:rsidRPr="00FF5DBC" w:rsidRDefault="00FF5DBC" w:rsidP="00FF5DBC"/>
          <w:p w14:paraId="7307A97A" w14:textId="77777777" w:rsidR="00FF5DBC" w:rsidRPr="00FF5DBC" w:rsidRDefault="00FF5DBC" w:rsidP="00FF5DBC"/>
          <w:p w14:paraId="67F73228" w14:textId="77777777" w:rsidR="00FF5DBC" w:rsidRDefault="00FF5DBC" w:rsidP="00FF5DBC"/>
          <w:p w14:paraId="2E87F59E" w14:textId="27D315C7" w:rsidR="00F519C0" w:rsidRPr="00F519C0" w:rsidRDefault="00F519C0" w:rsidP="00F519C0"/>
        </w:tc>
      </w:tr>
    </w:tbl>
    <w:sdt>
      <w:sdtPr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id w:val="1106933407"/>
        <w:docPartObj>
          <w:docPartGallery w:val="Table of Contents"/>
          <w:docPartUnique/>
        </w:docPartObj>
      </w:sdtPr>
      <w:sdtEndPr>
        <w:rPr>
          <w:rFonts w:eastAsia="Times New Roman"/>
          <w:b w:val="0"/>
          <w:bCs w:val="0"/>
          <w:sz w:val="19"/>
          <w:szCs w:val="19"/>
        </w:rPr>
      </w:sdtEndPr>
      <w:sdtContent>
        <w:p w14:paraId="4BC318DE" w14:textId="77777777" w:rsidR="009C7C0E" w:rsidRPr="009C7C0E" w:rsidRDefault="009C7C0E" w:rsidP="009C7C0E">
          <w:pPr>
            <w:pStyle w:val="TOCHeading"/>
            <w:spacing w:before="0" w:line="240" w:lineRule="auto"/>
            <w:rPr>
              <w:rFonts w:ascii="Arial" w:hAnsi="Arial" w:cs="Arial"/>
              <w:b/>
              <w:bCs/>
            </w:rPr>
          </w:pPr>
          <w:r w:rsidRPr="009C7C0E">
            <w:rPr>
              <w:rFonts w:ascii="Arial" w:hAnsi="Arial" w:cs="Arial"/>
              <w:b/>
              <w:bCs/>
            </w:rPr>
            <w:t>Table of Contents</w:t>
          </w:r>
        </w:p>
        <w:p w14:paraId="4A66C8D9" w14:textId="625D30FB" w:rsidR="002D30F5" w:rsidRDefault="009C7C0E">
          <w:pPr>
            <w:pStyle w:val="TOC1"/>
            <w:rPr>
              <w:rStyle w:val="Hyperlink"/>
            </w:rPr>
          </w:pPr>
          <w:r w:rsidRPr="009C7C0E">
            <w:rPr>
              <w:rFonts w:cs="Arial"/>
              <w:sz w:val="19"/>
              <w:szCs w:val="19"/>
            </w:rPr>
            <w:fldChar w:fldCharType="begin"/>
          </w:r>
          <w:r w:rsidRPr="009C7C0E">
            <w:rPr>
              <w:rFonts w:cs="Arial"/>
              <w:sz w:val="19"/>
              <w:szCs w:val="19"/>
            </w:rPr>
            <w:instrText xml:space="preserve"> TOC \o "1-3" \h \z \u </w:instrText>
          </w:r>
          <w:r w:rsidRPr="009C7C0E">
            <w:rPr>
              <w:rFonts w:cs="Arial"/>
              <w:sz w:val="19"/>
              <w:szCs w:val="19"/>
            </w:rPr>
            <w:fldChar w:fldCharType="separate"/>
          </w:r>
          <w:hyperlink w:anchor="_Toc134082562" w:history="1">
            <w:r w:rsidR="002D30F5" w:rsidRPr="00FD5082">
              <w:rPr>
                <w:rStyle w:val="Hyperlink"/>
              </w:rPr>
              <w:t>Release Versions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_Toc134082562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4</w:t>
            </w:r>
            <w:r w:rsidR="002D30F5">
              <w:rPr>
                <w:webHidden/>
              </w:rPr>
              <w:fldChar w:fldCharType="end"/>
            </w:r>
          </w:hyperlink>
        </w:p>
        <w:p w14:paraId="2C2D02F9" w14:textId="77777777" w:rsidR="00F519C0" w:rsidRPr="00F519C0" w:rsidRDefault="00F519C0" w:rsidP="00F519C0">
          <w:pPr>
            <w:rPr>
              <w:rFonts w:eastAsiaTheme="minorEastAsia"/>
            </w:rPr>
          </w:pPr>
        </w:p>
        <w:p w14:paraId="643412BC" w14:textId="13DFD4F3" w:rsidR="002D30F5" w:rsidRDefault="00FE50F6">
          <w:pPr>
            <w:pStyle w:val="TOC1"/>
            <w:rPr>
              <w:rStyle w:val="Hyperlink"/>
            </w:rPr>
          </w:pPr>
          <w:hyperlink w:anchor="_Toc134082563" w:history="1">
            <w:r w:rsidR="002D30F5" w:rsidRPr="00FD5082">
              <w:rPr>
                <w:rStyle w:val="Hyperlink"/>
              </w:rPr>
              <w:t>Introduction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_Toc134082563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4</w:t>
            </w:r>
            <w:r w:rsidR="002D30F5">
              <w:rPr>
                <w:webHidden/>
              </w:rPr>
              <w:fldChar w:fldCharType="end"/>
            </w:r>
          </w:hyperlink>
        </w:p>
        <w:p w14:paraId="0CF92787" w14:textId="77777777" w:rsidR="002D30F5" w:rsidRPr="002D30F5" w:rsidRDefault="002D30F5" w:rsidP="002D30F5">
          <w:pPr>
            <w:rPr>
              <w:rFonts w:eastAsiaTheme="minorEastAsia"/>
            </w:rPr>
          </w:pPr>
        </w:p>
        <w:p w14:paraId="3CBF9156" w14:textId="169152E0" w:rsidR="002D30F5" w:rsidRDefault="00FE50F6">
          <w:pPr>
            <w:pStyle w:val="TOC2"/>
            <w:rPr>
              <w:rStyle w:val="Hyperlink"/>
            </w:rPr>
          </w:pPr>
          <w:hyperlink w:anchor="_Toc134082564" w:history="1">
            <w:r w:rsidR="002D30F5" w:rsidRPr="00FD5082">
              <w:rPr>
                <w:rStyle w:val="Hyperlink"/>
              </w:rPr>
              <w:t>Key Message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_Toc134082564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4</w:t>
            </w:r>
            <w:r w:rsidR="002D30F5">
              <w:rPr>
                <w:webHidden/>
              </w:rPr>
              <w:fldChar w:fldCharType="end"/>
            </w:r>
          </w:hyperlink>
        </w:p>
        <w:p w14:paraId="6025099B" w14:textId="77777777" w:rsidR="002D30F5" w:rsidRPr="002D30F5" w:rsidRDefault="002D30F5" w:rsidP="002D30F5">
          <w:pPr>
            <w:rPr>
              <w:rFonts w:eastAsiaTheme="minorEastAsia"/>
            </w:rPr>
          </w:pPr>
        </w:p>
        <w:p w14:paraId="1C375E52" w14:textId="07EE5BEC" w:rsidR="002D30F5" w:rsidRDefault="00FE50F6">
          <w:pPr>
            <w:pStyle w:val="TOC2"/>
            <w:rPr>
              <w:rStyle w:val="Hyperlink"/>
            </w:rPr>
          </w:pPr>
          <w:hyperlink w:anchor="_Toc134082565" w:history="1">
            <w:r w:rsidR="002D30F5" w:rsidRPr="00FD5082">
              <w:rPr>
                <w:rStyle w:val="Hyperlink"/>
              </w:rPr>
              <w:t>Purpose of this document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_Toc134082565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4</w:t>
            </w:r>
            <w:r w:rsidR="002D30F5">
              <w:rPr>
                <w:webHidden/>
              </w:rPr>
              <w:fldChar w:fldCharType="end"/>
            </w:r>
          </w:hyperlink>
        </w:p>
        <w:p w14:paraId="5E4933B1" w14:textId="77777777" w:rsidR="002D30F5" w:rsidRPr="002D30F5" w:rsidRDefault="002D30F5" w:rsidP="002D30F5">
          <w:pPr>
            <w:rPr>
              <w:rFonts w:eastAsiaTheme="minorEastAsia"/>
            </w:rPr>
          </w:pPr>
        </w:p>
        <w:p w14:paraId="132A2D9C" w14:textId="3950E7AA" w:rsidR="002D30F5" w:rsidRDefault="00FE50F6">
          <w:pPr>
            <w:pStyle w:val="TOC2"/>
            <w:rPr>
              <w:rStyle w:val="Hyperlink"/>
            </w:rPr>
          </w:pPr>
          <w:hyperlink w:anchor="_Toc134082566" w:history="1">
            <w:r w:rsidR="002D30F5" w:rsidRPr="00FD5082">
              <w:rPr>
                <w:rStyle w:val="Hyperlink"/>
              </w:rPr>
              <w:t>What is the data used for by the Department of Health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_Toc134082566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4</w:t>
            </w:r>
            <w:r w:rsidR="002D30F5">
              <w:rPr>
                <w:webHidden/>
              </w:rPr>
              <w:fldChar w:fldCharType="end"/>
            </w:r>
          </w:hyperlink>
        </w:p>
        <w:p w14:paraId="6FD440D8" w14:textId="77777777" w:rsidR="002D30F5" w:rsidRPr="002D30F5" w:rsidRDefault="002D30F5" w:rsidP="002D30F5">
          <w:pPr>
            <w:rPr>
              <w:rFonts w:eastAsiaTheme="minorEastAsia"/>
            </w:rPr>
          </w:pPr>
        </w:p>
        <w:p w14:paraId="54246787" w14:textId="3CC88160" w:rsidR="002D30F5" w:rsidRDefault="00FE50F6">
          <w:pPr>
            <w:pStyle w:val="TOC2"/>
            <w:rPr>
              <w:rStyle w:val="Hyperlink"/>
            </w:rPr>
          </w:pPr>
          <w:hyperlink w:anchor="_Toc134082567" w:history="1">
            <w:r w:rsidR="002D30F5" w:rsidRPr="00FD5082">
              <w:rPr>
                <w:rStyle w:val="Hyperlink"/>
              </w:rPr>
              <w:t>Concurrent episodes and outcome measure tasks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_Toc134082567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5</w:t>
            </w:r>
            <w:r w:rsidR="002D30F5">
              <w:rPr>
                <w:webHidden/>
              </w:rPr>
              <w:fldChar w:fldCharType="end"/>
            </w:r>
          </w:hyperlink>
        </w:p>
        <w:p w14:paraId="731810B8" w14:textId="77777777" w:rsidR="002D30F5" w:rsidRPr="002D30F5" w:rsidRDefault="002D30F5" w:rsidP="002D30F5">
          <w:pPr>
            <w:rPr>
              <w:rFonts w:eastAsiaTheme="minorEastAsia"/>
            </w:rPr>
          </w:pPr>
        </w:p>
        <w:p w14:paraId="13A4862E" w14:textId="6CDCA97C" w:rsidR="002D30F5" w:rsidRDefault="00FE50F6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34082568" w:history="1">
            <w:r w:rsidR="002D30F5" w:rsidRPr="00FD5082">
              <w:rPr>
                <w:rStyle w:val="Hyperlink"/>
                <w:noProof/>
              </w:rPr>
              <w:t>Client has an episode open:</w:t>
            </w:r>
            <w:r w:rsidR="002D30F5">
              <w:rPr>
                <w:noProof/>
                <w:webHidden/>
              </w:rPr>
              <w:tab/>
            </w:r>
            <w:r w:rsidR="002D30F5">
              <w:rPr>
                <w:noProof/>
                <w:webHidden/>
              </w:rPr>
              <w:fldChar w:fldCharType="begin"/>
            </w:r>
            <w:r w:rsidR="002D30F5">
              <w:rPr>
                <w:noProof/>
                <w:webHidden/>
              </w:rPr>
              <w:instrText xml:space="preserve"> PAGEREF _Toc134082568 \h </w:instrText>
            </w:r>
            <w:r w:rsidR="002D30F5">
              <w:rPr>
                <w:noProof/>
                <w:webHidden/>
              </w:rPr>
            </w:r>
            <w:r w:rsidR="002D30F5">
              <w:rPr>
                <w:noProof/>
                <w:webHidden/>
              </w:rPr>
              <w:fldChar w:fldCharType="separate"/>
            </w:r>
            <w:r w:rsidR="002D30F5">
              <w:rPr>
                <w:noProof/>
                <w:webHidden/>
              </w:rPr>
              <w:t>5</w:t>
            </w:r>
            <w:r w:rsidR="002D30F5">
              <w:rPr>
                <w:noProof/>
                <w:webHidden/>
              </w:rPr>
              <w:fldChar w:fldCharType="end"/>
            </w:r>
          </w:hyperlink>
        </w:p>
        <w:p w14:paraId="29BC47E9" w14:textId="7D4662AB" w:rsidR="002D30F5" w:rsidRDefault="00FE50F6">
          <w:pPr>
            <w:pStyle w:val="TOC3"/>
            <w:rPr>
              <w:rStyle w:val="Hyperlink"/>
              <w:noProof/>
            </w:rPr>
          </w:pPr>
          <w:hyperlink w:anchor="_Toc134082569" w:history="1">
            <w:r w:rsidR="002D30F5" w:rsidRPr="00FD5082">
              <w:rPr>
                <w:rStyle w:val="Hyperlink"/>
                <w:noProof/>
              </w:rPr>
              <w:t>Opening a second episode (concurrent)</w:t>
            </w:r>
            <w:r w:rsidR="002D30F5">
              <w:rPr>
                <w:noProof/>
                <w:webHidden/>
              </w:rPr>
              <w:tab/>
            </w:r>
            <w:r w:rsidR="002D30F5">
              <w:rPr>
                <w:noProof/>
                <w:webHidden/>
              </w:rPr>
              <w:fldChar w:fldCharType="begin"/>
            </w:r>
            <w:r w:rsidR="002D30F5">
              <w:rPr>
                <w:noProof/>
                <w:webHidden/>
              </w:rPr>
              <w:instrText xml:space="preserve"> PAGEREF _Toc134082569 \h </w:instrText>
            </w:r>
            <w:r w:rsidR="002D30F5">
              <w:rPr>
                <w:noProof/>
                <w:webHidden/>
              </w:rPr>
            </w:r>
            <w:r w:rsidR="002D30F5">
              <w:rPr>
                <w:noProof/>
                <w:webHidden/>
              </w:rPr>
              <w:fldChar w:fldCharType="separate"/>
            </w:r>
            <w:r w:rsidR="002D30F5">
              <w:rPr>
                <w:noProof/>
                <w:webHidden/>
              </w:rPr>
              <w:t>6</w:t>
            </w:r>
            <w:r w:rsidR="002D30F5">
              <w:rPr>
                <w:noProof/>
                <w:webHidden/>
              </w:rPr>
              <w:fldChar w:fldCharType="end"/>
            </w:r>
          </w:hyperlink>
        </w:p>
        <w:p w14:paraId="104435D5" w14:textId="77777777" w:rsidR="002D30F5" w:rsidRPr="002D30F5" w:rsidRDefault="002D30F5" w:rsidP="002D30F5">
          <w:pPr>
            <w:rPr>
              <w:rFonts w:eastAsiaTheme="minorEastAsia"/>
            </w:rPr>
          </w:pPr>
        </w:p>
        <w:p w14:paraId="371F8E23" w14:textId="4549CB53" w:rsidR="002D30F5" w:rsidRDefault="00FE50F6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34082570" w:history="1">
            <w:r w:rsidR="002D30F5" w:rsidRPr="00FD5082">
              <w:rPr>
                <w:rStyle w:val="Hyperlink"/>
              </w:rPr>
              <w:t>Maintain one stream of tasks when opening new episode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_Toc134082570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8</w:t>
            </w:r>
            <w:r w:rsidR="002D30F5">
              <w:rPr>
                <w:webHidden/>
              </w:rPr>
              <w:fldChar w:fldCharType="end"/>
            </w:r>
          </w:hyperlink>
        </w:p>
        <w:p w14:paraId="509C9C0C" w14:textId="23D1DBA9" w:rsidR="002D30F5" w:rsidRDefault="00FE50F6">
          <w:pPr>
            <w:pStyle w:val="TOC3"/>
            <w:rPr>
              <w:rStyle w:val="Hyperlink"/>
              <w:noProof/>
            </w:rPr>
          </w:pPr>
          <w:hyperlink w:anchor="_Toc134082571" w:history="1">
            <w:r w:rsidR="002D30F5" w:rsidRPr="00FD5082">
              <w:rPr>
                <w:rStyle w:val="Hyperlink"/>
                <w:noProof/>
              </w:rPr>
              <w:t>To continue with the same stream of tasks</w:t>
            </w:r>
            <w:r w:rsidR="002D30F5">
              <w:rPr>
                <w:noProof/>
                <w:webHidden/>
              </w:rPr>
              <w:tab/>
            </w:r>
            <w:r w:rsidR="002D30F5">
              <w:rPr>
                <w:noProof/>
                <w:webHidden/>
              </w:rPr>
              <w:fldChar w:fldCharType="begin"/>
            </w:r>
            <w:r w:rsidR="002D30F5">
              <w:rPr>
                <w:noProof/>
                <w:webHidden/>
              </w:rPr>
              <w:instrText xml:space="preserve"> PAGEREF _Toc134082571 \h </w:instrText>
            </w:r>
            <w:r w:rsidR="002D30F5">
              <w:rPr>
                <w:noProof/>
                <w:webHidden/>
              </w:rPr>
            </w:r>
            <w:r w:rsidR="002D30F5">
              <w:rPr>
                <w:noProof/>
                <w:webHidden/>
              </w:rPr>
              <w:fldChar w:fldCharType="separate"/>
            </w:r>
            <w:r w:rsidR="002D30F5">
              <w:rPr>
                <w:noProof/>
                <w:webHidden/>
              </w:rPr>
              <w:t>9</w:t>
            </w:r>
            <w:r w:rsidR="002D30F5">
              <w:rPr>
                <w:noProof/>
                <w:webHidden/>
              </w:rPr>
              <w:fldChar w:fldCharType="end"/>
            </w:r>
          </w:hyperlink>
        </w:p>
        <w:p w14:paraId="44E4AD79" w14:textId="77777777" w:rsidR="002D30F5" w:rsidRPr="002D30F5" w:rsidRDefault="002D30F5" w:rsidP="002D30F5">
          <w:pPr>
            <w:rPr>
              <w:rFonts w:eastAsiaTheme="minorEastAsia"/>
            </w:rPr>
          </w:pPr>
        </w:p>
        <w:p w14:paraId="231B4F34" w14:textId="7CFE63C7" w:rsidR="002D30F5" w:rsidRDefault="00FE50F6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34082572" w:history="1">
            <w:r w:rsidR="002D30F5" w:rsidRPr="00FD5082">
              <w:rPr>
                <w:rStyle w:val="Hyperlink"/>
              </w:rPr>
              <w:t>Definitions</w:t>
            </w:r>
            <w:r w:rsidR="002D30F5">
              <w:rPr>
                <w:webHidden/>
              </w:rPr>
              <w:tab/>
            </w:r>
            <w:r w:rsidR="002D30F5">
              <w:rPr>
                <w:webHidden/>
              </w:rPr>
              <w:fldChar w:fldCharType="begin"/>
            </w:r>
            <w:r w:rsidR="002D30F5">
              <w:rPr>
                <w:webHidden/>
              </w:rPr>
              <w:instrText xml:space="preserve"> PAGEREF _Toc134082572 \h </w:instrText>
            </w:r>
            <w:r w:rsidR="002D30F5">
              <w:rPr>
                <w:webHidden/>
              </w:rPr>
            </w:r>
            <w:r w:rsidR="002D30F5">
              <w:rPr>
                <w:webHidden/>
              </w:rPr>
              <w:fldChar w:fldCharType="separate"/>
            </w:r>
            <w:r w:rsidR="002D30F5">
              <w:rPr>
                <w:webHidden/>
              </w:rPr>
              <w:t>12</w:t>
            </w:r>
            <w:r w:rsidR="002D30F5">
              <w:rPr>
                <w:webHidden/>
              </w:rPr>
              <w:fldChar w:fldCharType="end"/>
            </w:r>
          </w:hyperlink>
        </w:p>
        <w:p w14:paraId="335C41B1" w14:textId="69BA455F" w:rsidR="009C7C0E" w:rsidRPr="009C7C0E" w:rsidRDefault="009C7C0E" w:rsidP="009C7C0E">
          <w:pPr>
            <w:pStyle w:val="TOC2"/>
            <w:spacing w:after="0" w:line="240" w:lineRule="auto"/>
            <w:rPr>
              <w:rFonts w:cs="Arial"/>
              <w:sz w:val="19"/>
              <w:szCs w:val="19"/>
            </w:rPr>
          </w:pPr>
          <w:r w:rsidRPr="009C7C0E">
            <w:rPr>
              <w:rFonts w:cs="Arial"/>
              <w:b/>
              <w:bCs/>
              <w:sz w:val="19"/>
              <w:szCs w:val="19"/>
            </w:rPr>
            <w:fldChar w:fldCharType="end"/>
          </w:r>
        </w:p>
      </w:sdtContent>
    </w:sdt>
    <w:p w14:paraId="7550E310" w14:textId="77777777" w:rsidR="009C7C0E" w:rsidRPr="009C7C0E" w:rsidRDefault="009C7C0E" w:rsidP="009C7C0E">
      <w:pPr>
        <w:spacing w:after="0" w:line="240" w:lineRule="auto"/>
        <w:rPr>
          <w:rFonts w:eastAsia="MS Gothic" w:cs="Arial"/>
          <w:bCs/>
          <w:color w:val="201547"/>
          <w:kern w:val="32"/>
          <w:sz w:val="36"/>
          <w:szCs w:val="40"/>
        </w:rPr>
      </w:pPr>
      <w:bookmarkStart w:id="1" w:name="_Toc468267353"/>
      <w:bookmarkStart w:id="2" w:name="_Toc468267380"/>
      <w:r w:rsidRPr="009C7C0E">
        <w:rPr>
          <w:rFonts w:cs="Arial"/>
        </w:rPr>
        <w:br w:type="page"/>
      </w:r>
    </w:p>
    <w:p w14:paraId="60EB5C3B" w14:textId="77777777" w:rsidR="00FF5DBC" w:rsidRDefault="00FF5DBC" w:rsidP="00FF5DBC">
      <w:pPr>
        <w:pStyle w:val="Heading1"/>
      </w:pPr>
      <w:bookmarkStart w:id="3" w:name="_Toc111213390"/>
      <w:bookmarkStart w:id="4" w:name="_Toc129341692"/>
      <w:bookmarkStart w:id="5" w:name="_Toc134082562"/>
      <w:r w:rsidRPr="00E615DE">
        <w:lastRenderedPageBreak/>
        <w:t>Release Versions</w:t>
      </w:r>
      <w:bookmarkEnd w:id="3"/>
      <w:bookmarkEnd w:id="4"/>
      <w:bookmarkEnd w:id="5"/>
      <w:r w:rsidRPr="00E615DE">
        <w:t xml:space="preserve"> </w:t>
      </w:r>
    </w:p>
    <w:p w14:paraId="403E3673" w14:textId="77777777" w:rsidR="00FF5DBC" w:rsidRDefault="00FF5DBC" w:rsidP="00FF5DBC">
      <w:pPr>
        <w:pStyle w:val="Tablecaption"/>
      </w:pPr>
      <w:r>
        <w:t>Table caption</w:t>
      </w:r>
    </w:p>
    <w:tbl>
      <w:tblPr>
        <w:tblStyle w:val="TableGrid"/>
        <w:tblW w:w="9299" w:type="dxa"/>
        <w:tblLook w:val="06A0" w:firstRow="1" w:lastRow="0" w:firstColumn="1" w:lastColumn="0" w:noHBand="1" w:noVBand="1"/>
      </w:tblPr>
      <w:tblGrid>
        <w:gridCol w:w="1129"/>
        <w:gridCol w:w="1418"/>
        <w:gridCol w:w="1701"/>
        <w:gridCol w:w="5051"/>
      </w:tblGrid>
      <w:tr w:rsidR="00FF5DBC" w:rsidRPr="00E615DE" w14:paraId="26284760" w14:textId="77777777" w:rsidTr="00FD4A0B">
        <w:trPr>
          <w:tblHeader/>
        </w:trPr>
        <w:tc>
          <w:tcPr>
            <w:tcW w:w="1129" w:type="dxa"/>
          </w:tcPr>
          <w:p w14:paraId="2DBBACA6" w14:textId="77777777" w:rsidR="00FF5DBC" w:rsidRPr="00393748" w:rsidRDefault="00FF5DBC" w:rsidP="00FD4A0B">
            <w:pPr>
              <w:pStyle w:val="Tablecolhead"/>
              <w:spacing w:before="0" w:after="0"/>
              <w:rPr>
                <w:color w:val="1F497D" w:themeColor="text2"/>
                <w:sz w:val="20"/>
              </w:rPr>
            </w:pPr>
            <w:bookmarkStart w:id="6" w:name="_Hlk99700253"/>
            <w:r w:rsidRPr="00393748">
              <w:rPr>
                <w:color w:val="1F497D" w:themeColor="text2"/>
                <w:sz w:val="20"/>
              </w:rPr>
              <w:t>Version</w:t>
            </w:r>
          </w:p>
        </w:tc>
        <w:tc>
          <w:tcPr>
            <w:tcW w:w="1418" w:type="dxa"/>
          </w:tcPr>
          <w:p w14:paraId="13DB321A" w14:textId="77777777" w:rsidR="00FF5DBC" w:rsidRPr="00393748" w:rsidRDefault="00FF5DBC" w:rsidP="00FD4A0B">
            <w:pPr>
              <w:pStyle w:val="Tablecolhead"/>
              <w:spacing w:before="0" w:after="0"/>
              <w:rPr>
                <w:color w:val="1F497D" w:themeColor="text2"/>
                <w:sz w:val="20"/>
              </w:rPr>
            </w:pPr>
            <w:r w:rsidRPr="00393748">
              <w:rPr>
                <w:color w:val="1F497D" w:themeColor="text2"/>
                <w:sz w:val="20"/>
              </w:rPr>
              <w:t>Date</w:t>
            </w:r>
          </w:p>
        </w:tc>
        <w:tc>
          <w:tcPr>
            <w:tcW w:w="1701" w:type="dxa"/>
          </w:tcPr>
          <w:p w14:paraId="5B1DC218" w14:textId="77777777" w:rsidR="00FF5DBC" w:rsidRPr="00393748" w:rsidRDefault="00FF5DBC" w:rsidP="00FD4A0B">
            <w:pPr>
              <w:pStyle w:val="Tablecolhead"/>
              <w:spacing w:before="0" w:after="0"/>
              <w:rPr>
                <w:color w:val="1F497D" w:themeColor="text2"/>
                <w:sz w:val="20"/>
              </w:rPr>
            </w:pPr>
            <w:r w:rsidRPr="00393748">
              <w:rPr>
                <w:color w:val="1F497D" w:themeColor="text2"/>
                <w:sz w:val="20"/>
              </w:rPr>
              <w:t>Author</w:t>
            </w:r>
          </w:p>
        </w:tc>
        <w:tc>
          <w:tcPr>
            <w:tcW w:w="5051" w:type="dxa"/>
          </w:tcPr>
          <w:p w14:paraId="1FAC0AD5" w14:textId="77777777" w:rsidR="00FF5DBC" w:rsidRPr="00393748" w:rsidRDefault="00FF5DBC" w:rsidP="00FD4A0B">
            <w:pPr>
              <w:pStyle w:val="Tablecolhead"/>
              <w:spacing w:before="0" w:after="0"/>
              <w:rPr>
                <w:color w:val="1F497D" w:themeColor="text2"/>
                <w:sz w:val="20"/>
              </w:rPr>
            </w:pPr>
            <w:r w:rsidRPr="00393748">
              <w:rPr>
                <w:color w:val="1F497D" w:themeColor="text2"/>
                <w:sz w:val="20"/>
              </w:rPr>
              <w:t>Changes</w:t>
            </w:r>
          </w:p>
        </w:tc>
      </w:tr>
      <w:bookmarkEnd w:id="6"/>
      <w:tr w:rsidR="00FF5DBC" w:rsidRPr="00E615DE" w14:paraId="0ADB909D" w14:textId="77777777" w:rsidTr="00FD4A0B">
        <w:tc>
          <w:tcPr>
            <w:tcW w:w="1129" w:type="dxa"/>
          </w:tcPr>
          <w:p w14:paraId="7246F7FA" w14:textId="5A98A5AF" w:rsidR="00FF5DBC" w:rsidRPr="00E615DE" w:rsidRDefault="00FF5DBC" w:rsidP="00FD4A0B">
            <w:pPr>
              <w:pStyle w:val="Tabletext"/>
              <w:spacing w:before="0" w:after="0"/>
              <w:rPr>
                <w:sz w:val="20"/>
              </w:rPr>
            </w:pPr>
            <w:r>
              <w:rPr>
                <w:sz w:val="20"/>
              </w:rPr>
              <w:t>V0.1</w:t>
            </w:r>
          </w:p>
        </w:tc>
        <w:tc>
          <w:tcPr>
            <w:tcW w:w="1418" w:type="dxa"/>
          </w:tcPr>
          <w:p w14:paraId="27A42450" w14:textId="41BFCC40" w:rsidR="00FF5DBC" w:rsidRPr="00E615DE" w:rsidRDefault="00FF5DBC" w:rsidP="00FD4A0B">
            <w:pPr>
              <w:pStyle w:val="Tabletext"/>
              <w:spacing w:before="0" w:after="0"/>
              <w:rPr>
                <w:sz w:val="20"/>
              </w:rPr>
            </w:pPr>
            <w:r>
              <w:rPr>
                <w:sz w:val="20"/>
              </w:rPr>
              <w:t>27/4/2023</w:t>
            </w:r>
          </w:p>
        </w:tc>
        <w:tc>
          <w:tcPr>
            <w:tcW w:w="1701" w:type="dxa"/>
          </w:tcPr>
          <w:p w14:paraId="5F11D984" w14:textId="5D53C30F" w:rsidR="00FF5DBC" w:rsidRPr="00E615DE" w:rsidRDefault="00FF5DBC" w:rsidP="00FD4A0B">
            <w:pPr>
              <w:pStyle w:val="Tablebullet2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Glenda Wyatt</w:t>
            </w:r>
          </w:p>
        </w:tc>
        <w:tc>
          <w:tcPr>
            <w:tcW w:w="5051" w:type="dxa"/>
          </w:tcPr>
          <w:p w14:paraId="4AD28F98" w14:textId="18F73271" w:rsidR="00FF5DBC" w:rsidRPr="00E615DE" w:rsidRDefault="00FF5DBC" w:rsidP="00FD4A0B">
            <w:pPr>
              <w:pStyle w:val="Tablebullet2"/>
              <w:numPr>
                <w:ilvl w:val="0"/>
                <w:numId w:val="11"/>
              </w:numPr>
              <w:spacing w:before="0" w:after="0"/>
              <w:ind w:left="314" w:hanging="314"/>
              <w:rPr>
                <w:sz w:val="20"/>
              </w:rPr>
            </w:pPr>
            <w:r>
              <w:rPr>
                <w:sz w:val="20"/>
              </w:rPr>
              <w:t>Documentation on how to open concurrent episodes and manage tasks.</w:t>
            </w:r>
          </w:p>
        </w:tc>
      </w:tr>
      <w:tr w:rsidR="00FF5DBC" w:rsidRPr="00E615DE" w14:paraId="28A4CA35" w14:textId="77777777" w:rsidTr="00FD4A0B">
        <w:tc>
          <w:tcPr>
            <w:tcW w:w="1129" w:type="dxa"/>
          </w:tcPr>
          <w:p w14:paraId="24479B12" w14:textId="00482FC1" w:rsidR="00FF5DBC" w:rsidRPr="00E615DE" w:rsidRDefault="00FF5DBC" w:rsidP="00FD4A0B">
            <w:pPr>
              <w:pStyle w:val="Tabletext"/>
              <w:spacing w:before="0" w:after="0"/>
              <w:rPr>
                <w:sz w:val="20"/>
              </w:rPr>
            </w:pPr>
            <w:r>
              <w:rPr>
                <w:sz w:val="20"/>
              </w:rPr>
              <w:t>V0.2</w:t>
            </w:r>
          </w:p>
        </w:tc>
        <w:tc>
          <w:tcPr>
            <w:tcW w:w="1418" w:type="dxa"/>
          </w:tcPr>
          <w:p w14:paraId="6A14D8AE" w14:textId="5227D936" w:rsidR="00FF5DBC" w:rsidRPr="00E615DE" w:rsidRDefault="00FF5DBC" w:rsidP="00FD4A0B">
            <w:pPr>
              <w:pStyle w:val="Tabletext"/>
              <w:spacing w:before="0" w:after="0"/>
              <w:rPr>
                <w:sz w:val="20"/>
              </w:rPr>
            </w:pPr>
            <w:r>
              <w:rPr>
                <w:sz w:val="20"/>
              </w:rPr>
              <w:t>04/05/2023</w:t>
            </w:r>
          </w:p>
        </w:tc>
        <w:tc>
          <w:tcPr>
            <w:tcW w:w="1701" w:type="dxa"/>
          </w:tcPr>
          <w:p w14:paraId="3CC96E91" w14:textId="77777777" w:rsidR="00FF5DBC" w:rsidRPr="00E615DE" w:rsidRDefault="00FF5DBC" w:rsidP="00FD4A0B">
            <w:pPr>
              <w:pStyle w:val="Tablebullet2"/>
              <w:numPr>
                <w:ilvl w:val="0"/>
                <w:numId w:val="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Glenda Wyatt</w:t>
            </w:r>
          </w:p>
        </w:tc>
        <w:tc>
          <w:tcPr>
            <w:tcW w:w="5051" w:type="dxa"/>
          </w:tcPr>
          <w:p w14:paraId="353F4D77" w14:textId="77777777" w:rsidR="00FF5DBC" w:rsidRDefault="00FF5DBC" w:rsidP="00FD4A0B">
            <w:pPr>
              <w:pStyle w:val="Tablebullet2"/>
              <w:numPr>
                <w:ilvl w:val="0"/>
                <w:numId w:val="11"/>
              </w:numPr>
              <w:spacing w:before="0" w:after="0"/>
              <w:ind w:left="314" w:hanging="314"/>
              <w:rPr>
                <w:sz w:val="20"/>
              </w:rPr>
            </w:pPr>
            <w:r>
              <w:rPr>
                <w:sz w:val="20"/>
              </w:rPr>
              <w:t>Update terminology to make consistent throughout document.</w:t>
            </w:r>
          </w:p>
          <w:p w14:paraId="70953F28" w14:textId="7147B15A" w:rsidR="00FF5DBC" w:rsidRPr="00E615DE" w:rsidRDefault="00FF5DBC" w:rsidP="00FD4A0B">
            <w:pPr>
              <w:pStyle w:val="Tablebullet2"/>
              <w:numPr>
                <w:ilvl w:val="0"/>
                <w:numId w:val="11"/>
              </w:numPr>
              <w:spacing w:before="0" w:after="0"/>
              <w:ind w:left="314" w:hanging="314"/>
              <w:rPr>
                <w:sz w:val="20"/>
              </w:rPr>
            </w:pPr>
            <w:r>
              <w:rPr>
                <w:sz w:val="20"/>
              </w:rPr>
              <w:t>Add additional screen shots</w:t>
            </w:r>
          </w:p>
        </w:tc>
      </w:tr>
    </w:tbl>
    <w:p w14:paraId="11DDD0A9" w14:textId="77777777" w:rsidR="002D30F5" w:rsidRDefault="002D30F5" w:rsidP="009C7C0E">
      <w:pPr>
        <w:pStyle w:val="Heading1"/>
      </w:pPr>
      <w:bookmarkStart w:id="7" w:name="_Toc134082563"/>
    </w:p>
    <w:p w14:paraId="3B23CCC2" w14:textId="5F45BFD9" w:rsidR="009C7C0E" w:rsidRPr="009C7C0E" w:rsidRDefault="009C7C0E" w:rsidP="009C7C0E">
      <w:pPr>
        <w:pStyle w:val="Heading1"/>
        <w:rPr>
          <w:color w:val="D50032"/>
        </w:rPr>
      </w:pPr>
      <w:r w:rsidRPr="009C7C0E">
        <w:t>Introduction</w:t>
      </w:r>
      <w:bookmarkEnd w:id="1"/>
      <w:bookmarkEnd w:id="2"/>
      <w:bookmarkEnd w:id="7"/>
    </w:p>
    <w:p w14:paraId="6772F056" w14:textId="77777777" w:rsidR="009C7C0E" w:rsidRPr="009C7C0E" w:rsidRDefault="009C7C0E" w:rsidP="009C7C0E">
      <w:pPr>
        <w:pStyle w:val="Heading2"/>
      </w:pPr>
      <w:bookmarkStart w:id="8" w:name="_Toc468267354"/>
      <w:bookmarkStart w:id="9" w:name="_Toc468267381"/>
      <w:bookmarkStart w:id="10" w:name="_Toc134082564"/>
      <w:r w:rsidRPr="009C7C0E">
        <w:t>Key Message</w:t>
      </w:r>
      <w:bookmarkEnd w:id="8"/>
      <w:bookmarkEnd w:id="9"/>
      <w:bookmarkEnd w:id="10"/>
    </w:p>
    <w:p w14:paraId="414A6C4C" w14:textId="1B3D737C" w:rsidR="009C7C0E" w:rsidRPr="009C7C0E" w:rsidRDefault="00892FC6" w:rsidP="00892FC6">
      <w:pPr>
        <w:pStyle w:val="Bullet2"/>
        <w:numPr>
          <w:ilvl w:val="0"/>
          <w:numId w:val="0"/>
        </w:numPr>
      </w:pPr>
      <w:r>
        <w:t>It is possible to create concurrent ambulatory episodes within CMI/ODS and not generate additional tasks to complete.</w:t>
      </w:r>
    </w:p>
    <w:p w14:paraId="5F2979BF" w14:textId="77777777" w:rsidR="009C7C0E" w:rsidRPr="009C7C0E" w:rsidRDefault="009C7C0E" w:rsidP="005912C9">
      <w:pPr>
        <w:pStyle w:val="DHHSbody"/>
      </w:pPr>
      <w:bookmarkStart w:id="11" w:name="_Toc468267355"/>
      <w:bookmarkStart w:id="12" w:name="_Toc468267382"/>
    </w:p>
    <w:p w14:paraId="553081EE" w14:textId="77777777" w:rsidR="009C7C0E" w:rsidRPr="009C7C0E" w:rsidRDefault="009C7C0E" w:rsidP="009C7C0E">
      <w:pPr>
        <w:pStyle w:val="Heading2"/>
      </w:pPr>
      <w:bookmarkStart w:id="13" w:name="_Toc134082565"/>
      <w:r w:rsidRPr="009C7C0E">
        <w:t>Purpose of this document</w:t>
      </w:r>
      <w:bookmarkEnd w:id="11"/>
      <w:bookmarkEnd w:id="12"/>
      <w:bookmarkEnd w:id="13"/>
    </w:p>
    <w:p w14:paraId="4B71180F" w14:textId="0C544BCA" w:rsidR="009C7C0E" w:rsidRPr="00892FC6" w:rsidRDefault="00892FC6" w:rsidP="005912C9">
      <w:pPr>
        <w:pStyle w:val="Bullet1"/>
        <w:rPr>
          <w:bCs/>
        </w:rPr>
      </w:pPr>
      <w:r>
        <w:t>To outline the process for creating concurrent episodes without generating more outcome measure tasks</w:t>
      </w:r>
    </w:p>
    <w:p w14:paraId="18EC4AF8" w14:textId="0F625E1B" w:rsidR="00892FC6" w:rsidRPr="009C7C0E" w:rsidRDefault="00892FC6" w:rsidP="005912C9">
      <w:pPr>
        <w:pStyle w:val="Bullet1"/>
        <w:rPr>
          <w:bCs/>
        </w:rPr>
      </w:pPr>
      <w:r>
        <w:t>To outline how to allocate the existing outcome measure tasks to the new ambulatory team.</w:t>
      </w:r>
    </w:p>
    <w:p w14:paraId="4CB4E418" w14:textId="77777777" w:rsidR="009C7C0E" w:rsidRPr="009C7C0E" w:rsidRDefault="009C7C0E" w:rsidP="005912C9">
      <w:pPr>
        <w:pStyle w:val="DHHSbody"/>
      </w:pPr>
      <w:bookmarkStart w:id="14" w:name="_Toc468267356"/>
      <w:bookmarkStart w:id="15" w:name="_Toc468267383"/>
    </w:p>
    <w:p w14:paraId="529F5518" w14:textId="77777777" w:rsidR="009C7C0E" w:rsidRPr="009C7C0E" w:rsidRDefault="009C7C0E" w:rsidP="009C7C0E">
      <w:pPr>
        <w:pStyle w:val="Heading2"/>
      </w:pPr>
      <w:bookmarkStart w:id="16" w:name="_Toc134082566"/>
      <w:r w:rsidRPr="009C7C0E">
        <w:t>What is the data used for by the Department of H</w:t>
      </w:r>
      <w:bookmarkEnd w:id="14"/>
      <w:bookmarkEnd w:id="15"/>
      <w:r w:rsidRPr="009C7C0E">
        <w:t>ealth</w:t>
      </w:r>
      <w:bookmarkEnd w:id="16"/>
    </w:p>
    <w:p w14:paraId="7451FF3D" w14:textId="625AEBA0" w:rsidR="009C7C0E" w:rsidRPr="009C7C0E" w:rsidRDefault="00892FC6" w:rsidP="005912C9">
      <w:pPr>
        <w:pStyle w:val="DHHSbody"/>
      </w:pPr>
      <w:r>
        <w:t xml:space="preserve">Outcome measures </w:t>
      </w:r>
      <w:r w:rsidR="00DF6FB2">
        <w:t xml:space="preserve">are expected to </w:t>
      </w:r>
      <w:r w:rsidR="00374D29">
        <w:t>play</w:t>
      </w:r>
      <w:r>
        <w:t xml:space="preserve"> </w:t>
      </w:r>
      <w:r w:rsidR="00374D29">
        <w:t>an integral role in the</w:t>
      </w:r>
      <w:r>
        <w:t xml:space="preserve"> </w:t>
      </w:r>
      <w:r w:rsidR="007E0D93">
        <w:t>activity-based</w:t>
      </w:r>
      <w:r>
        <w:t xml:space="preserve"> funding model at both Commonwealth and State level</w:t>
      </w:r>
      <w:r w:rsidR="00374D29">
        <w:t>s</w:t>
      </w:r>
      <w:r>
        <w:t xml:space="preserve">.  It is therefore essential that services know how to open concurrent ambulatory episodes without CMI/ODS generating </w:t>
      </w:r>
      <w:r w:rsidR="00374D29">
        <w:t>additional</w:t>
      </w:r>
      <w:r>
        <w:t xml:space="preserve"> outcome measures</w:t>
      </w:r>
      <w:r w:rsidR="00374D29">
        <w:t xml:space="preserve"> if they are not required</w:t>
      </w:r>
      <w:r>
        <w:t xml:space="preserve">.  </w:t>
      </w:r>
      <w:r w:rsidR="00DF6FB2">
        <w:t>If</w:t>
      </w:r>
      <w:r>
        <w:t xml:space="preserve"> the Phase of Care has change</w:t>
      </w:r>
      <w:r w:rsidR="00374D29">
        <w:t>d</w:t>
      </w:r>
      <w:r>
        <w:t xml:space="preserve"> for the consumer, then a new set of outcome measures should be generated by using a Discretionary </w:t>
      </w:r>
      <w:r w:rsidR="00374D29">
        <w:t>task</w:t>
      </w:r>
      <w:r>
        <w:t>.</w:t>
      </w:r>
    </w:p>
    <w:p w14:paraId="08B9BA2E" w14:textId="77777777" w:rsidR="009C7C0E" w:rsidRPr="009C7C0E" w:rsidRDefault="009C7C0E" w:rsidP="005912C9">
      <w:pPr>
        <w:pStyle w:val="DHHSbody"/>
      </w:pPr>
    </w:p>
    <w:p w14:paraId="202162F4" w14:textId="77777777" w:rsidR="00892FC6" w:rsidRDefault="00892FC6">
      <w:pPr>
        <w:spacing w:after="0" w:line="240" w:lineRule="auto"/>
      </w:pPr>
      <w:r>
        <w:br w:type="page"/>
      </w:r>
    </w:p>
    <w:p w14:paraId="00E9489B" w14:textId="1688A75F" w:rsidR="00892FC6" w:rsidRPr="004438C8" w:rsidRDefault="00892FC6" w:rsidP="00892FC6">
      <w:pPr>
        <w:pStyle w:val="Heading2"/>
      </w:pPr>
      <w:bookmarkStart w:id="17" w:name="_Toc134082567"/>
      <w:r w:rsidRPr="004438C8">
        <w:lastRenderedPageBreak/>
        <w:t xml:space="preserve">Concurrent episodes and </w:t>
      </w:r>
      <w:r w:rsidR="004807D6">
        <w:t xml:space="preserve">outcome measure </w:t>
      </w:r>
      <w:r w:rsidRPr="004438C8">
        <w:t>tasks</w:t>
      </w:r>
      <w:bookmarkEnd w:id="17"/>
    </w:p>
    <w:p w14:paraId="109324EC" w14:textId="77777777" w:rsidR="00892FC6" w:rsidRPr="00315CE2" w:rsidRDefault="00892FC6" w:rsidP="00892FC6">
      <w:pPr>
        <w:rPr>
          <w:rFonts w:cs="Arial"/>
        </w:rPr>
      </w:pPr>
      <w:r>
        <w:rPr>
          <w:rFonts w:asciiTheme="majorHAnsi" w:eastAsiaTheme="majorEastAsia" w:hAnsiTheme="majorHAnsi" w:cstheme="majorBidi"/>
          <w:noProof/>
          <w:color w:val="243F60" w:themeColor="accent1" w:themeShade="7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BDE0A" wp14:editId="4FE1DC68">
                <wp:simplePos x="0" y="0"/>
                <wp:positionH relativeFrom="column">
                  <wp:posOffset>1781175</wp:posOffset>
                </wp:positionH>
                <wp:positionV relativeFrom="paragraph">
                  <wp:posOffset>175895</wp:posOffset>
                </wp:positionV>
                <wp:extent cx="142875" cy="2647950"/>
                <wp:effectExtent l="0" t="0" r="6667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64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0C1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0.25pt;margin-top:13.85pt;width:11.25pt;height:20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" strokecolor="#4579b8 [3044]">
                <v:stroke endarrow="block"/>
              </v:shape>
            </w:pict>
          </mc:Fallback>
        </mc:AlternateContent>
      </w:r>
      <w:bookmarkStart w:id="18" w:name="_Toc134082568"/>
      <w:r w:rsidRPr="004438C8">
        <w:rPr>
          <w:rStyle w:val="Heading3Char"/>
        </w:rPr>
        <w:t xml:space="preserve">Client has </w:t>
      </w:r>
      <w:r>
        <w:rPr>
          <w:rStyle w:val="Heading3Char"/>
        </w:rPr>
        <w:t xml:space="preserve">an </w:t>
      </w:r>
      <w:r w:rsidRPr="004438C8">
        <w:rPr>
          <w:rStyle w:val="Heading3Char"/>
        </w:rPr>
        <w:t>episode open</w:t>
      </w:r>
      <w:r>
        <w:rPr>
          <w:rStyle w:val="Heading3Char"/>
        </w:rPr>
        <w:t>:</w:t>
      </w:r>
      <w:bookmarkEnd w:id="18"/>
    </w:p>
    <w:p w14:paraId="77FC3791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26D15328" wp14:editId="476FE30C">
            <wp:extent cx="5442230" cy="2946551"/>
            <wp:effectExtent l="0" t="0" r="635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2230" cy="294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A61C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</w:rPr>
        <w:t>Task is generated.</w:t>
      </w:r>
    </w:p>
    <w:p w14:paraId="0EAD35C0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2A662212" wp14:editId="2B35D6CB">
            <wp:extent cx="5731510" cy="1134745"/>
            <wp:effectExtent l="0" t="0" r="2540" b="825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B55B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</w:rPr>
        <w:t>And partially completed</w:t>
      </w:r>
    </w:p>
    <w:p w14:paraId="11813D27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4B7E03CF" wp14:editId="3C6502C7">
            <wp:extent cx="5010407" cy="2032104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0407" cy="20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F1A63" w14:textId="77777777" w:rsidR="004807D6" w:rsidRDefault="004807D6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2613B386" w14:textId="13899393" w:rsidR="00892FC6" w:rsidRPr="00315CE2" w:rsidRDefault="00892FC6" w:rsidP="00892FC6">
      <w:pPr>
        <w:rPr>
          <w:rFonts w:cs="Arial"/>
        </w:rPr>
      </w:pPr>
      <w:r w:rsidRPr="00315CE2">
        <w:rPr>
          <w:rFonts w:cs="Arial"/>
        </w:rPr>
        <w:lastRenderedPageBreak/>
        <w:t>A 91-day review is generated</w:t>
      </w:r>
    </w:p>
    <w:p w14:paraId="5CDAD18D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0A285953" wp14:editId="48F76E23">
            <wp:extent cx="5543835" cy="1378021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3835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5FF10" w14:textId="77777777" w:rsidR="00892FC6" w:rsidRPr="00315CE2" w:rsidRDefault="00892FC6" w:rsidP="00892FC6">
      <w:pPr>
        <w:rPr>
          <w:rFonts w:cs="Arial"/>
        </w:rPr>
      </w:pPr>
    </w:p>
    <w:p w14:paraId="1FCC8DDF" w14:textId="647ADAA1" w:rsidR="00892FC6" w:rsidRPr="00315CE2" w:rsidRDefault="004807D6" w:rsidP="00892FC6">
      <w:pPr>
        <w:pStyle w:val="Heading3"/>
      </w:pPr>
      <w:bookmarkStart w:id="19" w:name="_Toc134082569"/>
      <w:r>
        <w:t>Opening a</w:t>
      </w:r>
      <w:r w:rsidR="00892FC6" w:rsidRPr="00315CE2">
        <w:t xml:space="preserve"> second episode </w:t>
      </w:r>
      <w:r>
        <w:t>(concurrent)</w:t>
      </w:r>
      <w:bookmarkEnd w:id="19"/>
    </w:p>
    <w:p w14:paraId="056B722A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57491C44" wp14:editId="2ACE3798">
            <wp:extent cx="4629388" cy="2082907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29388" cy="208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7A0C" w14:textId="77777777" w:rsidR="00892FC6" w:rsidRPr="00315CE2" w:rsidRDefault="00892FC6" w:rsidP="00892FC6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7825C" wp14:editId="2090C97B">
                <wp:simplePos x="0" y="0"/>
                <wp:positionH relativeFrom="column">
                  <wp:posOffset>1885950</wp:posOffset>
                </wp:positionH>
                <wp:positionV relativeFrom="paragraph">
                  <wp:posOffset>164464</wp:posOffset>
                </wp:positionV>
                <wp:extent cx="0" cy="2638425"/>
                <wp:effectExtent l="76200" t="0" r="57150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75D8C" id="Straight Arrow Connector 40" o:spid="_x0000_s1026" type="#_x0000_t32" style="position:absolute;margin-left:148.5pt;margin-top:12.95pt;width:0;height:20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" strokecolor="#4579b8 [3044]">
                <v:stroke endarrow="block"/>
              </v:shape>
            </w:pict>
          </mc:Fallback>
        </mc:AlternateContent>
      </w:r>
      <w:r w:rsidRPr="00315CE2">
        <w:rPr>
          <w:rFonts w:cs="Arial"/>
        </w:rPr>
        <w:t>Case summary showing concurrent episodes</w:t>
      </w:r>
    </w:p>
    <w:p w14:paraId="67E1C818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6D8E4727" wp14:editId="064C8A59">
            <wp:extent cx="5073911" cy="2959252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73911" cy="29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C5FEE" w14:textId="77777777" w:rsidR="004807D6" w:rsidRDefault="004807D6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5BC6213A" w14:textId="27A31042" w:rsidR="00892FC6" w:rsidRPr="00315CE2" w:rsidRDefault="00892FC6" w:rsidP="00892FC6">
      <w:pPr>
        <w:rPr>
          <w:rFonts w:cs="Arial"/>
        </w:rPr>
      </w:pPr>
      <w:r w:rsidRPr="00315CE2">
        <w:rPr>
          <w:rFonts w:cs="Arial"/>
        </w:rPr>
        <w:lastRenderedPageBreak/>
        <w:t xml:space="preserve">Open the task summary window and </w:t>
      </w:r>
      <w:r>
        <w:rPr>
          <w:rFonts w:cs="Arial"/>
        </w:rPr>
        <w:t xml:space="preserve">click on </w:t>
      </w:r>
      <w:r w:rsidRPr="004807D6">
        <w:rPr>
          <w:rFonts w:cs="Arial"/>
          <w:b/>
          <w:bCs/>
        </w:rPr>
        <w:t>Edit</w:t>
      </w:r>
      <w:r w:rsidR="004807D6">
        <w:rPr>
          <w:rFonts w:cs="Arial"/>
        </w:rPr>
        <w:t>.  A</w:t>
      </w:r>
      <w:r w:rsidRPr="00315CE2">
        <w:rPr>
          <w:rFonts w:cs="Arial"/>
        </w:rPr>
        <w:t>ssign the task to the second subcentre</w:t>
      </w:r>
    </w:p>
    <w:p w14:paraId="5AF5861C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41643074" wp14:editId="3BA3ADDA">
            <wp:extent cx="5731510" cy="1878965"/>
            <wp:effectExtent l="0" t="0" r="2540" b="698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CA6C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11516AA0" wp14:editId="7B743B36">
            <wp:extent cx="3759200" cy="23336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59400" cy="233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05A71" w14:textId="2EA8A69E" w:rsidR="00892FC6" w:rsidRPr="00315CE2" w:rsidRDefault="004807D6" w:rsidP="00892FC6">
      <w:pPr>
        <w:rPr>
          <w:rFonts w:cs="Arial"/>
        </w:rPr>
      </w:pPr>
      <w:r>
        <w:rPr>
          <w:rFonts w:cs="Arial"/>
        </w:rPr>
        <w:t>A t</w:t>
      </w:r>
      <w:r w:rsidR="00892FC6" w:rsidRPr="00315CE2">
        <w:rPr>
          <w:rFonts w:cs="Arial"/>
        </w:rPr>
        <w:t>ask is completed, or partially completed, to generate the next 91-day review.</w:t>
      </w:r>
    </w:p>
    <w:p w14:paraId="110A664A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  <w:noProof/>
        </w:rPr>
        <w:drawing>
          <wp:inline distT="0" distB="0" distL="0" distR="0" wp14:anchorId="35108493" wp14:editId="55BABBEA">
            <wp:extent cx="6489700" cy="2133600"/>
            <wp:effectExtent l="0" t="0" r="635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90050" cy="213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2D210" w14:textId="60B92479" w:rsidR="00892FC6" w:rsidRDefault="00892FC6" w:rsidP="00892FC6">
      <w:pPr>
        <w:rPr>
          <w:rFonts w:cs="Arial"/>
        </w:rPr>
      </w:pPr>
      <w:r w:rsidRPr="00315CE2">
        <w:rPr>
          <w:rFonts w:cs="Arial"/>
        </w:rPr>
        <w:t xml:space="preserve">The task can be edited as before and continue alternating between the two teams or make one team the primary </w:t>
      </w:r>
      <w:r w:rsidR="00374D29">
        <w:rPr>
          <w:rFonts w:cs="Arial"/>
        </w:rPr>
        <w:t xml:space="preserve">team </w:t>
      </w:r>
      <w:r w:rsidRPr="00315CE2">
        <w:rPr>
          <w:rFonts w:cs="Arial"/>
        </w:rPr>
        <w:t xml:space="preserve">responsible for the tasks. </w:t>
      </w:r>
    </w:p>
    <w:p w14:paraId="22419DF6" w14:textId="77777777" w:rsidR="00892FC6" w:rsidRPr="00315CE2" w:rsidRDefault="00892FC6" w:rsidP="00892FC6">
      <w:pPr>
        <w:rPr>
          <w:rFonts w:cs="Arial"/>
        </w:rPr>
      </w:pPr>
      <w:r w:rsidRPr="00315CE2">
        <w:rPr>
          <w:rFonts w:cs="Arial"/>
        </w:rPr>
        <w:t xml:space="preserve">In this </w:t>
      </w:r>
      <w:r>
        <w:rPr>
          <w:rFonts w:cs="Arial"/>
        </w:rPr>
        <w:t>instance</w:t>
      </w:r>
      <w:r w:rsidRPr="00315CE2">
        <w:rPr>
          <w:rFonts w:cs="Arial"/>
        </w:rPr>
        <w:t xml:space="preserve">, the second team can add their tasks and measures as </w:t>
      </w:r>
      <w:r w:rsidRPr="004438C8">
        <w:rPr>
          <w:rFonts w:cs="Arial"/>
          <w:b/>
          <w:bCs/>
        </w:rPr>
        <w:t>Additional Measures</w:t>
      </w:r>
      <w:r w:rsidRPr="00315CE2">
        <w:rPr>
          <w:rFonts w:cs="Arial"/>
        </w:rPr>
        <w:t>.</w:t>
      </w:r>
    </w:p>
    <w:p w14:paraId="4A559A4B" w14:textId="4BAFD117" w:rsidR="00892FC6" w:rsidRPr="004438C8" w:rsidRDefault="00374D29" w:rsidP="00892FC6">
      <w:pPr>
        <w:rPr>
          <w:rFonts w:cs="Arial"/>
          <w:b/>
          <w:bCs/>
        </w:rPr>
      </w:pPr>
      <w:r>
        <w:rPr>
          <w:rFonts w:cs="Arial"/>
          <w:b/>
          <w:bCs/>
        </w:rPr>
        <w:t>**</w:t>
      </w:r>
      <w:r w:rsidR="00892FC6" w:rsidRPr="004438C8">
        <w:rPr>
          <w:rFonts w:cs="Arial"/>
          <w:b/>
          <w:bCs/>
        </w:rPr>
        <w:t xml:space="preserve">Discretionary Review tasks </w:t>
      </w:r>
      <w:r w:rsidR="00892FC6" w:rsidRPr="00374D29">
        <w:rPr>
          <w:rFonts w:cs="Arial"/>
          <w:b/>
          <w:bCs/>
          <w:color w:val="FF0000"/>
        </w:rPr>
        <w:t>must not be used</w:t>
      </w:r>
      <w:r w:rsidR="00892FC6" w:rsidRPr="004438C8">
        <w:rPr>
          <w:rFonts w:cs="Arial"/>
          <w:b/>
          <w:bCs/>
        </w:rPr>
        <w:t>, unless the 91-day review cycle has lapsed and needs to be restarted</w:t>
      </w:r>
      <w:r w:rsidR="00FC6994">
        <w:rPr>
          <w:rFonts w:cs="Arial"/>
          <w:b/>
          <w:bCs/>
        </w:rPr>
        <w:t xml:space="preserve"> or the phase of care has changed for the consumer outside of the 91 day review cycle</w:t>
      </w:r>
      <w:r w:rsidR="00892FC6" w:rsidRPr="004438C8">
        <w:rPr>
          <w:rFonts w:cs="Arial"/>
          <w:b/>
          <w:bCs/>
        </w:rPr>
        <w:t>.</w:t>
      </w:r>
    </w:p>
    <w:p w14:paraId="510D045D" w14:textId="77777777" w:rsidR="00892FC6" w:rsidRPr="00315CE2" w:rsidRDefault="00892FC6" w:rsidP="00892FC6">
      <w:pPr>
        <w:rPr>
          <w:rFonts w:cs="Arial"/>
        </w:rPr>
      </w:pPr>
    </w:p>
    <w:p w14:paraId="7B6D4ACF" w14:textId="77777777" w:rsidR="00892FC6" w:rsidRPr="00315CE2" w:rsidRDefault="00892FC6" w:rsidP="00892FC6">
      <w:pPr>
        <w:rPr>
          <w:rFonts w:cs="Arial"/>
        </w:rPr>
      </w:pPr>
    </w:p>
    <w:p w14:paraId="13844978" w14:textId="14B29159" w:rsidR="00892FC6" w:rsidRPr="00A60E24" w:rsidRDefault="00374D29" w:rsidP="00892FC6">
      <w:pPr>
        <w:pStyle w:val="Heading2"/>
      </w:pPr>
      <w:bookmarkStart w:id="20" w:name="_Toc134082570"/>
      <w:r>
        <w:lastRenderedPageBreak/>
        <w:t>Maintain</w:t>
      </w:r>
      <w:r w:rsidR="00892FC6" w:rsidRPr="00A60E24">
        <w:t xml:space="preserve"> one stream of tasks when </w:t>
      </w:r>
      <w:r>
        <w:t>opening new</w:t>
      </w:r>
      <w:r w:rsidR="00892FC6" w:rsidRPr="00A60E24">
        <w:t xml:space="preserve"> episode</w:t>
      </w:r>
      <w:bookmarkEnd w:id="20"/>
    </w:p>
    <w:p w14:paraId="55033C9D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  <w:noProof/>
        </w:rPr>
        <w:drawing>
          <wp:inline distT="0" distB="0" distL="0" distR="0" wp14:anchorId="5C3B300C" wp14:editId="65AF12F9">
            <wp:extent cx="5731510" cy="2729230"/>
            <wp:effectExtent l="0" t="0" r="254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3078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</w:rPr>
        <w:t>Task is completed - 91-day review is generated.</w:t>
      </w:r>
    </w:p>
    <w:p w14:paraId="450558D7" w14:textId="77777777" w:rsidR="00892FC6" w:rsidRDefault="00892FC6" w:rsidP="00892FC6">
      <w:pPr>
        <w:rPr>
          <w:rFonts w:cs="Arial"/>
        </w:rPr>
      </w:pPr>
      <w:r w:rsidRPr="00A60E24">
        <w:rPr>
          <w:rFonts w:cs="Arial"/>
          <w:noProof/>
        </w:rPr>
        <w:drawing>
          <wp:inline distT="0" distB="0" distL="0" distR="0" wp14:anchorId="0877D9C4" wp14:editId="78E9D89D">
            <wp:extent cx="5550185" cy="2051155"/>
            <wp:effectExtent l="0" t="0" r="0" b="635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50185" cy="20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E03A6" w14:textId="77777777" w:rsidR="00892FC6" w:rsidRPr="00A60E24" w:rsidRDefault="00892FC6" w:rsidP="00892FC6">
      <w:pPr>
        <w:rPr>
          <w:rFonts w:cs="Arial"/>
        </w:rPr>
      </w:pPr>
    </w:p>
    <w:p w14:paraId="754EE572" w14:textId="77777777" w:rsidR="00892FC6" w:rsidRPr="00A60E24" w:rsidRDefault="00892FC6" w:rsidP="00892FC6">
      <w:pPr>
        <w:rPr>
          <w:rFonts w:cs="Arial"/>
        </w:rPr>
      </w:pPr>
    </w:p>
    <w:p w14:paraId="6EC54737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  <w:noProof/>
        </w:rPr>
        <w:drawing>
          <wp:inline distT="0" distB="0" distL="0" distR="0" wp14:anchorId="3E2809E1" wp14:editId="210FC68B">
            <wp:extent cx="5731510" cy="1943735"/>
            <wp:effectExtent l="0" t="0" r="254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9EC1D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</w:rPr>
        <w:br w:type="page"/>
      </w:r>
    </w:p>
    <w:p w14:paraId="2BF3D400" w14:textId="33D119E3" w:rsidR="00892FC6" w:rsidRDefault="00892FC6" w:rsidP="00892FC6">
      <w:pPr>
        <w:rPr>
          <w:rFonts w:cs="Arial"/>
        </w:rPr>
      </w:pPr>
      <w:r w:rsidRPr="00A60E24">
        <w:rPr>
          <w:rFonts w:cs="Arial"/>
        </w:rPr>
        <w:lastRenderedPageBreak/>
        <w:t>The first team have completed their time with the c</w:t>
      </w:r>
      <w:r>
        <w:rPr>
          <w:rFonts w:cs="Arial"/>
        </w:rPr>
        <w:t xml:space="preserve">onsumer </w:t>
      </w:r>
      <w:r w:rsidRPr="00A60E24">
        <w:rPr>
          <w:rFonts w:cs="Arial"/>
        </w:rPr>
        <w:t xml:space="preserve">and have referred </w:t>
      </w:r>
      <w:r>
        <w:rPr>
          <w:rFonts w:cs="Arial"/>
        </w:rPr>
        <w:t>them</w:t>
      </w:r>
      <w:r w:rsidRPr="00A60E24">
        <w:rPr>
          <w:rFonts w:cs="Arial"/>
        </w:rPr>
        <w:t xml:space="preserve"> on to the Dementia Club team to start 30/03/2023.</w:t>
      </w:r>
    </w:p>
    <w:p w14:paraId="77DAE6A3" w14:textId="77777777" w:rsidR="00892FC6" w:rsidRPr="00A60E24" w:rsidRDefault="00892FC6" w:rsidP="00892FC6">
      <w:pPr>
        <w:rPr>
          <w:rFonts w:cs="Arial"/>
        </w:rPr>
      </w:pPr>
    </w:p>
    <w:p w14:paraId="4418D812" w14:textId="217ECC9D" w:rsidR="00892FC6" w:rsidRPr="00A60E24" w:rsidRDefault="00892FC6" w:rsidP="00892FC6">
      <w:pPr>
        <w:pStyle w:val="Heading3"/>
      </w:pPr>
      <w:bookmarkStart w:id="21" w:name="_Toc134082571"/>
      <w:r w:rsidRPr="00A60E24">
        <w:t>To continue with the same stream of tasks</w:t>
      </w:r>
      <w:bookmarkEnd w:id="21"/>
    </w:p>
    <w:p w14:paraId="0825FCBD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</w:rPr>
        <w:t xml:space="preserve">Open the Dementia Club episode for 30/03/2023 at 9:59 (at this point both episodes are open) </w:t>
      </w:r>
    </w:p>
    <w:p w14:paraId="345D9C1A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  <w:noProof/>
        </w:rPr>
        <w:drawing>
          <wp:inline distT="0" distB="0" distL="0" distR="0" wp14:anchorId="7540991C" wp14:editId="4A3EC67A">
            <wp:extent cx="4394426" cy="660434"/>
            <wp:effectExtent l="0" t="0" r="635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94426" cy="66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6931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</w:rPr>
        <w:t>Now close the first episode (Seniors Group) on 30/03/2023 10:00.</w:t>
      </w:r>
    </w:p>
    <w:p w14:paraId="09E224D1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  <w:noProof/>
        </w:rPr>
        <w:drawing>
          <wp:inline distT="0" distB="0" distL="0" distR="0" wp14:anchorId="6551012C" wp14:editId="6FA6E06E">
            <wp:extent cx="5194567" cy="2324219"/>
            <wp:effectExtent l="0" t="0" r="635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94567" cy="232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6D40" w14:textId="77777777" w:rsidR="00892FC6" w:rsidRPr="004807D6" w:rsidRDefault="00892FC6" w:rsidP="00892FC6">
      <w:pPr>
        <w:rPr>
          <w:rFonts w:cs="Arial"/>
          <w:b/>
          <w:bCs/>
        </w:rPr>
      </w:pPr>
      <w:r w:rsidRPr="004807D6">
        <w:rPr>
          <w:rFonts w:cs="Arial"/>
          <w:b/>
          <w:bCs/>
        </w:rPr>
        <w:t>** It is important to close the first episode one minute AFTER opening the new episode – if this is not followed then a new set of outcome measures will be generated.</w:t>
      </w:r>
    </w:p>
    <w:p w14:paraId="43AB1940" w14:textId="76D1EFEE" w:rsidR="00892FC6" w:rsidRPr="00A60E24" w:rsidRDefault="00892FC6" w:rsidP="00892FC6">
      <w:pPr>
        <w:rPr>
          <w:rFonts w:cs="Arial"/>
        </w:rPr>
      </w:pPr>
      <w:r w:rsidRPr="00A60E24">
        <w:rPr>
          <w:rFonts w:cs="Arial"/>
        </w:rPr>
        <w:t>When saving</w:t>
      </w:r>
      <w:r>
        <w:rPr>
          <w:rFonts w:cs="Arial"/>
        </w:rPr>
        <w:t>,</w:t>
      </w:r>
      <w:r w:rsidRPr="00A60E24">
        <w:rPr>
          <w:rFonts w:cs="Arial"/>
        </w:rPr>
        <w:t xml:space="preserve"> this message will appear prompting you to update the tasks, i.e., change the subcentre to the new team, which in this case is the Dementia Club</w:t>
      </w:r>
    </w:p>
    <w:p w14:paraId="15F4965A" w14:textId="77777777" w:rsidR="00892FC6" w:rsidRPr="00A60E24" w:rsidRDefault="00892FC6" w:rsidP="00892FC6">
      <w:pPr>
        <w:rPr>
          <w:rFonts w:cs="Arial"/>
        </w:rPr>
      </w:pPr>
    </w:p>
    <w:p w14:paraId="6338B5F6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  <w:noProof/>
        </w:rPr>
        <w:drawing>
          <wp:inline distT="0" distB="0" distL="0" distR="0" wp14:anchorId="6FFCC7EE" wp14:editId="4F8EEBEC">
            <wp:extent cx="5600988" cy="2032104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00988" cy="20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9236" w14:textId="77777777" w:rsidR="00892FC6" w:rsidRPr="00A60E24" w:rsidRDefault="00892FC6" w:rsidP="00892FC6">
      <w:pPr>
        <w:rPr>
          <w:rFonts w:cs="Arial"/>
        </w:rPr>
      </w:pPr>
    </w:p>
    <w:p w14:paraId="315ACE0D" w14:textId="77777777" w:rsidR="00892FC6" w:rsidRPr="00A60E24" w:rsidRDefault="00892FC6" w:rsidP="00892FC6">
      <w:pPr>
        <w:rPr>
          <w:rFonts w:cs="Arial"/>
        </w:rPr>
      </w:pPr>
      <w:r w:rsidRPr="00A60E24">
        <w:rPr>
          <w:rFonts w:cs="Arial"/>
          <w:noProof/>
        </w:rPr>
        <w:lastRenderedPageBreak/>
        <w:drawing>
          <wp:inline distT="0" distB="0" distL="0" distR="0" wp14:anchorId="38FD9D51" wp14:editId="74890B6F">
            <wp:extent cx="3378374" cy="25337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78374" cy="25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F978D" w14:textId="77777777" w:rsidR="00892FC6" w:rsidRPr="00A60E24" w:rsidRDefault="00892FC6" w:rsidP="00892FC6">
      <w:pPr>
        <w:rPr>
          <w:rFonts w:cs="Arial"/>
        </w:rPr>
      </w:pPr>
    </w:p>
    <w:p w14:paraId="1C85B2FF" w14:textId="77777777" w:rsidR="00892FC6" w:rsidRPr="00A60E24" w:rsidRDefault="00892FC6" w:rsidP="00892FC6">
      <w:pPr>
        <w:rPr>
          <w:rFonts w:cs="Arial"/>
          <w:noProof/>
        </w:rPr>
      </w:pPr>
      <w:r w:rsidRPr="00A60E24">
        <w:rPr>
          <w:rFonts w:cs="Arial"/>
          <w:noProof/>
        </w:rPr>
        <w:drawing>
          <wp:inline distT="0" distB="0" distL="0" distR="0" wp14:anchorId="48888774" wp14:editId="38C136CC">
            <wp:extent cx="5689892" cy="1625684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89892" cy="16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B202" w14:textId="77777777" w:rsidR="00892FC6" w:rsidRPr="00A60E24" w:rsidRDefault="00892FC6" w:rsidP="00892FC6">
      <w:pPr>
        <w:rPr>
          <w:rFonts w:cs="Arial"/>
          <w:noProof/>
        </w:rPr>
      </w:pPr>
      <w:r w:rsidRPr="00A60E24">
        <w:rPr>
          <w:rFonts w:cs="Arial"/>
          <w:noProof/>
        </w:rPr>
        <w:t>The Dementia Club team are now reponsible for the tasks.</w:t>
      </w:r>
    </w:p>
    <w:p w14:paraId="7729DA9A" w14:textId="7760B9DA" w:rsidR="00892FC6" w:rsidRPr="00A60E24" w:rsidRDefault="00892FC6" w:rsidP="00892FC6">
      <w:pPr>
        <w:rPr>
          <w:rFonts w:cs="Arial"/>
          <w:noProof/>
        </w:rPr>
      </w:pPr>
      <w:r w:rsidRPr="00A60E24">
        <w:rPr>
          <w:rFonts w:cs="Arial"/>
          <w:noProof/>
        </w:rPr>
        <w:t xml:space="preserve">The Seniors team </w:t>
      </w:r>
      <w:r w:rsidR="00FC6994">
        <w:rPr>
          <w:rFonts w:cs="Arial"/>
          <w:noProof/>
        </w:rPr>
        <w:t>may</w:t>
      </w:r>
      <w:r w:rsidRPr="00A60E24">
        <w:rPr>
          <w:rFonts w:cs="Arial"/>
          <w:noProof/>
        </w:rPr>
        <w:t xml:space="preserve"> </w:t>
      </w:r>
      <w:r w:rsidR="00F519C0">
        <w:rPr>
          <w:rFonts w:cs="Arial"/>
          <w:noProof/>
        </w:rPr>
        <w:t>complete the ‘partially complete’ task for their 91 day review as shown above and can add any other outcome measures as</w:t>
      </w:r>
      <w:r w:rsidRPr="00A60E24">
        <w:rPr>
          <w:rFonts w:cs="Arial"/>
          <w:noProof/>
        </w:rPr>
        <w:t xml:space="preserve"> </w:t>
      </w:r>
      <w:r w:rsidRPr="004807D6">
        <w:rPr>
          <w:rFonts w:cs="Arial"/>
          <w:b/>
          <w:bCs/>
          <w:noProof/>
        </w:rPr>
        <w:t>Additional</w:t>
      </w:r>
      <w:r w:rsidRPr="00A60E24">
        <w:rPr>
          <w:rFonts w:cs="Arial"/>
          <w:noProof/>
        </w:rPr>
        <w:t xml:space="preserve"> Measures</w:t>
      </w:r>
      <w:r w:rsidR="00F519C0">
        <w:rPr>
          <w:rFonts w:cs="Arial"/>
          <w:noProof/>
        </w:rPr>
        <w:t xml:space="preserve"> if they would like to</w:t>
      </w:r>
      <w:r w:rsidRPr="00A60E24">
        <w:rPr>
          <w:rFonts w:cs="Arial"/>
          <w:noProof/>
        </w:rPr>
        <w:t>.</w:t>
      </w:r>
    </w:p>
    <w:p w14:paraId="1BB44B05" w14:textId="7C156087" w:rsidR="00892FC6" w:rsidRPr="00A60E24" w:rsidRDefault="00892FC6" w:rsidP="00892FC6">
      <w:pPr>
        <w:rPr>
          <w:rFonts w:cs="Arial"/>
          <w:noProof/>
        </w:rPr>
      </w:pPr>
      <w:r w:rsidRPr="00A60E24">
        <w:rPr>
          <w:rFonts w:cs="Arial"/>
          <w:noProof/>
        </w:rPr>
        <w:t>Th</w:t>
      </w:r>
      <w:r w:rsidR="00F519C0">
        <w:rPr>
          <w:rFonts w:cs="Arial"/>
          <w:noProof/>
        </w:rPr>
        <w:t>e</w:t>
      </w:r>
      <w:r w:rsidRPr="00A60E24">
        <w:rPr>
          <w:rFonts w:cs="Arial"/>
          <w:noProof/>
        </w:rPr>
        <w:t xml:space="preserve"> scenario </w:t>
      </w:r>
      <w:r w:rsidR="00F519C0">
        <w:rPr>
          <w:rFonts w:cs="Arial"/>
          <w:noProof/>
        </w:rPr>
        <w:t xml:space="preserve">above </w:t>
      </w:r>
      <w:r w:rsidRPr="00A60E24">
        <w:rPr>
          <w:rFonts w:cs="Arial"/>
          <w:noProof/>
        </w:rPr>
        <w:t>can be ongoing provided the teams looking after the c</w:t>
      </w:r>
      <w:r w:rsidR="004807D6">
        <w:rPr>
          <w:rFonts w:cs="Arial"/>
          <w:noProof/>
        </w:rPr>
        <w:t>onsumer</w:t>
      </w:r>
      <w:r w:rsidRPr="00A60E24">
        <w:rPr>
          <w:rFonts w:cs="Arial"/>
          <w:noProof/>
        </w:rPr>
        <w:t xml:space="preserve"> are of the </w:t>
      </w:r>
      <w:r w:rsidRPr="00374D29">
        <w:rPr>
          <w:rFonts w:cs="Arial"/>
          <w:b/>
          <w:bCs/>
          <w:noProof/>
        </w:rPr>
        <w:t>same</w:t>
      </w:r>
      <w:r w:rsidRPr="00A60E24">
        <w:rPr>
          <w:rFonts w:cs="Arial"/>
          <w:noProof/>
        </w:rPr>
        <w:t xml:space="preserve"> program </w:t>
      </w:r>
      <w:r w:rsidR="00FC6994">
        <w:rPr>
          <w:rFonts w:cs="Arial"/>
          <w:noProof/>
        </w:rPr>
        <w:t>class</w:t>
      </w:r>
      <w:r w:rsidR="00F519C0">
        <w:rPr>
          <w:rFonts w:cs="Arial"/>
          <w:noProof/>
        </w:rPr>
        <w:t xml:space="preserve"> and same outcome measure setting</w:t>
      </w:r>
      <w:r w:rsidRPr="00A60E24">
        <w:rPr>
          <w:rFonts w:cs="Arial"/>
          <w:noProof/>
        </w:rPr>
        <w:t xml:space="preserve">. </w:t>
      </w:r>
    </w:p>
    <w:p w14:paraId="6EAEC911" w14:textId="524911EC" w:rsidR="00892FC6" w:rsidRDefault="00892FC6" w:rsidP="00892FC6">
      <w:pPr>
        <w:jc w:val="center"/>
        <w:rPr>
          <w:rFonts w:cs="Arial"/>
          <w:noProof/>
        </w:rPr>
      </w:pPr>
    </w:p>
    <w:p w14:paraId="4264919A" w14:textId="187C6F3D" w:rsidR="00892FC6" w:rsidRDefault="00892FC6" w:rsidP="00892FC6">
      <w:pPr>
        <w:jc w:val="center"/>
        <w:rPr>
          <w:rFonts w:cs="Arial"/>
          <w:noProof/>
        </w:rPr>
      </w:pPr>
    </w:p>
    <w:p w14:paraId="78C44695" w14:textId="185CEE37" w:rsidR="00374D29" w:rsidRPr="00A60E24" w:rsidRDefault="00374D29" w:rsidP="00374D29">
      <w:pPr>
        <w:rPr>
          <w:rFonts w:cs="Arial"/>
          <w:noProof/>
        </w:rPr>
      </w:pPr>
      <w:r w:rsidRPr="002D30F5">
        <w:rPr>
          <w:rFonts w:cs="Arial"/>
          <w:b/>
          <w:bCs/>
          <w:noProof/>
        </w:rPr>
        <w:t>NOTE</w:t>
      </w:r>
      <w:r>
        <w:rPr>
          <w:rFonts w:cs="Arial"/>
          <w:noProof/>
        </w:rPr>
        <w:t>:</w:t>
      </w:r>
    </w:p>
    <w:p w14:paraId="2732A7AD" w14:textId="2D5A2BE1" w:rsidR="00892FC6" w:rsidRPr="004807D6" w:rsidRDefault="00892FC6" w:rsidP="004807D6">
      <w:pPr>
        <w:pStyle w:val="ListParagraph"/>
        <w:numPr>
          <w:ilvl w:val="0"/>
          <w:numId w:val="12"/>
        </w:numPr>
        <w:rPr>
          <w:rFonts w:ascii="Arial" w:hAnsi="Arial" w:cs="Arial"/>
          <w:noProof/>
          <w:sz w:val="21"/>
          <w:szCs w:val="21"/>
        </w:rPr>
      </w:pPr>
      <w:r w:rsidRPr="004807D6">
        <w:rPr>
          <w:rFonts w:ascii="Arial" w:hAnsi="Arial" w:cs="Arial"/>
          <w:noProof/>
          <w:sz w:val="21"/>
          <w:szCs w:val="21"/>
        </w:rPr>
        <w:t>When editing tasks to reflect a change of teams, the program class</w:t>
      </w:r>
      <w:r w:rsidR="002D30F5">
        <w:rPr>
          <w:rFonts w:ascii="Arial" w:hAnsi="Arial" w:cs="Arial"/>
          <w:noProof/>
          <w:sz w:val="21"/>
          <w:szCs w:val="21"/>
        </w:rPr>
        <w:t xml:space="preserve"> and outcome measure setting</w:t>
      </w:r>
      <w:r w:rsidRPr="004807D6">
        <w:rPr>
          <w:rFonts w:ascii="Arial" w:hAnsi="Arial" w:cs="Arial"/>
          <w:noProof/>
          <w:sz w:val="21"/>
          <w:szCs w:val="21"/>
        </w:rPr>
        <w:t xml:space="preserve"> of both subcentres must be the same.</w:t>
      </w:r>
    </w:p>
    <w:p w14:paraId="5D574C72" w14:textId="2FA190BB" w:rsidR="00892FC6" w:rsidRPr="004807D6" w:rsidRDefault="00892FC6" w:rsidP="00892FC6">
      <w:pPr>
        <w:rPr>
          <w:rFonts w:cs="Arial"/>
          <w:noProof/>
          <w:szCs w:val="21"/>
        </w:rPr>
      </w:pPr>
      <w:r w:rsidRPr="004807D6">
        <w:rPr>
          <w:rFonts w:cs="Arial"/>
          <w:noProof/>
          <w:szCs w:val="21"/>
        </w:rPr>
        <w:t xml:space="preserve">Note: In this instance, the Seniors Group and Dementia Club are both </w:t>
      </w:r>
      <w:r w:rsidR="00FC6994">
        <w:rPr>
          <w:rFonts w:cs="Arial"/>
          <w:noProof/>
          <w:szCs w:val="21"/>
        </w:rPr>
        <w:t>‘Community’</w:t>
      </w:r>
      <w:r w:rsidR="002D30F5">
        <w:rPr>
          <w:rFonts w:cs="Arial"/>
          <w:noProof/>
          <w:szCs w:val="21"/>
        </w:rPr>
        <w:t xml:space="preserve"> and both required aged outcome </w:t>
      </w:r>
      <w:r w:rsidR="00F519C0">
        <w:rPr>
          <w:rFonts w:cs="Arial"/>
          <w:noProof/>
          <w:szCs w:val="21"/>
        </w:rPr>
        <w:t>m</w:t>
      </w:r>
      <w:r w:rsidR="002D30F5">
        <w:rPr>
          <w:rFonts w:cs="Arial"/>
          <w:noProof/>
          <w:szCs w:val="21"/>
        </w:rPr>
        <w:t>easures</w:t>
      </w:r>
      <w:r w:rsidRPr="004807D6">
        <w:rPr>
          <w:rFonts w:cs="Arial"/>
          <w:noProof/>
          <w:szCs w:val="21"/>
        </w:rPr>
        <w:t>.</w:t>
      </w:r>
    </w:p>
    <w:p w14:paraId="791C9EE2" w14:textId="77777777" w:rsidR="00892FC6" w:rsidRPr="004807D6" w:rsidRDefault="00892FC6" w:rsidP="00892FC6">
      <w:pPr>
        <w:rPr>
          <w:rFonts w:cs="Arial"/>
          <w:noProof/>
          <w:szCs w:val="21"/>
        </w:rPr>
      </w:pPr>
    </w:p>
    <w:p w14:paraId="5A082C67" w14:textId="135B0FF6" w:rsidR="00892FC6" w:rsidRPr="004807D6" w:rsidRDefault="00892FC6" w:rsidP="004807D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noProof/>
          <w:sz w:val="21"/>
          <w:szCs w:val="21"/>
        </w:rPr>
      </w:pPr>
      <w:r w:rsidRPr="004807D6">
        <w:rPr>
          <w:rFonts w:ascii="Arial" w:hAnsi="Arial" w:cs="Arial"/>
          <w:noProof/>
          <w:sz w:val="21"/>
          <w:szCs w:val="21"/>
        </w:rPr>
        <w:t xml:space="preserve">If the new subcentre </w:t>
      </w:r>
      <w:r w:rsidR="0052318A">
        <w:rPr>
          <w:rFonts w:ascii="Arial" w:hAnsi="Arial" w:cs="Arial"/>
          <w:noProof/>
          <w:sz w:val="21"/>
          <w:szCs w:val="21"/>
        </w:rPr>
        <w:t>is a different age group</w:t>
      </w:r>
      <w:r w:rsidR="004807D6" w:rsidRPr="004807D6">
        <w:rPr>
          <w:rFonts w:ascii="Arial" w:hAnsi="Arial" w:cs="Arial"/>
          <w:noProof/>
          <w:sz w:val="21"/>
          <w:szCs w:val="21"/>
        </w:rPr>
        <w:t>,</w:t>
      </w:r>
      <w:r w:rsidRPr="004807D6">
        <w:rPr>
          <w:rFonts w:ascii="Arial" w:hAnsi="Arial" w:cs="Arial"/>
          <w:noProof/>
          <w:sz w:val="21"/>
          <w:szCs w:val="21"/>
        </w:rPr>
        <w:t xml:space="preserve"> for example </w:t>
      </w:r>
      <w:r w:rsidR="0052318A">
        <w:rPr>
          <w:rFonts w:ascii="Arial" w:hAnsi="Arial" w:cs="Arial"/>
          <w:noProof/>
          <w:sz w:val="21"/>
          <w:szCs w:val="21"/>
        </w:rPr>
        <w:t>if the referring subcentre is an adult subcentre referring to an aged subcentre</w:t>
      </w:r>
      <w:r w:rsidRPr="004807D6">
        <w:rPr>
          <w:rFonts w:ascii="Arial" w:hAnsi="Arial" w:cs="Arial"/>
          <w:noProof/>
          <w:sz w:val="21"/>
          <w:szCs w:val="21"/>
        </w:rPr>
        <w:t>, the</w:t>
      </w:r>
      <w:r w:rsidR="0052318A">
        <w:rPr>
          <w:rFonts w:ascii="Arial" w:hAnsi="Arial" w:cs="Arial"/>
          <w:noProof/>
          <w:sz w:val="21"/>
          <w:szCs w:val="21"/>
        </w:rPr>
        <w:t>n the</w:t>
      </w:r>
      <w:r w:rsidRPr="004807D6">
        <w:rPr>
          <w:rFonts w:ascii="Arial" w:hAnsi="Arial" w:cs="Arial"/>
          <w:noProof/>
          <w:sz w:val="21"/>
          <w:szCs w:val="21"/>
        </w:rPr>
        <w:t xml:space="preserve"> first episode would need to closed and the second episode opened </w:t>
      </w:r>
      <w:r w:rsidRPr="004807D6">
        <w:rPr>
          <w:rFonts w:ascii="Arial" w:hAnsi="Arial" w:cs="Arial"/>
          <w:b/>
          <w:bCs/>
          <w:noProof/>
          <w:sz w:val="21"/>
          <w:szCs w:val="21"/>
        </w:rPr>
        <w:t>at least a minute after the close</w:t>
      </w:r>
      <w:r w:rsidRPr="004807D6">
        <w:rPr>
          <w:rFonts w:ascii="Arial" w:hAnsi="Arial" w:cs="Arial"/>
          <w:noProof/>
          <w:sz w:val="21"/>
          <w:szCs w:val="21"/>
        </w:rPr>
        <w:t xml:space="preserve"> date/time of the first team. </w:t>
      </w:r>
    </w:p>
    <w:p w14:paraId="3A1548F3" w14:textId="77777777" w:rsidR="004807D6" w:rsidRDefault="004807D6" w:rsidP="004807D6">
      <w:pPr>
        <w:spacing w:after="0" w:line="240" w:lineRule="auto"/>
        <w:rPr>
          <w:rFonts w:cs="Arial"/>
          <w:noProof/>
        </w:rPr>
      </w:pPr>
    </w:p>
    <w:p w14:paraId="069C3F44" w14:textId="7CF91852" w:rsidR="00892FC6" w:rsidRPr="004807D6" w:rsidRDefault="004807D6" w:rsidP="004807D6">
      <w:pPr>
        <w:spacing w:after="0" w:line="240" w:lineRule="auto"/>
        <w:rPr>
          <w:rFonts w:cs="Arial"/>
          <w:noProof/>
        </w:rPr>
      </w:pPr>
      <w:r>
        <w:rPr>
          <w:rFonts w:cs="Arial"/>
          <w:noProof/>
        </w:rPr>
        <w:t xml:space="preserve">NOTE:  </w:t>
      </w:r>
      <w:r w:rsidR="00892FC6" w:rsidRPr="004807D6">
        <w:rPr>
          <w:rFonts w:cs="Arial"/>
          <w:noProof/>
        </w:rPr>
        <w:t>Discharge tasks  would be generated for the first team and Intake tasks would be generated to  the later team</w:t>
      </w:r>
      <w:r>
        <w:rPr>
          <w:rFonts w:cs="Arial"/>
          <w:noProof/>
        </w:rPr>
        <w:t xml:space="preserve"> in this scenario</w:t>
      </w:r>
      <w:r w:rsidR="00892FC6" w:rsidRPr="004807D6">
        <w:rPr>
          <w:rFonts w:cs="Arial"/>
          <w:noProof/>
        </w:rPr>
        <w:t>.</w:t>
      </w:r>
      <w:r w:rsidR="00892FC6" w:rsidRPr="004807D6">
        <w:rPr>
          <w:rFonts w:cs="Arial"/>
          <w:noProof/>
        </w:rPr>
        <w:br/>
      </w:r>
    </w:p>
    <w:p w14:paraId="32E315AB" w14:textId="574A383E" w:rsidR="00892FC6" w:rsidRDefault="008423C2" w:rsidP="00892FC6">
      <w:pPr>
        <w:rPr>
          <w:rFonts w:cs="Arial"/>
          <w:noProof/>
        </w:rPr>
      </w:pPr>
      <w:r w:rsidRPr="008423C2">
        <w:rPr>
          <w:rFonts w:cs="Arial"/>
          <w:b/>
          <w:bCs/>
          <w:noProof/>
        </w:rPr>
        <w:lastRenderedPageBreak/>
        <w:t>NOTE:</w:t>
      </w:r>
      <w:r>
        <w:rPr>
          <w:rFonts w:cs="Arial"/>
          <w:noProof/>
        </w:rPr>
        <w:t xml:space="preserve">  </w:t>
      </w:r>
      <w:r w:rsidR="00892FC6" w:rsidRPr="00A60E24">
        <w:rPr>
          <w:rFonts w:cs="Arial"/>
          <w:noProof/>
        </w:rPr>
        <w:t>If you atte</w:t>
      </w:r>
      <w:r>
        <w:rPr>
          <w:rFonts w:cs="Arial"/>
          <w:noProof/>
        </w:rPr>
        <w:t>m</w:t>
      </w:r>
      <w:r w:rsidR="00892FC6" w:rsidRPr="00A60E24">
        <w:rPr>
          <w:rFonts w:cs="Arial"/>
          <w:noProof/>
        </w:rPr>
        <w:t xml:space="preserve">pt to edit </w:t>
      </w:r>
      <w:r w:rsidR="0052318A">
        <w:rPr>
          <w:rFonts w:cs="Arial"/>
          <w:noProof/>
        </w:rPr>
        <w:t>a task where the program</w:t>
      </w:r>
      <w:r>
        <w:rPr>
          <w:rFonts w:cs="Arial"/>
          <w:noProof/>
        </w:rPr>
        <w:t xml:space="preserve"> class or outcome measure setting are different (e.g. from adult to aged subcentre) </w:t>
      </w:r>
    </w:p>
    <w:p w14:paraId="105E2C98" w14:textId="3D5109B7" w:rsidR="00D225F6" w:rsidRDefault="00D225F6" w:rsidP="00892FC6">
      <w:pPr>
        <w:rPr>
          <w:rFonts w:cs="Arial"/>
          <w:noProof/>
        </w:rPr>
      </w:pPr>
      <w:r>
        <w:rPr>
          <w:noProof/>
        </w:rPr>
        <w:drawing>
          <wp:inline distT="0" distB="0" distL="0" distR="0" wp14:anchorId="1C268081" wp14:editId="5C8D8C6D">
            <wp:extent cx="5904230" cy="603250"/>
            <wp:effectExtent l="0" t="0" r="127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9B9EF2" wp14:editId="1C4653CC">
            <wp:extent cx="5904230" cy="225044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8BD62" w14:textId="07D8908C" w:rsidR="00D225F6" w:rsidRDefault="00D225F6" w:rsidP="00D225F6">
      <w:pPr>
        <w:rPr>
          <w:rFonts w:cs="Arial"/>
          <w:noProof/>
        </w:rPr>
      </w:pPr>
      <w:r>
        <w:rPr>
          <w:rFonts w:cs="Arial"/>
          <w:noProof/>
        </w:rPr>
        <w:t>then</w:t>
      </w:r>
      <w:r w:rsidRPr="00A60E24">
        <w:rPr>
          <w:rFonts w:cs="Arial"/>
          <w:noProof/>
        </w:rPr>
        <w:t xml:space="preserve"> this message will appear and the record cannot be saved</w:t>
      </w:r>
      <w:r>
        <w:rPr>
          <w:rFonts w:cs="Arial"/>
          <w:noProof/>
        </w:rPr>
        <w:t>:</w:t>
      </w:r>
    </w:p>
    <w:p w14:paraId="4CC31A0F" w14:textId="21FBD53C" w:rsidR="00892FC6" w:rsidRPr="00A60E24" w:rsidRDefault="00D225F6" w:rsidP="00892FC6">
      <w:pPr>
        <w:rPr>
          <w:rFonts w:cs="Arial"/>
          <w:noProof/>
        </w:rPr>
      </w:pPr>
      <w:r>
        <w:rPr>
          <w:noProof/>
        </w:rPr>
        <w:drawing>
          <wp:inline distT="0" distB="0" distL="0" distR="0" wp14:anchorId="55303171" wp14:editId="35261C84">
            <wp:extent cx="5904230" cy="2567305"/>
            <wp:effectExtent l="0" t="0" r="127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A297" w14:textId="17494C3D" w:rsidR="00892FC6" w:rsidRPr="00A60E24" w:rsidRDefault="00892FC6" w:rsidP="00892FC6">
      <w:pPr>
        <w:rPr>
          <w:rFonts w:cs="Arial"/>
          <w:noProof/>
        </w:rPr>
      </w:pPr>
    </w:p>
    <w:p w14:paraId="66295F55" w14:textId="248FA37F" w:rsidR="00892FC6" w:rsidRPr="00A60E24" w:rsidRDefault="00892FC6" w:rsidP="00892FC6">
      <w:pPr>
        <w:rPr>
          <w:rFonts w:cs="Arial"/>
          <w:noProof/>
        </w:rPr>
      </w:pPr>
      <w:r w:rsidRPr="00A60E24">
        <w:rPr>
          <w:rFonts w:cs="Arial"/>
          <w:noProof/>
        </w:rPr>
        <w:t>Click ok and continue as described</w:t>
      </w:r>
      <w:r w:rsidR="004807D6">
        <w:rPr>
          <w:rFonts w:cs="Arial"/>
          <w:noProof/>
        </w:rPr>
        <w:t xml:space="preserve"> above.</w:t>
      </w:r>
    </w:p>
    <w:p w14:paraId="0DF6E405" w14:textId="4F6307FC" w:rsidR="00CF120A" w:rsidRDefault="00CF120A"/>
    <w:p w14:paraId="25362E3B" w14:textId="2A98658D" w:rsidR="00FC6994" w:rsidRDefault="00FC6994"/>
    <w:p w14:paraId="337C9D14" w14:textId="4EA2CD59" w:rsidR="00FC6994" w:rsidRDefault="00FC6994"/>
    <w:p w14:paraId="707D66AE" w14:textId="77777777" w:rsidR="00D225F6" w:rsidRDefault="00D225F6">
      <w:pPr>
        <w:spacing w:after="0" w:line="240" w:lineRule="auto"/>
        <w:rPr>
          <w:rFonts w:cs="Arial"/>
          <w:b/>
          <w:color w:val="002060"/>
          <w:sz w:val="32"/>
          <w:szCs w:val="28"/>
        </w:rPr>
      </w:pPr>
      <w:r>
        <w:br w:type="page"/>
      </w:r>
    </w:p>
    <w:p w14:paraId="56ACBB4D" w14:textId="58416180" w:rsidR="00FC6994" w:rsidRDefault="00FC6994" w:rsidP="00FC6994">
      <w:pPr>
        <w:pStyle w:val="Heading2"/>
      </w:pPr>
      <w:bookmarkStart w:id="22" w:name="_Toc134082572"/>
      <w:r>
        <w:lastRenderedPageBreak/>
        <w:t>Definitions</w:t>
      </w:r>
      <w:bookmarkEnd w:id="22"/>
    </w:p>
    <w:p w14:paraId="5F465260" w14:textId="77777777" w:rsidR="00F519C0" w:rsidRPr="00F519C0" w:rsidRDefault="00F519C0" w:rsidP="00F519C0">
      <w:pPr>
        <w:pStyle w:val="Body"/>
      </w:pPr>
    </w:p>
    <w:p w14:paraId="4487E0FA" w14:textId="65E85728" w:rsidR="00D225F6" w:rsidRDefault="00D225F6" w:rsidP="00FC6994">
      <w:pPr>
        <w:pStyle w:val="Body"/>
        <w:ind w:left="2160" w:hanging="2160"/>
      </w:pPr>
      <w:r>
        <w:t>OM setting</w:t>
      </w:r>
      <w:r>
        <w:tab/>
        <w:t>Field available in CMI/ODS to identify the relevant outcome measures applicable to a subcentre</w:t>
      </w:r>
      <w:r w:rsidR="00FF5DBC">
        <w:t xml:space="preserve"> based on age group</w:t>
      </w:r>
      <w:r>
        <w:t xml:space="preserve">, e.g. </w:t>
      </w:r>
      <w:r w:rsidR="00FF5DBC">
        <w:t>CAMHS, Adult, Aged</w:t>
      </w:r>
    </w:p>
    <w:p w14:paraId="00E1CB33" w14:textId="77777777" w:rsidR="00D225F6" w:rsidRDefault="00D225F6" w:rsidP="00FC6994">
      <w:pPr>
        <w:pStyle w:val="Body"/>
        <w:ind w:left="2160" w:hanging="2160"/>
      </w:pPr>
    </w:p>
    <w:p w14:paraId="6E919B4D" w14:textId="09DD10FF" w:rsidR="00FC6994" w:rsidRDefault="00FC6994" w:rsidP="00FC6994">
      <w:pPr>
        <w:pStyle w:val="Body"/>
        <w:ind w:left="2160" w:hanging="2160"/>
      </w:pPr>
      <w:r>
        <w:t>Program Class</w:t>
      </w:r>
      <w:r>
        <w:tab/>
        <w:t>A specialised program classification describing the target population and funding source for both episodes and contacts that occur with the subcentre</w:t>
      </w:r>
    </w:p>
    <w:p w14:paraId="034BBEEB" w14:textId="0BE7E337" w:rsidR="00FC6994" w:rsidRDefault="00FC6994" w:rsidP="00FC6994">
      <w:pPr>
        <w:pStyle w:val="Body"/>
        <w:ind w:left="2160" w:hanging="2160"/>
      </w:pPr>
    </w:p>
    <w:p w14:paraId="5A045E0B" w14:textId="591E0953" w:rsidR="00FC6994" w:rsidRDefault="00FC6994" w:rsidP="00FC6994">
      <w:pPr>
        <w:pStyle w:val="Body"/>
        <w:ind w:left="2160" w:hanging="2160"/>
      </w:pPr>
      <w:r>
        <w:t>Program</w:t>
      </w:r>
      <w:r>
        <w:tab/>
        <w:t>The organisational service unit attached to a subcentre.  Each program identifies a clinical function or service intervention performed by a team that relates directly to a funded activity.</w:t>
      </w:r>
    </w:p>
    <w:p w14:paraId="7058A372" w14:textId="138334A4" w:rsidR="007E0D93" w:rsidRDefault="007E0D93" w:rsidP="00FC6994">
      <w:pPr>
        <w:pStyle w:val="Body"/>
        <w:ind w:left="2160" w:hanging="2160"/>
      </w:pPr>
    </w:p>
    <w:p w14:paraId="2B874488" w14:textId="02D1291D" w:rsidR="007E0D93" w:rsidRDefault="007E0D93" w:rsidP="00FC6994">
      <w:pPr>
        <w:pStyle w:val="Body"/>
        <w:ind w:left="2160" w:hanging="2160"/>
      </w:pPr>
      <w:r>
        <w:t>Program Type</w:t>
      </w:r>
      <w:r>
        <w:tab/>
        <w:t>Identifies the mental health setting and applicable age-based category relating to the program team providing the service.</w:t>
      </w:r>
    </w:p>
    <w:p w14:paraId="170B13F9" w14:textId="3593319A" w:rsidR="007E0D93" w:rsidRDefault="007E0D93" w:rsidP="00FC6994">
      <w:pPr>
        <w:pStyle w:val="Body"/>
        <w:ind w:left="2160" w:hanging="2160"/>
      </w:pPr>
    </w:p>
    <w:p w14:paraId="6AE2A8CD" w14:textId="69E47CB5" w:rsidR="007E0D93" w:rsidRPr="00FC6994" w:rsidRDefault="007E0D93" w:rsidP="00FC6994">
      <w:pPr>
        <w:pStyle w:val="Body"/>
        <w:ind w:left="2160" w:hanging="2160"/>
      </w:pPr>
      <w:r>
        <w:t>Subcentre</w:t>
      </w:r>
      <w:r>
        <w:tab/>
        <w:t>Identifies an organisational setting or location from which programs are delivered.  A subcentre will comprise of one or more programs.  The subcentre provides the setting for inpatient, community residential and community activity for child &amp; adolescent, adult, older persons or generalist client populations.</w:t>
      </w:r>
    </w:p>
    <w:sectPr w:rsidR="007E0D93" w:rsidRPr="00FC6994" w:rsidSect="00454A7D">
      <w:headerReference w:type="even" r:id="rId36"/>
      <w:headerReference w:type="default" r:id="rId37"/>
      <w:footerReference w:type="even" r:id="rId38"/>
      <w:footerReference w:type="default" r:id="rId39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9E87" w14:textId="77777777" w:rsidR="00E73570" w:rsidRDefault="00E73570">
      <w:r>
        <w:separator/>
      </w:r>
    </w:p>
    <w:p w14:paraId="1D9D8274" w14:textId="77777777" w:rsidR="00E73570" w:rsidRDefault="00E73570"/>
  </w:endnote>
  <w:endnote w:type="continuationSeparator" w:id="0">
    <w:p w14:paraId="7498A946" w14:textId="77777777" w:rsidR="00E73570" w:rsidRDefault="00E73570">
      <w:r>
        <w:continuationSeparator/>
      </w:r>
    </w:p>
    <w:p w14:paraId="1FA2D67F" w14:textId="77777777" w:rsidR="00E73570" w:rsidRDefault="00E73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27EC" w14:textId="77777777" w:rsidR="00FE50F6" w:rsidRDefault="00FE5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06A3" w14:textId="16D1A998" w:rsidR="009C7C0E" w:rsidRDefault="00FE50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63D7C2" wp14:editId="33399DC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521c46cba50022aee4bbe65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0BC139" w14:textId="6E3D2B32" w:rsidR="00FE50F6" w:rsidRPr="00FE50F6" w:rsidRDefault="00FE50F6" w:rsidP="00FE50F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E50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3D7C2" id="_x0000_t202" coordsize="21600,21600" o:spt="202" path="m,l,21600r21600,l21600,xe">
              <v:stroke joinstyle="miter"/>
              <v:path gradientshapeok="t" o:connecttype="rect"/>
            </v:shapetype>
            <v:shape id="MSIPCM521c46cba50022aee4bbe65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B0BC139" w14:textId="6E3D2B32" w:rsidR="00FE50F6" w:rsidRPr="00FE50F6" w:rsidRDefault="00FE50F6" w:rsidP="00FE50F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E50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8A00" w14:textId="1AAE45FE" w:rsidR="009C7C0E" w:rsidRDefault="00FE50F6" w:rsidP="00FF5DBC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BFD5CD" wp14:editId="308D313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7e604b589c6d2b9d633f1881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E2219" w14:textId="5E6624D2" w:rsidR="00FE50F6" w:rsidRPr="00FE50F6" w:rsidRDefault="00FE50F6" w:rsidP="00FE50F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E50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FD5CD" id="_x0000_t202" coordsize="21600,21600" o:spt="202" path="m,l,21600r21600,l21600,xe">
              <v:stroke joinstyle="miter"/>
              <v:path gradientshapeok="t" o:connecttype="rect"/>
            </v:shapetype>
            <v:shape id="MSIPCM7e604b589c6d2b9d633f1881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099E2219" w14:textId="5E6624D2" w:rsidR="00FE50F6" w:rsidRPr="00FE50F6" w:rsidRDefault="00FE50F6" w:rsidP="00FE50F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E50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ADE6" w14:textId="1CE96DD7" w:rsidR="009C7C0E" w:rsidRDefault="009C7C0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D3F7" w14:textId="1535D5E1" w:rsidR="009C7C0E" w:rsidRDefault="00FE50F6" w:rsidP="00F519C0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5AE47E" wp14:editId="7FDBB98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415c4cfbade1a354c2d7680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0A83A3" w14:textId="74191DF8" w:rsidR="00FE50F6" w:rsidRPr="00FE50F6" w:rsidRDefault="00FE50F6" w:rsidP="00FE50F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E50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AE47E" id="_x0000_t202" coordsize="21600,21600" o:spt="202" path="m,l,21600r21600,l21600,xe">
              <v:stroke joinstyle="miter"/>
              <v:path gradientshapeok="t" o:connecttype="rect"/>
            </v:shapetype>
            <v:shape id="MSIPCM415c4cfbade1a354c2d7680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C0A83A3" w14:textId="74191DF8" w:rsidR="00FE50F6" w:rsidRPr="00FE50F6" w:rsidRDefault="00FE50F6" w:rsidP="00FE50F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E50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9C0">
      <w:t>V0.2 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4CB8" w14:textId="77777777" w:rsidR="00E73570" w:rsidRDefault="00E73570" w:rsidP="00207717">
      <w:pPr>
        <w:spacing w:before="120"/>
      </w:pPr>
      <w:r>
        <w:separator/>
      </w:r>
    </w:p>
  </w:footnote>
  <w:footnote w:type="continuationSeparator" w:id="0">
    <w:p w14:paraId="223F3DE9" w14:textId="77777777" w:rsidR="00E73570" w:rsidRDefault="00E73570">
      <w:r>
        <w:continuationSeparator/>
      </w:r>
    </w:p>
    <w:p w14:paraId="6F36D13C" w14:textId="77777777" w:rsidR="00E73570" w:rsidRDefault="00E73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BA79" w14:textId="77777777" w:rsidR="00FE50F6" w:rsidRDefault="00FE5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43B1" w14:textId="77777777" w:rsidR="00FE50F6" w:rsidRDefault="00FE50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E75" w14:textId="77777777" w:rsidR="00FE50F6" w:rsidRDefault="00FE50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C7C8" w14:textId="77777777" w:rsidR="009C7C0E" w:rsidRPr="00454A7D" w:rsidRDefault="009C7C0E" w:rsidP="00454A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C748" w14:textId="54135872" w:rsidR="009C7C0E" w:rsidRPr="0051568D" w:rsidRDefault="00892FC6" w:rsidP="0017674D">
    <w:pPr>
      <w:pStyle w:val="Header"/>
    </w:pPr>
    <w:r>
      <w:t xml:space="preserve">Open Concurrent Episodes and </w:t>
    </w:r>
    <w:r w:rsidR="00374D29">
      <w:t xml:space="preserve">maintain one stream of </w:t>
    </w:r>
    <w:r>
      <w:t>Outcome Measure Tasks</w:t>
    </w:r>
    <w:r w:rsidR="00FF5DBC">
      <w:t xml:space="preserve"> V0.2</w:t>
    </w:r>
    <w:r w:rsidR="009C7C0E">
      <w:ptab w:relativeTo="margin" w:alignment="right" w:leader="none"/>
    </w:r>
    <w:r w:rsidR="009C7C0E" w:rsidRPr="00DE6C85">
      <w:rPr>
        <w:b w:val="0"/>
        <w:bCs/>
      </w:rPr>
      <w:fldChar w:fldCharType="begin"/>
    </w:r>
    <w:r w:rsidR="009C7C0E" w:rsidRPr="00DE6C85">
      <w:rPr>
        <w:bCs/>
      </w:rPr>
      <w:instrText xml:space="preserve"> PAGE </w:instrText>
    </w:r>
    <w:r w:rsidR="009C7C0E" w:rsidRPr="00DE6C85">
      <w:rPr>
        <w:b w:val="0"/>
        <w:bCs/>
      </w:rPr>
      <w:fldChar w:fldCharType="separate"/>
    </w:r>
    <w:r w:rsidR="009C7C0E" w:rsidRPr="00DE6C85">
      <w:rPr>
        <w:bCs/>
      </w:rPr>
      <w:t>2</w:t>
    </w:r>
    <w:r w:rsidR="009C7C0E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E96441"/>
    <w:multiLevelType w:val="hybridMultilevel"/>
    <w:tmpl w:val="BF84D5CE"/>
    <w:lvl w:ilvl="0" w:tplc="573615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59B7F71"/>
    <w:multiLevelType w:val="hybridMultilevel"/>
    <w:tmpl w:val="BA2CB3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22746"/>
    <w:multiLevelType w:val="hybridMultilevel"/>
    <w:tmpl w:val="22965DC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5EC0D06"/>
    <w:multiLevelType w:val="hybridMultilevel"/>
    <w:tmpl w:val="A246E7EC"/>
    <w:lvl w:ilvl="0" w:tplc="1A4405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2497"/>
    <w:multiLevelType w:val="hybridMultilevel"/>
    <w:tmpl w:val="E528E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61591235">
    <w:abstractNumId w:val="3"/>
  </w:num>
  <w:num w:numId="2" w16cid:durableId="1290627050">
    <w:abstractNumId w:val="8"/>
  </w:num>
  <w:num w:numId="3" w16cid:durableId="1912080292">
    <w:abstractNumId w:val="7"/>
  </w:num>
  <w:num w:numId="4" w16cid:durableId="1052533645">
    <w:abstractNumId w:val="11"/>
  </w:num>
  <w:num w:numId="5" w16cid:durableId="632635716">
    <w:abstractNumId w:val="4"/>
  </w:num>
  <w:num w:numId="6" w16cid:durableId="1565409984">
    <w:abstractNumId w:val="0"/>
  </w:num>
  <w:num w:numId="7" w16cid:durableId="116140402">
    <w:abstractNumId w:val="2"/>
  </w:num>
  <w:num w:numId="8" w16cid:durableId="183134923">
    <w:abstractNumId w:val="10"/>
  </w:num>
  <w:num w:numId="9" w16cid:durableId="1095899861">
    <w:abstractNumId w:val="9"/>
  </w:num>
  <w:num w:numId="10" w16cid:durableId="1190945622">
    <w:abstractNumId w:val="5"/>
  </w:num>
  <w:num w:numId="11" w16cid:durableId="332875928">
    <w:abstractNumId w:val="1"/>
  </w:num>
  <w:num w:numId="12" w16cid:durableId="66501139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E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22271"/>
    <w:rsid w:val="000235E8"/>
    <w:rsid w:val="00024485"/>
    <w:rsid w:val="00024D89"/>
    <w:rsid w:val="000250B6"/>
    <w:rsid w:val="00026540"/>
    <w:rsid w:val="00030CDD"/>
    <w:rsid w:val="00033D81"/>
    <w:rsid w:val="00033DC9"/>
    <w:rsid w:val="00037366"/>
    <w:rsid w:val="00041BF0"/>
    <w:rsid w:val="00042C8A"/>
    <w:rsid w:val="000440EB"/>
    <w:rsid w:val="0004536B"/>
    <w:rsid w:val="00046B68"/>
    <w:rsid w:val="000527DD"/>
    <w:rsid w:val="00054600"/>
    <w:rsid w:val="000562A0"/>
    <w:rsid w:val="00056EC4"/>
    <w:rsid w:val="000578B2"/>
    <w:rsid w:val="00060959"/>
    <w:rsid w:val="00060C8F"/>
    <w:rsid w:val="0006298A"/>
    <w:rsid w:val="000663CD"/>
    <w:rsid w:val="000733FE"/>
    <w:rsid w:val="00074219"/>
    <w:rsid w:val="00074ED5"/>
    <w:rsid w:val="0008204A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2BAB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6DC"/>
    <w:rsid w:val="00124ED5"/>
    <w:rsid w:val="001276FA"/>
    <w:rsid w:val="001405FA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C09DB"/>
    <w:rsid w:val="001C277E"/>
    <w:rsid w:val="001C2A72"/>
    <w:rsid w:val="001C31B7"/>
    <w:rsid w:val="001C75C4"/>
    <w:rsid w:val="001D0B75"/>
    <w:rsid w:val="001D339E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44B1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3F71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B7C"/>
    <w:rsid w:val="002D1E0D"/>
    <w:rsid w:val="002D30F5"/>
    <w:rsid w:val="002D5006"/>
    <w:rsid w:val="002D7C61"/>
    <w:rsid w:val="002E01D0"/>
    <w:rsid w:val="002E161D"/>
    <w:rsid w:val="002E28A2"/>
    <w:rsid w:val="002E3100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4707"/>
    <w:rsid w:val="00357B4E"/>
    <w:rsid w:val="00366C3C"/>
    <w:rsid w:val="003716FD"/>
    <w:rsid w:val="0037204B"/>
    <w:rsid w:val="003744CF"/>
    <w:rsid w:val="00374717"/>
    <w:rsid w:val="00374D29"/>
    <w:rsid w:val="0037676C"/>
    <w:rsid w:val="00381043"/>
    <w:rsid w:val="003829E5"/>
    <w:rsid w:val="0038351D"/>
    <w:rsid w:val="00386109"/>
    <w:rsid w:val="00386944"/>
    <w:rsid w:val="003956CC"/>
    <w:rsid w:val="00395C9A"/>
    <w:rsid w:val="003A0853"/>
    <w:rsid w:val="003A6B67"/>
    <w:rsid w:val="003B13B6"/>
    <w:rsid w:val="003B14C3"/>
    <w:rsid w:val="003B15E6"/>
    <w:rsid w:val="003B22EF"/>
    <w:rsid w:val="003B408A"/>
    <w:rsid w:val="003B4C18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15A2"/>
    <w:rsid w:val="004148F9"/>
    <w:rsid w:val="00416080"/>
    <w:rsid w:val="004172D5"/>
    <w:rsid w:val="0042084E"/>
    <w:rsid w:val="00421EEF"/>
    <w:rsid w:val="00424D65"/>
    <w:rsid w:val="00430393"/>
    <w:rsid w:val="00431806"/>
    <w:rsid w:val="00431A70"/>
    <w:rsid w:val="00431F42"/>
    <w:rsid w:val="00436F20"/>
    <w:rsid w:val="00442C6C"/>
    <w:rsid w:val="00443CBE"/>
    <w:rsid w:val="00443E8A"/>
    <w:rsid w:val="004441BC"/>
    <w:rsid w:val="00444C26"/>
    <w:rsid w:val="004468B4"/>
    <w:rsid w:val="00446D86"/>
    <w:rsid w:val="0045230A"/>
    <w:rsid w:val="00454A7D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07D6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5541"/>
    <w:rsid w:val="004C6EEE"/>
    <w:rsid w:val="004C702B"/>
    <w:rsid w:val="004D0033"/>
    <w:rsid w:val="004D016B"/>
    <w:rsid w:val="004D14C6"/>
    <w:rsid w:val="004D1B22"/>
    <w:rsid w:val="004D23CC"/>
    <w:rsid w:val="004D36F2"/>
    <w:rsid w:val="004E1106"/>
    <w:rsid w:val="004E138F"/>
    <w:rsid w:val="004E4649"/>
    <w:rsid w:val="004E48B8"/>
    <w:rsid w:val="004E5C2B"/>
    <w:rsid w:val="004E6D7D"/>
    <w:rsid w:val="004E73B8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4667"/>
    <w:rsid w:val="00514FD6"/>
    <w:rsid w:val="0051568D"/>
    <w:rsid w:val="0052318A"/>
    <w:rsid w:val="00526AC7"/>
    <w:rsid w:val="00526C15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12C9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24B"/>
    <w:rsid w:val="005F64CF"/>
    <w:rsid w:val="006032C9"/>
    <w:rsid w:val="006041AD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394"/>
    <w:rsid w:val="00632597"/>
    <w:rsid w:val="00634D13"/>
    <w:rsid w:val="006358B4"/>
    <w:rsid w:val="00641724"/>
    <w:rsid w:val="006419AA"/>
    <w:rsid w:val="00644AFD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4E77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6E34"/>
    <w:rsid w:val="006E138B"/>
    <w:rsid w:val="006E1867"/>
    <w:rsid w:val="006F0330"/>
    <w:rsid w:val="006F1FDC"/>
    <w:rsid w:val="006F6B8C"/>
    <w:rsid w:val="007013EF"/>
    <w:rsid w:val="007055BD"/>
    <w:rsid w:val="007127B4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64196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93"/>
    <w:rsid w:val="007E0DE2"/>
    <w:rsid w:val="007E3667"/>
    <w:rsid w:val="007E3B98"/>
    <w:rsid w:val="007E417A"/>
    <w:rsid w:val="007E548D"/>
    <w:rsid w:val="007F31B6"/>
    <w:rsid w:val="007F4A9A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9C9"/>
    <w:rsid w:val="008338A2"/>
    <w:rsid w:val="00841AA9"/>
    <w:rsid w:val="008423C2"/>
    <w:rsid w:val="008474FE"/>
    <w:rsid w:val="00853EE4"/>
    <w:rsid w:val="00855535"/>
    <w:rsid w:val="00857C5A"/>
    <w:rsid w:val="00860C2A"/>
    <w:rsid w:val="0086102C"/>
    <w:rsid w:val="0086231C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2FC6"/>
    <w:rsid w:val="00893AF6"/>
    <w:rsid w:val="00894BC4"/>
    <w:rsid w:val="00896890"/>
    <w:rsid w:val="008977D1"/>
    <w:rsid w:val="008A28A8"/>
    <w:rsid w:val="008A54AC"/>
    <w:rsid w:val="008A5B32"/>
    <w:rsid w:val="008A6E73"/>
    <w:rsid w:val="008B2029"/>
    <w:rsid w:val="008B2EE4"/>
    <w:rsid w:val="008B3821"/>
    <w:rsid w:val="008B4D3D"/>
    <w:rsid w:val="008B57C7"/>
    <w:rsid w:val="008C2F92"/>
    <w:rsid w:val="008C3546"/>
    <w:rsid w:val="008C589D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C34"/>
    <w:rsid w:val="009151F5"/>
    <w:rsid w:val="00924AE1"/>
    <w:rsid w:val="009269B1"/>
    <w:rsid w:val="0092724D"/>
    <w:rsid w:val="009272B3"/>
    <w:rsid w:val="009315BE"/>
    <w:rsid w:val="009326DD"/>
    <w:rsid w:val="0093338F"/>
    <w:rsid w:val="00937BD9"/>
    <w:rsid w:val="00950E2C"/>
    <w:rsid w:val="00951D50"/>
    <w:rsid w:val="009525EB"/>
    <w:rsid w:val="009533AC"/>
    <w:rsid w:val="0095470B"/>
    <w:rsid w:val="00954874"/>
    <w:rsid w:val="0095615A"/>
    <w:rsid w:val="00956FB5"/>
    <w:rsid w:val="00961400"/>
    <w:rsid w:val="00963646"/>
    <w:rsid w:val="00965F1B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0C62"/>
    <w:rsid w:val="009B0F30"/>
    <w:rsid w:val="009B2AE8"/>
    <w:rsid w:val="009B5622"/>
    <w:rsid w:val="009B59E9"/>
    <w:rsid w:val="009B70AA"/>
    <w:rsid w:val="009C245E"/>
    <w:rsid w:val="009C5E77"/>
    <w:rsid w:val="009C7A7E"/>
    <w:rsid w:val="009C7C0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D5B"/>
    <w:rsid w:val="00A1389F"/>
    <w:rsid w:val="00A13B7A"/>
    <w:rsid w:val="00A157B1"/>
    <w:rsid w:val="00A207BC"/>
    <w:rsid w:val="00A22229"/>
    <w:rsid w:val="00A24442"/>
    <w:rsid w:val="00A24ADA"/>
    <w:rsid w:val="00A32577"/>
    <w:rsid w:val="00A330BB"/>
    <w:rsid w:val="00A4229A"/>
    <w:rsid w:val="00A446F5"/>
    <w:rsid w:val="00A44882"/>
    <w:rsid w:val="00A45125"/>
    <w:rsid w:val="00A4764C"/>
    <w:rsid w:val="00A54715"/>
    <w:rsid w:val="00A6061C"/>
    <w:rsid w:val="00A62D44"/>
    <w:rsid w:val="00A67263"/>
    <w:rsid w:val="00A7161C"/>
    <w:rsid w:val="00A71CE4"/>
    <w:rsid w:val="00A77AA3"/>
    <w:rsid w:val="00A8236D"/>
    <w:rsid w:val="00A854EB"/>
    <w:rsid w:val="00A872E5"/>
    <w:rsid w:val="00A9056C"/>
    <w:rsid w:val="00A91406"/>
    <w:rsid w:val="00A96E65"/>
    <w:rsid w:val="00A96ECE"/>
    <w:rsid w:val="00A97C72"/>
    <w:rsid w:val="00AA310B"/>
    <w:rsid w:val="00AA63D4"/>
    <w:rsid w:val="00AB06E8"/>
    <w:rsid w:val="00AB1CD3"/>
    <w:rsid w:val="00AB32A1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2CD0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808A4"/>
    <w:rsid w:val="00B90729"/>
    <w:rsid w:val="00B907DA"/>
    <w:rsid w:val="00B90B09"/>
    <w:rsid w:val="00B94C5E"/>
    <w:rsid w:val="00B950BC"/>
    <w:rsid w:val="00B9714C"/>
    <w:rsid w:val="00BA26F6"/>
    <w:rsid w:val="00BA29AD"/>
    <w:rsid w:val="00BA33CF"/>
    <w:rsid w:val="00BA3F8D"/>
    <w:rsid w:val="00BA5746"/>
    <w:rsid w:val="00BB170B"/>
    <w:rsid w:val="00BB74AC"/>
    <w:rsid w:val="00BB7A10"/>
    <w:rsid w:val="00BC60BE"/>
    <w:rsid w:val="00BC7468"/>
    <w:rsid w:val="00BC7D4F"/>
    <w:rsid w:val="00BC7ED7"/>
    <w:rsid w:val="00BD2850"/>
    <w:rsid w:val="00BD5A98"/>
    <w:rsid w:val="00BD6B9D"/>
    <w:rsid w:val="00BE28D2"/>
    <w:rsid w:val="00BE4A64"/>
    <w:rsid w:val="00BE5E43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5C19"/>
    <w:rsid w:val="00C4173A"/>
    <w:rsid w:val="00C50DED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37DA"/>
    <w:rsid w:val="00C85ED3"/>
    <w:rsid w:val="00C863C4"/>
    <w:rsid w:val="00C90DAB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BB0"/>
    <w:rsid w:val="00CC6F40"/>
    <w:rsid w:val="00CD3476"/>
    <w:rsid w:val="00CD64DF"/>
    <w:rsid w:val="00CE225F"/>
    <w:rsid w:val="00CE5A7A"/>
    <w:rsid w:val="00CF120A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25F6"/>
    <w:rsid w:val="00D3185C"/>
    <w:rsid w:val="00D3205F"/>
    <w:rsid w:val="00D3318E"/>
    <w:rsid w:val="00D33E72"/>
    <w:rsid w:val="00D35BD6"/>
    <w:rsid w:val="00D361B5"/>
    <w:rsid w:val="00D36370"/>
    <w:rsid w:val="00D411A2"/>
    <w:rsid w:val="00D4382E"/>
    <w:rsid w:val="00D43F22"/>
    <w:rsid w:val="00D4606D"/>
    <w:rsid w:val="00D507CB"/>
    <w:rsid w:val="00D50B9C"/>
    <w:rsid w:val="00D513AF"/>
    <w:rsid w:val="00D52D73"/>
    <w:rsid w:val="00D52E58"/>
    <w:rsid w:val="00D56B20"/>
    <w:rsid w:val="00D578B3"/>
    <w:rsid w:val="00D618F4"/>
    <w:rsid w:val="00D63636"/>
    <w:rsid w:val="00D714CC"/>
    <w:rsid w:val="00D75EA7"/>
    <w:rsid w:val="00D76ECC"/>
    <w:rsid w:val="00D81ADF"/>
    <w:rsid w:val="00D81F21"/>
    <w:rsid w:val="00D8412B"/>
    <w:rsid w:val="00D864F2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50FC"/>
    <w:rsid w:val="00DF68C7"/>
    <w:rsid w:val="00DF6FB2"/>
    <w:rsid w:val="00DF731A"/>
    <w:rsid w:val="00E06B75"/>
    <w:rsid w:val="00E11332"/>
    <w:rsid w:val="00E11352"/>
    <w:rsid w:val="00E170DC"/>
    <w:rsid w:val="00E17546"/>
    <w:rsid w:val="00E178D2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59F2"/>
    <w:rsid w:val="00E6794C"/>
    <w:rsid w:val="00E71591"/>
    <w:rsid w:val="00E71CEB"/>
    <w:rsid w:val="00E73570"/>
    <w:rsid w:val="00E7474F"/>
    <w:rsid w:val="00E80DE3"/>
    <w:rsid w:val="00E82C55"/>
    <w:rsid w:val="00E8787E"/>
    <w:rsid w:val="00E9042A"/>
    <w:rsid w:val="00E92AC3"/>
    <w:rsid w:val="00EA2F6A"/>
    <w:rsid w:val="00EA3F1B"/>
    <w:rsid w:val="00EB00E0"/>
    <w:rsid w:val="00EB05D5"/>
    <w:rsid w:val="00EB4BC7"/>
    <w:rsid w:val="00EB56B9"/>
    <w:rsid w:val="00EC059F"/>
    <w:rsid w:val="00EC1F24"/>
    <w:rsid w:val="00EC22F6"/>
    <w:rsid w:val="00EC3DB9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13"/>
    <w:rsid w:val="00F30FF4"/>
    <w:rsid w:val="00F3122E"/>
    <w:rsid w:val="00F32368"/>
    <w:rsid w:val="00F32A29"/>
    <w:rsid w:val="00F331AD"/>
    <w:rsid w:val="00F35287"/>
    <w:rsid w:val="00F40A70"/>
    <w:rsid w:val="00F43A37"/>
    <w:rsid w:val="00F4641B"/>
    <w:rsid w:val="00F46EB8"/>
    <w:rsid w:val="00F50CD1"/>
    <w:rsid w:val="00F511E4"/>
    <w:rsid w:val="00F519C0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30A4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1F6E"/>
    <w:rsid w:val="00FB4769"/>
    <w:rsid w:val="00FB4C2A"/>
    <w:rsid w:val="00FB4CDA"/>
    <w:rsid w:val="00FB6481"/>
    <w:rsid w:val="00FB6D36"/>
    <w:rsid w:val="00FC0965"/>
    <w:rsid w:val="00FC0F81"/>
    <w:rsid w:val="00FC252F"/>
    <w:rsid w:val="00FC261C"/>
    <w:rsid w:val="00FC395C"/>
    <w:rsid w:val="00FC5E8E"/>
    <w:rsid w:val="00FC6994"/>
    <w:rsid w:val="00FD3766"/>
    <w:rsid w:val="00FD3D05"/>
    <w:rsid w:val="00FD47C4"/>
    <w:rsid w:val="00FE2DCF"/>
    <w:rsid w:val="00FE3FA7"/>
    <w:rsid w:val="00FE4081"/>
    <w:rsid w:val="00FE50F6"/>
    <w:rsid w:val="00FF2A4E"/>
    <w:rsid w:val="00FF2FCE"/>
    <w:rsid w:val="00FF4F7D"/>
    <w:rsid w:val="00FF5DBC"/>
    <w:rsid w:val="00FF6D9D"/>
    <w:rsid w:val="00FF762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2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C3BB0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9C7C0E"/>
    <w:pPr>
      <w:keepNext/>
      <w:keepLines/>
      <w:spacing w:before="360" w:after="120" w:line="340" w:lineRule="atLeast"/>
      <w:outlineLvl w:val="1"/>
    </w:pPr>
    <w:rPr>
      <w:rFonts w:ascii="Arial" w:hAnsi="Arial" w:cs="Arial"/>
      <w:b/>
      <w:color w:val="00206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912C9"/>
    <w:pPr>
      <w:keepNext/>
      <w:keepLines/>
      <w:spacing w:before="360" w:after="120" w:line="320" w:lineRule="atLeast"/>
      <w:outlineLvl w:val="2"/>
    </w:pPr>
    <w:rPr>
      <w:rFonts w:ascii="Arial" w:eastAsia="MS Gothic" w:hAnsi="Arial" w:cs="Arial"/>
      <w:b/>
      <w:color w:val="002060"/>
      <w:sz w:val="22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C3BB0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9C7C0E"/>
    <w:rPr>
      <w:rFonts w:ascii="Arial" w:hAnsi="Arial" w:cs="Arial"/>
      <w:b/>
      <w:color w:val="00206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5912C9"/>
    <w:rPr>
      <w:rFonts w:ascii="Arial" w:eastAsia="MS Gothic" w:hAnsi="Arial" w:cs="Arial"/>
      <w:b/>
      <w:color w:val="002060"/>
      <w:sz w:val="22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C3BB0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BD6B9D"/>
    <w:pPr>
      <w:spacing w:line="320" w:lineRule="atLeast"/>
    </w:pPr>
    <w:rPr>
      <w:color w:val="201547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C7C0E"/>
    <w:pPr>
      <w:spacing w:before="240" w:after="0" w:line="280" w:lineRule="atLeas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customStyle="1" w:styleId="DHHSbody">
    <w:name w:val="DHHS body"/>
    <w:qFormat/>
    <w:rsid w:val="005912C9"/>
    <w:pPr>
      <w:spacing w:after="120" w:line="270" w:lineRule="atLeast"/>
    </w:pPr>
    <w:rPr>
      <w:rFonts w:ascii="Arial" w:eastAsia="Times" w:hAnsi="Arial" w:cs="Arial"/>
      <w:sz w:val="21"/>
      <w:szCs w:val="21"/>
      <w:lang w:eastAsia="en-US"/>
    </w:rPr>
  </w:style>
  <w:style w:type="paragraph" w:customStyle="1" w:styleId="DHHStabletext6pt">
    <w:name w:val="DHHS table text + 6pt"/>
    <w:basedOn w:val="DHHStabletext"/>
    <w:rsid w:val="009C7C0E"/>
    <w:pPr>
      <w:spacing w:after="120"/>
    </w:pPr>
  </w:style>
  <w:style w:type="paragraph" w:customStyle="1" w:styleId="DHHSbodynospace">
    <w:name w:val="DHHS body no space"/>
    <w:basedOn w:val="DHHSbody"/>
    <w:uiPriority w:val="1"/>
    <w:rsid w:val="009C7C0E"/>
    <w:pPr>
      <w:spacing w:after="0"/>
    </w:pPr>
  </w:style>
  <w:style w:type="paragraph" w:customStyle="1" w:styleId="DHHSbullet1">
    <w:name w:val="DHHS bullet 1"/>
    <w:basedOn w:val="DHHSbody"/>
    <w:qFormat/>
    <w:rsid w:val="009C7C0E"/>
    <w:pPr>
      <w:spacing w:after="40"/>
      <w:ind w:left="284" w:hanging="284"/>
    </w:p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9C7C0E"/>
    <w:pPr>
      <w:spacing w:before="0" w:after="200" w:line="320" w:lineRule="atLeast"/>
      <w:outlineLvl w:val="9"/>
    </w:pPr>
    <w:rPr>
      <w:color w:val="201547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9C7C0E"/>
    <w:rPr>
      <w:rFonts w:ascii="Arial" w:hAnsi="Arial"/>
      <w:b/>
      <w:color w:val="201547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9C7C0E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9C7C0E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9C7C0E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9C7C0E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9C7C0E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9C7C0E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9C7C0E"/>
    <w:pPr>
      <w:ind w:left="227" w:hanging="227"/>
    </w:pPr>
  </w:style>
  <w:style w:type="paragraph" w:customStyle="1" w:styleId="DHHStablecolhead">
    <w:name w:val="DHHS table col head"/>
    <w:uiPriority w:val="3"/>
    <w:qFormat/>
    <w:rsid w:val="009C7C0E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9C7C0E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9C7C0E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9C7C0E"/>
    <w:pPr>
      <w:spacing w:after="120"/>
    </w:pPr>
  </w:style>
  <w:style w:type="paragraph" w:customStyle="1" w:styleId="DHHSmainsubheading">
    <w:name w:val="DHHS main subheading"/>
    <w:uiPriority w:val="8"/>
    <w:rsid w:val="009C7C0E"/>
    <w:rPr>
      <w:rFonts w:ascii="Arial" w:hAnsi="Arial"/>
      <w:color w:val="FFFFFF"/>
      <w:sz w:val="28"/>
      <w:szCs w:val="24"/>
      <w:lang w:eastAsia="en-US"/>
    </w:rPr>
  </w:style>
  <w:style w:type="numbering" w:customStyle="1" w:styleId="ZZNumbers">
    <w:name w:val="ZZ Numbers"/>
    <w:rsid w:val="009C7C0E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uiPriority w:val="4"/>
    <w:rsid w:val="009C7C0E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9C7C0E"/>
    <w:pPr>
      <w:numPr>
        <w:numId w:val="7"/>
      </w:numPr>
    </w:pPr>
  </w:style>
  <w:style w:type="paragraph" w:customStyle="1" w:styleId="DHHSnumberloweralphaindent">
    <w:name w:val="DHHS number lower alpha indent"/>
    <w:basedOn w:val="DHHSbody"/>
    <w:uiPriority w:val="3"/>
    <w:rsid w:val="009C7C0E"/>
    <w:pPr>
      <w:numPr>
        <w:ilvl w:val="3"/>
        <w:numId w:val="7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9C7C0E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9C7C0E"/>
    <w:pPr>
      <w:numPr>
        <w:ilvl w:val="2"/>
        <w:numId w:val="7"/>
      </w:numPr>
    </w:pPr>
  </w:style>
  <w:style w:type="paragraph" w:customStyle="1" w:styleId="DHHSnumberlowerroman">
    <w:name w:val="DHHS number lower roman"/>
    <w:basedOn w:val="DHHSbody"/>
    <w:uiPriority w:val="3"/>
    <w:rsid w:val="009C7C0E"/>
    <w:pPr>
      <w:numPr>
        <w:ilvl w:val="4"/>
        <w:numId w:val="7"/>
      </w:numPr>
    </w:pPr>
  </w:style>
  <w:style w:type="paragraph" w:customStyle="1" w:styleId="DHHSnumberlowerromanindent">
    <w:name w:val="DHHS number lower roman indent"/>
    <w:basedOn w:val="DHHSbody"/>
    <w:uiPriority w:val="3"/>
    <w:rsid w:val="009C7C0E"/>
    <w:pPr>
      <w:numPr>
        <w:ilvl w:val="5"/>
        <w:numId w:val="7"/>
      </w:numPr>
    </w:pPr>
  </w:style>
  <w:style w:type="paragraph" w:customStyle="1" w:styleId="DHHSquote">
    <w:name w:val="DHHS quote"/>
    <w:basedOn w:val="DHHSbody"/>
    <w:uiPriority w:val="4"/>
    <w:rsid w:val="009C7C0E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9C7C0E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C7C0E"/>
    <w:pPr>
      <w:spacing w:before="240"/>
    </w:pPr>
  </w:style>
  <w:style w:type="paragraph" w:customStyle="1" w:styleId="DHHSfooter">
    <w:name w:val="DHHS footer"/>
    <w:uiPriority w:val="11"/>
    <w:rsid w:val="009C7C0E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9C7C0E"/>
  </w:style>
  <w:style w:type="paragraph" w:styleId="NoSpacing">
    <w:name w:val="No Spacing"/>
    <w:uiPriority w:val="1"/>
    <w:qFormat/>
    <w:rsid w:val="009C7C0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7C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72"/>
    <w:semiHidden/>
    <w:qFormat/>
    <w:rsid w:val="009C7C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header" Target="header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HDReporting@health.vic.gov.au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960</Words>
  <Characters>6030</Characters>
  <Application>Microsoft Office Word</Application>
  <DocSecurity>0</DocSecurity>
  <Lines>50</Lines>
  <Paragraphs>13</Paragraphs>
  <ScaleCrop>false</ScaleCrop>
  <Manager/>
  <Company/>
  <LinksUpToDate>false</LinksUpToDate>
  <CharactersWithSpaces>6977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2023-05-04T03:15:00Z</dcterms:created>
  <dcterms:modified xsi:type="dcterms:W3CDTF">2023-05-04T03:15:00Z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2023-05-04T03:15:13Z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75132362-ab7b-4f33-98fb-54044b9b29d5</vt:lpwstr>
  </property>
  <property fmtid="{D5CDD505-2E9C-101B-9397-08002B2CF9AE}" pid="8" name="MSIP_Label_43e64453-338c-4f93-8a4d-0039a0a41f2a_ContentBits">
    <vt:lpwstr>2</vt:lpwstr>
  </property>
</Properties>
</file>