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9774B" w14:textId="77777777" w:rsidR="0074696E" w:rsidRPr="004C6EEE" w:rsidRDefault="0074696E" w:rsidP="00EC40D5">
      <w:pPr>
        <w:pStyle w:val="Sectionbreakfirstpage"/>
      </w:pPr>
    </w:p>
    <w:p w14:paraId="667268A3" w14:textId="77777777" w:rsidR="00A62D44" w:rsidRPr="004C6EEE" w:rsidRDefault="00BC63D9" w:rsidP="00EC40D5">
      <w:pPr>
        <w:pStyle w:val="Sectionbreakfirstpage"/>
        <w:sectPr w:rsidR="00A62D44" w:rsidRPr="004C6EEE" w:rsidSect="00E62622">
          <w:headerReference w:type="even" r:id="rId11"/>
          <w:headerReference w:type="default" r:id="rId12"/>
          <w:footerReference w:type="even" r:id="rId13"/>
          <w:footerReference w:type="default" r:id="rId14"/>
          <w:headerReference w:type="first" r:id="rId15"/>
          <w:footerReference w:type="first" r:id="rId16"/>
          <w:pgSz w:w="11906" w:h="16838" w:code="9"/>
          <w:pgMar w:top="454" w:right="851" w:bottom="1418" w:left="851" w:header="340" w:footer="851" w:gutter="0"/>
          <w:cols w:space="708"/>
          <w:docGrid w:linePitch="360"/>
        </w:sectPr>
      </w:pPr>
      <w:r>
        <w:drawing>
          <wp:anchor distT="0" distB="0" distL="114300" distR="114300" simplePos="0" relativeHeight="251658240" behindDoc="1" locked="1" layoutInCell="1" allowOverlap="0" wp14:anchorId="5735E2A9" wp14:editId="49455FA9">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7"/>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0165BF3E" w14:textId="77777777" w:rsidTr="00B07FF7">
        <w:trPr>
          <w:trHeight w:val="622"/>
        </w:trPr>
        <w:tc>
          <w:tcPr>
            <w:tcW w:w="10348" w:type="dxa"/>
            <w:tcMar>
              <w:top w:w="1531" w:type="dxa"/>
              <w:left w:w="0" w:type="dxa"/>
              <w:right w:w="0" w:type="dxa"/>
            </w:tcMar>
          </w:tcPr>
          <w:p w14:paraId="4E2520BD" w14:textId="752DC511" w:rsidR="003B5733" w:rsidRPr="003B5733" w:rsidRDefault="00863F1E" w:rsidP="003B5733">
            <w:pPr>
              <w:pStyle w:val="Documenttitle"/>
            </w:pPr>
            <w:r>
              <w:t xml:space="preserve">Factsheet </w:t>
            </w:r>
            <w:r w:rsidR="00582493">
              <w:t>–</w:t>
            </w:r>
            <w:r>
              <w:t xml:space="preserve"> </w:t>
            </w:r>
            <w:r w:rsidR="00582493">
              <w:t>Electroconvulsive Treatment</w:t>
            </w:r>
            <w:r w:rsidR="005221FE">
              <w:t xml:space="preserve"> (ECT) and Neurosurgery </w:t>
            </w:r>
          </w:p>
        </w:tc>
      </w:tr>
      <w:tr w:rsidR="003B5733" w14:paraId="6B8D66BA" w14:textId="77777777" w:rsidTr="00B07FF7">
        <w:tc>
          <w:tcPr>
            <w:tcW w:w="10348" w:type="dxa"/>
          </w:tcPr>
          <w:p w14:paraId="37665310" w14:textId="7ACE33CD" w:rsidR="003B5733" w:rsidRPr="00A1389F" w:rsidRDefault="00863F1E">
            <w:pPr>
              <w:pStyle w:val="Documentsubtitle"/>
            </w:pPr>
            <w:r>
              <w:t>Office of the Chief Psychiatrist</w:t>
            </w:r>
          </w:p>
        </w:tc>
      </w:tr>
      <w:tr w:rsidR="003B5733" w14:paraId="763AA719" w14:textId="77777777" w:rsidTr="00B07FF7">
        <w:tc>
          <w:tcPr>
            <w:tcW w:w="10348" w:type="dxa"/>
          </w:tcPr>
          <w:p w14:paraId="2AAAD1AD" w14:textId="77777777" w:rsidR="003B5733" w:rsidRPr="001E5058" w:rsidRDefault="00000000" w:rsidP="001E5058">
            <w:pPr>
              <w:pStyle w:val="Bannermarking"/>
            </w:pPr>
            <w:fldSimple w:instr="FILLIN  &quot;Type the protective marking&quot; \d OFFICIAL \o  \* MERGEFORMAT">
              <w:r w:rsidR="00863F1E">
                <w:t>OFFICIAL</w:t>
              </w:r>
            </w:fldSimple>
          </w:p>
        </w:tc>
      </w:tr>
    </w:tbl>
    <w:p w14:paraId="43294E56" w14:textId="77777777" w:rsidR="00AD784C" w:rsidRPr="00B57329" w:rsidRDefault="00AD784C" w:rsidP="002365B4">
      <w:pPr>
        <w:pStyle w:val="TOCheadingfactsheet"/>
      </w:pPr>
      <w:r w:rsidRPr="00B57329">
        <w:t>Contents</w:t>
      </w:r>
    </w:p>
    <w:p w14:paraId="771FECF1" w14:textId="2B703CFF" w:rsidR="004B5784" w:rsidRDefault="00AD784C">
      <w:pPr>
        <w:pStyle w:val="TOC2"/>
        <w:rPr>
          <w:rFonts w:asciiTheme="minorHAnsi" w:eastAsiaTheme="minorEastAsia" w:hAnsiTheme="minorHAnsi" w:cstheme="minorBidi"/>
          <w:sz w:val="22"/>
          <w:szCs w:val="22"/>
          <w:lang w:eastAsia="en-AU"/>
        </w:rPr>
      </w:pPr>
      <w:r>
        <w:rPr>
          <w:b/>
        </w:rPr>
        <w:fldChar w:fldCharType="begin"/>
      </w:r>
      <w:r>
        <w:instrText xml:space="preserve"> TOC \h \z \t "Heading 1,1,Heading 2,2" </w:instrText>
      </w:r>
      <w:r>
        <w:rPr>
          <w:b/>
        </w:rPr>
        <w:fldChar w:fldCharType="separate"/>
      </w:r>
      <w:hyperlink w:anchor="_Toc140669857" w:history="1">
        <w:r w:rsidR="004B5784" w:rsidRPr="006C30AB">
          <w:rPr>
            <w:rStyle w:val="Hyperlink"/>
          </w:rPr>
          <w:t>Summary</w:t>
        </w:r>
        <w:r w:rsidR="004B5784">
          <w:rPr>
            <w:webHidden/>
          </w:rPr>
          <w:tab/>
        </w:r>
        <w:r w:rsidR="004B5784">
          <w:rPr>
            <w:webHidden/>
          </w:rPr>
          <w:fldChar w:fldCharType="begin"/>
        </w:r>
        <w:r w:rsidR="004B5784">
          <w:rPr>
            <w:webHidden/>
          </w:rPr>
          <w:instrText xml:space="preserve"> PAGEREF _Toc140669857 \h </w:instrText>
        </w:r>
        <w:r w:rsidR="004B5784">
          <w:rPr>
            <w:webHidden/>
          </w:rPr>
        </w:r>
        <w:r w:rsidR="004B5784">
          <w:rPr>
            <w:webHidden/>
          </w:rPr>
          <w:fldChar w:fldCharType="separate"/>
        </w:r>
        <w:r w:rsidR="005C7844">
          <w:rPr>
            <w:webHidden/>
          </w:rPr>
          <w:t>1</w:t>
        </w:r>
        <w:r w:rsidR="004B5784">
          <w:rPr>
            <w:webHidden/>
          </w:rPr>
          <w:fldChar w:fldCharType="end"/>
        </w:r>
      </w:hyperlink>
    </w:p>
    <w:p w14:paraId="1ED1D316" w14:textId="478EDE82" w:rsidR="004B5784" w:rsidRDefault="00000000">
      <w:pPr>
        <w:pStyle w:val="TOC2"/>
        <w:rPr>
          <w:rFonts w:asciiTheme="minorHAnsi" w:eastAsiaTheme="minorEastAsia" w:hAnsiTheme="minorHAnsi" w:cstheme="minorBidi"/>
          <w:sz w:val="22"/>
          <w:szCs w:val="22"/>
          <w:lang w:eastAsia="en-AU"/>
        </w:rPr>
      </w:pPr>
      <w:hyperlink w:anchor="_Toc140669858" w:history="1">
        <w:r w:rsidR="004B5784" w:rsidRPr="006C30AB">
          <w:rPr>
            <w:rStyle w:val="Hyperlink"/>
          </w:rPr>
          <w:t>About Electroconvulsive Treatment and Neurosurgery</w:t>
        </w:r>
        <w:r w:rsidR="004B5784">
          <w:rPr>
            <w:webHidden/>
          </w:rPr>
          <w:tab/>
        </w:r>
        <w:r w:rsidR="004B5784">
          <w:rPr>
            <w:webHidden/>
          </w:rPr>
          <w:fldChar w:fldCharType="begin"/>
        </w:r>
        <w:r w:rsidR="004B5784">
          <w:rPr>
            <w:webHidden/>
          </w:rPr>
          <w:instrText xml:space="preserve"> PAGEREF _Toc140669858 \h </w:instrText>
        </w:r>
        <w:r w:rsidR="004B5784">
          <w:rPr>
            <w:webHidden/>
          </w:rPr>
        </w:r>
        <w:r w:rsidR="004B5784">
          <w:rPr>
            <w:webHidden/>
          </w:rPr>
          <w:fldChar w:fldCharType="separate"/>
        </w:r>
        <w:r w:rsidR="005C7844">
          <w:rPr>
            <w:webHidden/>
          </w:rPr>
          <w:t>1</w:t>
        </w:r>
        <w:r w:rsidR="004B5784">
          <w:rPr>
            <w:webHidden/>
          </w:rPr>
          <w:fldChar w:fldCharType="end"/>
        </w:r>
      </w:hyperlink>
    </w:p>
    <w:p w14:paraId="729BBE71" w14:textId="0D19F161" w:rsidR="004B5784" w:rsidRDefault="00000000">
      <w:pPr>
        <w:pStyle w:val="TOC2"/>
        <w:rPr>
          <w:rFonts w:asciiTheme="minorHAnsi" w:eastAsiaTheme="minorEastAsia" w:hAnsiTheme="minorHAnsi" w:cstheme="minorBidi"/>
          <w:sz w:val="22"/>
          <w:szCs w:val="22"/>
          <w:lang w:eastAsia="en-AU"/>
        </w:rPr>
      </w:pPr>
      <w:hyperlink w:anchor="_Toc140669859" w:history="1">
        <w:r w:rsidR="004B5784" w:rsidRPr="006C30AB">
          <w:rPr>
            <w:rStyle w:val="Hyperlink"/>
          </w:rPr>
          <w:t>Mental Health and Wellbeing Act 2022 reference(s)</w:t>
        </w:r>
        <w:r w:rsidR="004B5784">
          <w:rPr>
            <w:webHidden/>
          </w:rPr>
          <w:tab/>
        </w:r>
        <w:r w:rsidR="004B5784">
          <w:rPr>
            <w:webHidden/>
          </w:rPr>
          <w:fldChar w:fldCharType="begin"/>
        </w:r>
        <w:r w:rsidR="004B5784">
          <w:rPr>
            <w:webHidden/>
          </w:rPr>
          <w:instrText xml:space="preserve"> PAGEREF _Toc140669859 \h </w:instrText>
        </w:r>
        <w:r w:rsidR="004B5784">
          <w:rPr>
            <w:webHidden/>
          </w:rPr>
        </w:r>
        <w:r w:rsidR="004B5784">
          <w:rPr>
            <w:webHidden/>
          </w:rPr>
          <w:fldChar w:fldCharType="separate"/>
        </w:r>
        <w:r w:rsidR="005C7844">
          <w:rPr>
            <w:webHidden/>
          </w:rPr>
          <w:t>2</w:t>
        </w:r>
        <w:r w:rsidR="004B5784">
          <w:rPr>
            <w:webHidden/>
          </w:rPr>
          <w:fldChar w:fldCharType="end"/>
        </w:r>
      </w:hyperlink>
    </w:p>
    <w:p w14:paraId="5BE5F1E1" w14:textId="3CCD73D6" w:rsidR="004B5784" w:rsidRDefault="00000000">
      <w:pPr>
        <w:pStyle w:val="TOC2"/>
        <w:rPr>
          <w:rFonts w:asciiTheme="minorHAnsi" w:eastAsiaTheme="minorEastAsia" w:hAnsiTheme="minorHAnsi" w:cstheme="minorBidi"/>
          <w:sz w:val="22"/>
          <w:szCs w:val="22"/>
          <w:lang w:eastAsia="en-AU"/>
        </w:rPr>
      </w:pPr>
      <w:hyperlink w:anchor="_Toc140669860" w:history="1">
        <w:r w:rsidR="004B5784" w:rsidRPr="006C30AB">
          <w:rPr>
            <w:rStyle w:val="Hyperlink"/>
          </w:rPr>
          <w:t>Royal Commission – related recommendation(s)</w:t>
        </w:r>
        <w:r w:rsidR="004B5784">
          <w:rPr>
            <w:webHidden/>
          </w:rPr>
          <w:tab/>
        </w:r>
        <w:r w:rsidR="004B5784">
          <w:rPr>
            <w:webHidden/>
          </w:rPr>
          <w:fldChar w:fldCharType="begin"/>
        </w:r>
        <w:r w:rsidR="004B5784">
          <w:rPr>
            <w:webHidden/>
          </w:rPr>
          <w:instrText xml:space="preserve"> PAGEREF _Toc140669860 \h </w:instrText>
        </w:r>
        <w:r w:rsidR="004B5784">
          <w:rPr>
            <w:webHidden/>
          </w:rPr>
        </w:r>
        <w:r w:rsidR="004B5784">
          <w:rPr>
            <w:webHidden/>
          </w:rPr>
          <w:fldChar w:fldCharType="separate"/>
        </w:r>
        <w:r w:rsidR="005C7844">
          <w:rPr>
            <w:webHidden/>
          </w:rPr>
          <w:t>2</w:t>
        </w:r>
        <w:r w:rsidR="004B5784">
          <w:rPr>
            <w:webHidden/>
          </w:rPr>
          <w:fldChar w:fldCharType="end"/>
        </w:r>
      </w:hyperlink>
    </w:p>
    <w:p w14:paraId="1F7D3642" w14:textId="5CA9BA04" w:rsidR="004B5784" w:rsidRDefault="00000000">
      <w:pPr>
        <w:pStyle w:val="TOC2"/>
        <w:rPr>
          <w:rFonts w:asciiTheme="minorHAnsi" w:eastAsiaTheme="minorEastAsia" w:hAnsiTheme="minorHAnsi" w:cstheme="minorBidi"/>
          <w:sz w:val="22"/>
          <w:szCs w:val="22"/>
          <w:lang w:eastAsia="en-AU"/>
        </w:rPr>
      </w:pPr>
      <w:hyperlink w:anchor="_Toc140669861" w:history="1">
        <w:r w:rsidR="004B5784" w:rsidRPr="006C30AB">
          <w:rPr>
            <w:rStyle w:val="Hyperlink"/>
          </w:rPr>
          <w:t>Changes between MHA 2014 and the new MHWB Act 2022</w:t>
        </w:r>
        <w:r w:rsidR="004B5784">
          <w:rPr>
            <w:webHidden/>
          </w:rPr>
          <w:tab/>
        </w:r>
        <w:r w:rsidR="004B5784">
          <w:rPr>
            <w:webHidden/>
          </w:rPr>
          <w:fldChar w:fldCharType="begin"/>
        </w:r>
        <w:r w:rsidR="004B5784">
          <w:rPr>
            <w:webHidden/>
          </w:rPr>
          <w:instrText xml:space="preserve"> PAGEREF _Toc140669861 \h </w:instrText>
        </w:r>
        <w:r w:rsidR="004B5784">
          <w:rPr>
            <w:webHidden/>
          </w:rPr>
        </w:r>
        <w:r w:rsidR="004B5784">
          <w:rPr>
            <w:webHidden/>
          </w:rPr>
          <w:fldChar w:fldCharType="separate"/>
        </w:r>
        <w:r w:rsidR="005C7844">
          <w:rPr>
            <w:webHidden/>
          </w:rPr>
          <w:t>2</w:t>
        </w:r>
        <w:r w:rsidR="004B5784">
          <w:rPr>
            <w:webHidden/>
          </w:rPr>
          <w:fldChar w:fldCharType="end"/>
        </w:r>
      </w:hyperlink>
    </w:p>
    <w:p w14:paraId="21973C93" w14:textId="465C607E" w:rsidR="004B5784" w:rsidRDefault="00000000">
      <w:pPr>
        <w:pStyle w:val="TOC2"/>
        <w:rPr>
          <w:rFonts w:asciiTheme="minorHAnsi" w:eastAsiaTheme="minorEastAsia" w:hAnsiTheme="minorHAnsi" w:cstheme="minorBidi"/>
          <w:sz w:val="22"/>
          <w:szCs w:val="22"/>
          <w:lang w:eastAsia="en-AU"/>
        </w:rPr>
      </w:pPr>
      <w:hyperlink w:anchor="_Toc140669862" w:history="1">
        <w:r w:rsidR="004B5784" w:rsidRPr="006C30AB">
          <w:rPr>
            <w:rStyle w:val="Hyperlink"/>
          </w:rPr>
          <w:t>Responsibilities under the MHWA Act 2022</w:t>
        </w:r>
        <w:r w:rsidR="004B5784">
          <w:rPr>
            <w:webHidden/>
          </w:rPr>
          <w:tab/>
        </w:r>
        <w:r w:rsidR="004B5784">
          <w:rPr>
            <w:webHidden/>
          </w:rPr>
          <w:fldChar w:fldCharType="begin"/>
        </w:r>
        <w:r w:rsidR="004B5784">
          <w:rPr>
            <w:webHidden/>
          </w:rPr>
          <w:instrText xml:space="preserve"> PAGEREF _Toc140669862 \h </w:instrText>
        </w:r>
        <w:r w:rsidR="004B5784">
          <w:rPr>
            <w:webHidden/>
          </w:rPr>
        </w:r>
        <w:r w:rsidR="004B5784">
          <w:rPr>
            <w:webHidden/>
          </w:rPr>
          <w:fldChar w:fldCharType="separate"/>
        </w:r>
        <w:r w:rsidR="005C7844">
          <w:rPr>
            <w:webHidden/>
          </w:rPr>
          <w:t>2</w:t>
        </w:r>
        <w:r w:rsidR="004B5784">
          <w:rPr>
            <w:webHidden/>
          </w:rPr>
          <w:fldChar w:fldCharType="end"/>
        </w:r>
      </w:hyperlink>
    </w:p>
    <w:p w14:paraId="41FB8887" w14:textId="3C2DEF35" w:rsidR="004B5784" w:rsidRDefault="00000000">
      <w:pPr>
        <w:pStyle w:val="TOC2"/>
        <w:rPr>
          <w:rFonts w:asciiTheme="minorHAnsi" w:eastAsiaTheme="minorEastAsia" w:hAnsiTheme="minorHAnsi" w:cstheme="minorBidi"/>
          <w:sz w:val="22"/>
          <w:szCs w:val="22"/>
          <w:lang w:eastAsia="en-AU"/>
        </w:rPr>
      </w:pPr>
      <w:hyperlink w:anchor="_Toc140669863" w:history="1">
        <w:r w:rsidR="004B5784" w:rsidRPr="006C30AB">
          <w:rPr>
            <w:rStyle w:val="Hyperlink"/>
          </w:rPr>
          <w:t>Practice guidelines and reporting directives</w:t>
        </w:r>
        <w:r w:rsidR="004B5784">
          <w:rPr>
            <w:webHidden/>
          </w:rPr>
          <w:tab/>
        </w:r>
        <w:r w:rsidR="004B5784">
          <w:rPr>
            <w:webHidden/>
          </w:rPr>
          <w:fldChar w:fldCharType="begin"/>
        </w:r>
        <w:r w:rsidR="004B5784">
          <w:rPr>
            <w:webHidden/>
          </w:rPr>
          <w:instrText xml:space="preserve"> PAGEREF _Toc140669863 \h </w:instrText>
        </w:r>
        <w:r w:rsidR="004B5784">
          <w:rPr>
            <w:webHidden/>
          </w:rPr>
        </w:r>
        <w:r w:rsidR="004B5784">
          <w:rPr>
            <w:webHidden/>
          </w:rPr>
          <w:fldChar w:fldCharType="separate"/>
        </w:r>
        <w:r w:rsidR="005C7844">
          <w:rPr>
            <w:webHidden/>
          </w:rPr>
          <w:t>3</w:t>
        </w:r>
        <w:r w:rsidR="004B5784">
          <w:rPr>
            <w:webHidden/>
          </w:rPr>
          <w:fldChar w:fldCharType="end"/>
        </w:r>
      </w:hyperlink>
    </w:p>
    <w:p w14:paraId="69B17490" w14:textId="0385C1E9" w:rsidR="004B5784" w:rsidRDefault="00000000">
      <w:pPr>
        <w:pStyle w:val="TOC2"/>
        <w:rPr>
          <w:rFonts w:asciiTheme="minorHAnsi" w:eastAsiaTheme="minorEastAsia" w:hAnsiTheme="minorHAnsi" w:cstheme="minorBidi"/>
          <w:sz w:val="22"/>
          <w:szCs w:val="22"/>
          <w:lang w:eastAsia="en-AU"/>
        </w:rPr>
      </w:pPr>
      <w:hyperlink w:anchor="_Toc140669864" w:history="1">
        <w:r w:rsidR="004B5784" w:rsidRPr="006C30AB">
          <w:rPr>
            <w:rStyle w:val="Hyperlink"/>
          </w:rPr>
          <w:t>Further information</w:t>
        </w:r>
        <w:r w:rsidR="004B5784">
          <w:rPr>
            <w:webHidden/>
          </w:rPr>
          <w:tab/>
        </w:r>
        <w:r w:rsidR="004B5784">
          <w:rPr>
            <w:webHidden/>
          </w:rPr>
          <w:fldChar w:fldCharType="begin"/>
        </w:r>
        <w:r w:rsidR="004B5784">
          <w:rPr>
            <w:webHidden/>
          </w:rPr>
          <w:instrText xml:space="preserve"> PAGEREF _Toc140669864 \h </w:instrText>
        </w:r>
        <w:r w:rsidR="004B5784">
          <w:rPr>
            <w:webHidden/>
          </w:rPr>
        </w:r>
        <w:r w:rsidR="004B5784">
          <w:rPr>
            <w:webHidden/>
          </w:rPr>
          <w:fldChar w:fldCharType="separate"/>
        </w:r>
        <w:r w:rsidR="005C7844">
          <w:rPr>
            <w:webHidden/>
          </w:rPr>
          <w:t>3</w:t>
        </w:r>
        <w:r w:rsidR="004B5784">
          <w:rPr>
            <w:webHidden/>
          </w:rPr>
          <w:fldChar w:fldCharType="end"/>
        </w:r>
      </w:hyperlink>
    </w:p>
    <w:p w14:paraId="57D1AA21" w14:textId="0F1428C8" w:rsidR="004B5784" w:rsidRDefault="00000000">
      <w:pPr>
        <w:pStyle w:val="TOC2"/>
        <w:rPr>
          <w:rFonts w:asciiTheme="minorHAnsi" w:eastAsiaTheme="minorEastAsia" w:hAnsiTheme="minorHAnsi" w:cstheme="minorBidi"/>
          <w:sz w:val="22"/>
          <w:szCs w:val="22"/>
          <w:lang w:eastAsia="en-AU"/>
        </w:rPr>
      </w:pPr>
      <w:hyperlink w:anchor="_Toc140669865" w:history="1">
        <w:r w:rsidR="004B5784" w:rsidRPr="006C30AB">
          <w:rPr>
            <w:rStyle w:val="Hyperlink"/>
          </w:rPr>
          <w:t>Disclaimer</w:t>
        </w:r>
        <w:r w:rsidR="004B5784">
          <w:rPr>
            <w:webHidden/>
          </w:rPr>
          <w:tab/>
        </w:r>
        <w:r w:rsidR="004B5784">
          <w:rPr>
            <w:webHidden/>
          </w:rPr>
          <w:fldChar w:fldCharType="begin"/>
        </w:r>
        <w:r w:rsidR="004B5784">
          <w:rPr>
            <w:webHidden/>
          </w:rPr>
          <w:instrText xml:space="preserve"> PAGEREF _Toc140669865 \h </w:instrText>
        </w:r>
        <w:r w:rsidR="004B5784">
          <w:rPr>
            <w:webHidden/>
          </w:rPr>
        </w:r>
        <w:r w:rsidR="004B5784">
          <w:rPr>
            <w:webHidden/>
          </w:rPr>
          <w:fldChar w:fldCharType="separate"/>
        </w:r>
        <w:r w:rsidR="005C7844">
          <w:rPr>
            <w:webHidden/>
          </w:rPr>
          <w:t>3</w:t>
        </w:r>
        <w:r w:rsidR="004B5784">
          <w:rPr>
            <w:webHidden/>
          </w:rPr>
          <w:fldChar w:fldCharType="end"/>
        </w:r>
      </w:hyperlink>
    </w:p>
    <w:p w14:paraId="4BA12939" w14:textId="107437FB" w:rsidR="007173CA" w:rsidRDefault="00AD784C" w:rsidP="00D079AA">
      <w:pPr>
        <w:pStyle w:val="Body"/>
      </w:pPr>
      <w:r>
        <w:fldChar w:fldCharType="end"/>
      </w:r>
    </w:p>
    <w:p w14:paraId="00B74594" w14:textId="77777777" w:rsidR="00580394" w:rsidRPr="00B519CD" w:rsidRDefault="00580394" w:rsidP="007173CA">
      <w:pPr>
        <w:pStyle w:val="Body"/>
        <w:sectPr w:rsidR="00580394" w:rsidRPr="00B519CD" w:rsidSect="00E62622">
          <w:headerReference w:type="even" r:id="rId18"/>
          <w:headerReference w:type="default" r:id="rId19"/>
          <w:headerReference w:type="first" r:id="rId20"/>
          <w:type w:val="continuous"/>
          <w:pgSz w:w="11906" w:h="16838" w:code="9"/>
          <w:pgMar w:top="1418" w:right="851" w:bottom="1418" w:left="851" w:header="851" w:footer="851" w:gutter="0"/>
          <w:cols w:space="340"/>
          <w:titlePg/>
          <w:docGrid w:linePitch="360"/>
        </w:sectPr>
      </w:pPr>
    </w:p>
    <w:p w14:paraId="3D9F0FDD" w14:textId="04D63E9C" w:rsidR="00EE29AD" w:rsidRDefault="005B71F0" w:rsidP="0022571D">
      <w:pPr>
        <w:pStyle w:val="Heading2"/>
      </w:pPr>
      <w:bookmarkStart w:id="0" w:name="_Toc140669857"/>
      <w:r>
        <w:t>Summary</w:t>
      </w:r>
      <w:bookmarkEnd w:id="0"/>
    </w:p>
    <w:p w14:paraId="2952AC5F" w14:textId="74A83AF3" w:rsidR="0048665E" w:rsidRPr="0048665E" w:rsidRDefault="0048665E" w:rsidP="0048665E">
      <w:pPr>
        <w:pStyle w:val="Body"/>
      </w:pPr>
      <w:r w:rsidRPr="0048665E">
        <w:t xml:space="preserve">The </w:t>
      </w:r>
      <w:r w:rsidRPr="003B79C3">
        <w:rPr>
          <w:i/>
        </w:rPr>
        <w:t>Mental Health and Wellbeing Act 2022</w:t>
      </w:r>
      <w:r w:rsidRPr="0048665E">
        <w:t xml:space="preserve"> </w:t>
      </w:r>
      <w:r w:rsidR="00612DD2">
        <w:t>(</w:t>
      </w:r>
      <w:r w:rsidR="7FD2D9D2">
        <w:t>t</w:t>
      </w:r>
      <w:r w:rsidR="00612DD2">
        <w:t xml:space="preserve">he Act) </w:t>
      </w:r>
      <w:r w:rsidRPr="0048665E">
        <w:t xml:space="preserve">comes into effect on 1 September 2023. </w:t>
      </w:r>
    </w:p>
    <w:p w14:paraId="63AB78BE" w14:textId="77777777" w:rsidR="0048665E" w:rsidRDefault="0048665E" w:rsidP="0048665E">
      <w:pPr>
        <w:pStyle w:val="Body"/>
      </w:pPr>
      <w:r w:rsidRPr="0048665E">
        <w:t>The Act provides a framework to ensure all people with a mental illness or psychological distress receive care and treatment that meets their needs, with the least possible restrictions to their rights and dignity.</w:t>
      </w:r>
    </w:p>
    <w:p w14:paraId="4064FDAF" w14:textId="6A68BD5D" w:rsidR="00561430" w:rsidRDefault="00561430" w:rsidP="00561430">
      <w:pPr>
        <w:pStyle w:val="Body"/>
      </w:pPr>
      <w:r>
        <w:t xml:space="preserve">Provisions related to Electroconvulsive </w:t>
      </w:r>
      <w:r w:rsidR="00DE673C">
        <w:t>T</w:t>
      </w:r>
      <w:r>
        <w:t xml:space="preserve">reatment (ECT) are comparable to those of the </w:t>
      </w:r>
      <w:r w:rsidRPr="00112B0A">
        <w:rPr>
          <w:i/>
        </w:rPr>
        <w:t>Mental Health Act 2014</w:t>
      </w:r>
      <w:r>
        <w:t>, although with some drafting changes to clarify the provisions.</w:t>
      </w:r>
    </w:p>
    <w:p w14:paraId="07270C1C" w14:textId="778754F8" w:rsidR="00561430" w:rsidRDefault="00561430" w:rsidP="00561430">
      <w:pPr>
        <w:pStyle w:val="Body"/>
      </w:pPr>
      <w:r>
        <w:t xml:space="preserve">The </w:t>
      </w:r>
      <w:r w:rsidR="49D385ED">
        <w:t>Act</w:t>
      </w:r>
      <w:r>
        <w:t xml:space="preserve"> includes clear descriptions of </w:t>
      </w:r>
      <w:r w:rsidR="1904CF18">
        <w:t>who</w:t>
      </w:r>
      <w:r>
        <w:t xml:space="preserve"> </w:t>
      </w:r>
      <w:r w:rsidR="00D613B3">
        <w:t>can have ECT and under which circumstances and provide</w:t>
      </w:r>
      <w:r w:rsidR="00983212">
        <w:t>s</w:t>
      </w:r>
      <w:r w:rsidR="00D613B3">
        <w:t xml:space="preserve"> clarity on when a course of ECT approved by the Mental Health Tribunal ends. </w:t>
      </w:r>
    </w:p>
    <w:p w14:paraId="34F99F5B" w14:textId="07D0E6DA" w:rsidR="00A62D44" w:rsidRPr="00B57329" w:rsidRDefault="00232EB0" w:rsidP="001E0C5D">
      <w:pPr>
        <w:pStyle w:val="Heading2"/>
      </w:pPr>
      <w:bookmarkStart w:id="1" w:name="_Toc140669858"/>
      <w:r>
        <w:t xml:space="preserve">About </w:t>
      </w:r>
      <w:r w:rsidR="00582493">
        <w:t>Electroconvulsive Treatment</w:t>
      </w:r>
      <w:r w:rsidR="0018085B">
        <w:t xml:space="preserve"> and Neurosurgery</w:t>
      </w:r>
      <w:bookmarkEnd w:id="1"/>
      <w:r w:rsidR="0018085B">
        <w:t xml:space="preserve"> </w:t>
      </w:r>
    </w:p>
    <w:p w14:paraId="7CCBC251" w14:textId="59406BAE" w:rsidR="00863F1E" w:rsidRDefault="009F51D4" w:rsidP="00D7569F">
      <w:pPr>
        <w:pStyle w:val="Body"/>
      </w:pPr>
      <w:r w:rsidRPr="00E6072A">
        <w:t xml:space="preserve">Under the </w:t>
      </w:r>
      <w:r w:rsidR="005D3A25">
        <w:t xml:space="preserve">new </w:t>
      </w:r>
      <w:r w:rsidRPr="00E6072A">
        <w:t xml:space="preserve">Act, </w:t>
      </w:r>
      <w:r w:rsidR="00E6072A" w:rsidRPr="00E6072A">
        <w:t xml:space="preserve">the definition of ECT is unchanged from the </w:t>
      </w:r>
      <w:r w:rsidR="00E6072A" w:rsidRPr="003B79C3">
        <w:rPr>
          <w:i/>
        </w:rPr>
        <w:t>Mental Health Act 2014</w:t>
      </w:r>
      <w:r w:rsidR="00E6072A" w:rsidRPr="00E6072A">
        <w:t xml:space="preserve">. </w:t>
      </w:r>
    </w:p>
    <w:p w14:paraId="53FE3EBD" w14:textId="2AAB979D" w:rsidR="007A4157" w:rsidRDefault="00D613B3" w:rsidP="00D7569F">
      <w:pPr>
        <w:pStyle w:val="Body"/>
      </w:pPr>
      <w:r w:rsidRPr="0048665E">
        <w:t xml:space="preserve">ECT is an </w:t>
      </w:r>
      <w:r w:rsidR="00BC6E47">
        <w:t>invasive f</w:t>
      </w:r>
      <w:r w:rsidRPr="0048665E">
        <w:t xml:space="preserve">orm of treatment, and that this treatment (like neurosurgery) should only be performed without consent in very limited situations. </w:t>
      </w:r>
    </w:p>
    <w:p w14:paraId="7128A9D1" w14:textId="311A2B5C" w:rsidR="00E248A0" w:rsidRDefault="00D613B3" w:rsidP="00D7569F">
      <w:pPr>
        <w:pStyle w:val="Body"/>
      </w:pPr>
      <w:r w:rsidRPr="0048665E">
        <w:t xml:space="preserve">Designated mental health services that administer ECT must comply with strict guidelines and procedures, and report to the Chief Psychiatrist on </w:t>
      </w:r>
      <w:r>
        <w:t>the use of ECT</w:t>
      </w:r>
      <w:r w:rsidRPr="0048665E">
        <w:t xml:space="preserve">. This ensures ECT is used appropriately and only when necessary, and that the rights and wellbeing of people who receive ECT are protected. </w:t>
      </w:r>
    </w:p>
    <w:p w14:paraId="72D0321D" w14:textId="77777777" w:rsidR="00C53B09" w:rsidRDefault="006A3F12" w:rsidP="00D76C8F">
      <w:pPr>
        <w:pStyle w:val="Body"/>
      </w:pPr>
      <w:r w:rsidRPr="006A3F12">
        <w:t xml:space="preserve">An adult of 18 years or older who is receiving mental health care on a voluntary basis may give informed consent to ECT in writing. If they do not have capacity to give informed consent, the Mental Health Tribunal can authorise ECT in certain circumstances. This requires that there is no less restrictive way for the person </w:t>
      </w:r>
      <w:r w:rsidRPr="006A3F12">
        <w:lastRenderedPageBreak/>
        <w:t>to be treated and that the person either has an instructional directive providing informed consent to the ECT or a medical treatment decision-maker who has provided consent</w:t>
      </w:r>
      <w:r>
        <w:t xml:space="preserve">. </w:t>
      </w:r>
    </w:p>
    <w:p w14:paraId="3C8E578B" w14:textId="40E5B56D" w:rsidR="004C6992" w:rsidRDefault="00C53B09" w:rsidP="00D7569F">
      <w:pPr>
        <w:pStyle w:val="Body"/>
      </w:pPr>
      <w:r>
        <w:t>T</w:t>
      </w:r>
      <w:r w:rsidRPr="006A209A">
        <w:t xml:space="preserve">he Act regulates </w:t>
      </w:r>
      <w:r w:rsidR="0015030B">
        <w:t>the use of ECT</w:t>
      </w:r>
      <w:r w:rsidRPr="006A209A">
        <w:t xml:space="preserve"> for all young </w:t>
      </w:r>
      <w:r>
        <w:t>people</w:t>
      </w:r>
      <w:r w:rsidRPr="006A209A">
        <w:t xml:space="preserve"> under the age of 18 years, whether voluntary or compulsory, even when the young person has given informed consent.</w:t>
      </w:r>
    </w:p>
    <w:p w14:paraId="22D6E9AD" w14:textId="12FF4B45" w:rsidR="003C4E35" w:rsidRPr="00D7569F" w:rsidRDefault="003C4E35" w:rsidP="00D7569F">
      <w:pPr>
        <w:pStyle w:val="Body"/>
      </w:pPr>
      <w:r>
        <w:t>The Act</w:t>
      </w:r>
      <w:r w:rsidR="0002507E">
        <w:t xml:space="preserve"> also</w:t>
      </w:r>
      <w:r>
        <w:t xml:space="preserve"> regulates </w:t>
      </w:r>
      <w:r w:rsidR="0015030B">
        <w:t xml:space="preserve">the </w:t>
      </w:r>
      <w:r w:rsidR="005F7668">
        <w:t>use of neurosurgery for mental illness for all consumers</w:t>
      </w:r>
      <w:r w:rsidR="00426B2A">
        <w:t xml:space="preserve">. </w:t>
      </w:r>
      <w:r w:rsidR="00E87A72">
        <w:t xml:space="preserve">The Mental Health Tribunal approves all applications </w:t>
      </w:r>
      <w:r w:rsidR="00DC5A07">
        <w:t>regarding neuro</w:t>
      </w:r>
      <w:r w:rsidR="00332A31">
        <w:t xml:space="preserve">surgery for mental illness. </w:t>
      </w:r>
      <w:r w:rsidR="00DE1FAD" w:rsidRPr="00DE1FAD">
        <w:t>Neurosurgery for mental illness can only be performed on a person who has given informed consent in writing. No guardian, parent or other substitute decision maker may consent to neurosurgery for mental illness on behalf of another person.</w:t>
      </w:r>
      <w:r w:rsidR="00DE1FAD">
        <w:t xml:space="preserve"> </w:t>
      </w:r>
    </w:p>
    <w:p w14:paraId="0988C766" w14:textId="3519ECFA" w:rsidR="00863F1E" w:rsidRPr="00B57329" w:rsidRDefault="00863F1E" w:rsidP="00863F1E">
      <w:pPr>
        <w:pStyle w:val="Heading2"/>
      </w:pPr>
      <w:bookmarkStart w:id="2" w:name="_Toc140669859"/>
      <w:r>
        <w:t xml:space="preserve">Mental Health and Wellbeing Act 2022 </w:t>
      </w:r>
      <w:r w:rsidR="00BC23F6">
        <w:t>r</w:t>
      </w:r>
      <w:r>
        <w:t>eference</w:t>
      </w:r>
      <w:r w:rsidR="009810DF">
        <w:t>(</w:t>
      </w:r>
      <w:r>
        <w:t>s</w:t>
      </w:r>
      <w:r w:rsidR="009810DF">
        <w:t>)</w:t>
      </w:r>
      <w:bookmarkEnd w:id="2"/>
    </w:p>
    <w:p w14:paraId="20F92F0C" w14:textId="48FF0444" w:rsidR="007A4157" w:rsidRDefault="00AA3FEA" w:rsidP="004C6992">
      <w:pPr>
        <w:pStyle w:val="Body"/>
        <w:rPr>
          <w:rFonts w:eastAsia="MS Gothic" w:cs="Arial"/>
        </w:rPr>
      </w:pPr>
      <w:r w:rsidRPr="744BAFA0">
        <w:rPr>
          <w:rFonts w:eastAsia="MS Gothic" w:cs="Arial"/>
          <w:kern w:val="32"/>
        </w:rPr>
        <w:t xml:space="preserve">The </w:t>
      </w:r>
      <w:r w:rsidR="00E45DF7" w:rsidRPr="744BAFA0">
        <w:rPr>
          <w:rFonts w:eastAsia="MS Gothic" w:cs="Arial"/>
          <w:kern w:val="32"/>
        </w:rPr>
        <w:t xml:space="preserve">ECT provisions are in Part 3.5 of the </w:t>
      </w:r>
      <w:r w:rsidR="2FC3D8C8" w:rsidRPr="744BAFA0">
        <w:rPr>
          <w:rFonts w:eastAsia="MS Gothic" w:cs="Arial"/>
          <w:kern w:val="32"/>
        </w:rPr>
        <w:t>Act</w:t>
      </w:r>
      <w:r w:rsidR="00C93068">
        <w:rPr>
          <w:rFonts w:eastAsia="MS Gothic" w:cs="Arial"/>
          <w:kern w:val="32"/>
        </w:rPr>
        <w:t>.</w:t>
      </w:r>
      <w:r w:rsidR="00E45DF7" w:rsidRPr="744BAFA0">
        <w:rPr>
          <w:rFonts w:eastAsia="MS Gothic" w:cs="Arial"/>
          <w:kern w:val="32"/>
        </w:rPr>
        <w:t xml:space="preserve"> </w:t>
      </w:r>
    </w:p>
    <w:p w14:paraId="06F718E7" w14:textId="5D9C8BB9" w:rsidR="004C6992" w:rsidRPr="00CD1BCD" w:rsidRDefault="00F523FA" w:rsidP="004C6992">
      <w:pPr>
        <w:pStyle w:val="Body"/>
        <w:rPr>
          <w:rFonts w:eastAsia="MS Gothic" w:cs="Arial"/>
          <w:bCs/>
          <w:kern w:val="32"/>
          <w:szCs w:val="21"/>
        </w:rPr>
      </w:pPr>
      <w:r w:rsidRPr="00F523FA">
        <w:rPr>
          <w:rFonts w:eastAsia="MS Gothic" w:cs="Arial"/>
          <w:bCs/>
          <w:kern w:val="32"/>
          <w:szCs w:val="21"/>
        </w:rPr>
        <w:t xml:space="preserve">The </w:t>
      </w:r>
      <w:r w:rsidR="0021155A">
        <w:rPr>
          <w:rFonts w:eastAsia="MS Gothic" w:cs="Arial"/>
          <w:bCs/>
          <w:kern w:val="32"/>
          <w:szCs w:val="21"/>
        </w:rPr>
        <w:t>Act</w:t>
      </w:r>
      <w:r w:rsidRPr="00F523FA">
        <w:rPr>
          <w:rFonts w:eastAsia="MS Gothic" w:cs="Arial"/>
          <w:bCs/>
          <w:kern w:val="32"/>
          <w:szCs w:val="21"/>
        </w:rPr>
        <w:t xml:space="preserve"> notes the requirement to notify the Chief Psychiatrist of </w:t>
      </w:r>
      <w:r>
        <w:rPr>
          <w:rFonts w:eastAsia="MS Gothic" w:cs="Arial"/>
          <w:bCs/>
          <w:kern w:val="32"/>
          <w:szCs w:val="21"/>
        </w:rPr>
        <w:t xml:space="preserve">the use of ECT </w:t>
      </w:r>
      <w:r w:rsidRPr="00F523FA">
        <w:rPr>
          <w:rFonts w:eastAsia="MS Gothic" w:cs="Arial"/>
          <w:bCs/>
          <w:kern w:val="32"/>
          <w:szCs w:val="21"/>
        </w:rPr>
        <w:t xml:space="preserve">in section </w:t>
      </w:r>
      <w:r w:rsidR="00696C46">
        <w:rPr>
          <w:rFonts w:eastAsia="MS Gothic" w:cs="Arial"/>
          <w:bCs/>
          <w:kern w:val="32"/>
          <w:szCs w:val="21"/>
        </w:rPr>
        <w:t>118</w:t>
      </w:r>
      <w:r w:rsidR="00A05A01">
        <w:rPr>
          <w:rFonts w:eastAsia="MS Gothic" w:cs="Arial"/>
          <w:bCs/>
          <w:kern w:val="32"/>
          <w:szCs w:val="21"/>
        </w:rPr>
        <w:t xml:space="preserve">, and the requirement to </w:t>
      </w:r>
      <w:r w:rsidR="00C15FE7">
        <w:rPr>
          <w:rFonts w:eastAsia="MS Gothic" w:cs="Arial"/>
          <w:bCs/>
          <w:kern w:val="32"/>
          <w:szCs w:val="21"/>
        </w:rPr>
        <w:t>report to</w:t>
      </w:r>
      <w:r w:rsidR="00A05A01">
        <w:rPr>
          <w:rFonts w:eastAsia="MS Gothic" w:cs="Arial"/>
          <w:bCs/>
          <w:kern w:val="32"/>
          <w:szCs w:val="21"/>
        </w:rPr>
        <w:t xml:space="preserve"> the Chief Psychiatrist of</w:t>
      </w:r>
      <w:r w:rsidR="005C6D92">
        <w:rPr>
          <w:rFonts w:eastAsia="MS Gothic" w:cs="Arial"/>
          <w:bCs/>
          <w:kern w:val="32"/>
          <w:szCs w:val="21"/>
        </w:rPr>
        <w:t xml:space="preserve"> the performance of </w:t>
      </w:r>
      <w:r w:rsidR="00007548">
        <w:rPr>
          <w:rFonts w:eastAsia="MS Gothic" w:cs="Arial"/>
          <w:bCs/>
          <w:kern w:val="32"/>
          <w:szCs w:val="21"/>
        </w:rPr>
        <w:t xml:space="preserve">neurosurgery in section 123. </w:t>
      </w:r>
    </w:p>
    <w:p w14:paraId="0943F4F4" w14:textId="14A487B6" w:rsidR="00863F1E" w:rsidRPr="00B57329" w:rsidRDefault="00FD3CCF" w:rsidP="00863F1E">
      <w:pPr>
        <w:pStyle w:val="Heading2"/>
      </w:pPr>
      <w:bookmarkStart w:id="3" w:name="_Toc140669860"/>
      <w:r>
        <w:t>R</w:t>
      </w:r>
      <w:r w:rsidR="00863F1E">
        <w:t xml:space="preserve">oyal Commission </w:t>
      </w:r>
      <w:r w:rsidR="004F2E21">
        <w:t>– related recommendation(s)</w:t>
      </w:r>
      <w:bookmarkEnd w:id="3"/>
    </w:p>
    <w:p w14:paraId="551FBD88" w14:textId="5FD08E33" w:rsidR="004C6992" w:rsidRDefault="004D452E" w:rsidP="00D7569F">
      <w:pPr>
        <w:pStyle w:val="Body"/>
      </w:pPr>
      <w:r w:rsidRPr="744BAFA0">
        <w:rPr>
          <w:rFonts w:eastAsia="MS Gothic" w:cs="Arial"/>
          <w:kern w:val="32"/>
        </w:rPr>
        <w:t xml:space="preserve">Electroconvulsive </w:t>
      </w:r>
      <w:r w:rsidR="00765906" w:rsidRPr="744BAFA0">
        <w:rPr>
          <w:rFonts w:eastAsia="MS Gothic" w:cs="Arial"/>
          <w:kern w:val="32"/>
        </w:rPr>
        <w:t>T</w:t>
      </w:r>
      <w:r w:rsidRPr="744BAFA0">
        <w:rPr>
          <w:rFonts w:eastAsia="MS Gothic" w:cs="Arial"/>
          <w:kern w:val="32"/>
        </w:rPr>
        <w:t xml:space="preserve">reatment is defined in the Royal Commission final report as, </w:t>
      </w:r>
      <w:r w:rsidR="00561946" w:rsidRPr="744BAFA0">
        <w:rPr>
          <w:rFonts w:eastAsia="MS Gothic" w:cs="Arial"/>
          <w:kern w:val="32"/>
        </w:rPr>
        <w:t>‘T</w:t>
      </w:r>
      <w:r w:rsidR="00B4248A" w:rsidRPr="00B4248A">
        <w:t>he application of electric current to specific areas of a person’s head to produce a generalised seizure’. Also known as electroconvulsive therapy.</w:t>
      </w:r>
      <w:r w:rsidR="00D5789C">
        <w:t>’ P.660 vol 1</w:t>
      </w:r>
      <w:r w:rsidR="00C16ED3">
        <w:t>.</w:t>
      </w:r>
      <w:r w:rsidR="00D5789C">
        <w:t xml:space="preserve"> </w:t>
      </w:r>
    </w:p>
    <w:p w14:paraId="75AB05BA" w14:textId="228082BC" w:rsidR="00435786" w:rsidRDefault="00F016D7" w:rsidP="00D7569F">
      <w:pPr>
        <w:pStyle w:val="Body"/>
      </w:pPr>
      <w:r>
        <w:t>‘</w:t>
      </w:r>
      <w:r w:rsidR="1D6C0BE9">
        <w:t xml:space="preserve">The </w:t>
      </w:r>
      <w:r w:rsidR="00435786">
        <w:t xml:space="preserve">Mental Health Tribunal to </w:t>
      </w:r>
      <w:r w:rsidR="00435786" w:rsidRPr="00435786">
        <w:t>hear and determine the making of Treatment Orders and other applications, including applications to perform electroconvulsive treatment when a person does not have decision-making capacity or is under the age of 18 years and applications to perform neurosurgery for mental illness</w:t>
      </w:r>
      <w:r w:rsidR="00435786">
        <w:t>.’ P.666 vol 1</w:t>
      </w:r>
      <w:r w:rsidR="00C16ED3">
        <w:t>.</w:t>
      </w:r>
    </w:p>
    <w:p w14:paraId="068FB3E1" w14:textId="7D5586C2" w:rsidR="00863F1E" w:rsidRPr="00B57329" w:rsidRDefault="00863F1E" w:rsidP="00863F1E">
      <w:pPr>
        <w:pStyle w:val="Heading2"/>
      </w:pPr>
      <w:bookmarkStart w:id="4" w:name="_Toc140669861"/>
      <w:r>
        <w:t xml:space="preserve">Changes between MHA 2014 and the new </w:t>
      </w:r>
      <w:r w:rsidR="00DB1E68">
        <w:t xml:space="preserve">MHWB </w:t>
      </w:r>
      <w:r>
        <w:t>Act</w:t>
      </w:r>
      <w:r w:rsidR="00DB1E68">
        <w:t xml:space="preserve"> 2022</w:t>
      </w:r>
      <w:bookmarkEnd w:id="4"/>
      <w:r>
        <w:t xml:space="preserve"> </w:t>
      </w:r>
    </w:p>
    <w:p w14:paraId="69AC133B" w14:textId="38C96FA5" w:rsidR="00EC69F2" w:rsidRDefault="00B925CD" w:rsidP="00D7569F">
      <w:pPr>
        <w:pStyle w:val="Body"/>
      </w:pPr>
      <w:r w:rsidRPr="708D2B59">
        <w:rPr>
          <w:rFonts w:eastAsia="Arial" w:cs="Arial"/>
        </w:rPr>
        <w:t>T</w:t>
      </w:r>
      <w:r w:rsidR="00B045D0" w:rsidRPr="708D2B59">
        <w:rPr>
          <w:rFonts w:eastAsia="Arial" w:cs="Arial"/>
        </w:rPr>
        <w:t>he Chief Psychiatrist continues to monitor the use of ECT in all designated mental health services</w:t>
      </w:r>
      <w:r w:rsidR="6A630D94" w:rsidRPr="708D2B59">
        <w:rPr>
          <w:rFonts w:eastAsia="Arial" w:cs="Arial"/>
        </w:rPr>
        <w:t>.</w:t>
      </w:r>
      <w:r w:rsidR="005F229F" w:rsidRPr="708D2B59">
        <w:rPr>
          <w:rFonts w:eastAsia="Arial" w:cs="Arial"/>
        </w:rPr>
        <w:t xml:space="preserve"> </w:t>
      </w:r>
    </w:p>
    <w:p w14:paraId="4F94D115" w14:textId="53113F56" w:rsidR="00863F1E" w:rsidRPr="00B57329" w:rsidRDefault="0070447D" w:rsidP="00863F1E">
      <w:pPr>
        <w:pStyle w:val="Heading2"/>
      </w:pPr>
      <w:bookmarkStart w:id="5" w:name="_Toc140669862"/>
      <w:r>
        <w:t>Responsibilities under the MHWA Act 2022</w:t>
      </w:r>
      <w:bookmarkEnd w:id="5"/>
    </w:p>
    <w:p w14:paraId="79A07F2F" w14:textId="2517C651" w:rsidR="00E8196D" w:rsidRPr="00E8196D" w:rsidRDefault="00E8196D" w:rsidP="00E8196D">
      <w:pPr>
        <w:pStyle w:val="Body"/>
      </w:pPr>
      <w:r w:rsidRPr="00E8196D">
        <w:t>All designated mental health services must report the use of ECT via CMI/ODS to the Chief Psychiatrist</w:t>
      </w:r>
      <w:r w:rsidR="008E50BF">
        <w:t xml:space="preserve">. </w:t>
      </w:r>
    </w:p>
    <w:p w14:paraId="1D3C34DF" w14:textId="77777777" w:rsidR="00E8196D" w:rsidRPr="00E8196D" w:rsidRDefault="00E8196D" w:rsidP="00E8196D">
      <w:pPr>
        <w:pStyle w:val="Body"/>
      </w:pPr>
      <w:r w:rsidRPr="00E8196D">
        <w:t>All designated mental health services must report any serious adverse events associated with ECT that result in death (or a near miss), serious injury, serious illness and/or require transfer to an emergency department or similar setting, to the Chief Psychiatrist as soon as practicable.   </w:t>
      </w:r>
    </w:p>
    <w:p w14:paraId="756265FC" w14:textId="26C40439" w:rsidR="00FE5F32" w:rsidRPr="00E8196D" w:rsidRDefault="00E8196D" w:rsidP="00E8196D">
      <w:pPr>
        <w:pStyle w:val="Body"/>
      </w:pPr>
      <w:r w:rsidRPr="00E8196D">
        <w:t xml:space="preserve">All designated mental health services must report instances of ECT administration on young person below 18 years of age to the Chief Psychiatrist for </w:t>
      </w:r>
      <w:r w:rsidR="55AA5AB6">
        <w:t xml:space="preserve">data </w:t>
      </w:r>
      <w:r w:rsidRPr="00E8196D">
        <w:t>monitoring purposes.</w:t>
      </w:r>
      <w:r w:rsidR="00971EDD">
        <w:t xml:space="preserve"> </w:t>
      </w:r>
      <w:r w:rsidR="00FE5F32" w:rsidRPr="00FE5F32">
        <w:t xml:space="preserve">The Mental Health Tribunal makes the decision to approve ECT for people under the age of 18. </w:t>
      </w:r>
    </w:p>
    <w:p w14:paraId="46006175" w14:textId="569BA2E5" w:rsidR="00FF57E1" w:rsidRDefault="00E8196D" w:rsidP="00D7569F">
      <w:pPr>
        <w:pStyle w:val="Body"/>
      </w:pPr>
      <w:r w:rsidRPr="00E8196D">
        <w:t xml:space="preserve">In the event of neurosurgery for mental illness, the psychiatrist responsible for the application or the treating psychiatrist must submit written reports to the Chief Psychiatrist within 3 months and again within the </w:t>
      </w:r>
      <w:r w:rsidR="00AF07D0">
        <w:t>9</w:t>
      </w:r>
      <w:r w:rsidR="32B25CCA">
        <w:t xml:space="preserve"> </w:t>
      </w:r>
      <w:r w:rsidRPr="00E8196D">
        <w:t>to 12-month timeframe following the surgery.  </w:t>
      </w:r>
    </w:p>
    <w:p w14:paraId="179AF366" w14:textId="22CCD2C7" w:rsidR="002A739E" w:rsidRPr="00E8196D" w:rsidRDefault="002A739E" w:rsidP="00D7569F">
      <w:pPr>
        <w:pStyle w:val="Body"/>
      </w:pPr>
      <w:r>
        <w:rPr>
          <w:rStyle w:val="ui-provider"/>
        </w:rPr>
        <w:t xml:space="preserve">All designated mental health services must </w:t>
      </w:r>
      <w:r w:rsidR="008E50BF">
        <w:rPr>
          <w:rStyle w:val="ui-provider"/>
        </w:rPr>
        <w:t>refer</w:t>
      </w:r>
      <w:r>
        <w:rPr>
          <w:rStyle w:val="ui-provider"/>
        </w:rPr>
        <w:t xml:space="preserve"> clinically complex matters involving ECT that are both legally and ethically complex to the Chief Psychiatrist for consideration of the ECT Complex Consultation Expert Panel</w:t>
      </w:r>
      <w:r w:rsidR="00074CB1">
        <w:rPr>
          <w:rStyle w:val="ui-provider"/>
        </w:rPr>
        <w:t xml:space="preserve">. </w:t>
      </w:r>
      <w:r w:rsidR="00F2492B">
        <w:rPr>
          <w:rStyle w:val="ui-provider"/>
        </w:rPr>
        <w:t>A r</w:t>
      </w:r>
      <w:r w:rsidR="00074CB1">
        <w:rPr>
          <w:rStyle w:val="ui-provider"/>
        </w:rPr>
        <w:t>eferral must be made by either an</w:t>
      </w:r>
      <w:r>
        <w:rPr>
          <w:rStyle w:val="ui-provider"/>
        </w:rPr>
        <w:t xml:space="preserve"> </w:t>
      </w:r>
      <w:r w:rsidR="00242FCC">
        <w:rPr>
          <w:rStyle w:val="ui-provider"/>
        </w:rPr>
        <w:t xml:space="preserve">authorised psychiatrist or </w:t>
      </w:r>
      <w:r w:rsidR="00074CB1">
        <w:rPr>
          <w:rStyle w:val="ui-provider"/>
        </w:rPr>
        <w:t xml:space="preserve">an </w:t>
      </w:r>
      <w:r w:rsidR="00242FCC">
        <w:rPr>
          <w:rStyle w:val="ui-provider"/>
        </w:rPr>
        <w:t xml:space="preserve">ECT Director. </w:t>
      </w:r>
    </w:p>
    <w:p w14:paraId="1497201B" w14:textId="66E8AFA1" w:rsidR="00863F1E" w:rsidRPr="00B57329" w:rsidRDefault="00315808" w:rsidP="00863F1E">
      <w:pPr>
        <w:pStyle w:val="Heading2"/>
      </w:pPr>
      <w:bookmarkStart w:id="6" w:name="_Toc140669863"/>
      <w:r>
        <w:lastRenderedPageBreak/>
        <w:t>P</w:t>
      </w:r>
      <w:r w:rsidR="00726575">
        <w:t>ractice guidelines and reporting directives</w:t>
      </w:r>
      <w:bookmarkEnd w:id="6"/>
    </w:p>
    <w:p w14:paraId="50577B76" w14:textId="4258BED1" w:rsidR="00726575" w:rsidRPr="00E60BD4" w:rsidRDefault="00726575" w:rsidP="00726575">
      <w:pPr>
        <w:pStyle w:val="Body"/>
      </w:pPr>
      <w:r w:rsidRPr="00E60BD4">
        <w:t>Information regarding best practice</w:t>
      </w:r>
      <w:r w:rsidR="00C42BF9">
        <w:t xml:space="preserve"> guidelines</w:t>
      </w:r>
      <w:r w:rsidRPr="00E60BD4">
        <w:t xml:space="preserve">, reporting and notification obligations for </w:t>
      </w:r>
      <w:r w:rsidR="003C350F">
        <w:t xml:space="preserve">designated </w:t>
      </w:r>
      <w:r w:rsidRPr="00E60BD4">
        <w:t>mental health service</w:t>
      </w:r>
      <w:r w:rsidR="003C350F">
        <w:t>s</w:t>
      </w:r>
      <w:r w:rsidRPr="00E60BD4">
        <w:t xml:space="preserve"> are contained within the Chief Psychiatrist’s </w:t>
      </w:r>
      <w:r w:rsidR="00B75EDB">
        <w:t xml:space="preserve">guideline </w:t>
      </w:r>
      <w:r w:rsidR="007D77B9">
        <w:t xml:space="preserve">for Electroconvulsive Treatment </w:t>
      </w:r>
      <w:r w:rsidR="00B75EDB">
        <w:t xml:space="preserve">and </w:t>
      </w:r>
      <w:r w:rsidR="007C1636">
        <w:t xml:space="preserve">the Chief Psychiatrist’s </w:t>
      </w:r>
      <w:r w:rsidRPr="00E60BD4">
        <w:t xml:space="preserve">reporting directive </w:t>
      </w:r>
      <w:r w:rsidR="007D77B9">
        <w:t xml:space="preserve">for ECT and Neurosurgery. </w:t>
      </w:r>
      <w:r w:rsidRPr="00E60BD4">
        <w:t xml:space="preserve">  </w:t>
      </w:r>
    </w:p>
    <w:p w14:paraId="47283156" w14:textId="54B13A33" w:rsidR="00726575" w:rsidRDefault="00726575" w:rsidP="00726575">
      <w:pPr>
        <w:pStyle w:val="Body"/>
      </w:pPr>
      <w:r>
        <w:t>Th</w:t>
      </w:r>
      <w:r w:rsidR="007C1636">
        <w:t>ese</w:t>
      </w:r>
      <w:r>
        <w:t xml:space="preserve"> document</w:t>
      </w:r>
      <w:r w:rsidR="007C1636">
        <w:t>s</w:t>
      </w:r>
      <w:r>
        <w:t xml:space="preserve"> can be found</w:t>
      </w:r>
      <w:r w:rsidR="000236CD">
        <w:t xml:space="preserve"> on the </w:t>
      </w:r>
      <w:hyperlink r:id="rId21" w:history="1">
        <w:r w:rsidR="000236CD" w:rsidRPr="7C8B2B7E">
          <w:rPr>
            <w:rStyle w:val="Hyperlink"/>
          </w:rPr>
          <w:t>Health Department’s website.</w:t>
        </w:r>
      </w:hyperlink>
      <w:r>
        <w:t xml:space="preserve"> </w:t>
      </w:r>
      <w:r w:rsidR="00EB3403">
        <w:t xml:space="preserve">The reporting directive </w:t>
      </w:r>
      <w:r>
        <w:t xml:space="preserve">outlines the reporting obligations of </w:t>
      </w:r>
      <w:r w:rsidR="00277E26">
        <w:t xml:space="preserve">designated </w:t>
      </w:r>
      <w:r>
        <w:t xml:space="preserve">mental health services, the timing and mechanisms by which services </w:t>
      </w:r>
      <w:r w:rsidR="00091676">
        <w:t xml:space="preserve">must </w:t>
      </w:r>
      <w:r>
        <w:t xml:space="preserve">notify the Chief Psychiatrist of </w:t>
      </w:r>
      <w:r w:rsidR="00971E7D">
        <w:t>serious adverse events</w:t>
      </w:r>
      <w:r w:rsidR="00842907">
        <w:t>, the use of ECT on consumers under 18,</w:t>
      </w:r>
      <w:r w:rsidR="00A04C72">
        <w:t xml:space="preserve"> and </w:t>
      </w:r>
      <w:r w:rsidR="00A04C72" w:rsidRPr="7C8B2B7E">
        <w:rPr>
          <w:rStyle w:val="ui-provider"/>
        </w:rPr>
        <w:t>report</w:t>
      </w:r>
      <w:r w:rsidR="5876563F" w:rsidRPr="7C8B2B7E">
        <w:rPr>
          <w:rStyle w:val="ui-provider"/>
        </w:rPr>
        <w:t>ing of</w:t>
      </w:r>
      <w:r w:rsidR="00A04C72" w:rsidRPr="7C8B2B7E">
        <w:rPr>
          <w:rStyle w:val="ui-provider"/>
        </w:rPr>
        <w:t xml:space="preserve"> clinically complex matters involving ECT that are legally and ethically complex to the Chief Psychiatrist for consideration of the ECT Complex Consultation Expert Panel</w:t>
      </w:r>
      <w:r>
        <w:t>.</w:t>
      </w:r>
    </w:p>
    <w:p w14:paraId="4FEEB809" w14:textId="4746AF27" w:rsidR="00A747E0" w:rsidRDefault="00A747E0" w:rsidP="744BAFA0">
      <w:pPr>
        <w:pStyle w:val="Body"/>
      </w:pPr>
      <w:r>
        <w:t xml:space="preserve">In the event of a serious adverse event, designated mental health services must complete </w:t>
      </w:r>
      <w:r w:rsidR="00845428">
        <w:t xml:space="preserve">the </w:t>
      </w:r>
      <w:hyperlink r:id="rId22">
        <w:r w:rsidR="00845428" w:rsidRPr="744BAFA0">
          <w:rPr>
            <w:rStyle w:val="Hyperlink"/>
          </w:rPr>
          <w:t xml:space="preserve">Chief Psychiatrist’s Serious Adverse Event </w:t>
        </w:r>
        <w:r w:rsidR="00EF4CB0" w:rsidRPr="744BAFA0">
          <w:rPr>
            <w:rStyle w:val="Hyperlink"/>
          </w:rPr>
          <w:t>Reporting F</w:t>
        </w:r>
        <w:r w:rsidR="00845428" w:rsidRPr="744BAFA0">
          <w:rPr>
            <w:rStyle w:val="Hyperlink"/>
          </w:rPr>
          <w:t>orm</w:t>
        </w:r>
      </w:hyperlink>
      <w:r w:rsidR="00230F58">
        <w:t xml:space="preserve"> and email to the Office of the Chief Psychiatrist on </w:t>
      </w:r>
      <w:hyperlink r:id="rId23" w:history="1">
        <w:r w:rsidR="00230F58" w:rsidRPr="744BAFA0">
          <w:rPr>
            <w:rStyle w:val="Hyperlink"/>
          </w:rPr>
          <w:t>ocp@health.vic.gov.au</w:t>
        </w:r>
        <w:r w:rsidR="68B777BE" w:rsidRPr="744BAFA0">
          <w:rPr>
            <w:rStyle w:val="Hyperlink"/>
          </w:rPr>
          <w:t xml:space="preserve"> </w:t>
        </w:r>
      </w:hyperlink>
    </w:p>
    <w:p w14:paraId="2B19A220" w14:textId="6814E5CA" w:rsidR="00726575" w:rsidRPr="00B57329" w:rsidRDefault="00726575" w:rsidP="00726575">
      <w:pPr>
        <w:pStyle w:val="Heading2"/>
      </w:pPr>
      <w:bookmarkStart w:id="7" w:name="_Toc140669864"/>
      <w:r>
        <w:t>Further information</w:t>
      </w:r>
      <w:bookmarkEnd w:id="7"/>
    </w:p>
    <w:p w14:paraId="4D880A06" w14:textId="52ED1146" w:rsidR="00462FFB" w:rsidRPr="00EE6CCE" w:rsidRDefault="00DD7B38" w:rsidP="00726575">
      <w:pPr>
        <w:pStyle w:val="Body"/>
      </w:pPr>
      <w:r>
        <w:t>F</w:t>
      </w:r>
      <w:r w:rsidR="00762B9C">
        <w:t>urther i</w:t>
      </w:r>
      <w:r>
        <w:t xml:space="preserve">nformation </w:t>
      </w:r>
      <w:r w:rsidR="00462FFB">
        <w:t xml:space="preserve">on </w:t>
      </w:r>
      <w:r w:rsidR="006E322F">
        <w:t xml:space="preserve">ECT and </w:t>
      </w:r>
      <w:r w:rsidR="49F5712B">
        <w:t>n</w:t>
      </w:r>
      <w:r w:rsidR="004B08A8">
        <w:t xml:space="preserve">eurosurgery </w:t>
      </w:r>
      <w:r w:rsidR="00E019CC">
        <w:t xml:space="preserve">is available on </w:t>
      </w:r>
      <w:r w:rsidR="006E43AA">
        <w:t xml:space="preserve">the </w:t>
      </w:r>
      <w:hyperlink r:id="rId24">
        <w:r w:rsidR="00063590" w:rsidRPr="744BAFA0">
          <w:rPr>
            <w:rStyle w:val="Hyperlink"/>
          </w:rPr>
          <w:t>Health Department’s website</w:t>
        </w:r>
      </w:hyperlink>
      <w:r w:rsidR="00063590">
        <w:t xml:space="preserve">. </w:t>
      </w:r>
    </w:p>
    <w:p w14:paraId="12A6B72B" w14:textId="77777777" w:rsidR="000356C7" w:rsidRDefault="00055893" w:rsidP="00726575">
      <w:pPr>
        <w:pStyle w:val="Body"/>
      </w:pPr>
      <w:r w:rsidRPr="00EE6CCE">
        <w:t xml:space="preserve">The new Act is available for download on the </w:t>
      </w:r>
      <w:hyperlink r:id="rId25" w:history="1">
        <w:r w:rsidRPr="00EE6CCE">
          <w:rPr>
            <w:rStyle w:val="Hyperlink"/>
          </w:rPr>
          <w:t>Victorian Legislation</w:t>
        </w:r>
      </w:hyperlink>
      <w:r w:rsidRPr="00EE6CCE">
        <w:t xml:space="preserve"> website</w:t>
      </w:r>
      <w:r w:rsidR="000356C7">
        <w:t>.</w:t>
      </w:r>
    </w:p>
    <w:p w14:paraId="39FE18FD" w14:textId="429C7F45" w:rsidR="00055893" w:rsidRPr="00EE6CCE" w:rsidRDefault="000356C7" w:rsidP="00726575">
      <w:pPr>
        <w:pStyle w:val="Body"/>
      </w:pPr>
      <w:r>
        <w:t xml:space="preserve">Further information on </w:t>
      </w:r>
      <w:r w:rsidR="008D1485">
        <w:t>ECT</w:t>
      </w:r>
      <w:r>
        <w:t xml:space="preserve"> can be found </w:t>
      </w:r>
      <w:r w:rsidR="0063526E">
        <w:t xml:space="preserve">on </w:t>
      </w:r>
      <w:r>
        <w:t xml:space="preserve">the </w:t>
      </w:r>
      <w:hyperlink r:id="rId26" w:history="1">
        <w:r w:rsidR="00420395">
          <w:rPr>
            <w:rStyle w:val="Hyperlink"/>
          </w:rPr>
          <w:t>Mental Health Tribunal's</w:t>
        </w:r>
      </w:hyperlink>
      <w:r w:rsidR="00420395">
        <w:t xml:space="preserve"> </w:t>
      </w:r>
      <w:r w:rsidR="0063526E">
        <w:t>website.</w:t>
      </w:r>
    </w:p>
    <w:p w14:paraId="72ADB300" w14:textId="1C03A371" w:rsidR="00212D2A" w:rsidRPr="00EE6CCE" w:rsidRDefault="00212D2A" w:rsidP="00726575">
      <w:pPr>
        <w:pStyle w:val="Body"/>
      </w:pPr>
      <w:r w:rsidRPr="00EE6CCE">
        <w:t xml:space="preserve">Queries relating to </w:t>
      </w:r>
      <w:r w:rsidR="0079680C">
        <w:t>ECT</w:t>
      </w:r>
      <w:r w:rsidR="00921A82">
        <w:t xml:space="preserve"> and </w:t>
      </w:r>
      <w:r w:rsidR="00A83894">
        <w:t>Neurosurgery</w:t>
      </w:r>
      <w:r w:rsidR="005837E5">
        <w:t xml:space="preserve"> can be </w:t>
      </w:r>
      <w:r w:rsidR="001B5E23">
        <w:t>e</w:t>
      </w:r>
      <w:r w:rsidR="004840C2">
        <w:t>mail</w:t>
      </w:r>
      <w:r w:rsidR="005837E5">
        <w:t>ed to</w:t>
      </w:r>
      <w:r w:rsidR="004840C2">
        <w:t xml:space="preserve"> </w:t>
      </w:r>
      <w:r w:rsidRPr="00EE6CCE">
        <w:t>the Office of the Chief Psychiatrist</w:t>
      </w:r>
      <w:r w:rsidR="001F70CC">
        <w:t xml:space="preserve"> on</w:t>
      </w:r>
      <w:r w:rsidR="00746AF6">
        <w:t xml:space="preserve"> </w:t>
      </w:r>
      <w:hyperlink r:id="rId27" w:history="1">
        <w:r w:rsidR="005C0CB6">
          <w:rPr>
            <w:rStyle w:val="Hyperlink"/>
          </w:rPr>
          <w:t>ocp</w:t>
        </w:r>
        <w:r w:rsidR="005C0CB6" w:rsidRPr="00A7775A">
          <w:rPr>
            <w:rStyle w:val="Hyperlink"/>
          </w:rPr>
          <w:t>@health.vic.gov.au</w:t>
        </w:r>
      </w:hyperlink>
      <w:r w:rsidR="00746AF6">
        <w:t xml:space="preserve"> </w:t>
      </w:r>
    </w:p>
    <w:p w14:paraId="6DF17FAE" w14:textId="06EEF279" w:rsidR="00726575" w:rsidRPr="00B57329" w:rsidRDefault="009A448B" w:rsidP="00726575">
      <w:pPr>
        <w:pStyle w:val="Heading2"/>
      </w:pPr>
      <w:bookmarkStart w:id="8" w:name="_Toc140669865"/>
      <w:r>
        <w:t>Disclaimer</w:t>
      </w:r>
      <w:bookmarkEnd w:id="8"/>
    </w:p>
    <w:p w14:paraId="0DBB6163" w14:textId="77777777" w:rsidR="00833E9E" w:rsidRDefault="00833E9E" w:rsidP="00833E9E">
      <w:pPr>
        <w:pStyle w:val="Body"/>
      </w:pPr>
      <w:r>
        <w:t xml:space="preserve">This fact sheet summarises key differences between the </w:t>
      </w:r>
      <w:r w:rsidRPr="008C77B5">
        <w:rPr>
          <w:i/>
          <w:iCs/>
        </w:rPr>
        <w:t>Mental Health Act 2014</w:t>
      </w:r>
      <w:r>
        <w:t xml:space="preserve"> and </w:t>
      </w:r>
      <w:r w:rsidRPr="008C77B5">
        <w:rPr>
          <w:i/>
          <w:iCs/>
        </w:rPr>
        <w:t>Mental Health and Wellbeing Act 2022</w:t>
      </w:r>
      <w:r>
        <w:t xml:space="preserve"> that apply to the Chief Psychiatrist’s statutory role. It provides information to assist the mental health and wellbeing sector transition from the old act to the new act in the Chief Psychiatrist’s areas of oversight. The fact sheet is valid for six months from the date of publication. </w:t>
      </w:r>
    </w:p>
    <w:p w14:paraId="22DF3B8B" w14:textId="77777777" w:rsidR="00863F1E" w:rsidRPr="00200176" w:rsidRDefault="00863F1E" w:rsidP="00200176">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2A8DA329" w14:textId="77777777" w:rsidTr="00EC40D5">
        <w:tc>
          <w:tcPr>
            <w:tcW w:w="10194" w:type="dxa"/>
          </w:tcPr>
          <w:p w14:paraId="2012E631" w14:textId="66345E92" w:rsidR="0055119B" w:rsidRPr="0055119B" w:rsidRDefault="0055119B" w:rsidP="0055119B">
            <w:pPr>
              <w:pStyle w:val="Accessibilitypara"/>
            </w:pPr>
            <w:bookmarkStart w:id="9" w:name="_Hlk37240926"/>
            <w:r w:rsidRPr="0055119B">
              <w:t>To receive this document in another format</w:t>
            </w:r>
            <w:r>
              <w:t>,</w:t>
            </w:r>
            <w:r w:rsidRPr="0055119B">
              <w:t xml:space="preserve"> phone</w:t>
            </w:r>
            <w:r w:rsidR="00726575">
              <w:t xml:space="preserve"> 1300 </w:t>
            </w:r>
            <w:r w:rsidR="00233ECF">
              <w:t>767 299</w:t>
            </w:r>
            <w:r w:rsidRPr="0055119B">
              <w:t>, using the National Relay Service 13 36 77 if required, or email</w:t>
            </w:r>
            <w:r w:rsidR="00233ECF">
              <w:t xml:space="preserve"> ocp@health.vic.gov.au</w:t>
            </w:r>
          </w:p>
          <w:p w14:paraId="1015ACE9" w14:textId="77777777" w:rsidR="0055119B" w:rsidRPr="0055119B" w:rsidRDefault="0055119B" w:rsidP="00E33237">
            <w:pPr>
              <w:pStyle w:val="Imprint"/>
            </w:pPr>
            <w:r w:rsidRPr="0055119B">
              <w:t>Authorised and published by the Victorian Government, 1 Treasury Place, Melbourne.</w:t>
            </w:r>
          </w:p>
          <w:p w14:paraId="2A972895" w14:textId="50C2C92D" w:rsidR="0055119B" w:rsidRPr="0055119B" w:rsidRDefault="0055119B" w:rsidP="00E33237">
            <w:pPr>
              <w:pStyle w:val="Imprint"/>
            </w:pPr>
            <w:r w:rsidRPr="0055119B">
              <w:t xml:space="preserve">© State of Victoria, Australia, </w:t>
            </w:r>
            <w:r w:rsidR="001E2A36" w:rsidRPr="001E2A36">
              <w:t>Department of Health</w:t>
            </w:r>
            <w:r w:rsidRPr="0055119B">
              <w:t xml:space="preserve">, </w:t>
            </w:r>
            <w:r w:rsidR="007A35DB">
              <w:rPr>
                <w:color w:val="004C97"/>
              </w:rPr>
              <w:t xml:space="preserve">August </w:t>
            </w:r>
            <w:r w:rsidR="00233ECF" w:rsidRPr="001266BE">
              <w:rPr>
                <w:color w:val="004C97"/>
              </w:rPr>
              <w:t>2023</w:t>
            </w:r>
            <w:r w:rsidRPr="001266BE">
              <w:t>.</w:t>
            </w:r>
          </w:p>
          <w:p w14:paraId="2F9E6D57" w14:textId="19B1AFC4" w:rsidR="0055119B" w:rsidRPr="0055119B" w:rsidRDefault="0055119B" w:rsidP="00E33237">
            <w:pPr>
              <w:pStyle w:val="Imprint"/>
            </w:pPr>
            <w:r w:rsidRPr="0055119B">
              <w:t xml:space="preserve">ISBN/ISSN </w:t>
            </w:r>
            <w:r w:rsidR="00440C87" w:rsidRPr="00440C87">
              <w:rPr>
                <w:color w:val="004C97"/>
              </w:rPr>
              <w:t>978-1-76131-244-1</w:t>
            </w:r>
            <w:r w:rsidRPr="00E33237">
              <w:rPr>
                <w:color w:val="004C97"/>
              </w:rPr>
              <w:t xml:space="preserve"> </w:t>
            </w:r>
            <w:r w:rsidRPr="0055119B">
              <w:t xml:space="preserve">(online/PDF/Word) </w:t>
            </w:r>
          </w:p>
          <w:p w14:paraId="779858A5" w14:textId="5A0B3BE1" w:rsidR="0055119B" w:rsidRDefault="00EA167F" w:rsidP="00E33237">
            <w:pPr>
              <w:pStyle w:val="Imprint"/>
            </w:pPr>
            <w:r w:rsidRPr="0055119B">
              <w:t xml:space="preserve">Available at </w:t>
            </w:r>
            <w:hyperlink r:id="rId28" w:history="1">
              <w:r w:rsidRPr="008A1D12">
                <w:rPr>
                  <w:rStyle w:val="Hyperlink"/>
                </w:rPr>
                <w:t>Office of the Chief Psychiatrist – Reform activities and news</w:t>
              </w:r>
            </w:hyperlink>
            <w:r>
              <w:t xml:space="preserve"> </w:t>
            </w:r>
            <w:r w:rsidRPr="0055119B">
              <w:t>&lt;</w:t>
            </w:r>
            <w:r w:rsidRPr="008A1D12">
              <w:rPr>
                <w:color w:val="auto"/>
              </w:rPr>
              <w:t>https://www.health.vic.gov.au/chief-psychiatrist/office-of-the-chief-psychiatrist-reform-activities-and-news</w:t>
            </w:r>
            <w:r w:rsidRPr="0055119B">
              <w:t>&gt;</w:t>
            </w:r>
          </w:p>
        </w:tc>
      </w:tr>
      <w:bookmarkEnd w:id="9"/>
    </w:tbl>
    <w:p w14:paraId="16B9210E" w14:textId="77777777" w:rsidR="00162CA9" w:rsidRDefault="00162CA9" w:rsidP="00162CA9">
      <w:pPr>
        <w:pStyle w:val="Body"/>
      </w:pPr>
    </w:p>
    <w:sectPr w:rsidR="00162CA9" w:rsidSect="00E62622">
      <w:headerReference w:type="even" r:id="rId29"/>
      <w:headerReference w:type="default" r:id="rId30"/>
      <w:footerReference w:type="default" r:id="rId31"/>
      <w:headerReference w:type="first" r:id="rId3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5E164" w14:textId="77777777" w:rsidR="000965CE" w:rsidRDefault="000965CE">
      <w:r>
        <w:separator/>
      </w:r>
    </w:p>
  </w:endnote>
  <w:endnote w:type="continuationSeparator" w:id="0">
    <w:p w14:paraId="7AF01F6D" w14:textId="77777777" w:rsidR="000965CE" w:rsidRDefault="000965CE">
      <w:r>
        <w:continuationSeparator/>
      </w:r>
    </w:p>
  </w:endnote>
  <w:endnote w:type="continuationNotice" w:id="1">
    <w:p w14:paraId="3DA9048C" w14:textId="77777777" w:rsidR="000965CE" w:rsidRDefault="000965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B617A" w14:textId="77777777" w:rsidR="00E17BAA" w:rsidRDefault="00E17B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12F37" w14:textId="223FBD03" w:rsidR="00E261B3" w:rsidRPr="00F65AA9" w:rsidRDefault="00464110" w:rsidP="00F84FA0">
    <w:pPr>
      <w:pStyle w:val="Footer"/>
    </w:pPr>
    <w:r>
      <w:rPr>
        <w:noProof/>
        <w:lang w:eastAsia="en-AU"/>
      </w:rPr>
      <mc:AlternateContent>
        <mc:Choice Requires="wps">
          <w:drawing>
            <wp:anchor distT="0" distB="0" distL="114300" distR="114300" simplePos="0" relativeHeight="251659267" behindDoc="0" locked="0" layoutInCell="0" allowOverlap="1" wp14:anchorId="0242F017" wp14:editId="417450EA">
              <wp:simplePos x="0" y="0"/>
              <wp:positionH relativeFrom="page">
                <wp:posOffset>0</wp:posOffset>
              </wp:positionH>
              <wp:positionV relativeFrom="page">
                <wp:posOffset>10189210</wp:posOffset>
              </wp:positionV>
              <wp:extent cx="7560310" cy="311785"/>
              <wp:effectExtent l="0" t="0" r="0" b="12065"/>
              <wp:wrapNone/>
              <wp:docPr id="1" name="MSIPCMdaa04f119598a1517dbfc3cc"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C01E9E" w14:textId="5086E17B" w:rsidR="00464110" w:rsidRPr="00464110" w:rsidRDefault="00464110" w:rsidP="00464110">
                          <w:pPr>
                            <w:spacing w:after="0"/>
                            <w:jc w:val="center"/>
                            <w:rPr>
                              <w:rFonts w:ascii="Arial Black" w:hAnsi="Arial Black"/>
                              <w:color w:val="000000"/>
                              <w:sz w:val="20"/>
                            </w:rPr>
                          </w:pPr>
                          <w:r w:rsidRPr="0046411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242F017" id="_x0000_t202" coordsize="21600,21600" o:spt="202" path="m,l,21600r21600,l21600,xe">
              <v:stroke joinstyle="miter"/>
              <v:path gradientshapeok="t" o:connecttype="rect"/>
            </v:shapetype>
            <v:shape id="MSIPCMdaa04f119598a1517dbfc3cc"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92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fill o:detectmouseclick="t"/>
              <v:textbox inset=",0,,0">
                <w:txbxContent>
                  <w:p w14:paraId="2AC01E9E" w14:textId="5086E17B" w:rsidR="00464110" w:rsidRPr="00464110" w:rsidRDefault="00464110" w:rsidP="00464110">
                    <w:pPr>
                      <w:spacing w:after="0"/>
                      <w:jc w:val="center"/>
                      <w:rPr>
                        <w:rFonts w:ascii="Arial Black" w:hAnsi="Arial Black"/>
                        <w:color w:val="000000"/>
                        <w:sz w:val="20"/>
                      </w:rPr>
                    </w:pPr>
                    <w:r w:rsidRPr="00464110">
                      <w:rPr>
                        <w:rFonts w:ascii="Arial Black" w:hAnsi="Arial Black"/>
                        <w:color w:val="000000"/>
                        <w:sz w:val="20"/>
                      </w:rPr>
                      <w:t>OFFICIAL</w:t>
                    </w:r>
                  </w:p>
                </w:txbxContent>
              </v:textbox>
              <w10:wrap anchorx="page" anchory="page"/>
            </v:shape>
          </w:pict>
        </mc:Fallback>
      </mc:AlternateContent>
    </w:r>
    <w:r w:rsidR="0072251A">
      <w:rPr>
        <w:noProof/>
        <w:lang w:eastAsia="en-AU"/>
      </w:rPr>
      <w:drawing>
        <wp:anchor distT="0" distB="0" distL="114300" distR="114300" simplePos="0" relativeHeight="251658242" behindDoc="1" locked="1" layoutInCell="1" allowOverlap="1" wp14:anchorId="19406B5B" wp14:editId="57633216">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13856065" wp14:editId="7ECFB377">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31D7BD"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5788C865">
            <v:shapetype id="_x0000_t202" coordsize="21600,21600" o:spt="202" path="m,l,21600r21600,l21600,xe" w14:anchorId="13856065">
              <v:stroke joinstyle="miter"/>
              <v:path gradientshapeok="t" o:connecttype="rect"/>
            </v:shapetype>
            <v:shape id="Text Box 5"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v:textbox inset=",0,,0">
                <w:txbxContent>
                  <w:p w:rsidRPr="00B21F90" w:rsidR="00E261B3" w:rsidP="00B21F90" w:rsidRDefault="00E261B3" w14:paraId="75F360E3"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B9F53" w14:textId="09E55D54" w:rsidR="00E261B3" w:rsidRDefault="00464110">
    <w:pPr>
      <w:pStyle w:val="Footer"/>
    </w:pPr>
    <w:r>
      <w:rPr>
        <w:noProof/>
      </w:rPr>
      <mc:AlternateContent>
        <mc:Choice Requires="wps">
          <w:drawing>
            <wp:anchor distT="0" distB="0" distL="114300" distR="114300" simplePos="1" relativeHeight="251660291" behindDoc="0" locked="0" layoutInCell="0" allowOverlap="1" wp14:anchorId="3F3A1DDB" wp14:editId="19F40124">
              <wp:simplePos x="0" y="10189687"/>
              <wp:positionH relativeFrom="page">
                <wp:posOffset>0</wp:posOffset>
              </wp:positionH>
              <wp:positionV relativeFrom="page">
                <wp:posOffset>10189210</wp:posOffset>
              </wp:positionV>
              <wp:extent cx="7560310" cy="311785"/>
              <wp:effectExtent l="0" t="0" r="0" b="12065"/>
              <wp:wrapNone/>
              <wp:docPr id="3" name="MSIPCM8c1744a08a0f0d95651785ad"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EB977F6" w14:textId="65091327" w:rsidR="00464110" w:rsidRPr="00464110" w:rsidRDefault="00464110" w:rsidP="00464110">
                          <w:pPr>
                            <w:spacing w:after="0"/>
                            <w:jc w:val="center"/>
                            <w:rPr>
                              <w:rFonts w:ascii="Arial Black" w:hAnsi="Arial Black"/>
                              <w:color w:val="000000"/>
                              <w:sz w:val="20"/>
                            </w:rPr>
                          </w:pPr>
                          <w:r w:rsidRPr="0046411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3A1DDB" id="_x0000_t202" coordsize="21600,21600" o:spt="202" path="m,l,21600r21600,l21600,xe">
              <v:stroke joinstyle="miter"/>
              <v:path gradientshapeok="t" o:connecttype="rect"/>
            </v:shapetype>
            <v:shape id="MSIPCM8c1744a08a0f0d95651785ad" o:spid="_x0000_s1028"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6029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fill o:detectmouseclick="t"/>
              <v:textbox inset=",0,,0">
                <w:txbxContent>
                  <w:p w14:paraId="5EB977F6" w14:textId="65091327" w:rsidR="00464110" w:rsidRPr="00464110" w:rsidRDefault="00464110" w:rsidP="00464110">
                    <w:pPr>
                      <w:spacing w:after="0"/>
                      <w:jc w:val="center"/>
                      <w:rPr>
                        <w:rFonts w:ascii="Arial Black" w:hAnsi="Arial Black"/>
                        <w:color w:val="000000"/>
                        <w:sz w:val="20"/>
                      </w:rPr>
                    </w:pPr>
                    <w:r w:rsidRPr="00464110">
                      <w:rPr>
                        <w:rFonts w:ascii="Arial Black" w:hAnsi="Arial Black"/>
                        <w:color w:val="000000"/>
                        <w:sz w:val="20"/>
                      </w:rPr>
                      <w:t>OFFICIAL</w:t>
                    </w:r>
                  </w:p>
                </w:txbxContent>
              </v:textbox>
              <w10:wrap anchorx="page" anchory="page"/>
            </v:shape>
          </w:pict>
        </mc:Fallback>
      </mc:AlternateContent>
    </w:r>
    <w:r w:rsidR="00E261B3">
      <w:rPr>
        <w:noProof/>
      </w:rPr>
      <mc:AlternateContent>
        <mc:Choice Requires="wps">
          <w:drawing>
            <wp:anchor distT="0" distB="0" distL="114300" distR="114300" simplePos="1" relativeHeight="251658241" behindDoc="0" locked="0" layoutInCell="0" allowOverlap="1" wp14:anchorId="0124E5F4" wp14:editId="7F966FB8">
              <wp:simplePos x="0" y="10189687"/>
              <wp:positionH relativeFrom="page">
                <wp:posOffset>0</wp:posOffset>
              </wp:positionH>
              <wp:positionV relativeFrom="page">
                <wp:posOffset>10189210</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87A80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62294E72">
            <v:shapetype id="_x0000_t202" coordsize="21600,21600" o:spt="202" path="m,l,21600r21600,l21600,xe" w14:anchorId="0124E5F4">
              <v:stroke joinstyle="miter"/>
              <v:path gradientshapeok="t" o:connecttype="rect"/>
            </v:shapetype>
            <v:shape id="Text Box 6"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FirstPage&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v:textbox inset=",0,,0">
                <w:txbxContent>
                  <w:p w:rsidRPr="00B21F90" w:rsidR="00E261B3" w:rsidP="00B21F90" w:rsidRDefault="00E261B3" w14:paraId="09E77742"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27A54" w14:textId="68EC2856" w:rsidR="00373890" w:rsidRPr="00F65AA9" w:rsidRDefault="00464110" w:rsidP="00F84FA0">
    <w:pPr>
      <w:pStyle w:val="Footer"/>
    </w:pPr>
    <w:r>
      <w:rPr>
        <w:noProof/>
      </w:rPr>
      <mc:AlternateContent>
        <mc:Choice Requires="wps">
          <w:drawing>
            <wp:anchor distT="0" distB="0" distL="114300" distR="114300" simplePos="0" relativeHeight="251661315" behindDoc="0" locked="0" layoutInCell="0" allowOverlap="1" wp14:anchorId="46D45929" wp14:editId="52D56DC9">
              <wp:simplePos x="0" y="0"/>
              <wp:positionH relativeFrom="page">
                <wp:posOffset>0</wp:posOffset>
              </wp:positionH>
              <wp:positionV relativeFrom="page">
                <wp:posOffset>10189210</wp:posOffset>
              </wp:positionV>
              <wp:extent cx="7560310" cy="311785"/>
              <wp:effectExtent l="0" t="0" r="0" b="12065"/>
              <wp:wrapNone/>
              <wp:docPr id="4" name="MSIPCMc0084843a18755f26ba7a993"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7DF359" w14:textId="4786D75F" w:rsidR="00464110" w:rsidRPr="00464110" w:rsidRDefault="00464110" w:rsidP="00464110">
                          <w:pPr>
                            <w:spacing w:after="0"/>
                            <w:jc w:val="center"/>
                            <w:rPr>
                              <w:rFonts w:ascii="Arial Black" w:hAnsi="Arial Black"/>
                              <w:color w:val="000000"/>
                              <w:sz w:val="20"/>
                            </w:rPr>
                          </w:pPr>
                          <w:r w:rsidRPr="0046411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6D45929" id="_x0000_t202" coordsize="21600,21600" o:spt="202" path="m,l,21600r21600,l21600,xe">
              <v:stroke joinstyle="miter"/>
              <v:path gradientshapeok="t" o:connecttype="rect"/>
            </v:shapetype>
            <v:shape id="MSIPCMc0084843a18755f26ba7a993" o:spid="_x0000_s1030"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6131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fill o:detectmouseclick="t"/>
              <v:textbox inset=",0,,0">
                <w:txbxContent>
                  <w:p w14:paraId="6E7DF359" w14:textId="4786D75F" w:rsidR="00464110" w:rsidRPr="00464110" w:rsidRDefault="00464110" w:rsidP="00464110">
                    <w:pPr>
                      <w:spacing w:after="0"/>
                      <w:jc w:val="center"/>
                      <w:rPr>
                        <w:rFonts w:ascii="Arial Black" w:hAnsi="Arial Black"/>
                        <w:color w:val="000000"/>
                        <w:sz w:val="20"/>
                      </w:rPr>
                    </w:pPr>
                    <w:r w:rsidRPr="00464110">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58243" behindDoc="0" locked="0" layoutInCell="0" allowOverlap="1" wp14:anchorId="4948DAE2" wp14:editId="0B01EAD8">
              <wp:simplePos x="0" y="0"/>
              <wp:positionH relativeFrom="page">
                <wp:posOffset>0</wp:posOffset>
              </wp:positionH>
              <wp:positionV relativeFrom="page">
                <wp:posOffset>10189210</wp:posOffset>
              </wp:positionV>
              <wp:extent cx="7560310" cy="311785"/>
              <wp:effectExtent l="0" t="0" r="0" b="12065"/>
              <wp:wrapNone/>
              <wp:docPr id="7" name="Text Box 7"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85E69E"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19E95458">
            <v:shapetype id="_x0000_t202" coordsize="21600,21600" o:spt="202" path="m,l,21600r21600,l21600,xe" w14:anchorId="4948DAE2">
              <v:stroke joinstyle="miter"/>
              <v:path gradientshapeok="t" o:connecttype="rect"/>
            </v:shapetype>
            <v:shape id="Text Box 7"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3,&quot;Top&quot;:0.0,&quot;Left&quot;:0.0}" o:spid="_x0000_s102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v:textbox inset=",0,,0">
                <w:txbxContent>
                  <w:p w:rsidRPr="00B07FF7" w:rsidR="00B07FF7" w:rsidP="00B07FF7" w:rsidRDefault="00B07FF7" w14:paraId="08CE8BEA" w14:textId="7777777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28406" w14:textId="77777777" w:rsidR="000965CE" w:rsidRDefault="000965CE" w:rsidP="002862F1">
      <w:pPr>
        <w:spacing w:before="120"/>
      </w:pPr>
      <w:r>
        <w:separator/>
      </w:r>
    </w:p>
  </w:footnote>
  <w:footnote w:type="continuationSeparator" w:id="0">
    <w:p w14:paraId="4A525309" w14:textId="77777777" w:rsidR="000965CE" w:rsidRDefault="000965CE">
      <w:r>
        <w:continuationSeparator/>
      </w:r>
    </w:p>
  </w:footnote>
  <w:footnote w:type="continuationNotice" w:id="1">
    <w:p w14:paraId="19E3B3C7" w14:textId="77777777" w:rsidR="000965CE" w:rsidRDefault="000965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07D6F" w14:textId="77777777" w:rsidR="00E17BAA" w:rsidRDefault="00E17B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E4466" w14:textId="4180B36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E226F" w14:textId="77777777" w:rsidR="00E17BAA" w:rsidRDefault="00E17BA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B46C5" w14:textId="27EDB410" w:rsidR="004311E6" w:rsidRDefault="004311E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B9F5E" w14:textId="65218BD3" w:rsidR="00E261B3" w:rsidRPr="0051568D" w:rsidRDefault="008C3697" w:rsidP="0011701A">
    <w:pPr>
      <w:pStyle w:val="Header"/>
    </w:pPr>
    <w:r>
      <w:t>Document title</w:t>
    </w:r>
    <w:r w:rsidR="00536395">
      <w:t xml:space="preserve"> (use Header style)</w:t>
    </w:r>
    <w:r>
      <w:ptab w:relativeTo="margin" w:alignment="right" w:leader="none"/>
    </w:r>
    <w:r w:rsidRPr="007E1227">
      <w:rPr>
        <w:b w:val="0"/>
        <w:bCs/>
      </w:rPr>
      <w:fldChar w:fldCharType="begin"/>
    </w:r>
    <w:r w:rsidRPr="007E1227">
      <w:rPr>
        <w:bCs/>
      </w:rPr>
      <w:instrText xml:space="preserve"> PAGE </w:instrText>
    </w:r>
    <w:r w:rsidRPr="007E1227">
      <w:rPr>
        <w:b w:val="0"/>
        <w:bCs/>
      </w:rPr>
      <w:fldChar w:fldCharType="separate"/>
    </w:r>
    <w:r w:rsidRPr="007E1227">
      <w:rPr>
        <w:bCs/>
      </w:rPr>
      <w:t>3</w:t>
    </w:r>
    <w:r w:rsidRPr="007E1227">
      <w:rPr>
        <w:b w:val="0"/>
        <w:bC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AAB8D" w14:textId="016F5A74" w:rsidR="004311E6" w:rsidRDefault="004311E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48FB0" w14:textId="75EB08DF" w:rsidR="004311E6" w:rsidRDefault="004311E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38C7B" w14:textId="54C053AA" w:rsidR="004311E6" w:rsidRDefault="004311E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E46BE" w14:textId="52FE03F7" w:rsidR="004311E6" w:rsidRDefault="004311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A515B61"/>
    <w:multiLevelType w:val="multilevel"/>
    <w:tmpl w:val="D5F4A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0C71C78"/>
    <w:multiLevelType w:val="hybridMultilevel"/>
    <w:tmpl w:val="A1DA91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466658835">
    <w:abstractNumId w:val="10"/>
  </w:num>
  <w:num w:numId="2" w16cid:durableId="1254319796">
    <w:abstractNumId w:val="19"/>
  </w:num>
  <w:num w:numId="3" w16cid:durableId="19140503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86674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5560708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081140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06704490">
    <w:abstractNumId w:val="23"/>
  </w:num>
  <w:num w:numId="8" w16cid:durableId="1317879730">
    <w:abstractNumId w:val="18"/>
  </w:num>
  <w:num w:numId="9" w16cid:durableId="760491497">
    <w:abstractNumId w:val="22"/>
  </w:num>
  <w:num w:numId="10" w16cid:durableId="18215309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97691299">
    <w:abstractNumId w:val="24"/>
  </w:num>
  <w:num w:numId="12" w16cid:durableId="176445267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73902801">
    <w:abstractNumId w:val="20"/>
  </w:num>
  <w:num w:numId="14" w16cid:durableId="13735797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959987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740666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978182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17894411">
    <w:abstractNumId w:val="26"/>
  </w:num>
  <w:num w:numId="19" w16cid:durableId="25077290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34378829">
    <w:abstractNumId w:val="14"/>
  </w:num>
  <w:num w:numId="21" w16cid:durableId="1577090660">
    <w:abstractNumId w:val="12"/>
  </w:num>
  <w:num w:numId="22" w16cid:durableId="1852177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43388784">
    <w:abstractNumId w:val="15"/>
  </w:num>
  <w:num w:numId="24" w16cid:durableId="1364936056">
    <w:abstractNumId w:val="27"/>
  </w:num>
  <w:num w:numId="25" w16cid:durableId="1697385716">
    <w:abstractNumId w:val="25"/>
  </w:num>
  <w:num w:numId="26" w16cid:durableId="571739112">
    <w:abstractNumId w:val="21"/>
  </w:num>
  <w:num w:numId="27" w16cid:durableId="2095008437">
    <w:abstractNumId w:val="11"/>
  </w:num>
  <w:num w:numId="28" w16cid:durableId="1663046109">
    <w:abstractNumId w:val="28"/>
  </w:num>
  <w:num w:numId="29" w16cid:durableId="1328098862">
    <w:abstractNumId w:val="9"/>
  </w:num>
  <w:num w:numId="30" w16cid:durableId="956453068">
    <w:abstractNumId w:val="7"/>
  </w:num>
  <w:num w:numId="31" w16cid:durableId="143544428">
    <w:abstractNumId w:val="6"/>
  </w:num>
  <w:num w:numId="32" w16cid:durableId="2031564770">
    <w:abstractNumId w:val="5"/>
  </w:num>
  <w:num w:numId="33" w16cid:durableId="1721630863">
    <w:abstractNumId w:val="4"/>
  </w:num>
  <w:num w:numId="34" w16cid:durableId="1568766560">
    <w:abstractNumId w:val="8"/>
  </w:num>
  <w:num w:numId="35" w16cid:durableId="1439638155">
    <w:abstractNumId w:val="3"/>
  </w:num>
  <w:num w:numId="36" w16cid:durableId="1842158144">
    <w:abstractNumId w:val="2"/>
  </w:num>
  <w:num w:numId="37" w16cid:durableId="327095076">
    <w:abstractNumId w:val="1"/>
  </w:num>
  <w:num w:numId="38" w16cid:durableId="416287343">
    <w:abstractNumId w:val="0"/>
  </w:num>
  <w:num w:numId="39" w16cid:durableId="187534539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75331046">
    <w:abstractNumId w:val="17"/>
  </w:num>
  <w:num w:numId="41" w16cid:durableId="943151469">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F1E"/>
    <w:rsid w:val="00000719"/>
    <w:rsid w:val="00003403"/>
    <w:rsid w:val="00005347"/>
    <w:rsid w:val="000072B6"/>
    <w:rsid w:val="00007548"/>
    <w:rsid w:val="0001021B"/>
    <w:rsid w:val="00011D89"/>
    <w:rsid w:val="000154FD"/>
    <w:rsid w:val="00016FBF"/>
    <w:rsid w:val="00022271"/>
    <w:rsid w:val="000235E8"/>
    <w:rsid w:val="000236CD"/>
    <w:rsid w:val="00024D89"/>
    <w:rsid w:val="0002507E"/>
    <w:rsid w:val="000250B6"/>
    <w:rsid w:val="000305D5"/>
    <w:rsid w:val="00033D81"/>
    <w:rsid w:val="000356C7"/>
    <w:rsid w:val="00037366"/>
    <w:rsid w:val="00041BF0"/>
    <w:rsid w:val="00042C8A"/>
    <w:rsid w:val="0004536B"/>
    <w:rsid w:val="00046B68"/>
    <w:rsid w:val="000527DD"/>
    <w:rsid w:val="00055893"/>
    <w:rsid w:val="000578B2"/>
    <w:rsid w:val="00060959"/>
    <w:rsid w:val="00060C8F"/>
    <w:rsid w:val="0006298A"/>
    <w:rsid w:val="00063590"/>
    <w:rsid w:val="000663CD"/>
    <w:rsid w:val="00071714"/>
    <w:rsid w:val="000733FE"/>
    <w:rsid w:val="00074219"/>
    <w:rsid w:val="00074CB1"/>
    <w:rsid w:val="00074ED5"/>
    <w:rsid w:val="000835C6"/>
    <w:rsid w:val="0008508E"/>
    <w:rsid w:val="00087951"/>
    <w:rsid w:val="0009113B"/>
    <w:rsid w:val="00091676"/>
    <w:rsid w:val="00093402"/>
    <w:rsid w:val="00094DA3"/>
    <w:rsid w:val="000965CE"/>
    <w:rsid w:val="00096CD1"/>
    <w:rsid w:val="000A012C"/>
    <w:rsid w:val="000A0EB9"/>
    <w:rsid w:val="000A186C"/>
    <w:rsid w:val="000A1EA4"/>
    <w:rsid w:val="000A2476"/>
    <w:rsid w:val="000A641A"/>
    <w:rsid w:val="000B3EDB"/>
    <w:rsid w:val="000B543D"/>
    <w:rsid w:val="000B55F9"/>
    <w:rsid w:val="000B5BF7"/>
    <w:rsid w:val="000B6BC8"/>
    <w:rsid w:val="000C0303"/>
    <w:rsid w:val="000C2CDD"/>
    <w:rsid w:val="000C2FC4"/>
    <w:rsid w:val="000C42EA"/>
    <w:rsid w:val="000C4546"/>
    <w:rsid w:val="000D1242"/>
    <w:rsid w:val="000E0970"/>
    <w:rsid w:val="000E1910"/>
    <w:rsid w:val="000E334C"/>
    <w:rsid w:val="000E3946"/>
    <w:rsid w:val="000E3CC7"/>
    <w:rsid w:val="000E6BD4"/>
    <w:rsid w:val="000E6D6D"/>
    <w:rsid w:val="000E6FFC"/>
    <w:rsid w:val="000F1048"/>
    <w:rsid w:val="000F1F1E"/>
    <w:rsid w:val="000F2259"/>
    <w:rsid w:val="000F2DDA"/>
    <w:rsid w:val="000F5213"/>
    <w:rsid w:val="00101001"/>
    <w:rsid w:val="00103276"/>
    <w:rsid w:val="0010392D"/>
    <w:rsid w:val="0010447F"/>
    <w:rsid w:val="00104FE3"/>
    <w:rsid w:val="0010714F"/>
    <w:rsid w:val="001120C5"/>
    <w:rsid w:val="00112B0A"/>
    <w:rsid w:val="00115092"/>
    <w:rsid w:val="0011701A"/>
    <w:rsid w:val="00120BD3"/>
    <w:rsid w:val="00122FEA"/>
    <w:rsid w:val="001232BD"/>
    <w:rsid w:val="00124ED5"/>
    <w:rsid w:val="001266BE"/>
    <w:rsid w:val="001276FA"/>
    <w:rsid w:val="00141694"/>
    <w:rsid w:val="0014243E"/>
    <w:rsid w:val="0014255B"/>
    <w:rsid w:val="001447B3"/>
    <w:rsid w:val="0015030B"/>
    <w:rsid w:val="00152073"/>
    <w:rsid w:val="00154E2D"/>
    <w:rsid w:val="00156598"/>
    <w:rsid w:val="00161939"/>
    <w:rsid w:val="00161AA0"/>
    <w:rsid w:val="00161D2E"/>
    <w:rsid w:val="00161F3E"/>
    <w:rsid w:val="00162093"/>
    <w:rsid w:val="00162CA9"/>
    <w:rsid w:val="00165459"/>
    <w:rsid w:val="00165575"/>
    <w:rsid w:val="00165A57"/>
    <w:rsid w:val="001712C2"/>
    <w:rsid w:val="00172BAF"/>
    <w:rsid w:val="001771DD"/>
    <w:rsid w:val="00177995"/>
    <w:rsid w:val="00177A8C"/>
    <w:rsid w:val="0018085B"/>
    <w:rsid w:val="00180D29"/>
    <w:rsid w:val="00186B33"/>
    <w:rsid w:val="00192F9D"/>
    <w:rsid w:val="00196EB8"/>
    <w:rsid w:val="00196EFB"/>
    <w:rsid w:val="001979FF"/>
    <w:rsid w:val="00197B17"/>
    <w:rsid w:val="001A1950"/>
    <w:rsid w:val="001A1C54"/>
    <w:rsid w:val="001A3ACE"/>
    <w:rsid w:val="001B058F"/>
    <w:rsid w:val="001B4612"/>
    <w:rsid w:val="001B54EA"/>
    <w:rsid w:val="001B5E23"/>
    <w:rsid w:val="001B738B"/>
    <w:rsid w:val="001C09DB"/>
    <w:rsid w:val="001C277E"/>
    <w:rsid w:val="001C2A72"/>
    <w:rsid w:val="001C31B7"/>
    <w:rsid w:val="001D0B75"/>
    <w:rsid w:val="001D39A5"/>
    <w:rsid w:val="001D3C09"/>
    <w:rsid w:val="001D44E8"/>
    <w:rsid w:val="001D5D56"/>
    <w:rsid w:val="001D60EC"/>
    <w:rsid w:val="001D6F59"/>
    <w:rsid w:val="001E0C5D"/>
    <w:rsid w:val="001E1175"/>
    <w:rsid w:val="001E2A36"/>
    <w:rsid w:val="001E344E"/>
    <w:rsid w:val="001E44DF"/>
    <w:rsid w:val="001E5058"/>
    <w:rsid w:val="001E68A5"/>
    <w:rsid w:val="001E6BB0"/>
    <w:rsid w:val="001E7282"/>
    <w:rsid w:val="001F37FC"/>
    <w:rsid w:val="001F3826"/>
    <w:rsid w:val="001F38C7"/>
    <w:rsid w:val="001F6BAF"/>
    <w:rsid w:val="001F6E46"/>
    <w:rsid w:val="001F70CC"/>
    <w:rsid w:val="001F7186"/>
    <w:rsid w:val="001F7C91"/>
    <w:rsid w:val="00200176"/>
    <w:rsid w:val="002033B7"/>
    <w:rsid w:val="00206463"/>
    <w:rsid w:val="00206F2F"/>
    <w:rsid w:val="0021053D"/>
    <w:rsid w:val="00210A92"/>
    <w:rsid w:val="0021155A"/>
    <w:rsid w:val="00212D2A"/>
    <w:rsid w:val="00216C03"/>
    <w:rsid w:val="00220C04"/>
    <w:rsid w:val="0022273A"/>
    <w:rsid w:val="0022278D"/>
    <w:rsid w:val="0022447A"/>
    <w:rsid w:val="0022571D"/>
    <w:rsid w:val="0022701F"/>
    <w:rsid w:val="00227C68"/>
    <w:rsid w:val="00230F58"/>
    <w:rsid w:val="00232EB0"/>
    <w:rsid w:val="002333F5"/>
    <w:rsid w:val="00233724"/>
    <w:rsid w:val="00233ECF"/>
    <w:rsid w:val="002365B4"/>
    <w:rsid w:val="00242FCC"/>
    <w:rsid w:val="002432E1"/>
    <w:rsid w:val="00246207"/>
    <w:rsid w:val="00246C5E"/>
    <w:rsid w:val="00250960"/>
    <w:rsid w:val="00251343"/>
    <w:rsid w:val="002536A4"/>
    <w:rsid w:val="00254F58"/>
    <w:rsid w:val="002620BC"/>
    <w:rsid w:val="00262802"/>
    <w:rsid w:val="00263A90"/>
    <w:rsid w:val="00263C1F"/>
    <w:rsid w:val="0026408B"/>
    <w:rsid w:val="00264441"/>
    <w:rsid w:val="00267C3E"/>
    <w:rsid w:val="002709BB"/>
    <w:rsid w:val="0027113F"/>
    <w:rsid w:val="00273BAC"/>
    <w:rsid w:val="002763B3"/>
    <w:rsid w:val="00277E26"/>
    <w:rsid w:val="002802E3"/>
    <w:rsid w:val="0028213D"/>
    <w:rsid w:val="002862F1"/>
    <w:rsid w:val="00291373"/>
    <w:rsid w:val="002942F4"/>
    <w:rsid w:val="0029597D"/>
    <w:rsid w:val="002962C3"/>
    <w:rsid w:val="0029752B"/>
    <w:rsid w:val="002A0A9C"/>
    <w:rsid w:val="002A483C"/>
    <w:rsid w:val="002A708D"/>
    <w:rsid w:val="002A739E"/>
    <w:rsid w:val="002B0C7C"/>
    <w:rsid w:val="002B1729"/>
    <w:rsid w:val="002B36C7"/>
    <w:rsid w:val="002B3C34"/>
    <w:rsid w:val="002B4993"/>
    <w:rsid w:val="002B4DD4"/>
    <w:rsid w:val="002B5277"/>
    <w:rsid w:val="002B5375"/>
    <w:rsid w:val="002B77C1"/>
    <w:rsid w:val="002B7987"/>
    <w:rsid w:val="002C0ED7"/>
    <w:rsid w:val="002C2728"/>
    <w:rsid w:val="002D1E0D"/>
    <w:rsid w:val="002D5006"/>
    <w:rsid w:val="002E01D0"/>
    <w:rsid w:val="002E161D"/>
    <w:rsid w:val="002E3100"/>
    <w:rsid w:val="002E6C95"/>
    <w:rsid w:val="002E7C36"/>
    <w:rsid w:val="002F0107"/>
    <w:rsid w:val="002F3D32"/>
    <w:rsid w:val="002F4FA7"/>
    <w:rsid w:val="002F5F31"/>
    <w:rsid w:val="002F5F46"/>
    <w:rsid w:val="00302216"/>
    <w:rsid w:val="00303E53"/>
    <w:rsid w:val="00305CC1"/>
    <w:rsid w:val="00306E5F"/>
    <w:rsid w:val="00307E14"/>
    <w:rsid w:val="00314054"/>
    <w:rsid w:val="00315808"/>
    <w:rsid w:val="00315BD8"/>
    <w:rsid w:val="00316F27"/>
    <w:rsid w:val="003214F1"/>
    <w:rsid w:val="00322E4B"/>
    <w:rsid w:val="00327181"/>
    <w:rsid w:val="00327870"/>
    <w:rsid w:val="0033259D"/>
    <w:rsid w:val="00332A31"/>
    <w:rsid w:val="003333D2"/>
    <w:rsid w:val="0033462C"/>
    <w:rsid w:val="0033545F"/>
    <w:rsid w:val="003406C6"/>
    <w:rsid w:val="003418CC"/>
    <w:rsid w:val="003459BD"/>
    <w:rsid w:val="00350D38"/>
    <w:rsid w:val="00351B36"/>
    <w:rsid w:val="00357B4E"/>
    <w:rsid w:val="003638FD"/>
    <w:rsid w:val="0036650B"/>
    <w:rsid w:val="003716FD"/>
    <w:rsid w:val="0037204B"/>
    <w:rsid w:val="00373890"/>
    <w:rsid w:val="003744CF"/>
    <w:rsid w:val="00374717"/>
    <w:rsid w:val="0037676C"/>
    <w:rsid w:val="00381043"/>
    <w:rsid w:val="003829E5"/>
    <w:rsid w:val="00386109"/>
    <w:rsid w:val="00386944"/>
    <w:rsid w:val="00387225"/>
    <w:rsid w:val="00390772"/>
    <w:rsid w:val="00393B8A"/>
    <w:rsid w:val="003956CC"/>
    <w:rsid w:val="00395C9A"/>
    <w:rsid w:val="003A0853"/>
    <w:rsid w:val="003A2A38"/>
    <w:rsid w:val="003A6B67"/>
    <w:rsid w:val="003B13B6"/>
    <w:rsid w:val="003B15E6"/>
    <w:rsid w:val="003B408A"/>
    <w:rsid w:val="003B5733"/>
    <w:rsid w:val="003B6BB9"/>
    <w:rsid w:val="003B79C3"/>
    <w:rsid w:val="003C0427"/>
    <w:rsid w:val="003C08A2"/>
    <w:rsid w:val="003C2045"/>
    <w:rsid w:val="003C350F"/>
    <w:rsid w:val="003C43A1"/>
    <w:rsid w:val="003C4E35"/>
    <w:rsid w:val="003C4FC0"/>
    <w:rsid w:val="003C55F4"/>
    <w:rsid w:val="003C7897"/>
    <w:rsid w:val="003C7A3F"/>
    <w:rsid w:val="003C7EBA"/>
    <w:rsid w:val="003D2766"/>
    <w:rsid w:val="003D2A74"/>
    <w:rsid w:val="003D3E8F"/>
    <w:rsid w:val="003D6475"/>
    <w:rsid w:val="003E375C"/>
    <w:rsid w:val="003E4086"/>
    <w:rsid w:val="003E639E"/>
    <w:rsid w:val="003E71E5"/>
    <w:rsid w:val="003F0445"/>
    <w:rsid w:val="003F0CF0"/>
    <w:rsid w:val="003F14B1"/>
    <w:rsid w:val="003F260D"/>
    <w:rsid w:val="003F2B20"/>
    <w:rsid w:val="003F3289"/>
    <w:rsid w:val="003F5CB9"/>
    <w:rsid w:val="004013C7"/>
    <w:rsid w:val="00401FCF"/>
    <w:rsid w:val="0040248F"/>
    <w:rsid w:val="00406285"/>
    <w:rsid w:val="00411139"/>
    <w:rsid w:val="004112C6"/>
    <w:rsid w:val="004148F9"/>
    <w:rsid w:val="00414D4A"/>
    <w:rsid w:val="004172AF"/>
    <w:rsid w:val="00420395"/>
    <w:rsid w:val="0042084E"/>
    <w:rsid w:val="00421EEF"/>
    <w:rsid w:val="00423583"/>
    <w:rsid w:val="00424D65"/>
    <w:rsid w:val="00426B2A"/>
    <w:rsid w:val="004306D8"/>
    <w:rsid w:val="004311E6"/>
    <w:rsid w:val="00435786"/>
    <w:rsid w:val="00440C87"/>
    <w:rsid w:val="00442C6C"/>
    <w:rsid w:val="00443CBE"/>
    <w:rsid w:val="00443E8A"/>
    <w:rsid w:val="004441BC"/>
    <w:rsid w:val="004468B4"/>
    <w:rsid w:val="0045230A"/>
    <w:rsid w:val="00454AD0"/>
    <w:rsid w:val="00457337"/>
    <w:rsid w:val="00462E3D"/>
    <w:rsid w:val="00462FFB"/>
    <w:rsid w:val="00464110"/>
    <w:rsid w:val="00466E46"/>
    <w:rsid w:val="00466E79"/>
    <w:rsid w:val="00470D7D"/>
    <w:rsid w:val="0047372D"/>
    <w:rsid w:val="00473BA3"/>
    <w:rsid w:val="004743DD"/>
    <w:rsid w:val="00474CEA"/>
    <w:rsid w:val="004820E9"/>
    <w:rsid w:val="0048317D"/>
    <w:rsid w:val="00483968"/>
    <w:rsid w:val="004840C2"/>
    <w:rsid w:val="00484F86"/>
    <w:rsid w:val="0048665E"/>
    <w:rsid w:val="00490746"/>
    <w:rsid w:val="00490852"/>
    <w:rsid w:val="00491C9C"/>
    <w:rsid w:val="00492F30"/>
    <w:rsid w:val="004946F4"/>
    <w:rsid w:val="0049487E"/>
    <w:rsid w:val="00494C4E"/>
    <w:rsid w:val="004A160D"/>
    <w:rsid w:val="004A3E81"/>
    <w:rsid w:val="004A4195"/>
    <w:rsid w:val="004A5C62"/>
    <w:rsid w:val="004A5CE5"/>
    <w:rsid w:val="004A707D"/>
    <w:rsid w:val="004B08A8"/>
    <w:rsid w:val="004B5784"/>
    <w:rsid w:val="004C5541"/>
    <w:rsid w:val="004C6992"/>
    <w:rsid w:val="004C6EEE"/>
    <w:rsid w:val="004C702B"/>
    <w:rsid w:val="004D0033"/>
    <w:rsid w:val="004D016B"/>
    <w:rsid w:val="004D1B22"/>
    <w:rsid w:val="004D23CC"/>
    <w:rsid w:val="004D36F2"/>
    <w:rsid w:val="004D452E"/>
    <w:rsid w:val="004E0776"/>
    <w:rsid w:val="004E1106"/>
    <w:rsid w:val="004E138F"/>
    <w:rsid w:val="004E159B"/>
    <w:rsid w:val="004E335F"/>
    <w:rsid w:val="004E4649"/>
    <w:rsid w:val="004E5C2B"/>
    <w:rsid w:val="004F00DD"/>
    <w:rsid w:val="004F2133"/>
    <w:rsid w:val="004F2A50"/>
    <w:rsid w:val="004F2E21"/>
    <w:rsid w:val="004F5398"/>
    <w:rsid w:val="004F55F1"/>
    <w:rsid w:val="004F6936"/>
    <w:rsid w:val="00503DC6"/>
    <w:rsid w:val="00506F5D"/>
    <w:rsid w:val="00510C37"/>
    <w:rsid w:val="005126D0"/>
    <w:rsid w:val="0051568D"/>
    <w:rsid w:val="005221FE"/>
    <w:rsid w:val="005263CF"/>
    <w:rsid w:val="00526AC7"/>
    <w:rsid w:val="00526C15"/>
    <w:rsid w:val="00531E7D"/>
    <w:rsid w:val="00536395"/>
    <w:rsid w:val="00536499"/>
    <w:rsid w:val="00543903"/>
    <w:rsid w:val="00543F11"/>
    <w:rsid w:val="00546305"/>
    <w:rsid w:val="00547A95"/>
    <w:rsid w:val="0055119B"/>
    <w:rsid w:val="005548B5"/>
    <w:rsid w:val="00561430"/>
    <w:rsid w:val="00561946"/>
    <w:rsid w:val="00572031"/>
    <w:rsid w:val="00572282"/>
    <w:rsid w:val="00573CE3"/>
    <w:rsid w:val="00576E84"/>
    <w:rsid w:val="00580394"/>
    <w:rsid w:val="0058052F"/>
    <w:rsid w:val="005809CD"/>
    <w:rsid w:val="00582493"/>
    <w:rsid w:val="00582B8C"/>
    <w:rsid w:val="005837E5"/>
    <w:rsid w:val="005847D0"/>
    <w:rsid w:val="0058757E"/>
    <w:rsid w:val="00595212"/>
    <w:rsid w:val="00596A4B"/>
    <w:rsid w:val="00597507"/>
    <w:rsid w:val="005A479D"/>
    <w:rsid w:val="005B1C6D"/>
    <w:rsid w:val="005B21B6"/>
    <w:rsid w:val="005B3A08"/>
    <w:rsid w:val="005B71F0"/>
    <w:rsid w:val="005B7A63"/>
    <w:rsid w:val="005C0955"/>
    <w:rsid w:val="005C0CB6"/>
    <w:rsid w:val="005C49DA"/>
    <w:rsid w:val="005C50F3"/>
    <w:rsid w:val="005C54B5"/>
    <w:rsid w:val="005C5D80"/>
    <w:rsid w:val="005C5D91"/>
    <w:rsid w:val="005C6D92"/>
    <w:rsid w:val="005C7844"/>
    <w:rsid w:val="005D07B8"/>
    <w:rsid w:val="005D3A25"/>
    <w:rsid w:val="005D6597"/>
    <w:rsid w:val="005E14E7"/>
    <w:rsid w:val="005E26A3"/>
    <w:rsid w:val="005E2ECB"/>
    <w:rsid w:val="005E447E"/>
    <w:rsid w:val="005E4FD1"/>
    <w:rsid w:val="005F0775"/>
    <w:rsid w:val="005F0CF5"/>
    <w:rsid w:val="005F21EB"/>
    <w:rsid w:val="005F229F"/>
    <w:rsid w:val="005F7668"/>
    <w:rsid w:val="00605908"/>
    <w:rsid w:val="00610D7C"/>
    <w:rsid w:val="00612DD2"/>
    <w:rsid w:val="00613414"/>
    <w:rsid w:val="00620154"/>
    <w:rsid w:val="0062408D"/>
    <w:rsid w:val="006240CC"/>
    <w:rsid w:val="00624940"/>
    <w:rsid w:val="006254F8"/>
    <w:rsid w:val="00627DA7"/>
    <w:rsid w:val="00630DA4"/>
    <w:rsid w:val="00632597"/>
    <w:rsid w:val="00634374"/>
    <w:rsid w:val="0063526E"/>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51A0"/>
    <w:rsid w:val="00667770"/>
    <w:rsid w:val="00670597"/>
    <w:rsid w:val="006706D0"/>
    <w:rsid w:val="00677574"/>
    <w:rsid w:val="0068454C"/>
    <w:rsid w:val="00691B62"/>
    <w:rsid w:val="006933B5"/>
    <w:rsid w:val="00693D14"/>
    <w:rsid w:val="00696C46"/>
    <w:rsid w:val="00696F27"/>
    <w:rsid w:val="006A18C2"/>
    <w:rsid w:val="006A3383"/>
    <w:rsid w:val="006A3F12"/>
    <w:rsid w:val="006A51BB"/>
    <w:rsid w:val="006B077C"/>
    <w:rsid w:val="006B6803"/>
    <w:rsid w:val="006D017D"/>
    <w:rsid w:val="006D0F16"/>
    <w:rsid w:val="006D2A3F"/>
    <w:rsid w:val="006D2FBC"/>
    <w:rsid w:val="006D3665"/>
    <w:rsid w:val="006E0541"/>
    <w:rsid w:val="006E138B"/>
    <w:rsid w:val="006E1A02"/>
    <w:rsid w:val="006E322F"/>
    <w:rsid w:val="006E43AA"/>
    <w:rsid w:val="006F0330"/>
    <w:rsid w:val="006F1FDC"/>
    <w:rsid w:val="006F6B8C"/>
    <w:rsid w:val="006F70F5"/>
    <w:rsid w:val="007013EF"/>
    <w:rsid w:val="0070447D"/>
    <w:rsid w:val="007055BD"/>
    <w:rsid w:val="00706BDC"/>
    <w:rsid w:val="00713E2F"/>
    <w:rsid w:val="007173CA"/>
    <w:rsid w:val="0072167B"/>
    <w:rsid w:val="007216AA"/>
    <w:rsid w:val="00721AB5"/>
    <w:rsid w:val="00721CFB"/>
    <w:rsid w:val="00721DEF"/>
    <w:rsid w:val="0072251A"/>
    <w:rsid w:val="00724A43"/>
    <w:rsid w:val="00725490"/>
    <w:rsid w:val="007258D1"/>
    <w:rsid w:val="00726575"/>
    <w:rsid w:val="007273AC"/>
    <w:rsid w:val="00731AD4"/>
    <w:rsid w:val="007346E4"/>
    <w:rsid w:val="00734FCA"/>
    <w:rsid w:val="0073582E"/>
    <w:rsid w:val="00740F22"/>
    <w:rsid w:val="00741CF0"/>
    <w:rsid w:val="00741F1A"/>
    <w:rsid w:val="007440B6"/>
    <w:rsid w:val="007447DA"/>
    <w:rsid w:val="007450F8"/>
    <w:rsid w:val="0074696E"/>
    <w:rsid w:val="00746AF6"/>
    <w:rsid w:val="00750135"/>
    <w:rsid w:val="00750EC2"/>
    <w:rsid w:val="00752B28"/>
    <w:rsid w:val="007541A9"/>
    <w:rsid w:val="00754E36"/>
    <w:rsid w:val="00762B9C"/>
    <w:rsid w:val="00763139"/>
    <w:rsid w:val="00765906"/>
    <w:rsid w:val="00770F37"/>
    <w:rsid w:val="007711A0"/>
    <w:rsid w:val="00772D5E"/>
    <w:rsid w:val="0077463E"/>
    <w:rsid w:val="00776928"/>
    <w:rsid w:val="00776E0F"/>
    <w:rsid w:val="007774B1"/>
    <w:rsid w:val="00777BE1"/>
    <w:rsid w:val="007833D8"/>
    <w:rsid w:val="00785677"/>
    <w:rsid w:val="007862E6"/>
    <w:rsid w:val="00786F16"/>
    <w:rsid w:val="00791BD7"/>
    <w:rsid w:val="007933F7"/>
    <w:rsid w:val="0079680C"/>
    <w:rsid w:val="00796E20"/>
    <w:rsid w:val="00797C32"/>
    <w:rsid w:val="007A0403"/>
    <w:rsid w:val="007A11E8"/>
    <w:rsid w:val="007A35DB"/>
    <w:rsid w:val="007A4157"/>
    <w:rsid w:val="007B0914"/>
    <w:rsid w:val="007B1374"/>
    <w:rsid w:val="007B32E5"/>
    <w:rsid w:val="007B3DB9"/>
    <w:rsid w:val="007B589F"/>
    <w:rsid w:val="007B6186"/>
    <w:rsid w:val="007B73BC"/>
    <w:rsid w:val="007C1636"/>
    <w:rsid w:val="007C1838"/>
    <w:rsid w:val="007C20B9"/>
    <w:rsid w:val="007C7301"/>
    <w:rsid w:val="007C7859"/>
    <w:rsid w:val="007C7F28"/>
    <w:rsid w:val="007D1466"/>
    <w:rsid w:val="007D2BDE"/>
    <w:rsid w:val="007D2FB6"/>
    <w:rsid w:val="007D49EB"/>
    <w:rsid w:val="007D5E1C"/>
    <w:rsid w:val="007D77B9"/>
    <w:rsid w:val="007E0DE2"/>
    <w:rsid w:val="007E1227"/>
    <w:rsid w:val="007E3B98"/>
    <w:rsid w:val="007E417A"/>
    <w:rsid w:val="007E5AEB"/>
    <w:rsid w:val="007F31B6"/>
    <w:rsid w:val="007F546C"/>
    <w:rsid w:val="007F625F"/>
    <w:rsid w:val="007F665E"/>
    <w:rsid w:val="007F7CE1"/>
    <w:rsid w:val="00800412"/>
    <w:rsid w:val="0080587B"/>
    <w:rsid w:val="00806468"/>
    <w:rsid w:val="008119CA"/>
    <w:rsid w:val="008130C4"/>
    <w:rsid w:val="00814245"/>
    <w:rsid w:val="008155F0"/>
    <w:rsid w:val="00816735"/>
    <w:rsid w:val="00816CB0"/>
    <w:rsid w:val="00820141"/>
    <w:rsid w:val="00820E0C"/>
    <w:rsid w:val="008213F0"/>
    <w:rsid w:val="00823275"/>
    <w:rsid w:val="0082366F"/>
    <w:rsid w:val="008338A2"/>
    <w:rsid w:val="00833E9E"/>
    <w:rsid w:val="00835FAF"/>
    <w:rsid w:val="00841AA9"/>
    <w:rsid w:val="00842907"/>
    <w:rsid w:val="00845428"/>
    <w:rsid w:val="00846EE9"/>
    <w:rsid w:val="008474FE"/>
    <w:rsid w:val="0085320D"/>
    <w:rsid w:val="00853EE4"/>
    <w:rsid w:val="00855118"/>
    <w:rsid w:val="00855535"/>
    <w:rsid w:val="00855920"/>
    <w:rsid w:val="00856666"/>
    <w:rsid w:val="00857C5A"/>
    <w:rsid w:val="0086255E"/>
    <w:rsid w:val="008633F0"/>
    <w:rsid w:val="00863F1E"/>
    <w:rsid w:val="00865349"/>
    <w:rsid w:val="00867D9D"/>
    <w:rsid w:val="00872E0A"/>
    <w:rsid w:val="00873594"/>
    <w:rsid w:val="00875285"/>
    <w:rsid w:val="0087589F"/>
    <w:rsid w:val="00884958"/>
    <w:rsid w:val="00884B62"/>
    <w:rsid w:val="0088529C"/>
    <w:rsid w:val="00887903"/>
    <w:rsid w:val="0089270A"/>
    <w:rsid w:val="0089397F"/>
    <w:rsid w:val="00893AF6"/>
    <w:rsid w:val="00894BC4"/>
    <w:rsid w:val="008976A9"/>
    <w:rsid w:val="008A22F8"/>
    <w:rsid w:val="008A28A8"/>
    <w:rsid w:val="008A5B32"/>
    <w:rsid w:val="008A60CB"/>
    <w:rsid w:val="008B2EE4"/>
    <w:rsid w:val="008B4D3D"/>
    <w:rsid w:val="008B57C7"/>
    <w:rsid w:val="008C2F92"/>
    <w:rsid w:val="008C3697"/>
    <w:rsid w:val="008C5557"/>
    <w:rsid w:val="008C589D"/>
    <w:rsid w:val="008C6D51"/>
    <w:rsid w:val="008D1485"/>
    <w:rsid w:val="008D2846"/>
    <w:rsid w:val="008D2ABA"/>
    <w:rsid w:val="008D4236"/>
    <w:rsid w:val="008D44EF"/>
    <w:rsid w:val="008D462F"/>
    <w:rsid w:val="008D6DCF"/>
    <w:rsid w:val="008E1F66"/>
    <w:rsid w:val="008E3DE9"/>
    <w:rsid w:val="008E4376"/>
    <w:rsid w:val="008E50BF"/>
    <w:rsid w:val="008E7A0A"/>
    <w:rsid w:val="008E7B49"/>
    <w:rsid w:val="008F59F6"/>
    <w:rsid w:val="00900719"/>
    <w:rsid w:val="009017AC"/>
    <w:rsid w:val="00902A9A"/>
    <w:rsid w:val="00902ED0"/>
    <w:rsid w:val="00904A1C"/>
    <w:rsid w:val="00905030"/>
    <w:rsid w:val="00906490"/>
    <w:rsid w:val="009111B2"/>
    <w:rsid w:val="009151F5"/>
    <w:rsid w:val="00921A82"/>
    <w:rsid w:val="009220CA"/>
    <w:rsid w:val="00924AE1"/>
    <w:rsid w:val="009269B1"/>
    <w:rsid w:val="0092724D"/>
    <w:rsid w:val="009272B3"/>
    <w:rsid w:val="009315BE"/>
    <w:rsid w:val="0093338F"/>
    <w:rsid w:val="0093357C"/>
    <w:rsid w:val="00937BD9"/>
    <w:rsid w:val="00942EF3"/>
    <w:rsid w:val="00950E2C"/>
    <w:rsid w:val="00951D50"/>
    <w:rsid w:val="009525EB"/>
    <w:rsid w:val="00952774"/>
    <w:rsid w:val="0095470B"/>
    <w:rsid w:val="00954874"/>
    <w:rsid w:val="0095615A"/>
    <w:rsid w:val="00961400"/>
    <w:rsid w:val="00963646"/>
    <w:rsid w:val="0096632D"/>
    <w:rsid w:val="009718C7"/>
    <w:rsid w:val="00971E7D"/>
    <w:rsid w:val="00971EDD"/>
    <w:rsid w:val="0097559F"/>
    <w:rsid w:val="0097761E"/>
    <w:rsid w:val="009810DF"/>
    <w:rsid w:val="00981E6B"/>
    <w:rsid w:val="00982454"/>
    <w:rsid w:val="00982CF0"/>
    <w:rsid w:val="00983212"/>
    <w:rsid w:val="009853E1"/>
    <w:rsid w:val="00986E6B"/>
    <w:rsid w:val="00990032"/>
    <w:rsid w:val="00990B19"/>
    <w:rsid w:val="0099153B"/>
    <w:rsid w:val="00991769"/>
    <w:rsid w:val="0099232C"/>
    <w:rsid w:val="00994386"/>
    <w:rsid w:val="009A13D8"/>
    <w:rsid w:val="009A279E"/>
    <w:rsid w:val="009A3015"/>
    <w:rsid w:val="009A3490"/>
    <w:rsid w:val="009A448B"/>
    <w:rsid w:val="009A5F11"/>
    <w:rsid w:val="009B0A6F"/>
    <w:rsid w:val="009B0A94"/>
    <w:rsid w:val="009B2AE8"/>
    <w:rsid w:val="009B33D0"/>
    <w:rsid w:val="009B59E9"/>
    <w:rsid w:val="009B70AA"/>
    <w:rsid w:val="009B7142"/>
    <w:rsid w:val="009C5E77"/>
    <w:rsid w:val="009C7A7E"/>
    <w:rsid w:val="009D02E8"/>
    <w:rsid w:val="009D3D8A"/>
    <w:rsid w:val="009D51D0"/>
    <w:rsid w:val="009D70A4"/>
    <w:rsid w:val="009D7B14"/>
    <w:rsid w:val="009E08D1"/>
    <w:rsid w:val="009E1B95"/>
    <w:rsid w:val="009E2CE4"/>
    <w:rsid w:val="009E496F"/>
    <w:rsid w:val="009E4B0D"/>
    <w:rsid w:val="009E5250"/>
    <w:rsid w:val="009E7F92"/>
    <w:rsid w:val="009F02A3"/>
    <w:rsid w:val="009F2F27"/>
    <w:rsid w:val="009F34AA"/>
    <w:rsid w:val="009F51D4"/>
    <w:rsid w:val="009F6BCB"/>
    <w:rsid w:val="009F7B78"/>
    <w:rsid w:val="00A0057A"/>
    <w:rsid w:val="00A02FA1"/>
    <w:rsid w:val="00A040E0"/>
    <w:rsid w:val="00A04C72"/>
    <w:rsid w:val="00A04CCE"/>
    <w:rsid w:val="00A05A01"/>
    <w:rsid w:val="00A07421"/>
    <w:rsid w:val="00A0776B"/>
    <w:rsid w:val="00A10FB9"/>
    <w:rsid w:val="00A11421"/>
    <w:rsid w:val="00A12608"/>
    <w:rsid w:val="00A1389F"/>
    <w:rsid w:val="00A157B1"/>
    <w:rsid w:val="00A22229"/>
    <w:rsid w:val="00A24442"/>
    <w:rsid w:val="00A27461"/>
    <w:rsid w:val="00A330BB"/>
    <w:rsid w:val="00A44882"/>
    <w:rsid w:val="00A45125"/>
    <w:rsid w:val="00A53FE2"/>
    <w:rsid w:val="00A54715"/>
    <w:rsid w:val="00A6061C"/>
    <w:rsid w:val="00A62D44"/>
    <w:rsid w:val="00A668AE"/>
    <w:rsid w:val="00A67263"/>
    <w:rsid w:val="00A7161C"/>
    <w:rsid w:val="00A747E0"/>
    <w:rsid w:val="00A77AA3"/>
    <w:rsid w:val="00A8236D"/>
    <w:rsid w:val="00A83894"/>
    <w:rsid w:val="00A854EB"/>
    <w:rsid w:val="00A872E5"/>
    <w:rsid w:val="00A91406"/>
    <w:rsid w:val="00A95942"/>
    <w:rsid w:val="00A96E65"/>
    <w:rsid w:val="00A97C72"/>
    <w:rsid w:val="00AA268E"/>
    <w:rsid w:val="00AA310B"/>
    <w:rsid w:val="00AA3FEA"/>
    <w:rsid w:val="00AA63D4"/>
    <w:rsid w:val="00AA79B6"/>
    <w:rsid w:val="00AB06E8"/>
    <w:rsid w:val="00AB1CD3"/>
    <w:rsid w:val="00AB352F"/>
    <w:rsid w:val="00AC274B"/>
    <w:rsid w:val="00AC4764"/>
    <w:rsid w:val="00AC6D36"/>
    <w:rsid w:val="00AD0CBA"/>
    <w:rsid w:val="00AD177A"/>
    <w:rsid w:val="00AD26E2"/>
    <w:rsid w:val="00AD784C"/>
    <w:rsid w:val="00AE126A"/>
    <w:rsid w:val="00AE1BAE"/>
    <w:rsid w:val="00AE3005"/>
    <w:rsid w:val="00AE3BD5"/>
    <w:rsid w:val="00AE59A0"/>
    <w:rsid w:val="00AF07D0"/>
    <w:rsid w:val="00AF0C57"/>
    <w:rsid w:val="00AF26F3"/>
    <w:rsid w:val="00AF318B"/>
    <w:rsid w:val="00AF5F04"/>
    <w:rsid w:val="00B00668"/>
    <w:rsid w:val="00B00672"/>
    <w:rsid w:val="00B01B4D"/>
    <w:rsid w:val="00B045D0"/>
    <w:rsid w:val="00B06571"/>
    <w:rsid w:val="00B068BA"/>
    <w:rsid w:val="00B07FF7"/>
    <w:rsid w:val="00B13851"/>
    <w:rsid w:val="00B13B1C"/>
    <w:rsid w:val="00B14780"/>
    <w:rsid w:val="00B21F90"/>
    <w:rsid w:val="00B22291"/>
    <w:rsid w:val="00B23F9A"/>
    <w:rsid w:val="00B2417B"/>
    <w:rsid w:val="00B24E6F"/>
    <w:rsid w:val="00B2525D"/>
    <w:rsid w:val="00B26CB5"/>
    <w:rsid w:val="00B2752E"/>
    <w:rsid w:val="00B307CC"/>
    <w:rsid w:val="00B326B7"/>
    <w:rsid w:val="00B34B14"/>
    <w:rsid w:val="00B3588E"/>
    <w:rsid w:val="00B41F3D"/>
    <w:rsid w:val="00B4248A"/>
    <w:rsid w:val="00B431E8"/>
    <w:rsid w:val="00B44419"/>
    <w:rsid w:val="00B45141"/>
    <w:rsid w:val="00B46560"/>
    <w:rsid w:val="00B46DE7"/>
    <w:rsid w:val="00B519CD"/>
    <w:rsid w:val="00B524E2"/>
    <w:rsid w:val="00B5273A"/>
    <w:rsid w:val="00B52A5B"/>
    <w:rsid w:val="00B559C5"/>
    <w:rsid w:val="00B57329"/>
    <w:rsid w:val="00B60E61"/>
    <w:rsid w:val="00B61819"/>
    <w:rsid w:val="00B62B50"/>
    <w:rsid w:val="00B62E59"/>
    <w:rsid w:val="00B635B7"/>
    <w:rsid w:val="00B638FC"/>
    <w:rsid w:val="00B63AE8"/>
    <w:rsid w:val="00B65950"/>
    <w:rsid w:val="00B66D83"/>
    <w:rsid w:val="00B672C0"/>
    <w:rsid w:val="00B676FD"/>
    <w:rsid w:val="00B75646"/>
    <w:rsid w:val="00B75EDB"/>
    <w:rsid w:val="00B81AB4"/>
    <w:rsid w:val="00B90729"/>
    <w:rsid w:val="00B907DA"/>
    <w:rsid w:val="00B925CD"/>
    <w:rsid w:val="00B94CD5"/>
    <w:rsid w:val="00B950BC"/>
    <w:rsid w:val="00B9714C"/>
    <w:rsid w:val="00BA29AD"/>
    <w:rsid w:val="00BA33CF"/>
    <w:rsid w:val="00BA3F8D"/>
    <w:rsid w:val="00BB77F1"/>
    <w:rsid w:val="00BB7A10"/>
    <w:rsid w:val="00BC23F6"/>
    <w:rsid w:val="00BC3E8F"/>
    <w:rsid w:val="00BC60BE"/>
    <w:rsid w:val="00BC63D9"/>
    <w:rsid w:val="00BC6E47"/>
    <w:rsid w:val="00BC7468"/>
    <w:rsid w:val="00BC7D4F"/>
    <w:rsid w:val="00BC7ED7"/>
    <w:rsid w:val="00BD2850"/>
    <w:rsid w:val="00BD4AF9"/>
    <w:rsid w:val="00BD5945"/>
    <w:rsid w:val="00BE28D2"/>
    <w:rsid w:val="00BE4A64"/>
    <w:rsid w:val="00BE5E43"/>
    <w:rsid w:val="00BF30B2"/>
    <w:rsid w:val="00BF40AD"/>
    <w:rsid w:val="00BF557D"/>
    <w:rsid w:val="00BF7F58"/>
    <w:rsid w:val="00C01381"/>
    <w:rsid w:val="00C01AB1"/>
    <w:rsid w:val="00C026A0"/>
    <w:rsid w:val="00C06137"/>
    <w:rsid w:val="00C079B8"/>
    <w:rsid w:val="00C10037"/>
    <w:rsid w:val="00C123EA"/>
    <w:rsid w:val="00C12A49"/>
    <w:rsid w:val="00C133EE"/>
    <w:rsid w:val="00C149D0"/>
    <w:rsid w:val="00C15FE7"/>
    <w:rsid w:val="00C16ED3"/>
    <w:rsid w:val="00C26588"/>
    <w:rsid w:val="00C27DE9"/>
    <w:rsid w:val="00C32989"/>
    <w:rsid w:val="00C33388"/>
    <w:rsid w:val="00C35484"/>
    <w:rsid w:val="00C36BD4"/>
    <w:rsid w:val="00C4173A"/>
    <w:rsid w:val="00C42BD3"/>
    <w:rsid w:val="00C42BF9"/>
    <w:rsid w:val="00C50DED"/>
    <w:rsid w:val="00C53B09"/>
    <w:rsid w:val="00C602FF"/>
    <w:rsid w:val="00C61174"/>
    <w:rsid w:val="00C6148F"/>
    <w:rsid w:val="00C621B1"/>
    <w:rsid w:val="00C62F7A"/>
    <w:rsid w:val="00C63B9C"/>
    <w:rsid w:val="00C652AC"/>
    <w:rsid w:val="00C6682F"/>
    <w:rsid w:val="00C67BF4"/>
    <w:rsid w:val="00C7275E"/>
    <w:rsid w:val="00C74C5D"/>
    <w:rsid w:val="00C863C4"/>
    <w:rsid w:val="00C8746D"/>
    <w:rsid w:val="00C920EA"/>
    <w:rsid w:val="00C93068"/>
    <w:rsid w:val="00C93C3E"/>
    <w:rsid w:val="00CA12E3"/>
    <w:rsid w:val="00CA1476"/>
    <w:rsid w:val="00CA6267"/>
    <w:rsid w:val="00CA6611"/>
    <w:rsid w:val="00CA6AE6"/>
    <w:rsid w:val="00CA782F"/>
    <w:rsid w:val="00CB187B"/>
    <w:rsid w:val="00CB2835"/>
    <w:rsid w:val="00CB3285"/>
    <w:rsid w:val="00CB4500"/>
    <w:rsid w:val="00CB7800"/>
    <w:rsid w:val="00CC0C72"/>
    <w:rsid w:val="00CC2BFD"/>
    <w:rsid w:val="00CD155F"/>
    <w:rsid w:val="00CD1BCD"/>
    <w:rsid w:val="00CD3476"/>
    <w:rsid w:val="00CD64DF"/>
    <w:rsid w:val="00CD668E"/>
    <w:rsid w:val="00CE225F"/>
    <w:rsid w:val="00CE28DA"/>
    <w:rsid w:val="00CF2F50"/>
    <w:rsid w:val="00CF6198"/>
    <w:rsid w:val="00D01B99"/>
    <w:rsid w:val="00D02919"/>
    <w:rsid w:val="00D04C61"/>
    <w:rsid w:val="00D05B8D"/>
    <w:rsid w:val="00D065A2"/>
    <w:rsid w:val="00D079AA"/>
    <w:rsid w:val="00D07F00"/>
    <w:rsid w:val="00D1130F"/>
    <w:rsid w:val="00D15E1F"/>
    <w:rsid w:val="00D17211"/>
    <w:rsid w:val="00D17B72"/>
    <w:rsid w:val="00D3185C"/>
    <w:rsid w:val="00D3205F"/>
    <w:rsid w:val="00D3318E"/>
    <w:rsid w:val="00D33E72"/>
    <w:rsid w:val="00D35A88"/>
    <w:rsid w:val="00D35BD6"/>
    <w:rsid w:val="00D361B5"/>
    <w:rsid w:val="00D405AC"/>
    <w:rsid w:val="00D411A2"/>
    <w:rsid w:val="00D4606D"/>
    <w:rsid w:val="00D46C92"/>
    <w:rsid w:val="00D4746C"/>
    <w:rsid w:val="00D50B9C"/>
    <w:rsid w:val="00D512F2"/>
    <w:rsid w:val="00D5188D"/>
    <w:rsid w:val="00D52D73"/>
    <w:rsid w:val="00D52E58"/>
    <w:rsid w:val="00D56B20"/>
    <w:rsid w:val="00D5789C"/>
    <w:rsid w:val="00D578B3"/>
    <w:rsid w:val="00D5799E"/>
    <w:rsid w:val="00D613B3"/>
    <w:rsid w:val="00D618F4"/>
    <w:rsid w:val="00D660E7"/>
    <w:rsid w:val="00D714CC"/>
    <w:rsid w:val="00D7569F"/>
    <w:rsid w:val="00D75EA7"/>
    <w:rsid w:val="00D76C8F"/>
    <w:rsid w:val="00D81ADF"/>
    <w:rsid w:val="00D81F21"/>
    <w:rsid w:val="00D84CD2"/>
    <w:rsid w:val="00D8566B"/>
    <w:rsid w:val="00D861A6"/>
    <w:rsid w:val="00D864F2"/>
    <w:rsid w:val="00D87F72"/>
    <w:rsid w:val="00D9167F"/>
    <w:rsid w:val="00D92F95"/>
    <w:rsid w:val="00D943F8"/>
    <w:rsid w:val="00D95470"/>
    <w:rsid w:val="00D96B55"/>
    <w:rsid w:val="00DA2619"/>
    <w:rsid w:val="00DA3EA8"/>
    <w:rsid w:val="00DA4239"/>
    <w:rsid w:val="00DA65DE"/>
    <w:rsid w:val="00DB0B61"/>
    <w:rsid w:val="00DB1474"/>
    <w:rsid w:val="00DB1E68"/>
    <w:rsid w:val="00DB2962"/>
    <w:rsid w:val="00DB52FB"/>
    <w:rsid w:val="00DC013B"/>
    <w:rsid w:val="00DC090B"/>
    <w:rsid w:val="00DC1679"/>
    <w:rsid w:val="00DC219B"/>
    <w:rsid w:val="00DC2CF1"/>
    <w:rsid w:val="00DC4FCF"/>
    <w:rsid w:val="00DC50E0"/>
    <w:rsid w:val="00DC5A07"/>
    <w:rsid w:val="00DC6386"/>
    <w:rsid w:val="00DD1130"/>
    <w:rsid w:val="00DD1951"/>
    <w:rsid w:val="00DD487D"/>
    <w:rsid w:val="00DD4E83"/>
    <w:rsid w:val="00DD6628"/>
    <w:rsid w:val="00DD6945"/>
    <w:rsid w:val="00DD7B38"/>
    <w:rsid w:val="00DE1FAD"/>
    <w:rsid w:val="00DE2D04"/>
    <w:rsid w:val="00DE3250"/>
    <w:rsid w:val="00DE451A"/>
    <w:rsid w:val="00DE6028"/>
    <w:rsid w:val="00DE673C"/>
    <w:rsid w:val="00DE78A3"/>
    <w:rsid w:val="00DF1A71"/>
    <w:rsid w:val="00DF50FC"/>
    <w:rsid w:val="00DF68C7"/>
    <w:rsid w:val="00DF731A"/>
    <w:rsid w:val="00E019CC"/>
    <w:rsid w:val="00E06B75"/>
    <w:rsid w:val="00E11332"/>
    <w:rsid w:val="00E11352"/>
    <w:rsid w:val="00E170DC"/>
    <w:rsid w:val="00E17546"/>
    <w:rsid w:val="00E17BAA"/>
    <w:rsid w:val="00E210B5"/>
    <w:rsid w:val="00E228B2"/>
    <w:rsid w:val="00E23D63"/>
    <w:rsid w:val="00E248A0"/>
    <w:rsid w:val="00E261B3"/>
    <w:rsid w:val="00E2641C"/>
    <w:rsid w:val="00E26818"/>
    <w:rsid w:val="00E27FFC"/>
    <w:rsid w:val="00E30B15"/>
    <w:rsid w:val="00E33095"/>
    <w:rsid w:val="00E33237"/>
    <w:rsid w:val="00E35FA6"/>
    <w:rsid w:val="00E40181"/>
    <w:rsid w:val="00E45DF7"/>
    <w:rsid w:val="00E54580"/>
    <w:rsid w:val="00E54950"/>
    <w:rsid w:val="00E56A01"/>
    <w:rsid w:val="00E577E4"/>
    <w:rsid w:val="00E6072A"/>
    <w:rsid w:val="00E60BD4"/>
    <w:rsid w:val="00E62622"/>
    <w:rsid w:val="00E629A1"/>
    <w:rsid w:val="00E65FA7"/>
    <w:rsid w:val="00E6794C"/>
    <w:rsid w:val="00E71486"/>
    <w:rsid w:val="00E71591"/>
    <w:rsid w:val="00E71CEB"/>
    <w:rsid w:val="00E7474F"/>
    <w:rsid w:val="00E7509E"/>
    <w:rsid w:val="00E80DE3"/>
    <w:rsid w:val="00E8196D"/>
    <w:rsid w:val="00E82C55"/>
    <w:rsid w:val="00E86DDB"/>
    <w:rsid w:val="00E8787E"/>
    <w:rsid w:val="00E87A72"/>
    <w:rsid w:val="00E92AC3"/>
    <w:rsid w:val="00E93469"/>
    <w:rsid w:val="00EA1360"/>
    <w:rsid w:val="00EA167F"/>
    <w:rsid w:val="00EA2F6A"/>
    <w:rsid w:val="00EB00E0"/>
    <w:rsid w:val="00EB3403"/>
    <w:rsid w:val="00EC04BA"/>
    <w:rsid w:val="00EC059F"/>
    <w:rsid w:val="00EC1F24"/>
    <w:rsid w:val="00EC22F6"/>
    <w:rsid w:val="00EC40D5"/>
    <w:rsid w:val="00EC69F2"/>
    <w:rsid w:val="00ED52A2"/>
    <w:rsid w:val="00ED5B9B"/>
    <w:rsid w:val="00ED5FE6"/>
    <w:rsid w:val="00ED6BAD"/>
    <w:rsid w:val="00ED7447"/>
    <w:rsid w:val="00EE00D6"/>
    <w:rsid w:val="00EE11E7"/>
    <w:rsid w:val="00EE1488"/>
    <w:rsid w:val="00EE29AD"/>
    <w:rsid w:val="00EE3E24"/>
    <w:rsid w:val="00EE4D5D"/>
    <w:rsid w:val="00EE5131"/>
    <w:rsid w:val="00EE6CCE"/>
    <w:rsid w:val="00EF109B"/>
    <w:rsid w:val="00EF201C"/>
    <w:rsid w:val="00EF36AF"/>
    <w:rsid w:val="00EF4CB0"/>
    <w:rsid w:val="00EF59A3"/>
    <w:rsid w:val="00EF6675"/>
    <w:rsid w:val="00F00F9C"/>
    <w:rsid w:val="00F016D7"/>
    <w:rsid w:val="00F01E5F"/>
    <w:rsid w:val="00F024F3"/>
    <w:rsid w:val="00F02ABA"/>
    <w:rsid w:val="00F0437A"/>
    <w:rsid w:val="00F05166"/>
    <w:rsid w:val="00F101B8"/>
    <w:rsid w:val="00F11037"/>
    <w:rsid w:val="00F1182F"/>
    <w:rsid w:val="00F1602D"/>
    <w:rsid w:val="00F16F1B"/>
    <w:rsid w:val="00F2492B"/>
    <w:rsid w:val="00F250A9"/>
    <w:rsid w:val="00F267AF"/>
    <w:rsid w:val="00F30FF4"/>
    <w:rsid w:val="00F3122E"/>
    <w:rsid w:val="00F32368"/>
    <w:rsid w:val="00F331AD"/>
    <w:rsid w:val="00F347B0"/>
    <w:rsid w:val="00F35287"/>
    <w:rsid w:val="00F37B48"/>
    <w:rsid w:val="00F40A70"/>
    <w:rsid w:val="00F43A37"/>
    <w:rsid w:val="00F451AB"/>
    <w:rsid w:val="00F4641B"/>
    <w:rsid w:val="00F46EB8"/>
    <w:rsid w:val="00F50CD1"/>
    <w:rsid w:val="00F511E4"/>
    <w:rsid w:val="00F523FA"/>
    <w:rsid w:val="00F52D09"/>
    <w:rsid w:val="00F52E08"/>
    <w:rsid w:val="00F53799"/>
    <w:rsid w:val="00F53A66"/>
    <w:rsid w:val="00F53DDD"/>
    <w:rsid w:val="00F5462D"/>
    <w:rsid w:val="00F55B21"/>
    <w:rsid w:val="00F56EF6"/>
    <w:rsid w:val="00F573D5"/>
    <w:rsid w:val="00F60082"/>
    <w:rsid w:val="00F609E0"/>
    <w:rsid w:val="00F60B95"/>
    <w:rsid w:val="00F61A9F"/>
    <w:rsid w:val="00F61B5F"/>
    <w:rsid w:val="00F64696"/>
    <w:rsid w:val="00F65AA9"/>
    <w:rsid w:val="00F6768F"/>
    <w:rsid w:val="00F713F0"/>
    <w:rsid w:val="00F72C2C"/>
    <w:rsid w:val="00F75B05"/>
    <w:rsid w:val="00F76CAB"/>
    <w:rsid w:val="00F772C6"/>
    <w:rsid w:val="00F815B5"/>
    <w:rsid w:val="00F84FA0"/>
    <w:rsid w:val="00F85195"/>
    <w:rsid w:val="00F868E3"/>
    <w:rsid w:val="00F938BA"/>
    <w:rsid w:val="00F949E8"/>
    <w:rsid w:val="00F97919"/>
    <w:rsid w:val="00F97996"/>
    <w:rsid w:val="00FA2C46"/>
    <w:rsid w:val="00FA3525"/>
    <w:rsid w:val="00FA48A9"/>
    <w:rsid w:val="00FA5A53"/>
    <w:rsid w:val="00FB030F"/>
    <w:rsid w:val="00FB2551"/>
    <w:rsid w:val="00FB4769"/>
    <w:rsid w:val="00FB4CDA"/>
    <w:rsid w:val="00FB6481"/>
    <w:rsid w:val="00FB6D36"/>
    <w:rsid w:val="00FC0965"/>
    <w:rsid w:val="00FC0F81"/>
    <w:rsid w:val="00FC252F"/>
    <w:rsid w:val="00FC395C"/>
    <w:rsid w:val="00FC5E8E"/>
    <w:rsid w:val="00FD3766"/>
    <w:rsid w:val="00FD3CCF"/>
    <w:rsid w:val="00FD47C4"/>
    <w:rsid w:val="00FD4F14"/>
    <w:rsid w:val="00FD722A"/>
    <w:rsid w:val="00FE2DCF"/>
    <w:rsid w:val="00FE3FA7"/>
    <w:rsid w:val="00FE5F32"/>
    <w:rsid w:val="00FE6487"/>
    <w:rsid w:val="00FF2A4E"/>
    <w:rsid w:val="00FF2FCE"/>
    <w:rsid w:val="00FF4DE4"/>
    <w:rsid w:val="00FF4F7D"/>
    <w:rsid w:val="00FF54DF"/>
    <w:rsid w:val="00FF57E1"/>
    <w:rsid w:val="00FF6D9D"/>
    <w:rsid w:val="00FF7DD5"/>
    <w:rsid w:val="03CF46CD"/>
    <w:rsid w:val="0569D79B"/>
    <w:rsid w:val="061B1222"/>
    <w:rsid w:val="070184AF"/>
    <w:rsid w:val="10869C98"/>
    <w:rsid w:val="1384966A"/>
    <w:rsid w:val="149211D2"/>
    <w:rsid w:val="163DE724"/>
    <w:rsid w:val="18C96857"/>
    <w:rsid w:val="1904CF18"/>
    <w:rsid w:val="1D6C0BE9"/>
    <w:rsid w:val="20B82242"/>
    <w:rsid w:val="25C77249"/>
    <w:rsid w:val="26900226"/>
    <w:rsid w:val="2A9D4550"/>
    <w:rsid w:val="2FC3D8C8"/>
    <w:rsid w:val="31ADAE1D"/>
    <w:rsid w:val="31D10049"/>
    <w:rsid w:val="32B25CCA"/>
    <w:rsid w:val="347D8D25"/>
    <w:rsid w:val="34F2FAB4"/>
    <w:rsid w:val="3E085CA4"/>
    <w:rsid w:val="49D385ED"/>
    <w:rsid w:val="49F5712B"/>
    <w:rsid w:val="52B5B767"/>
    <w:rsid w:val="55AA5AB6"/>
    <w:rsid w:val="5876563F"/>
    <w:rsid w:val="5B65602B"/>
    <w:rsid w:val="647C1DCD"/>
    <w:rsid w:val="6617EE2E"/>
    <w:rsid w:val="68B777BE"/>
    <w:rsid w:val="6A630D94"/>
    <w:rsid w:val="6A8C96DB"/>
    <w:rsid w:val="6EBB123D"/>
    <w:rsid w:val="6F809101"/>
    <w:rsid w:val="6FA0F721"/>
    <w:rsid w:val="708D2B59"/>
    <w:rsid w:val="736C6B85"/>
    <w:rsid w:val="744BAFA0"/>
    <w:rsid w:val="7C8B2B7E"/>
    <w:rsid w:val="7CAE08D0"/>
    <w:rsid w:val="7FD2D9D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E40AB0B"/>
  <w15:docId w15:val="{709FF868-2C3F-4385-A1C3-E23700A43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EC04BA"/>
    <w:pPr>
      <w:keepNext/>
      <w:keepLines/>
      <w:spacing w:before="320" w:after="200" w:line="44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EC04BA"/>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link w:val="Bullet1Char"/>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C04BA"/>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3"/>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3"/>
      </w:numPr>
    </w:pPr>
  </w:style>
  <w:style w:type="paragraph" w:customStyle="1" w:styleId="Numberloweralphaindent">
    <w:name w:val="Number lower alpha indent"/>
    <w:basedOn w:val="Body"/>
    <w:uiPriority w:val="3"/>
    <w:rsid w:val="00721CFB"/>
    <w:pPr>
      <w:numPr>
        <w:ilvl w:val="1"/>
        <w:numId w:val="22"/>
      </w:numPr>
    </w:pPr>
  </w:style>
  <w:style w:type="paragraph" w:customStyle="1" w:styleId="Numberdigitindent">
    <w:name w:val="Number digit indent"/>
    <w:basedOn w:val="Numberloweralphaindent"/>
    <w:uiPriority w:val="3"/>
    <w:rsid w:val="00101001"/>
    <w:pPr>
      <w:numPr>
        <w:numId w:val="3"/>
      </w:numPr>
    </w:pPr>
  </w:style>
  <w:style w:type="paragraph" w:customStyle="1" w:styleId="Numberloweralpha">
    <w:name w:val="Number lower alpha"/>
    <w:basedOn w:val="Body"/>
    <w:uiPriority w:val="3"/>
    <w:rsid w:val="00721CFB"/>
    <w:pPr>
      <w:numPr>
        <w:numId w:val="22"/>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3"/>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EC04BA"/>
    <w:pPr>
      <w:spacing w:line="320" w:lineRule="atLeast"/>
    </w:pPr>
    <w:rPr>
      <w:color w:val="C63663"/>
      <w:sz w:val="24"/>
    </w:rPr>
  </w:style>
  <w:style w:type="character" w:customStyle="1" w:styleId="ui-provider">
    <w:name w:val="ui-provider"/>
    <w:basedOn w:val="DefaultParagraphFont"/>
    <w:rsid w:val="00A04C72"/>
  </w:style>
  <w:style w:type="character" w:customStyle="1" w:styleId="Bullet1Char">
    <w:name w:val="Bullet 1 Char"/>
    <w:basedOn w:val="BodyChar"/>
    <w:link w:val="Bullet1"/>
    <w:rsid w:val="007258D1"/>
    <w:rPr>
      <w:rFonts w:ascii="Arial" w:eastAsia="Times" w:hAnsi="Arial"/>
      <w:sz w:val="21"/>
      <w:lang w:eastAsia="en-US"/>
    </w:rPr>
  </w:style>
  <w:style w:type="character" w:styleId="Mention">
    <w:name w:val="Mention"/>
    <w:basedOn w:val="DefaultParagraphFont"/>
    <w:uiPriority w:val="99"/>
    <w:unhideWhenUsed/>
    <w:rsid w:val="00E3309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96635598">
      <w:bodyDiv w:val="1"/>
      <w:marLeft w:val="0"/>
      <w:marRight w:val="0"/>
      <w:marTop w:val="0"/>
      <w:marBottom w:val="0"/>
      <w:divBdr>
        <w:top w:val="none" w:sz="0" w:space="0" w:color="auto"/>
        <w:left w:val="none" w:sz="0" w:space="0" w:color="auto"/>
        <w:bottom w:val="none" w:sz="0" w:space="0" w:color="auto"/>
        <w:right w:val="none" w:sz="0" w:space="0" w:color="auto"/>
      </w:divBdr>
    </w:div>
    <w:div w:id="55943960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602589">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14863564">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yperlink" Target="https://www.mht.vic.gov.au/" TargetMode="External"/><Relationship Id="rId3" Type="http://schemas.openxmlformats.org/officeDocument/2006/relationships/customXml" Target="../customXml/item3.xml"/><Relationship Id="rId21" Type="http://schemas.openxmlformats.org/officeDocument/2006/relationships/hyperlink" Target="https://www.health.vic.gov.au/chief-psychiatrist/chief-psychiatrist-guideline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hyperlink" Target="https://www.legislation.vic.gov.au/as-made/acts/mental-health-and-wellbeing-act-2022"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health.vic.gov.au/chief-psychiatrist/electroconvulsive-treatment-guideline-mental-health-and-wellbeing-act-2022" TargetMode="External"/><Relationship Id="rId32"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ocp@health.vic.gov.au" TargetMode="External"/><Relationship Id="rId28" Type="http://schemas.openxmlformats.org/officeDocument/2006/relationships/hyperlink" Target="https://www.health.vic.gov.au/chief-psychiatrist/office-of-the-chief-psychiatrist-reform-activities-and-news" TargetMode="Externa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health.vic.gov.au/chief-psychiatrist/electroconvulsive-treatment-guideline-mental-health-and-wellbeing-act-2022" TargetMode="External"/><Relationship Id="rId27" Type="http://schemas.openxmlformats.org/officeDocument/2006/relationships/hyperlink" Target="mailto:OCP@health.vic.gov.au" TargetMode="External"/><Relationship Id="rId30" Type="http://schemas.openxmlformats.org/officeDocument/2006/relationships/header" Target="header8.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04F20F19C4104BBBAB94593FED5702" ma:contentTypeVersion="15" ma:contentTypeDescription="Create a new document." ma:contentTypeScope="" ma:versionID="c74d63e511f18a4305099f0a92cc0ba0">
  <xsd:schema xmlns:xsd="http://www.w3.org/2001/XMLSchema" xmlns:xs="http://www.w3.org/2001/XMLSchema" xmlns:p="http://schemas.microsoft.com/office/2006/metadata/properties" xmlns:ns2="3fdefc27-9daa-4412-9bc3-ba173f0af375" xmlns:ns3="81ce4eaa-4cb8-4908-9479-89279dfc8e74" xmlns:ns4="5ce0f2b5-5be5-4508-bce9-d7011ece0659" targetNamespace="http://schemas.microsoft.com/office/2006/metadata/properties" ma:root="true" ma:fieldsID="79f9835be544ec71c65b0f16da26af6d" ns2:_="" ns3:_="" ns4:_="">
    <xsd:import namespace="3fdefc27-9daa-4412-9bc3-ba173f0af375"/>
    <xsd:import namespace="81ce4eaa-4cb8-4908-9479-89279dfc8e7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defc27-9daa-4412-9bc3-ba173f0af3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ce4eaa-4cb8-4908-9479-89279dfc8e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7f40d39-d9c4-4750-b992-a0f32e5c75c5}" ma:internalName="TaxCatchAll" ma:showField="CatchAllData" ma:web="81ce4eaa-4cb8-4908-9479-89279dfc8e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3fdefc27-9daa-4412-9bc3-ba173f0af37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9E0BD3-04F7-4CE1-9C95-9E2A44A62C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defc27-9daa-4412-9bc3-ba173f0af375"/>
    <ds:schemaRef ds:uri="81ce4eaa-4cb8-4908-9479-89279dfc8e74"/>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3fdefc27-9daa-4412-9bc3-ba173f0af375"/>
  </ds:schemaRefs>
</ds:datastoreItem>
</file>

<file path=customXml/itemProps3.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1342</Words>
  <Characters>7651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DH pink factsheet</vt:lpstr>
    </vt:vector>
  </TitlesOfParts>
  <Manager/>
  <Company>Victoria State Government, Department of Health</Company>
  <LinksUpToDate>false</LinksUpToDate>
  <CharactersWithSpaces>8976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Electroconvulsive Treatment (ECT) and Neurosurgery</dc:title>
  <dc:subject/>
  <cp:keywords>Office of the Chief Psychiatrist</cp:keywords>
  <dc:description/>
  <cp:revision>248</cp:revision>
  <cp:lastPrinted>2020-03-30T21:28:00Z</cp:lastPrinted>
  <dcterms:created xsi:type="dcterms:W3CDTF">2023-08-08T05:12:00Z</dcterms:created>
  <dcterms:modified xsi:type="dcterms:W3CDTF">2023-08-24T04:05:00Z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0x0101002F04F20F19C4104BBBAB94593FED5702</vt:lpwstr>
  </property>
  <property fmtid="{D5CDD505-2E9C-101B-9397-08002B2CF9AE}" pid="4" name="version">
    <vt:lpwstr>v5 12032021</vt:lpwstr>
  </property>
  <property fmtid="{D5CDD505-2E9C-101B-9397-08002B2CF9AE}" pid="5" name="MediaServiceImageTags">
    <vt:lpwstr/>
  </property>
  <property fmtid="{D5CDD505-2E9C-101B-9397-08002B2CF9AE}" pid="6" name="MSIP_Label_43e64453-338c-4f93-8a4d-0039a0a41f2a_Enabled">
    <vt:lpwstr>true</vt:lpwstr>
  </property>
  <property fmtid="{D5CDD505-2E9C-101B-9397-08002B2CF9AE}" pid="7" name="MSIP_Label_43e64453-338c-4f93-8a4d-0039a0a41f2a_SetDate">
    <vt:lpwstr>2023-08-24T04:05:20Z</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ActionId">
    <vt:lpwstr>dbd07420-31b9-457d-8c7d-e89466da41ee</vt:lpwstr>
  </property>
  <property fmtid="{D5CDD505-2E9C-101B-9397-08002B2CF9AE}" pid="12" name="MSIP_Label_43e64453-338c-4f93-8a4d-0039a0a41f2a_ContentBits">
    <vt:lpwstr>2</vt:lpwstr>
  </property>
</Properties>
</file>