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2B2045F3" w:rsidR="003B5733" w:rsidRPr="00A047F5" w:rsidRDefault="00531F57" w:rsidP="00A047F5">
            <w:pPr>
              <w:pStyle w:val="Documenttitle"/>
              <w:rPr>
                <w:lang w:val="en-GB"/>
              </w:rPr>
            </w:pPr>
            <w:r>
              <w:rPr>
                <w:lang w:val="en-GB"/>
              </w:rPr>
              <w:t>Pain</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71ED8BBB" w14:textId="5C3FF9D0" w:rsidR="00130161"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669410" w:history="1">
        <w:r w:rsidR="00130161" w:rsidRPr="00066E6D">
          <w:rPr>
            <w:rStyle w:val="Hyperlink"/>
          </w:rPr>
          <w:t>Objective</w:t>
        </w:r>
        <w:r w:rsidR="00130161">
          <w:rPr>
            <w:webHidden/>
          </w:rPr>
          <w:tab/>
        </w:r>
        <w:r w:rsidR="00130161">
          <w:rPr>
            <w:webHidden/>
          </w:rPr>
          <w:fldChar w:fldCharType="begin"/>
        </w:r>
        <w:r w:rsidR="00130161">
          <w:rPr>
            <w:webHidden/>
          </w:rPr>
          <w:instrText xml:space="preserve"> PAGEREF _Toc112669410 \h </w:instrText>
        </w:r>
        <w:r w:rsidR="00130161">
          <w:rPr>
            <w:webHidden/>
          </w:rPr>
        </w:r>
        <w:r w:rsidR="00130161">
          <w:rPr>
            <w:webHidden/>
          </w:rPr>
          <w:fldChar w:fldCharType="separate"/>
        </w:r>
        <w:r w:rsidR="00130161">
          <w:rPr>
            <w:webHidden/>
          </w:rPr>
          <w:t>2</w:t>
        </w:r>
        <w:r w:rsidR="00130161">
          <w:rPr>
            <w:webHidden/>
          </w:rPr>
          <w:fldChar w:fldCharType="end"/>
        </w:r>
      </w:hyperlink>
    </w:p>
    <w:p w14:paraId="41167EC4" w14:textId="4CFDBE84" w:rsidR="00130161" w:rsidRDefault="00000000">
      <w:pPr>
        <w:pStyle w:val="TOC2"/>
        <w:rPr>
          <w:rFonts w:asciiTheme="minorHAnsi" w:eastAsiaTheme="minorEastAsia" w:hAnsiTheme="minorHAnsi" w:cstheme="minorBidi"/>
          <w:sz w:val="24"/>
          <w:szCs w:val="24"/>
          <w:lang w:eastAsia="en-GB"/>
        </w:rPr>
      </w:pPr>
      <w:hyperlink w:anchor="_Toc112669411" w:history="1">
        <w:r w:rsidR="00130161" w:rsidRPr="00066E6D">
          <w:rPr>
            <w:rStyle w:val="Hyperlink"/>
          </w:rPr>
          <w:t>Why the response to the actively dying stage is important</w:t>
        </w:r>
        <w:r w:rsidR="00130161">
          <w:rPr>
            <w:webHidden/>
          </w:rPr>
          <w:tab/>
        </w:r>
        <w:r w:rsidR="00130161">
          <w:rPr>
            <w:webHidden/>
          </w:rPr>
          <w:fldChar w:fldCharType="begin"/>
        </w:r>
        <w:r w:rsidR="00130161">
          <w:rPr>
            <w:webHidden/>
          </w:rPr>
          <w:instrText xml:space="preserve"> PAGEREF _Toc112669411 \h </w:instrText>
        </w:r>
        <w:r w:rsidR="00130161">
          <w:rPr>
            <w:webHidden/>
          </w:rPr>
        </w:r>
        <w:r w:rsidR="00130161">
          <w:rPr>
            <w:webHidden/>
          </w:rPr>
          <w:fldChar w:fldCharType="separate"/>
        </w:r>
        <w:r w:rsidR="00130161">
          <w:rPr>
            <w:webHidden/>
          </w:rPr>
          <w:t>2</w:t>
        </w:r>
        <w:r w:rsidR="00130161">
          <w:rPr>
            <w:webHidden/>
          </w:rPr>
          <w:fldChar w:fldCharType="end"/>
        </w:r>
      </w:hyperlink>
    </w:p>
    <w:p w14:paraId="170A0C88" w14:textId="0CC72C89" w:rsidR="00130161" w:rsidRDefault="00000000">
      <w:pPr>
        <w:pStyle w:val="TOC2"/>
        <w:rPr>
          <w:rFonts w:asciiTheme="minorHAnsi" w:eastAsiaTheme="minorEastAsia" w:hAnsiTheme="minorHAnsi" w:cstheme="minorBidi"/>
          <w:sz w:val="24"/>
          <w:szCs w:val="24"/>
          <w:lang w:eastAsia="en-GB"/>
        </w:rPr>
      </w:pPr>
      <w:hyperlink w:anchor="_Toc112669412" w:history="1">
        <w:r w:rsidR="00130161" w:rsidRPr="00066E6D">
          <w:rPr>
            <w:rStyle w:val="Hyperlink"/>
            <w:lang w:val="en-GB" w:eastAsia="en-AU"/>
          </w:rPr>
          <w:t>Definitions</w:t>
        </w:r>
        <w:r w:rsidR="00130161">
          <w:rPr>
            <w:webHidden/>
          </w:rPr>
          <w:tab/>
        </w:r>
        <w:r w:rsidR="00130161">
          <w:rPr>
            <w:webHidden/>
          </w:rPr>
          <w:fldChar w:fldCharType="begin"/>
        </w:r>
        <w:r w:rsidR="00130161">
          <w:rPr>
            <w:webHidden/>
          </w:rPr>
          <w:instrText xml:space="preserve"> PAGEREF _Toc112669412 \h </w:instrText>
        </w:r>
        <w:r w:rsidR="00130161">
          <w:rPr>
            <w:webHidden/>
          </w:rPr>
        </w:r>
        <w:r w:rsidR="00130161">
          <w:rPr>
            <w:webHidden/>
          </w:rPr>
          <w:fldChar w:fldCharType="separate"/>
        </w:r>
        <w:r w:rsidR="00130161">
          <w:rPr>
            <w:webHidden/>
          </w:rPr>
          <w:t>2</w:t>
        </w:r>
        <w:r w:rsidR="00130161">
          <w:rPr>
            <w:webHidden/>
          </w:rPr>
          <w:fldChar w:fldCharType="end"/>
        </w:r>
      </w:hyperlink>
    </w:p>
    <w:p w14:paraId="778F8363" w14:textId="4588D352" w:rsidR="00130161" w:rsidRDefault="00000000">
      <w:pPr>
        <w:pStyle w:val="TOC2"/>
        <w:rPr>
          <w:rFonts w:asciiTheme="minorHAnsi" w:eastAsiaTheme="minorEastAsia" w:hAnsiTheme="minorHAnsi" w:cstheme="minorBidi"/>
          <w:sz w:val="24"/>
          <w:szCs w:val="24"/>
          <w:lang w:eastAsia="en-GB"/>
        </w:rPr>
      </w:pPr>
      <w:hyperlink w:anchor="_Toc112669413" w:history="1">
        <w:r w:rsidR="00130161" w:rsidRPr="00066E6D">
          <w:rPr>
            <w:rStyle w:val="Hyperlink"/>
          </w:rPr>
          <w:t>Team</w:t>
        </w:r>
        <w:r w:rsidR="00130161">
          <w:rPr>
            <w:webHidden/>
          </w:rPr>
          <w:tab/>
        </w:r>
        <w:r w:rsidR="00130161">
          <w:rPr>
            <w:webHidden/>
          </w:rPr>
          <w:fldChar w:fldCharType="begin"/>
        </w:r>
        <w:r w:rsidR="00130161">
          <w:rPr>
            <w:webHidden/>
          </w:rPr>
          <w:instrText xml:space="preserve"> PAGEREF _Toc112669413 \h </w:instrText>
        </w:r>
        <w:r w:rsidR="00130161">
          <w:rPr>
            <w:webHidden/>
          </w:rPr>
        </w:r>
        <w:r w:rsidR="00130161">
          <w:rPr>
            <w:webHidden/>
          </w:rPr>
          <w:fldChar w:fldCharType="separate"/>
        </w:r>
        <w:r w:rsidR="00130161">
          <w:rPr>
            <w:webHidden/>
          </w:rPr>
          <w:t>2</w:t>
        </w:r>
        <w:r w:rsidR="00130161">
          <w:rPr>
            <w:webHidden/>
          </w:rPr>
          <w:fldChar w:fldCharType="end"/>
        </w:r>
      </w:hyperlink>
    </w:p>
    <w:p w14:paraId="57B05FD4" w14:textId="11239C11" w:rsidR="00130161" w:rsidRDefault="00000000">
      <w:pPr>
        <w:pStyle w:val="TOC2"/>
        <w:rPr>
          <w:rFonts w:asciiTheme="minorHAnsi" w:eastAsiaTheme="minorEastAsia" w:hAnsiTheme="minorHAnsi" w:cstheme="minorBidi"/>
          <w:sz w:val="24"/>
          <w:szCs w:val="24"/>
          <w:lang w:eastAsia="en-GB"/>
        </w:rPr>
      </w:pPr>
      <w:hyperlink w:anchor="_Toc112669414" w:history="1">
        <w:r w:rsidR="00130161" w:rsidRPr="00066E6D">
          <w:rPr>
            <w:rStyle w:val="Hyperlink"/>
          </w:rPr>
          <w:t>Acknowledgement</w:t>
        </w:r>
        <w:r w:rsidR="00130161">
          <w:rPr>
            <w:webHidden/>
          </w:rPr>
          <w:tab/>
        </w:r>
        <w:r w:rsidR="00130161">
          <w:rPr>
            <w:webHidden/>
          </w:rPr>
          <w:fldChar w:fldCharType="begin"/>
        </w:r>
        <w:r w:rsidR="00130161">
          <w:rPr>
            <w:webHidden/>
          </w:rPr>
          <w:instrText xml:space="preserve"> PAGEREF _Toc112669414 \h </w:instrText>
        </w:r>
        <w:r w:rsidR="00130161">
          <w:rPr>
            <w:webHidden/>
          </w:rPr>
        </w:r>
        <w:r w:rsidR="00130161">
          <w:rPr>
            <w:webHidden/>
          </w:rPr>
          <w:fldChar w:fldCharType="separate"/>
        </w:r>
        <w:r w:rsidR="00130161">
          <w:rPr>
            <w:webHidden/>
          </w:rPr>
          <w:t>2</w:t>
        </w:r>
        <w:r w:rsidR="00130161">
          <w:rPr>
            <w:webHidden/>
          </w:rPr>
          <w:fldChar w:fldCharType="end"/>
        </w:r>
      </w:hyperlink>
    </w:p>
    <w:p w14:paraId="24593364" w14:textId="683BCE5A" w:rsidR="00130161" w:rsidRDefault="00000000">
      <w:pPr>
        <w:pStyle w:val="TOC1"/>
        <w:rPr>
          <w:rFonts w:asciiTheme="minorHAnsi" w:eastAsiaTheme="minorEastAsia" w:hAnsiTheme="minorHAnsi" w:cstheme="minorBidi"/>
          <w:b w:val="0"/>
          <w:sz w:val="24"/>
          <w:szCs w:val="24"/>
          <w:lang w:eastAsia="en-GB"/>
        </w:rPr>
      </w:pPr>
      <w:hyperlink w:anchor="_Toc112669415" w:history="1">
        <w:r w:rsidR="00130161" w:rsidRPr="00066E6D">
          <w:rPr>
            <w:rStyle w:val="Hyperlink"/>
          </w:rPr>
          <w:t>Brief standardised care process</w:t>
        </w:r>
        <w:r w:rsidR="00130161">
          <w:rPr>
            <w:webHidden/>
          </w:rPr>
          <w:tab/>
        </w:r>
        <w:r w:rsidR="00130161">
          <w:rPr>
            <w:webHidden/>
          </w:rPr>
          <w:fldChar w:fldCharType="begin"/>
        </w:r>
        <w:r w:rsidR="00130161">
          <w:rPr>
            <w:webHidden/>
          </w:rPr>
          <w:instrText xml:space="preserve"> PAGEREF _Toc112669415 \h </w:instrText>
        </w:r>
        <w:r w:rsidR="00130161">
          <w:rPr>
            <w:webHidden/>
          </w:rPr>
        </w:r>
        <w:r w:rsidR="00130161">
          <w:rPr>
            <w:webHidden/>
          </w:rPr>
          <w:fldChar w:fldCharType="separate"/>
        </w:r>
        <w:r w:rsidR="00130161">
          <w:rPr>
            <w:webHidden/>
          </w:rPr>
          <w:t>3</w:t>
        </w:r>
        <w:r w:rsidR="00130161">
          <w:rPr>
            <w:webHidden/>
          </w:rPr>
          <w:fldChar w:fldCharType="end"/>
        </w:r>
      </w:hyperlink>
    </w:p>
    <w:p w14:paraId="0D1541F9" w14:textId="64C27887" w:rsidR="00130161" w:rsidRDefault="00000000">
      <w:pPr>
        <w:pStyle w:val="TOC2"/>
        <w:rPr>
          <w:rFonts w:asciiTheme="minorHAnsi" w:eastAsiaTheme="minorEastAsia" w:hAnsiTheme="minorHAnsi" w:cstheme="minorBidi"/>
          <w:sz w:val="24"/>
          <w:szCs w:val="24"/>
          <w:lang w:eastAsia="en-GB"/>
        </w:rPr>
      </w:pPr>
      <w:hyperlink w:anchor="_Toc112669416" w:history="1">
        <w:r w:rsidR="00130161" w:rsidRPr="00066E6D">
          <w:rPr>
            <w:rStyle w:val="Hyperlink"/>
            <w:lang w:val="en-GB" w:eastAsia="en-AU"/>
          </w:rPr>
          <w:t>Recognition and assessment</w:t>
        </w:r>
        <w:r w:rsidR="00130161">
          <w:rPr>
            <w:webHidden/>
          </w:rPr>
          <w:tab/>
        </w:r>
        <w:r w:rsidR="00130161">
          <w:rPr>
            <w:webHidden/>
          </w:rPr>
          <w:fldChar w:fldCharType="begin"/>
        </w:r>
        <w:r w:rsidR="00130161">
          <w:rPr>
            <w:webHidden/>
          </w:rPr>
          <w:instrText xml:space="preserve"> PAGEREF _Toc112669416 \h </w:instrText>
        </w:r>
        <w:r w:rsidR="00130161">
          <w:rPr>
            <w:webHidden/>
          </w:rPr>
        </w:r>
        <w:r w:rsidR="00130161">
          <w:rPr>
            <w:webHidden/>
          </w:rPr>
          <w:fldChar w:fldCharType="separate"/>
        </w:r>
        <w:r w:rsidR="00130161">
          <w:rPr>
            <w:webHidden/>
          </w:rPr>
          <w:t>3</w:t>
        </w:r>
        <w:r w:rsidR="00130161">
          <w:rPr>
            <w:webHidden/>
          </w:rPr>
          <w:fldChar w:fldCharType="end"/>
        </w:r>
      </w:hyperlink>
    </w:p>
    <w:p w14:paraId="03909B3E" w14:textId="1CDF5679" w:rsidR="00130161" w:rsidRDefault="00000000">
      <w:pPr>
        <w:pStyle w:val="TOC2"/>
        <w:rPr>
          <w:rFonts w:asciiTheme="minorHAnsi" w:eastAsiaTheme="minorEastAsia" w:hAnsiTheme="minorHAnsi" w:cstheme="minorBidi"/>
          <w:sz w:val="24"/>
          <w:szCs w:val="24"/>
          <w:lang w:eastAsia="en-GB"/>
        </w:rPr>
      </w:pPr>
      <w:hyperlink w:anchor="_Toc112669417" w:history="1">
        <w:r w:rsidR="00130161" w:rsidRPr="00066E6D">
          <w:rPr>
            <w:rStyle w:val="Hyperlink"/>
            <w:lang w:val="en-GB" w:eastAsia="en-AU"/>
          </w:rPr>
          <w:t>Interventions</w:t>
        </w:r>
        <w:r w:rsidR="00130161">
          <w:rPr>
            <w:webHidden/>
          </w:rPr>
          <w:tab/>
        </w:r>
        <w:r w:rsidR="00130161">
          <w:rPr>
            <w:webHidden/>
          </w:rPr>
          <w:fldChar w:fldCharType="begin"/>
        </w:r>
        <w:r w:rsidR="00130161">
          <w:rPr>
            <w:webHidden/>
          </w:rPr>
          <w:instrText xml:space="preserve"> PAGEREF _Toc112669417 \h </w:instrText>
        </w:r>
        <w:r w:rsidR="00130161">
          <w:rPr>
            <w:webHidden/>
          </w:rPr>
        </w:r>
        <w:r w:rsidR="00130161">
          <w:rPr>
            <w:webHidden/>
          </w:rPr>
          <w:fldChar w:fldCharType="separate"/>
        </w:r>
        <w:r w:rsidR="00130161">
          <w:rPr>
            <w:webHidden/>
          </w:rPr>
          <w:t>3</w:t>
        </w:r>
        <w:r w:rsidR="00130161">
          <w:rPr>
            <w:webHidden/>
          </w:rPr>
          <w:fldChar w:fldCharType="end"/>
        </w:r>
      </w:hyperlink>
    </w:p>
    <w:p w14:paraId="5DA04C53" w14:textId="39F20FE1" w:rsidR="00130161" w:rsidRDefault="00000000">
      <w:pPr>
        <w:pStyle w:val="TOC2"/>
        <w:rPr>
          <w:rFonts w:asciiTheme="minorHAnsi" w:eastAsiaTheme="minorEastAsia" w:hAnsiTheme="minorHAnsi" w:cstheme="minorBidi"/>
          <w:sz w:val="24"/>
          <w:szCs w:val="24"/>
          <w:lang w:eastAsia="en-GB"/>
        </w:rPr>
      </w:pPr>
      <w:hyperlink w:anchor="_Toc112669418" w:history="1">
        <w:r w:rsidR="00130161" w:rsidRPr="00066E6D">
          <w:rPr>
            <w:rStyle w:val="Hyperlink"/>
            <w:lang w:val="en-GB" w:eastAsia="en-AU"/>
          </w:rPr>
          <w:t>Referral</w:t>
        </w:r>
        <w:r w:rsidR="00130161">
          <w:rPr>
            <w:webHidden/>
          </w:rPr>
          <w:tab/>
        </w:r>
        <w:r w:rsidR="00130161">
          <w:rPr>
            <w:webHidden/>
          </w:rPr>
          <w:fldChar w:fldCharType="begin"/>
        </w:r>
        <w:r w:rsidR="00130161">
          <w:rPr>
            <w:webHidden/>
          </w:rPr>
          <w:instrText xml:space="preserve"> PAGEREF _Toc112669418 \h </w:instrText>
        </w:r>
        <w:r w:rsidR="00130161">
          <w:rPr>
            <w:webHidden/>
          </w:rPr>
        </w:r>
        <w:r w:rsidR="00130161">
          <w:rPr>
            <w:webHidden/>
          </w:rPr>
          <w:fldChar w:fldCharType="separate"/>
        </w:r>
        <w:r w:rsidR="00130161">
          <w:rPr>
            <w:webHidden/>
          </w:rPr>
          <w:t>3</w:t>
        </w:r>
        <w:r w:rsidR="00130161">
          <w:rPr>
            <w:webHidden/>
          </w:rPr>
          <w:fldChar w:fldCharType="end"/>
        </w:r>
      </w:hyperlink>
    </w:p>
    <w:p w14:paraId="699CEBD5" w14:textId="66C5C8E0" w:rsidR="00130161" w:rsidRDefault="00000000">
      <w:pPr>
        <w:pStyle w:val="TOC2"/>
        <w:rPr>
          <w:rFonts w:asciiTheme="minorHAnsi" w:eastAsiaTheme="minorEastAsia" w:hAnsiTheme="minorHAnsi" w:cstheme="minorBidi"/>
          <w:sz w:val="24"/>
          <w:szCs w:val="24"/>
          <w:lang w:eastAsia="en-GB"/>
        </w:rPr>
      </w:pPr>
      <w:hyperlink w:anchor="_Toc112669419" w:history="1">
        <w:r w:rsidR="00130161" w:rsidRPr="00066E6D">
          <w:rPr>
            <w:rStyle w:val="Hyperlink"/>
          </w:rPr>
          <w:t>Evaluation and reassessment</w:t>
        </w:r>
        <w:r w:rsidR="00130161">
          <w:rPr>
            <w:webHidden/>
          </w:rPr>
          <w:tab/>
        </w:r>
        <w:r w:rsidR="00130161">
          <w:rPr>
            <w:webHidden/>
          </w:rPr>
          <w:fldChar w:fldCharType="begin"/>
        </w:r>
        <w:r w:rsidR="00130161">
          <w:rPr>
            <w:webHidden/>
          </w:rPr>
          <w:instrText xml:space="preserve"> PAGEREF _Toc112669419 \h </w:instrText>
        </w:r>
        <w:r w:rsidR="00130161">
          <w:rPr>
            <w:webHidden/>
          </w:rPr>
        </w:r>
        <w:r w:rsidR="00130161">
          <w:rPr>
            <w:webHidden/>
          </w:rPr>
          <w:fldChar w:fldCharType="separate"/>
        </w:r>
        <w:r w:rsidR="00130161">
          <w:rPr>
            <w:webHidden/>
          </w:rPr>
          <w:t>3</w:t>
        </w:r>
        <w:r w:rsidR="00130161">
          <w:rPr>
            <w:webHidden/>
          </w:rPr>
          <w:fldChar w:fldCharType="end"/>
        </w:r>
      </w:hyperlink>
    </w:p>
    <w:p w14:paraId="441048DC" w14:textId="71F64040" w:rsidR="00130161" w:rsidRDefault="00000000">
      <w:pPr>
        <w:pStyle w:val="TOC2"/>
        <w:rPr>
          <w:rFonts w:asciiTheme="minorHAnsi" w:eastAsiaTheme="minorEastAsia" w:hAnsiTheme="minorHAnsi" w:cstheme="minorBidi"/>
          <w:sz w:val="24"/>
          <w:szCs w:val="24"/>
          <w:lang w:eastAsia="en-GB"/>
        </w:rPr>
      </w:pPr>
      <w:hyperlink w:anchor="_Toc112669420" w:history="1">
        <w:r w:rsidR="00130161" w:rsidRPr="00066E6D">
          <w:rPr>
            <w:rStyle w:val="Hyperlink"/>
            <w:lang w:val="en-GB" w:eastAsia="en-AU"/>
          </w:rPr>
          <w:t>Resident involvement</w:t>
        </w:r>
        <w:r w:rsidR="00130161">
          <w:rPr>
            <w:webHidden/>
          </w:rPr>
          <w:tab/>
        </w:r>
        <w:r w:rsidR="00130161">
          <w:rPr>
            <w:webHidden/>
          </w:rPr>
          <w:fldChar w:fldCharType="begin"/>
        </w:r>
        <w:r w:rsidR="00130161">
          <w:rPr>
            <w:webHidden/>
          </w:rPr>
          <w:instrText xml:space="preserve"> PAGEREF _Toc112669420 \h </w:instrText>
        </w:r>
        <w:r w:rsidR="00130161">
          <w:rPr>
            <w:webHidden/>
          </w:rPr>
        </w:r>
        <w:r w:rsidR="00130161">
          <w:rPr>
            <w:webHidden/>
          </w:rPr>
          <w:fldChar w:fldCharType="separate"/>
        </w:r>
        <w:r w:rsidR="00130161">
          <w:rPr>
            <w:webHidden/>
          </w:rPr>
          <w:t>3</w:t>
        </w:r>
        <w:r w:rsidR="00130161">
          <w:rPr>
            <w:webHidden/>
          </w:rPr>
          <w:fldChar w:fldCharType="end"/>
        </w:r>
      </w:hyperlink>
    </w:p>
    <w:p w14:paraId="3FC7EAC7" w14:textId="1D163C54" w:rsidR="00130161" w:rsidRDefault="00000000">
      <w:pPr>
        <w:pStyle w:val="TOC2"/>
        <w:rPr>
          <w:rFonts w:asciiTheme="minorHAnsi" w:eastAsiaTheme="minorEastAsia" w:hAnsiTheme="minorHAnsi" w:cstheme="minorBidi"/>
          <w:sz w:val="24"/>
          <w:szCs w:val="24"/>
          <w:lang w:eastAsia="en-GB"/>
        </w:rPr>
      </w:pPr>
      <w:hyperlink w:anchor="_Toc112669421" w:history="1">
        <w:r w:rsidR="00130161" w:rsidRPr="00066E6D">
          <w:rPr>
            <w:rStyle w:val="Hyperlink"/>
          </w:rPr>
          <w:t>Staff knowledge and education</w:t>
        </w:r>
        <w:r w:rsidR="00130161">
          <w:rPr>
            <w:webHidden/>
          </w:rPr>
          <w:tab/>
        </w:r>
        <w:r w:rsidR="00130161">
          <w:rPr>
            <w:webHidden/>
          </w:rPr>
          <w:fldChar w:fldCharType="begin"/>
        </w:r>
        <w:r w:rsidR="00130161">
          <w:rPr>
            <w:webHidden/>
          </w:rPr>
          <w:instrText xml:space="preserve"> PAGEREF _Toc112669421 \h </w:instrText>
        </w:r>
        <w:r w:rsidR="00130161">
          <w:rPr>
            <w:webHidden/>
          </w:rPr>
        </w:r>
        <w:r w:rsidR="00130161">
          <w:rPr>
            <w:webHidden/>
          </w:rPr>
          <w:fldChar w:fldCharType="separate"/>
        </w:r>
        <w:r w:rsidR="00130161">
          <w:rPr>
            <w:webHidden/>
          </w:rPr>
          <w:t>4</w:t>
        </w:r>
        <w:r w:rsidR="00130161">
          <w:rPr>
            <w:webHidden/>
          </w:rPr>
          <w:fldChar w:fldCharType="end"/>
        </w:r>
      </w:hyperlink>
    </w:p>
    <w:p w14:paraId="73869960" w14:textId="61B148D8" w:rsidR="00130161" w:rsidRDefault="00000000">
      <w:pPr>
        <w:pStyle w:val="TOC1"/>
        <w:rPr>
          <w:rFonts w:asciiTheme="minorHAnsi" w:eastAsiaTheme="minorEastAsia" w:hAnsiTheme="minorHAnsi" w:cstheme="minorBidi"/>
          <w:b w:val="0"/>
          <w:sz w:val="24"/>
          <w:szCs w:val="24"/>
          <w:lang w:eastAsia="en-GB"/>
        </w:rPr>
      </w:pPr>
      <w:hyperlink w:anchor="_Toc112669422" w:history="1">
        <w:r w:rsidR="00130161" w:rsidRPr="00066E6D">
          <w:rPr>
            <w:rStyle w:val="Hyperlink"/>
            <w:lang w:val="en-GB"/>
          </w:rPr>
          <w:t>Full standardised care process</w:t>
        </w:r>
        <w:r w:rsidR="00130161">
          <w:rPr>
            <w:webHidden/>
          </w:rPr>
          <w:tab/>
        </w:r>
        <w:r w:rsidR="00130161">
          <w:rPr>
            <w:webHidden/>
          </w:rPr>
          <w:fldChar w:fldCharType="begin"/>
        </w:r>
        <w:r w:rsidR="00130161">
          <w:rPr>
            <w:webHidden/>
          </w:rPr>
          <w:instrText xml:space="preserve"> PAGEREF _Toc112669422 \h </w:instrText>
        </w:r>
        <w:r w:rsidR="00130161">
          <w:rPr>
            <w:webHidden/>
          </w:rPr>
        </w:r>
        <w:r w:rsidR="00130161">
          <w:rPr>
            <w:webHidden/>
          </w:rPr>
          <w:fldChar w:fldCharType="separate"/>
        </w:r>
        <w:r w:rsidR="00130161">
          <w:rPr>
            <w:webHidden/>
          </w:rPr>
          <w:t>5</w:t>
        </w:r>
        <w:r w:rsidR="00130161">
          <w:rPr>
            <w:webHidden/>
          </w:rPr>
          <w:fldChar w:fldCharType="end"/>
        </w:r>
      </w:hyperlink>
    </w:p>
    <w:p w14:paraId="0DB6E3DA" w14:textId="67025289" w:rsidR="00130161" w:rsidRDefault="00000000">
      <w:pPr>
        <w:pStyle w:val="TOC2"/>
        <w:rPr>
          <w:rFonts w:asciiTheme="minorHAnsi" w:eastAsiaTheme="minorEastAsia" w:hAnsiTheme="minorHAnsi" w:cstheme="minorBidi"/>
          <w:sz w:val="24"/>
          <w:szCs w:val="24"/>
          <w:lang w:eastAsia="en-GB"/>
        </w:rPr>
      </w:pPr>
      <w:hyperlink w:anchor="_Toc112669423" w:history="1">
        <w:r w:rsidR="00130161" w:rsidRPr="00066E6D">
          <w:rPr>
            <w:rStyle w:val="Hyperlink"/>
          </w:rPr>
          <w:t>Recognition</w:t>
        </w:r>
        <w:r w:rsidR="00130161">
          <w:rPr>
            <w:webHidden/>
          </w:rPr>
          <w:tab/>
        </w:r>
        <w:r w:rsidR="00130161">
          <w:rPr>
            <w:webHidden/>
          </w:rPr>
          <w:fldChar w:fldCharType="begin"/>
        </w:r>
        <w:r w:rsidR="00130161">
          <w:rPr>
            <w:webHidden/>
          </w:rPr>
          <w:instrText xml:space="preserve"> PAGEREF _Toc112669423 \h </w:instrText>
        </w:r>
        <w:r w:rsidR="00130161">
          <w:rPr>
            <w:webHidden/>
          </w:rPr>
        </w:r>
        <w:r w:rsidR="00130161">
          <w:rPr>
            <w:webHidden/>
          </w:rPr>
          <w:fldChar w:fldCharType="separate"/>
        </w:r>
        <w:r w:rsidR="00130161">
          <w:rPr>
            <w:webHidden/>
          </w:rPr>
          <w:t>5</w:t>
        </w:r>
        <w:r w:rsidR="00130161">
          <w:rPr>
            <w:webHidden/>
          </w:rPr>
          <w:fldChar w:fldCharType="end"/>
        </w:r>
      </w:hyperlink>
    </w:p>
    <w:p w14:paraId="3C4FCBEE" w14:textId="5EC6929D" w:rsidR="00130161" w:rsidRDefault="00000000">
      <w:pPr>
        <w:pStyle w:val="TOC2"/>
        <w:rPr>
          <w:rFonts w:asciiTheme="minorHAnsi" w:eastAsiaTheme="minorEastAsia" w:hAnsiTheme="minorHAnsi" w:cstheme="minorBidi"/>
          <w:sz w:val="24"/>
          <w:szCs w:val="24"/>
          <w:lang w:eastAsia="en-GB"/>
        </w:rPr>
      </w:pPr>
      <w:hyperlink w:anchor="_Toc112669424" w:history="1">
        <w:r w:rsidR="00130161" w:rsidRPr="00066E6D">
          <w:rPr>
            <w:rStyle w:val="Hyperlink"/>
            <w:rFonts w:eastAsia="Times"/>
          </w:rPr>
          <w:t>Assessment</w:t>
        </w:r>
        <w:r w:rsidR="00130161">
          <w:rPr>
            <w:webHidden/>
          </w:rPr>
          <w:tab/>
        </w:r>
        <w:r w:rsidR="00130161">
          <w:rPr>
            <w:webHidden/>
          </w:rPr>
          <w:fldChar w:fldCharType="begin"/>
        </w:r>
        <w:r w:rsidR="00130161">
          <w:rPr>
            <w:webHidden/>
          </w:rPr>
          <w:instrText xml:space="preserve"> PAGEREF _Toc112669424 \h </w:instrText>
        </w:r>
        <w:r w:rsidR="00130161">
          <w:rPr>
            <w:webHidden/>
          </w:rPr>
        </w:r>
        <w:r w:rsidR="00130161">
          <w:rPr>
            <w:webHidden/>
          </w:rPr>
          <w:fldChar w:fldCharType="separate"/>
        </w:r>
        <w:r w:rsidR="00130161">
          <w:rPr>
            <w:webHidden/>
          </w:rPr>
          <w:t>5</w:t>
        </w:r>
        <w:r w:rsidR="00130161">
          <w:rPr>
            <w:webHidden/>
          </w:rPr>
          <w:fldChar w:fldCharType="end"/>
        </w:r>
      </w:hyperlink>
    </w:p>
    <w:p w14:paraId="5C4F49F8" w14:textId="1D0CDF15" w:rsidR="00130161" w:rsidRDefault="00000000">
      <w:pPr>
        <w:pStyle w:val="TOC2"/>
        <w:rPr>
          <w:rFonts w:asciiTheme="minorHAnsi" w:eastAsiaTheme="minorEastAsia" w:hAnsiTheme="minorHAnsi" w:cstheme="minorBidi"/>
          <w:sz w:val="24"/>
          <w:szCs w:val="24"/>
          <w:lang w:eastAsia="en-GB"/>
        </w:rPr>
      </w:pPr>
      <w:hyperlink w:anchor="_Toc112669425" w:history="1">
        <w:r w:rsidR="00130161" w:rsidRPr="00066E6D">
          <w:rPr>
            <w:rStyle w:val="Hyperlink"/>
            <w:lang w:val="en-GB" w:eastAsia="en-AU"/>
          </w:rPr>
          <w:t>Interventions</w:t>
        </w:r>
        <w:r w:rsidR="00130161">
          <w:rPr>
            <w:webHidden/>
          </w:rPr>
          <w:tab/>
        </w:r>
        <w:r w:rsidR="00130161">
          <w:rPr>
            <w:webHidden/>
          </w:rPr>
          <w:fldChar w:fldCharType="begin"/>
        </w:r>
        <w:r w:rsidR="00130161">
          <w:rPr>
            <w:webHidden/>
          </w:rPr>
          <w:instrText xml:space="preserve"> PAGEREF _Toc112669425 \h </w:instrText>
        </w:r>
        <w:r w:rsidR="00130161">
          <w:rPr>
            <w:webHidden/>
          </w:rPr>
        </w:r>
        <w:r w:rsidR="00130161">
          <w:rPr>
            <w:webHidden/>
          </w:rPr>
          <w:fldChar w:fldCharType="separate"/>
        </w:r>
        <w:r w:rsidR="00130161">
          <w:rPr>
            <w:webHidden/>
          </w:rPr>
          <w:t>7</w:t>
        </w:r>
        <w:r w:rsidR="00130161">
          <w:rPr>
            <w:webHidden/>
          </w:rPr>
          <w:fldChar w:fldCharType="end"/>
        </w:r>
      </w:hyperlink>
    </w:p>
    <w:p w14:paraId="68D58722" w14:textId="7B39B620" w:rsidR="00130161" w:rsidRDefault="00000000">
      <w:pPr>
        <w:pStyle w:val="TOC2"/>
        <w:rPr>
          <w:rFonts w:asciiTheme="minorHAnsi" w:eastAsiaTheme="minorEastAsia" w:hAnsiTheme="minorHAnsi" w:cstheme="minorBidi"/>
          <w:sz w:val="24"/>
          <w:szCs w:val="24"/>
          <w:lang w:eastAsia="en-GB"/>
        </w:rPr>
      </w:pPr>
      <w:hyperlink w:anchor="_Toc112669426" w:history="1">
        <w:r w:rsidR="00130161" w:rsidRPr="00066E6D">
          <w:rPr>
            <w:rStyle w:val="Hyperlink"/>
            <w:lang w:val="en-GB" w:eastAsia="en-AU"/>
          </w:rPr>
          <w:t>Referral</w:t>
        </w:r>
        <w:r w:rsidR="00130161">
          <w:rPr>
            <w:webHidden/>
          </w:rPr>
          <w:tab/>
        </w:r>
        <w:r w:rsidR="00130161">
          <w:rPr>
            <w:webHidden/>
          </w:rPr>
          <w:fldChar w:fldCharType="begin"/>
        </w:r>
        <w:r w:rsidR="00130161">
          <w:rPr>
            <w:webHidden/>
          </w:rPr>
          <w:instrText xml:space="preserve"> PAGEREF _Toc112669426 \h </w:instrText>
        </w:r>
        <w:r w:rsidR="00130161">
          <w:rPr>
            <w:webHidden/>
          </w:rPr>
        </w:r>
        <w:r w:rsidR="00130161">
          <w:rPr>
            <w:webHidden/>
          </w:rPr>
          <w:fldChar w:fldCharType="separate"/>
        </w:r>
        <w:r w:rsidR="00130161">
          <w:rPr>
            <w:webHidden/>
          </w:rPr>
          <w:t>8</w:t>
        </w:r>
        <w:r w:rsidR="00130161">
          <w:rPr>
            <w:webHidden/>
          </w:rPr>
          <w:fldChar w:fldCharType="end"/>
        </w:r>
      </w:hyperlink>
    </w:p>
    <w:p w14:paraId="62AE0D99" w14:textId="68974E13" w:rsidR="00130161" w:rsidRDefault="00000000">
      <w:pPr>
        <w:pStyle w:val="TOC2"/>
        <w:rPr>
          <w:rFonts w:asciiTheme="minorHAnsi" w:eastAsiaTheme="minorEastAsia" w:hAnsiTheme="minorHAnsi" w:cstheme="minorBidi"/>
          <w:sz w:val="24"/>
          <w:szCs w:val="24"/>
          <w:lang w:eastAsia="en-GB"/>
        </w:rPr>
      </w:pPr>
      <w:hyperlink w:anchor="_Toc112669427" w:history="1">
        <w:r w:rsidR="00130161" w:rsidRPr="00066E6D">
          <w:rPr>
            <w:rStyle w:val="Hyperlink"/>
            <w:lang w:val="en-GB" w:eastAsia="en-AU"/>
          </w:rPr>
          <w:t>Evaluation and reassessment</w:t>
        </w:r>
        <w:r w:rsidR="00130161">
          <w:rPr>
            <w:webHidden/>
          </w:rPr>
          <w:tab/>
        </w:r>
        <w:r w:rsidR="00130161">
          <w:rPr>
            <w:webHidden/>
          </w:rPr>
          <w:fldChar w:fldCharType="begin"/>
        </w:r>
        <w:r w:rsidR="00130161">
          <w:rPr>
            <w:webHidden/>
          </w:rPr>
          <w:instrText xml:space="preserve"> PAGEREF _Toc112669427 \h </w:instrText>
        </w:r>
        <w:r w:rsidR="00130161">
          <w:rPr>
            <w:webHidden/>
          </w:rPr>
        </w:r>
        <w:r w:rsidR="00130161">
          <w:rPr>
            <w:webHidden/>
          </w:rPr>
          <w:fldChar w:fldCharType="separate"/>
        </w:r>
        <w:r w:rsidR="00130161">
          <w:rPr>
            <w:webHidden/>
          </w:rPr>
          <w:t>8</w:t>
        </w:r>
        <w:r w:rsidR="00130161">
          <w:rPr>
            <w:webHidden/>
          </w:rPr>
          <w:fldChar w:fldCharType="end"/>
        </w:r>
      </w:hyperlink>
    </w:p>
    <w:p w14:paraId="4A4C9626" w14:textId="49F41CE5" w:rsidR="00130161" w:rsidRDefault="00000000">
      <w:pPr>
        <w:pStyle w:val="TOC2"/>
        <w:rPr>
          <w:rFonts w:asciiTheme="minorHAnsi" w:eastAsiaTheme="minorEastAsia" w:hAnsiTheme="minorHAnsi" w:cstheme="minorBidi"/>
          <w:sz w:val="24"/>
          <w:szCs w:val="24"/>
          <w:lang w:eastAsia="en-GB"/>
        </w:rPr>
      </w:pPr>
      <w:hyperlink w:anchor="_Toc112669428" w:history="1">
        <w:r w:rsidR="00130161" w:rsidRPr="00066E6D">
          <w:rPr>
            <w:rStyle w:val="Hyperlink"/>
            <w:lang w:val="en-GB" w:eastAsia="en-AU"/>
          </w:rPr>
          <w:t>Resident involvement</w:t>
        </w:r>
        <w:r w:rsidR="00130161">
          <w:rPr>
            <w:webHidden/>
          </w:rPr>
          <w:tab/>
        </w:r>
        <w:r w:rsidR="00130161">
          <w:rPr>
            <w:webHidden/>
          </w:rPr>
          <w:fldChar w:fldCharType="begin"/>
        </w:r>
        <w:r w:rsidR="00130161">
          <w:rPr>
            <w:webHidden/>
          </w:rPr>
          <w:instrText xml:space="preserve"> PAGEREF _Toc112669428 \h </w:instrText>
        </w:r>
        <w:r w:rsidR="00130161">
          <w:rPr>
            <w:webHidden/>
          </w:rPr>
        </w:r>
        <w:r w:rsidR="00130161">
          <w:rPr>
            <w:webHidden/>
          </w:rPr>
          <w:fldChar w:fldCharType="separate"/>
        </w:r>
        <w:r w:rsidR="00130161">
          <w:rPr>
            <w:webHidden/>
          </w:rPr>
          <w:t>9</w:t>
        </w:r>
        <w:r w:rsidR="00130161">
          <w:rPr>
            <w:webHidden/>
          </w:rPr>
          <w:fldChar w:fldCharType="end"/>
        </w:r>
      </w:hyperlink>
    </w:p>
    <w:p w14:paraId="77291B66" w14:textId="6C5A7BC4" w:rsidR="00130161" w:rsidRDefault="00000000">
      <w:pPr>
        <w:pStyle w:val="TOC2"/>
        <w:rPr>
          <w:rFonts w:asciiTheme="minorHAnsi" w:eastAsiaTheme="minorEastAsia" w:hAnsiTheme="minorHAnsi" w:cstheme="minorBidi"/>
          <w:sz w:val="24"/>
          <w:szCs w:val="24"/>
          <w:lang w:eastAsia="en-GB"/>
        </w:rPr>
      </w:pPr>
      <w:hyperlink w:anchor="_Toc112669429" w:history="1">
        <w:r w:rsidR="00130161" w:rsidRPr="00066E6D">
          <w:rPr>
            <w:rStyle w:val="Hyperlink"/>
            <w:lang w:val="en-GB" w:eastAsia="en-AU"/>
          </w:rPr>
          <w:t>Staff knowledge and education</w:t>
        </w:r>
        <w:r w:rsidR="00130161">
          <w:rPr>
            <w:webHidden/>
          </w:rPr>
          <w:tab/>
        </w:r>
        <w:r w:rsidR="00130161">
          <w:rPr>
            <w:webHidden/>
          </w:rPr>
          <w:fldChar w:fldCharType="begin"/>
        </w:r>
        <w:r w:rsidR="00130161">
          <w:rPr>
            <w:webHidden/>
          </w:rPr>
          <w:instrText xml:space="preserve"> PAGEREF _Toc112669429 \h </w:instrText>
        </w:r>
        <w:r w:rsidR="00130161">
          <w:rPr>
            <w:webHidden/>
          </w:rPr>
        </w:r>
        <w:r w:rsidR="00130161">
          <w:rPr>
            <w:webHidden/>
          </w:rPr>
          <w:fldChar w:fldCharType="separate"/>
        </w:r>
        <w:r w:rsidR="00130161">
          <w:rPr>
            <w:webHidden/>
          </w:rPr>
          <w:t>9</w:t>
        </w:r>
        <w:r w:rsidR="00130161">
          <w:rPr>
            <w:webHidden/>
          </w:rPr>
          <w:fldChar w:fldCharType="end"/>
        </w:r>
      </w:hyperlink>
    </w:p>
    <w:p w14:paraId="7F0D11F6" w14:textId="145F38D3" w:rsidR="00130161" w:rsidRDefault="00000000">
      <w:pPr>
        <w:pStyle w:val="TOC1"/>
        <w:rPr>
          <w:rFonts w:asciiTheme="minorHAnsi" w:eastAsiaTheme="minorEastAsia" w:hAnsiTheme="minorHAnsi" w:cstheme="minorBidi"/>
          <w:b w:val="0"/>
          <w:sz w:val="24"/>
          <w:szCs w:val="24"/>
          <w:lang w:eastAsia="en-GB"/>
        </w:rPr>
      </w:pPr>
      <w:hyperlink w:anchor="_Toc112669430" w:history="1">
        <w:r w:rsidR="00130161" w:rsidRPr="00066E6D">
          <w:rPr>
            <w:rStyle w:val="Hyperlink"/>
          </w:rPr>
          <w:t>Evidence base</w:t>
        </w:r>
        <w:r w:rsidR="00130161">
          <w:rPr>
            <w:webHidden/>
          </w:rPr>
          <w:tab/>
        </w:r>
        <w:r w:rsidR="00130161">
          <w:rPr>
            <w:webHidden/>
          </w:rPr>
          <w:fldChar w:fldCharType="begin"/>
        </w:r>
        <w:r w:rsidR="00130161">
          <w:rPr>
            <w:webHidden/>
          </w:rPr>
          <w:instrText xml:space="preserve"> PAGEREF _Toc112669430 \h </w:instrText>
        </w:r>
        <w:r w:rsidR="00130161">
          <w:rPr>
            <w:webHidden/>
          </w:rPr>
        </w:r>
        <w:r w:rsidR="00130161">
          <w:rPr>
            <w:webHidden/>
          </w:rPr>
          <w:fldChar w:fldCharType="separate"/>
        </w:r>
        <w:r w:rsidR="00130161">
          <w:rPr>
            <w:webHidden/>
          </w:rPr>
          <w:t>10</w:t>
        </w:r>
        <w:r w:rsidR="00130161">
          <w:rPr>
            <w:webHidden/>
          </w:rPr>
          <w:fldChar w:fldCharType="end"/>
        </w:r>
      </w:hyperlink>
    </w:p>
    <w:p w14:paraId="7180B8A5" w14:textId="3376F896"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669410"/>
      <w:r w:rsidRPr="004D1DA0">
        <w:lastRenderedPageBreak/>
        <w:t>Objective</w:t>
      </w:r>
      <w:bookmarkEnd w:id="1"/>
    </w:p>
    <w:p w14:paraId="08D813B7" w14:textId="1296B079" w:rsidR="00531F57" w:rsidRDefault="00531F57" w:rsidP="00531F57">
      <w:pPr>
        <w:pStyle w:val="Body"/>
        <w:rPr>
          <w:rFonts w:ascii="Times New Roman" w:hAnsi="Times New Roman"/>
          <w:sz w:val="24"/>
          <w:lang w:eastAsia="en-GB"/>
        </w:rPr>
      </w:pPr>
      <w:r>
        <w:t xml:space="preserve">To promote an evidence-based approach to the assessment and management of pain experienced by older people who live in a residential aged care setting. </w:t>
      </w:r>
    </w:p>
    <w:p w14:paraId="14E59D99" w14:textId="708FEC7A" w:rsidR="00A047F5" w:rsidRPr="00130161" w:rsidRDefault="00A047F5" w:rsidP="00130161">
      <w:pPr>
        <w:pStyle w:val="Heading2"/>
      </w:pPr>
      <w:bookmarkStart w:id="2" w:name="_Toc112669411"/>
      <w:r w:rsidRPr="00130161">
        <w:t>Why the response to the actively</w:t>
      </w:r>
      <w:r>
        <w:t xml:space="preserve"> </w:t>
      </w:r>
      <w:r w:rsidRPr="00130161">
        <w:t xml:space="preserve">dying stage is </w:t>
      </w:r>
      <w:proofErr w:type="gramStart"/>
      <w:r w:rsidRPr="00130161">
        <w:t>important</w:t>
      </w:r>
      <w:bookmarkEnd w:id="2"/>
      <w:proofErr w:type="gramEnd"/>
    </w:p>
    <w:p w14:paraId="3BF97C38" w14:textId="2413A63C" w:rsidR="00531F57" w:rsidRDefault="00531F57" w:rsidP="00531F57">
      <w:pPr>
        <w:pStyle w:val="Body"/>
        <w:rPr>
          <w:rFonts w:ascii="Times New Roman" w:hAnsi="Times New Roman"/>
          <w:sz w:val="24"/>
          <w:lang w:eastAsia="en-GB"/>
        </w:rPr>
      </w:pPr>
      <w:r>
        <w:t>Access to pain relief is a basic human right (White &amp; Katz 2012; International Association for the Study of Pain 2010). It is estimated that 45–83 per cent of people in residential care experience at least one current pain problem (</w:t>
      </w:r>
      <w:proofErr w:type="spellStart"/>
      <w:r>
        <w:t>Goucke</w:t>
      </w:r>
      <w:proofErr w:type="spellEnd"/>
      <w:r>
        <w:t xml:space="preserve"> 2018). Older age and the presence of cognitive impairment increases the risk of pain being under recognised, under assessed and undertreated (</w:t>
      </w:r>
      <w:proofErr w:type="spellStart"/>
      <w:r>
        <w:t>Horgas</w:t>
      </w:r>
      <w:proofErr w:type="spellEnd"/>
      <w:r>
        <w:t xml:space="preserve">, Laframboise-Otto, Aul &amp; Yoon 2020; </w:t>
      </w:r>
      <w:proofErr w:type="spellStart"/>
      <w:r>
        <w:t>Podder</w:t>
      </w:r>
      <w:proofErr w:type="spellEnd"/>
      <w:r>
        <w:t xml:space="preserve"> 2019; Nguyen 2018; White &amp; Katz 2012). </w:t>
      </w:r>
    </w:p>
    <w:p w14:paraId="6D1F4636" w14:textId="77777777" w:rsidR="00531F57" w:rsidRDefault="00531F57" w:rsidP="00531F57">
      <w:pPr>
        <w:pStyle w:val="Body"/>
      </w:pPr>
      <w:r>
        <w:t>‘The inability to communicate verbally does not negate the possibility that an individual is experiencing pain and is in need of appropriate pain-relieving treatment’ (</w:t>
      </w:r>
      <w:proofErr w:type="spellStart"/>
      <w:r>
        <w:t>Merskey</w:t>
      </w:r>
      <w:proofErr w:type="spellEnd"/>
      <w:r>
        <w:t xml:space="preserve"> &amp; </w:t>
      </w:r>
      <w:proofErr w:type="spellStart"/>
      <w:r>
        <w:t>Bogduk</w:t>
      </w:r>
      <w:proofErr w:type="spellEnd"/>
      <w:r>
        <w:t xml:space="preserve"> 1994, p. 210). </w:t>
      </w:r>
    </w:p>
    <w:p w14:paraId="7C5CA9D0" w14:textId="77777777" w:rsidR="00836BA1" w:rsidRDefault="00836BA1" w:rsidP="00836BA1">
      <w:pPr>
        <w:pStyle w:val="Heading2"/>
        <w:rPr>
          <w:lang w:val="en-GB" w:eastAsia="en-AU"/>
        </w:rPr>
      </w:pPr>
      <w:bookmarkStart w:id="3" w:name="_Toc112669412"/>
      <w:r>
        <w:rPr>
          <w:lang w:val="en-GB" w:eastAsia="en-AU"/>
        </w:rPr>
        <w:t>Definitions</w:t>
      </w:r>
      <w:bookmarkEnd w:id="3"/>
    </w:p>
    <w:p w14:paraId="77C78245" w14:textId="77777777" w:rsidR="00531F57" w:rsidRDefault="00531F57" w:rsidP="00531F57">
      <w:pPr>
        <w:pStyle w:val="Body"/>
        <w:rPr>
          <w:rFonts w:ascii="Times New Roman" w:hAnsi="Times New Roman"/>
          <w:sz w:val="24"/>
          <w:lang w:eastAsia="en-GB"/>
        </w:rPr>
      </w:pPr>
      <w:r>
        <w:rPr>
          <w:b/>
          <w:bCs/>
        </w:rPr>
        <w:t xml:space="preserve">Pain: </w:t>
      </w:r>
      <w:r>
        <w:t>‘is a distressing experience associated with actual or potential tissue damage with sensory, emotional, cognitive and social components’ (</w:t>
      </w:r>
      <w:proofErr w:type="spellStart"/>
      <w:r>
        <w:t>Goucke</w:t>
      </w:r>
      <w:proofErr w:type="spellEnd"/>
      <w:r>
        <w:t xml:space="preserve"> 2018, p. 19). </w:t>
      </w:r>
    </w:p>
    <w:p w14:paraId="3BDD7E03" w14:textId="77777777" w:rsidR="00531F57" w:rsidRDefault="00531F57" w:rsidP="00531F57">
      <w:pPr>
        <w:pStyle w:val="Body"/>
      </w:pPr>
      <w:r>
        <w:rPr>
          <w:b/>
          <w:bCs/>
        </w:rPr>
        <w:t xml:space="preserve">Chronic or persistent pain: </w:t>
      </w:r>
      <w:r>
        <w:t>‘is pain that does not go away after the acute episode is over. It can also be defined by how long it lasts (more than 3+ months) or as being present after the body has normally healed after an injury’ (</w:t>
      </w:r>
      <w:proofErr w:type="spellStart"/>
      <w:r>
        <w:t>Goucke</w:t>
      </w:r>
      <w:proofErr w:type="spellEnd"/>
      <w:r>
        <w:t xml:space="preserve"> 2018, p. 20). </w:t>
      </w:r>
    </w:p>
    <w:p w14:paraId="7DD66F3E" w14:textId="3419E483" w:rsidR="00AF35C5" w:rsidRPr="00AF35C5" w:rsidRDefault="00AF35C5" w:rsidP="00AF35C5">
      <w:pPr>
        <w:pStyle w:val="Heading2"/>
      </w:pPr>
      <w:bookmarkStart w:id="4" w:name="_Toc112669413"/>
      <w:r w:rsidRPr="00AF35C5">
        <w:t>Team</w:t>
      </w:r>
      <w:bookmarkEnd w:id="4"/>
    </w:p>
    <w:p w14:paraId="684F6940" w14:textId="77777777" w:rsidR="00531F57" w:rsidRDefault="00531F57" w:rsidP="00531F57">
      <w:pPr>
        <w:pStyle w:val="Body"/>
        <w:rPr>
          <w:rFonts w:ascii="Times New Roman" w:hAnsi="Times New Roman"/>
          <w:sz w:val="24"/>
          <w:lang w:eastAsia="en-GB"/>
        </w:rPr>
      </w:pPr>
      <w:r>
        <w:t xml:space="preserve">Manager, registered nurses (RNs), enrolled nurses (ENs), personal care attendants (PCAs), leisure and lifestyle staff, general practitioner (GP), pharmacist, residents and/or family/carers. </w:t>
      </w:r>
    </w:p>
    <w:p w14:paraId="1E343488" w14:textId="77777777" w:rsidR="00AF35C5" w:rsidRPr="00AF35C5" w:rsidRDefault="00AF35C5" w:rsidP="00AF35C5">
      <w:pPr>
        <w:pStyle w:val="Heading2"/>
      </w:pPr>
      <w:bookmarkStart w:id="5" w:name="_Toc112669414"/>
      <w:r w:rsidRPr="00AF35C5">
        <w:t>Acknowledgement</w:t>
      </w:r>
      <w:bookmarkEnd w:id="5"/>
    </w:p>
    <w:p w14:paraId="35E9D601" w14:textId="2171E2C0" w:rsidR="00531F57" w:rsidRDefault="00531F57" w:rsidP="00531F57">
      <w:pPr>
        <w:pStyle w:val="Body"/>
        <w:rPr>
          <w:rFonts w:ascii="Times New Roman" w:hAnsi="Times New Roman"/>
          <w:sz w:val="24"/>
          <w:lang w:eastAsia="en-GB"/>
        </w:rPr>
      </w:pPr>
      <w:r>
        <w:t>This standardised care process (SCP) has been developed for public sector residential aged</w:t>
      </w:r>
      <w:r>
        <w:br/>
        <w:t>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CB537A">
        <w:t>3</w:t>
      </w:r>
      <w:r>
        <w:t xml:space="preserve">. </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2669415"/>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669416"/>
      <w:r>
        <w:rPr>
          <w:lang w:val="en-GB" w:eastAsia="en-AU"/>
        </w:rPr>
        <w:t>Recognition and assessment</w:t>
      </w:r>
      <w:bookmarkEnd w:id="7"/>
    </w:p>
    <w:p w14:paraId="44849C9D" w14:textId="77777777" w:rsidR="00531F57" w:rsidRDefault="00531F57" w:rsidP="00531F57">
      <w:pPr>
        <w:pStyle w:val="Bullet1"/>
        <w:rPr>
          <w:lang w:eastAsia="en-GB"/>
        </w:rPr>
      </w:pPr>
      <w:r>
        <w:t xml:space="preserve">Identify pain by asking and observing. </w:t>
      </w:r>
    </w:p>
    <w:p w14:paraId="7240BDF4" w14:textId="57CD6966" w:rsidR="00531F57" w:rsidRDefault="00531F57" w:rsidP="004E1130">
      <w:pPr>
        <w:pStyle w:val="Bullet1"/>
      </w:pPr>
      <w:r>
        <w:t xml:space="preserve">Assess acute pain in residents to locate the source of the pain and provide symptomatic relief. </w:t>
      </w:r>
    </w:p>
    <w:p w14:paraId="58FA9BAA" w14:textId="2731382D" w:rsidR="00531F57" w:rsidRDefault="00531F57" w:rsidP="00D449E8">
      <w:pPr>
        <w:pStyle w:val="Bullet1"/>
      </w:pPr>
      <w:r>
        <w:t xml:space="preserve">Assess persistent pain across the following domains: </w:t>
      </w:r>
    </w:p>
    <w:p w14:paraId="2132A020" w14:textId="479FA7CE" w:rsidR="00531F57" w:rsidRDefault="00531F57" w:rsidP="00531F57">
      <w:pPr>
        <w:pStyle w:val="Bullet2"/>
      </w:pPr>
      <w:r>
        <w:t xml:space="preserve">pain history and characteristics </w:t>
      </w:r>
    </w:p>
    <w:p w14:paraId="2E35BD86" w14:textId="7FD700CE" w:rsidR="00531F57" w:rsidRDefault="00531F57" w:rsidP="00531F57">
      <w:pPr>
        <w:pStyle w:val="Bullet2"/>
      </w:pPr>
      <w:r>
        <w:t xml:space="preserve">physical, functional and psychosocial </w:t>
      </w:r>
    </w:p>
    <w:p w14:paraId="4E7699E6" w14:textId="2BFF6E5C" w:rsidR="00531F57" w:rsidRDefault="00531F57" w:rsidP="001C49C8">
      <w:pPr>
        <w:pStyle w:val="Bullet2"/>
      </w:pPr>
      <w:r>
        <w:t xml:space="preserve">effectiveness of current non-pharmacological and pharmacological pain interventions. </w:t>
      </w:r>
    </w:p>
    <w:p w14:paraId="36FAD96F" w14:textId="77777777" w:rsidR="00531F57" w:rsidRDefault="00531F57" w:rsidP="00531F57">
      <w:pPr>
        <w:pStyle w:val="Bullet1"/>
      </w:pPr>
      <w:r>
        <w:t xml:space="preserve">Use validated pain tools/scales. </w:t>
      </w:r>
    </w:p>
    <w:p w14:paraId="306B2FB0" w14:textId="77777777" w:rsidR="002C117D" w:rsidRDefault="002C117D" w:rsidP="002C117D">
      <w:pPr>
        <w:pStyle w:val="Heading2"/>
        <w:rPr>
          <w:lang w:val="en-GB" w:eastAsia="en-AU"/>
        </w:rPr>
      </w:pPr>
      <w:bookmarkStart w:id="8" w:name="_Toc112669417"/>
      <w:r>
        <w:rPr>
          <w:lang w:val="en-GB" w:eastAsia="en-AU"/>
        </w:rPr>
        <w:t>Interventions</w:t>
      </w:r>
      <w:bookmarkEnd w:id="8"/>
    </w:p>
    <w:p w14:paraId="078C392E" w14:textId="77777777" w:rsidR="00531F57" w:rsidRDefault="00531F57" w:rsidP="00531F57">
      <w:pPr>
        <w:pStyle w:val="Bullet1"/>
        <w:rPr>
          <w:lang w:eastAsia="en-GB"/>
        </w:rPr>
      </w:pPr>
      <w:r>
        <w:t xml:space="preserve">Acute pain: </w:t>
      </w:r>
    </w:p>
    <w:p w14:paraId="297A5A87" w14:textId="38C4FFA7" w:rsidR="00531F57" w:rsidRDefault="00531F57" w:rsidP="00531F57">
      <w:pPr>
        <w:pStyle w:val="Bullet2"/>
      </w:pPr>
      <w:r>
        <w:t xml:space="preserve">Manage underlying </w:t>
      </w:r>
      <w:proofErr w:type="gramStart"/>
      <w:r>
        <w:t>cause</w:t>
      </w:r>
      <w:proofErr w:type="gramEnd"/>
      <w:r>
        <w:t xml:space="preserve"> </w:t>
      </w:r>
    </w:p>
    <w:p w14:paraId="55EFA517" w14:textId="6C014231" w:rsidR="00531F57" w:rsidRDefault="00531F57" w:rsidP="00531F57">
      <w:pPr>
        <w:pStyle w:val="Bullet2"/>
      </w:pPr>
      <w:r>
        <w:t xml:space="preserve">Relieve </w:t>
      </w:r>
      <w:proofErr w:type="gramStart"/>
      <w:r>
        <w:t>symptoms</w:t>
      </w:r>
      <w:proofErr w:type="gramEnd"/>
      <w:r>
        <w:t xml:space="preserve"> </w:t>
      </w:r>
    </w:p>
    <w:p w14:paraId="659D3819" w14:textId="77777777" w:rsidR="00531F57" w:rsidRDefault="00531F57" w:rsidP="00531F57">
      <w:pPr>
        <w:pStyle w:val="Bullet1"/>
      </w:pPr>
      <w:r>
        <w:t xml:space="preserve">Chronic or persistent pain: </w:t>
      </w:r>
    </w:p>
    <w:p w14:paraId="5B7E01A1" w14:textId="695CA248" w:rsidR="00531F57" w:rsidRDefault="00531F57" w:rsidP="00531F57">
      <w:pPr>
        <w:pStyle w:val="Bullet2"/>
      </w:pPr>
      <w:r>
        <w:t xml:space="preserve">Non-pharmacological management </w:t>
      </w:r>
    </w:p>
    <w:p w14:paraId="0C116292" w14:textId="75DD5442" w:rsidR="00531F57" w:rsidRDefault="00531F57" w:rsidP="00531F57">
      <w:pPr>
        <w:pStyle w:val="Bullet2"/>
      </w:pPr>
      <w:r>
        <w:t xml:space="preserve">Physical therapies </w:t>
      </w:r>
    </w:p>
    <w:p w14:paraId="11FF2FCB" w14:textId="1EBC4F7C" w:rsidR="00531F57" w:rsidRDefault="00531F57" w:rsidP="00531F57">
      <w:pPr>
        <w:pStyle w:val="Bullet2"/>
      </w:pPr>
      <w:r>
        <w:t xml:space="preserve">Pharmacological management </w:t>
      </w:r>
    </w:p>
    <w:p w14:paraId="05D92D6E" w14:textId="77777777" w:rsidR="00531F57" w:rsidRDefault="00531F57" w:rsidP="00531F57">
      <w:pPr>
        <w:pStyle w:val="Bullet1"/>
      </w:pPr>
      <w:r>
        <w:t xml:space="preserve">Document the resident’s responses to pain management interventions. </w:t>
      </w:r>
    </w:p>
    <w:p w14:paraId="6510C2CE" w14:textId="77777777" w:rsidR="002C117D" w:rsidRDefault="002C117D" w:rsidP="002C117D">
      <w:pPr>
        <w:pStyle w:val="Heading2"/>
        <w:rPr>
          <w:lang w:val="en-GB" w:eastAsia="en-AU"/>
        </w:rPr>
      </w:pPr>
      <w:bookmarkStart w:id="9" w:name="_Toc112669418"/>
      <w:r>
        <w:rPr>
          <w:lang w:val="en-GB" w:eastAsia="en-AU"/>
        </w:rPr>
        <w:t>Referral</w:t>
      </w:r>
      <w:bookmarkEnd w:id="9"/>
    </w:p>
    <w:p w14:paraId="0FA4B596" w14:textId="77777777" w:rsidR="00531F57" w:rsidRDefault="00531F57" w:rsidP="00531F57">
      <w:pPr>
        <w:pStyle w:val="Bullet1"/>
        <w:rPr>
          <w:lang w:eastAsia="en-GB"/>
        </w:rPr>
      </w:pPr>
      <w:r>
        <w:t xml:space="preserve">RN </w:t>
      </w:r>
    </w:p>
    <w:p w14:paraId="3CD6E587" w14:textId="77777777" w:rsidR="00531F57" w:rsidRDefault="00531F57" w:rsidP="00531F57">
      <w:pPr>
        <w:pStyle w:val="Bullet1"/>
      </w:pPr>
      <w:r>
        <w:t xml:space="preserve">GP </w:t>
      </w:r>
    </w:p>
    <w:p w14:paraId="1B304210" w14:textId="77777777" w:rsidR="00531F57" w:rsidRDefault="00531F57" w:rsidP="00531F57">
      <w:pPr>
        <w:pStyle w:val="Bullet1"/>
      </w:pPr>
      <w:r>
        <w:t xml:space="preserve">Physiotherapist and occupational therapist </w:t>
      </w:r>
    </w:p>
    <w:p w14:paraId="2563275F" w14:textId="77777777" w:rsidR="00531F57" w:rsidRDefault="00531F57" w:rsidP="00531F57">
      <w:pPr>
        <w:pStyle w:val="Bullet1"/>
      </w:pPr>
      <w:r>
        <w:t xml:space="preserve">Pain management specialist or clinic </w:t>
      </w:r>
    </w:p>
    <w:p w14:paraId="67EA2CE5" w14:textId="77777777" w:rsidR="00531F57" w:rsidRDefault="00531F57" w:rsidP="00531F57">
      <w:pPr>
        <w:pStyle w:val="Bullet1"/>
      </w:pPr>
      <w:r>
        <w:t xml:space="preserve">Psychologist </w:t>
      </w:r>
    </w:p>
    <w:p w14:paraId="4A106263" w14:textId="5FB222F2" w:rsidR="00531F57" w:rsidRDefault="00531F57" w:rsidP="001C49C8">
      <w:pPr>
        <w:pStyle w:val="Bullet1"/>
      </w:pPr>
      <w:r>
        <w:t xml:space="preserve">Complementary and alternative medicine (CAM) practitioners </w:t>
      </w:r>
    </w:p>
    <w:p w14:paraId="6D993370" w14:textId="6A403170" w:rsidR="00531F57" w:rsidRDefault="00531F57" w:rsidP="001C49C8">
      <w:pPr>
        <w:pStyle w:val="Bullet1"/>
      </w:pPr>
      <w:r>
        <w:t xml:space="preserve">Interpreter for residents who speak a language other than </w:t>
      </w:r>
      <w:proofErr w:type="gramStart"/>
      <w:r>
        <w:t>English</w:t>
      </w:r>
      <w:proofErr w:type="gramEnd"/>
      <w:r>
        <w:t xml:space="preserve"> </w:t>
      </w:r>
    </w:p>
    <w:p w14:paraId="29573405" w14:textId="77777777" w:rsidR="00531F57" w:rsidRDefault="00531F57" w:rsidP="00531F57">
      <w:pPr>
        <w:pStyle w:val="Bullet1"/>
      </w:pPr>
      <w:r>
        <w:t xml:space="preserve">Local palliative care services </w:t>
      </w:r>
    </w:p>
    <w:p w14:paraId="4DDEBA15" w14:textId="53237539" w:rsidR="009836D4" w:rsidRPr="002D28A3" w:rsidRDefault="009836D4" w:rsidP="002D28A3">
      <w:pPr>
        <w:pStyle w:val="Heading2"/>
      </w:pPr>
      <w:bookmarkStart w:id="10" w:name="_Toc112669419"/>
      <w:r w:rsidRPr="002D28A3">
        <w:t>Evaluation and reassessment</w:t>
      </w:r>
      <w:bookmarkEnd w:id="10"/>
    </w:p>
    <w:p w14:paraId="5A09C947" w14:textId="6BA5EDE5" w:rsidR="00531F57" w:rsidRDefault="00531F57" w:rsidP="00531F57">
      <w:pPr>
        <w:pStyle w:val="Bullet1"/>
        <w:rPr>
          <w:rFonts w:ascii="Times New Roman" w:hAnsi="Times New Roman"/>
          <w:sz w:val="24"/>
          <w:lang w:eastAsia="en-GB"/>
        </w:rPr>
      </w:pPr>
      <w:r>
        <w:t xml:space="preserve">Monitor the effects on pain within one hour of administering medication and at least every four hours thereafter. </w:t>
      </w:r>
    </w:p>
    <w:p w14:paraId="447B93A4" w14:textId="595EB8C4" w:rsidR="00531F57" w:rsidRDefault="00531F57" w:rsidP="00531F57">
      <w:pPr>
        <w:pStyle w:val="Bullet1"/>
      </w:pPr>
      <w:r>
        <w:t xml:space="preserve">Regularly review and assess the therapeutic benefit of the interventions used. </w:t>
      </w:r>
    </w:p>
    <w:p w14:paraId="12DB6A82" w14:textId="77777777" w:rsidR="00531F57" w:rsidRDefault="00531F57" w:rsidP="00531F57">
      <w:pPr>
        <w:pStyle w:val="Bullet1"/>
      </w:pPr>
      <w:r>
        <w:t>Monitor for any interactions or adverse effects.</w:t>
      </w:r>
    </w:p>
    <w:p w14:paraId="040480E9" w14:textId="5B1E64A8" w:rsidR="00531F57" w:rsidRDefault="00531F57" w:rsidP="001C49C8">
      <w:pPr>
        <w:pStyle w:val="Bullet1"/>
      </w:pPr>
      <w:r>
        <w:t>Monitor, review, and adjust the interventions until the resident’s pain is appropriately managed.</w:t>
      </w:r>
    </w:p>
    <w:p w14:paraId="5AD676CA" w14:textId="11332ABD" w:rsidR="00531F57" w:rsidRDefault="00531F57" w:rsidP="001C49C8">
      <w:pPr>
        <w:pStyle w:val="Bullet1"/>
      </w:pPr>
      <w:r>
        <w:t xml:space="preserve">Stay alert for signs and symptoms that indicate the presence of pain. </w:t>
      </w:r>
    </w:p>
    <w:p w14:paraId="4E7D727F" w14:textId="77777777" w:rsidR="009836D4" w:rsidRDefault="009836D4" w:rsidP="009836D4">
      <w:pPr>
        <w:pStyle w:val="Heading2"/>
        <w:rPr>
          <w:lang w:val="en-GB" w:eastAsia="en-AU"/>
        </w:rPr>
      </w:pPr>
      <w:bookmarkStart w:id="11" w:name="_Toc112669420"/>
      <w:r>
        <w:rPr>
          <w:lang w:val="en-GB" w:eastAsia="en-AU"/>
        </w:rPr>
        <w:t>Resident involvement</w:t>
      </w:r>
      <w:bookmarkEnd w:id="11"/>
    </w:p>
    <w:p w14:paraId="0DA6ECDE" w14:textId="77777777" w:rsidR="00531F57" w:rsidRDefault="00531F57" w:rsidP="00531F57">
      <w:pPr>
        <w:pStyle w:val="Bullet1"/>
        <w:rPr>
          <w:lang w:eastAsia="en-GB"/>
        </w:rPr>
      </w:pPr>
      <w:r>
        <w:t xml:space="preserve">Identify the resident’s goals for pain management. </w:t>
      </w:r>
    </w:p>
    <w:p w14:paraId="57D9ABA8" w14:textId="77777777" w:rsidR="00531F57" w:rsidRDefault="00531F57" w:rsidP="00531F57">
      <w:pPr>
        <w:pStyle w:val="Bullet1"/>
      </w:pPr>
      <w:r>
        <w:t xml:space="preserve">Determine if the current level of pain relief is consistent with the resident’s goals. </w:t>
      </w:r>
    </w:p>
    <w:p w14:paraId="549B2FE9" w14:textId="77777777" w:rsidR="00531F57" w:rsidRDefault="00531F57" w:rsidP="00531F57">
      <w:pPr>
        <w:pStyle w:val="Bullet1"/>
      </w:pPr>
      <w:r>
        <w:lastRenderedPageBreak/>
        <w:t xml:space="preserve">Support self-management. </w:t>
      </w:r>
    </w:p>
    <w:p w14:paraId="6089DC5A" w14:textId="77777777" w:rsidR="00531F57" w:rsidRDefault="00531F57" w:rsidP="00531F57">
      <w:pPr>
        <w:pStyle w:val="Bullet1"/>
      </w:pPr>
      <w:r>
        <w:t xml:space="preserve">Educate the resident and their family/carers. </w:t>
      </w:r>
    </w:p>
    <w:p w14:paraId="40D2D2F8" w14:textId="77777777" w:rsidR="009836D4" w:rsidRPr="002C117D" w:rsidRDefault="009836D4" w:rsidP="009836D4">
      <w:pPr>
        <w:pStyle w:val="Heading2"/>
      </w:pPr>
      <w:bookmarkStart w:id="12" w:name="_Toc112669421"/>
      <w:r w:rsidRPr="002C117D">
        <w:t>Staff knowledge and education</w:t>
      </w:r>
      <w:bookmarkEnd w:id="12"/>
    </w:p>
    <w:p w14:paraId="308823A6" w14:textId="77777777" w:rsidR="00531F57" w:rsidRDefault="00531F57" w:rsidP="00531F57">
      <w:pPr>
        <w:pStyle w:val="Bullet1"/>
        <w:rPr>
          <w:rFonts w:ascii="Times New Roman" w:hAnsi="Times New Roman"/>
          <w:sz w:val="24"/>
          <w:lang w:eastAsia="en-GB"/>
        </w:rPr>
      </w:pPr>
      <w:r>
        <w:t xml:space="preserve">Educate staff to: </w:t>
      </w:r>
    </w:p>
    <w:p w14:paraId="4BF2208B" w14:textId="3DB2071F" w:rsidR="00531F57" w:rsidRDefault="00531F57" w:rsidP="001C49C8">
      <w:pPr>
        <w:pStyle w:val="Bullet2"/>
      </w:pPr>
      <w:r>
        <w:t xml:space="preserve">recognise that all residents, including those with dementia, may have </w:t>
      </w:r>
      <w:proofErr w:type="gramStart"/>
      <w:r>
        <w:t>pain</w:t>
      </w:r>
      <w:proofErr w:type="gramEnd"/>
      <w:r>
        <w:t xml:space="preserve"> </w:t>
      </w:r>
    </w:p>
    <w:p w14:paraId="391E8854" w14:textId="1CB00271" w:rsidR="00531F57" w:rsidRDefault="00531F57" w:rsidP="001C49C8">
      <w:pPr>
        <w:pStyle w:val="Bullet2"/>
      </w:pPr>
      <w:r>
        <w:t xml:space="preserve">recognise that residents may use various words to describe their experience of </w:t>
      </w:r>
      <w:proofErr w:type="gramStart"/>
      <w:r>
        <w:t>pain</w:t>
      </w:r>
      <w:proofErr w:type="gramEnd"/>
      <w:r>
        <w:t xml:space="preserve"> </w:t>
      </w:r>
    </w:p>
    <w:p w14:paraId="146D3757" w14:textId="7D94FB77" w:rsidR="00531F57" w:rsidRDefault="00531F57" w:rsidP="001C49C8">
      <w:pPr>
        <w:pStyle w:val="Bullet2"/>
      </w:pPr>
      <w:r>
        <w:t xml:space="preserve">understand the non-verbal signs of pain in residents with </w:t>
      </w:r>
      <w:proofErr w:type="gramStart"/>
      <w:r>
        <w:t>dementia</w:t>
      </w:r>
      <w:proofErr w:type="gramEnd"/>
      <w:r>
        <w:t xml:space="preserve"> </w:t>
      </w:r>
    </w:p>
    <w:p w14:paraId="15B966CB" w14:textId="77777777" w:rsidR="00531F57" w:rsidRDefault="00531F57" w:rsidP="00531F57">
      <w:pPr>
        <w:pStyle w:val="Bullet2"/>
      </w:pPr>
      <w:r>
        <w:t xml:space="preserve">use non-pharmacological pain management </w:t>
      </w:r>
      <w:proofErr w:type="gramStart"/>
      <w:r>
        <w:t>strategies</w:t>
      </w:r>
      <w:proofErr w:type="gramEnd"/>
      <w:r>
        <w:t xml:space="preserve"> </w:t>
      </w:r>
    </w:p>
    <w:p w14:paraId="7C9E57B5" w14:textId="77777777" w:rsidR="00531F57" w:rsidRDefault="00531F57" w:rsidP="00531F57">
      <w:pPr>
        <w:pStyle w:val="Bullet2"/>
      </w:pPr>
      <w:r>
        <w:t xml:space="preserve">use analgesic medication </w:t>
      </w:r>
      <w:proofErr w:type="gramStart"/>
      <w:r>
        <w:t>prophylactically</w:t>
      </w:r>
      <w:proofErr w:type="gramEnd"/>
      <w:r>
        <w:t xml:space="preserve"> </w:t>
      </w:r>
    </w:p>
    <w:p w14:paraId="7E2DE02A" w14:textId="63778E63" w:rsidR="00531F57" w:rsidRDefault="00531F57" w:rsidP="001C49C8">
      <w:pPr>
        <w:pStyle w:val="Bullet2"/>
      </w:pPr>
      <w:r>
        <w:t>understand the importance of assessing pain on movement.</w:t>
      </w:r>
    </w:p>
    <w:p w14:paraId="51EEA38F" w14:textId="2644D464" w:rsidR="00531F57" w:rsidRDefault="00531F57" w:rsidP="00531F57">
      <w:pPr>
        <w:pStyle w:val="Bullet1"/>
      </w:pPr>
      <w:r w:rsidRPr="00531F57">
        <w:t>Have experienced, skilled and knowledgeable clinicians responsible for the pain management portfolio</w:t>
      </w:r>
      <w:r w:rsidR="00130161">
        <w:t>.</w:t>
      </w:r>
    </w:p>
    <w:p w14:paraId="07670812" w14:textId="1AD0A8F6" w:rsidR="00531F57" w:rsidRPr="00531F57" w:rsidRDefault="00531F57" w:rsidP="00531F57">
      <w:pPr>
        <w:pStyle w:val="Bullet1"/>
      </w:pPr>
      <w:r w:rsidRPr="00531F57">
        <w:t xml:space="preserve">Use the educational resources available from external health and palliative care organisations. </w:t>
      </w:r>
    </w:p>
    <w:p w14:paraId="5CE733CA" w14:textId="77777777" w:rsidR="00531F57" w:rsidRDefault="00531F57" w:rsidP="009836D4">
      <w:pPr>
        <w:spacing w:after="0" w:line="240" w:lineRule="auto"/>
        <w:sectPr w:rsidR="00531F57" w:rsidSect="00531F57">
          <w:type w:val="continuous"/>
          <w:pgSz w:w="11906" w:h="16838" w:code="9"/>
          <w:pgMar w:top="1418" w:right="851" w:bottom="1418" w:left="851" w:header="680" w:footer="851" w:gutter="0"/>
          <w:cols w:space="340"/>
          <w:docGrid w:linePitch="360"/>
        </w:sectPr>
      </w:pPr>
    </w:p>
    <w:p w14:paraId="36623FD9" w14:textId="40FD9FC6" w:rsidR="009836D4" w:rsidRDefault="009836D4" w:rsidP="009836D4">
      <w:pPr>
        <w:spacing w:after="0" w:line="240" w:lineRule="auto"/>
        <w:rPr>
          <w:rFonts w:eastAsia="Times"/>
        </w:rPr>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669422"/>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669423"/>
      <w:r w:rsidRPr="001477A6">
        <w:t>Recognition</w:t>
      </w:r>
      <w:bookmarkEnd w:id="14"/>
    </w:p>
    <w:p w14:paraId="45B403FE" w14:textId="77777777" w:rsidR="00531F57" w:rsidRDefault="00531F57" w:rsidP="00531F57">
      <w:pPr>
        <w:pStyle w:val="Body"/>
        <w:rPr>
          <w:rFonts w:ascii="Times New Roman" w:hAnsi="Times New Roman"/>
          <w:sz w:val="24"/>
          <w:lang w:eastAsia="en-GB"/>
        </w:rPr>
      </w:pPr>
      <w:r>
        <w:t xml:space="preserve">Ask the resident about their pain: </w:t>
      </w:r>
    </w:p>
    <w:p w14:paraId="099A6DB4" w14:textId="77777777" w:rsidR="00531F57" w:rsidRDefault="00531F57" w:rsidP="00531F57">
      <w:pPr>
        <w:pStyle w:val="Bullet1"/>
        <w:rPr>
          <w:lang w:eastAsia="en-GB"/>
        </w:rPr>
      </w:pPr>
      <w:r>
        <w:t xml:space="preserve">on admission </w:t>
      </w:r>
    </w:p>
    <w:p w14:paraId="046F50A9" w14:textId="77777777" w:rsidR="00531F57" w:rsidRDefault="00531F57" w:rsidP="00531F57">
      <w:pPr>
        <w:pStyle w:val="Bullet1"/>
      </w:pPr>
      <w:r>
        <w:t xml:space="preserve">when their condition significantly changes </w:t>
      </w:r>
    </w:p>
    <w:p w14:paraId="3D7614B3" w14:textId="77777777" w:rsidR="00531F57" w:rsidRDefault="00531F57" w:rsidP="00531F57">
      <w:pPr>
        <w:pStyle w:val="Bullet1"/>
      </w:pPr>
      <w:r>
        <w:t xml:space="preserve">any time pain is </w:t>
      </w:r>
      <w:proofErr w:type="gramStart"/>
      <w:r>
        <w:t>suspected</w:t>
      </w:r>
      <w:proofErr w:type="gramEnd"/>
      <w:r>
        <w:t xml:space="preserve"> </w:t>
      </w:r>
    </w:p>
    <w:p w14:paraId="7604DE6E" w14:textId="77777777" w:rsidR="00531F57" w:rsidRDefault="00531F57" w:rsidP="00531F57">
      <w:pPr>
        <w:pStyle w:val="Bullet1"/>
      </w:pPr>
      <w:r>
        <w:t xml:space="preserve">at least every three months </w:t>
      </w:r>
    </w:p>
    <w:p w14:paraId="33D62623" w14:textId="7377512A" w:rsidR="00531F57" w:rsidRDefault="00531F57" w:rsidP="00531F57">
      <w:pPr>
        <w:pStyle w:val="Bullet1"/>
      </w:pPr>
      <w:r>
        <w:t xml:space="preserve">during scheduled assessments/resident of the day. </w:t>
      </w:r>
    </w:p>
    <w:p w14:paraId="4371AF8B" w14:textId="4B98F4EF" w:rsidR="00531F57" w:rsidRPr="00531F57" w:rsidRDefault="00531F57" w:rsidP="00531F57">
      <w:pPr>
        <w:pStyle w:val="Bodyafterbullets"/>
        <w:rPr>
          <w:rFonts w:ascii="Times New Roman" w:hAnsi="Times New Roman"/>
          <w:sz w:val="24"/>
          <w:lang w:eastAsia="en-GB"/>
        </w:rPr>
      </w:pPr>
      <w:r>
        <w:t xml:space="preserve">Residents should be observed for non-verbal and behavioural signs of pain. </w:t>
      </w:r>
    </w:p>
    <w:p w14:paraId="0AEC432C" w14:textId="2187C76D" w:rsidR="002D28A3" w:rsidRPr="00130161" w:rsidRDefault="001477A6" w:rsidP="00130161">
      <w:pPr>
        <w:pStyle w:val="Heading2"/>
        <w:rPr>
          <w:rFonts w:eastAsia="Times"/>
        </w:rPr>
      </w:pPr>
      <w:bookmarkStart w:id="15" w:name="_Toc112669424"/>
      <w:r w:rsidRPr="00130161">
        <w:rPr>
          <w:rFonts w:eastAsia="Times"/>
        </w:rPr>
        <w:t>Assessment</w:t>
      </w:r>
      <w:bookmarkEnd w:id="15"/>
    </w:p>
    <w:p w14:paraId="7D08649F" w14:textId="77777777" w:rsidR="00531F57" w:rsidRDefault="00531F57" w:rsidP="00130161">
      <w:pPr>
        <w:pStyle w:val="Heading4"/>
        <w:rPr>
          <w:rFonts w:ascii="Times New Roman" w:hAnsi="Times New Roman"/>
          <w:lang w:eastAsia="en-GB"/>
        </w:rPr>
      </w:pPr>
      <w:r>
        <w:t xml:space="preserve">Acute pain </w:t>
      </w:r>
    </w:p>
    <w:p w14:paraId="46092591" w14:textId="77777777" w:rsidR="00531F57" w:rsidRDefault="00531F57" w:rsidP="00531F57">
      <w:pPr>
        <w:pStyle w:val="Body"/>
      </w:pPr>
      <w:r>
        <w:t xml:space="preserve">Acute pain of recent onset is often related to a disease or injury. Do a rapid pain assessment when the resident presents with acute pain or severe or moderate distress. The assessment should include the location, intensity, duration, quality and onset of the pain. </w:t>
      </w:r>
    </w:p>
    <w:p w14:paraId="67F3049D" w14:textId="77777777" w:rsidR="00531F57" w:rsidRDefault="00531F57" w:rsidP="00130161">
      <w:pPr>
        <w:pStyle w:val="Heading4"/>
      </w:pPr>
      <w:r>
        <w:t xml:space="preserve">Chronic or persistent pain </w:t>
      </w:r>
    </w:p>
    <w:p w14:paraId="7104EC2D" w14:textId="71E3247A" w:rsidR="00531F57" w:rsidRDefault="00531F57" w:rsidP="00531F57">
      <w:pPr>
        <w:pStyle w:val="Body"/>
      </w:pPr>
      <w:r>
        <w:t xml:space="preserve">The assessment of chronic or persistent pain requires a comprehensive approach involving the resident, their family/carer and the multidisciplinary team. Assess pain across medical, functional, social, attitudinal, </w:t>
      </w:r>
      <w:r w:rsidR="00130161">
        <w:t>c</w:t>
      </w:r>
      <w:r>
        <w:t xml:space="preserve">ognitive, mood and quality-of-life domains. </w:t>
      </w:r>
    </w:p>
    <w:p w14:paraId="64E55ED3" w14:textId="77777777" w:rsidR="00531F57" w:rsidRPr="004B211C" w:rsidRDefault="00531F57" w:rsidP="00531F57">
      <w:pPr>
        <w:pStyle w:val="Body"/>
      </w:pPr>
      <w:r w:rsidRPr="004B211C">
        <w:t xml:space="preserve">Where possible, use assessment approaches that include both self-report and observational measures. </w:t>
      </w:r>
    </w:p>
    <w:p w14:paraId="4E73B4D2" w14:textId="77777777" w:rsidR="00531F57" w:rsidRPr="004B211C" w:rsidRDefault="00531F57" w:rsidP="00130161">
      <w:pPr>
        <w:pStyle w:val="Heading4"/>
      </w:pPr>
      <w:r w:rsidRPr="004B211C">
        <w:t xml:space="preserve">Residents who can self-report </w:t>
      </w:r>
    </w:p>
    <w:p w14:paraId="47ECB2E8" w14:textId="77777777" w:rsidR="00531F57" w:rsidRPr="004B211C" w:rsidRDefault="00531F57" w:rsidP="00531F57">
      <w:pPr>
        <w:pStyle w:val="Bullet1"/>
      </w:pPr>
      <w:r w:rsidRPr="004B211C">
        <w:t xml:space="preserve">Determine the resident’s cognitive, sensory and communication ability to evaluate and convey their pain. </w:t>
      </w:r>
    </w:p>
    <w:p w14:paraId="5E984738" w14:textId="77777777" w:rsidR="00531F57" w:rsidRPr="004B211C" w:rsidRDefault="00531F57" w:rsidP="00531F57">
      <w:pPr>
        <w:pStyle w:val="Bullet1"/>
      </w:pPr>
      <w:r w:rsidRPr="004B211C">
        <w:t xml:space="preserve">Valid self-reports of pain can be provided by residents with mild to moderate dementia. It may help to use an observational tool for self-reporting. </w:t>
      </w:r>
    </w:p>
    <w:p w14:paraId="12F1207D" w14:textId="77777777" w:rsidR="00531F57" w:rsidRPr="004B211C" w:rsidRDefault="00531F57" w:rsidP="00531F57">
      <w:pPr>
        <w:pStyle w:val="Bullet1"/>
      </w:pPr>
      <w:r w:rsidRPr="004B211C">
        <w:t xml:space="preserve">Offer self-report assessment tools in an accessible format (for example, simple language, large fonts, written and oral instructions, language other than English) and administer them using clear explanations. </w:t>
      </w:r>
    </w:p>
    <w:p w14:paraId="47781987" w14:textId="77777777" w:rsidR="00531F57" w:rsidRPr="004B211C" w:rsidRDefault="00531F57" w:rsidP="00531F57">
      <w:pPr>
        <w:pStyle w:val="Bullet1"/>
      </w:pPr>
      <w:r w:rsidRPr="004B211C">
        <w:t xml:space="preserve">Help the resident communicate by providing sensory aids and a quiet, distraction-free environment. </w:t>
      </w:r>
    </w:p>
    <w:p w14:paraId="657819C5" w14:textId="77777777" w:rsidR="00531F57" w:rsidRDefault="00531F57" w:rsidP="00130161">
      <w:pPr>
        <w:pStyle w:val="Heading4"/>
        <w:rPr>
          <w:rFonts w:ascii="Times New Roman" w:hAnsi="Times New Roman"/>
          <w:szCs w:val="24"/>
        </w:rPr>
      </w:pPr>
      <w:r>
        <w:t xml:space="preserve">Residents who are unable to verbally self-report </w:t>
      </w:r>
    </w:p>
    <w:p w14:paraId="4B819094" w14:textId="77777777" w:rsidR="00531F57" w:rsidRDefault="00531F57" w:rsidP="00531F57">
      <w:pPr>
        <w:pStyle w:val="Body"/>
      </w:pPr>
      <w:r>
        <w:t xml:space="preserve">Use a combination of the following to identify pain in residents who are unable to verbally report their pain: </w:t>
      </w:r>
    </w:p>
    <w:p w14:paraId="44945AD4" w14:textId="77777777" w:rsidR="00531F57" w:rsidRDefault="00531F57" w:rsidP="00531F57">
      <w:pPr>
        <w:pStyle w:val="Bullet1"/>
      </w:pPr>
      <w:r>
        <w:t xml:space="preserve">Observational pain assessment, which includes: </w:t>
      </w:r>
    </w:p>
    <w:p w14:paraId="1C738DE0" w14:textId="09515A8D" w:rsidR="00531F57" w:rsidRDefault="00531F57" w:rsidP="001C49C8">
      <w:pPr>
        <w:pStyle w:val="Bullet2"/>
      </w:pPr>
      <w:r>
        <w:t xml:space="preserve">interpretation of pain behaviours (including but not limited to agitation, resisting care, aggression, negative vocalisations, and facial expression) </w:t>
      </w:r>
    </w:p>
    <w:p w14:paraId="18168259" w14:textId="4C80F097" w:rsidR="00531F57" w:rsidRDefault="00531F57" w:rsidP="00531F57">
      <w:pPr>
        <w:pStyle w:val="Bullet2"/>
      </w:pPr>
      <w:r>
        <w:t xml:space="preserve">changes in body language (guarding, limping). </w:t>
      </w:r>
    </w:p>
    <w:p w14:paraId="5A8E207A" w14:textId="28C23435" w:rsidR="00531F57" w:rsidRDefault="00531F57" w:rsidP="001C49C8">
      <w:pPr>
        <w:pStyle w:val="Bullet1"/>
      </w:pPr>
      <w:r>
        <w:t xml:space="preserve">Presence of pathology that may be a cause of pain (pressure injury, osteoarthritis). </w:t>
      </w:r>
    </w:p>
    <w:p w14:paraId="1980CD07" w14:textId="77777777" w:rsidR="00531F57" w:rsidRDefault="00531F57" w:rsidP="00531F57">
      <w:pPr>
        <w:pStyle w:val="Bullet1"/>
      </w:pPr>
      <w:r>
        <w:t xml:space="preserve">Pain history from family or carers. </w:t>
      </w:r>
    </w:p>
    <w:p w14:paraId="0ABE3E37" w14:textId="127CAC50" w:rsidR="00531F57" w:rsidRDefault="00531F57" w:rsidP="001C49C8">
      <w:pPr>
        <w:pStyle w:val="Bullet1"/>
      </w:pPr>
      <w:r>
        <w:t xml:space="preserve">Response to pain-relieving interventions (non-pharmacological, physical therapies and pharmacological). </w:t>
      </w:r>
    </w:p>
    <w:p w14:paraId="3F657BF4" w14:textId="77777777" w:rsidR="00531F57" w:rsidRPr="00130161" w:rsidRDefault="00531F57" w:rsidP="00130161">
      <w:pPr>
        <w:pStyle w:val="Heading4"/>
      </w:pPr>
      <w:r w:rsidRPr="00130161">
        <w:lastRenderedPageBreak/>
        <w:t xml:space="preserve">Pain measurement tools/scales </w:t>
      </w:r>
    </w:p>
    <w:p w14:paraId="33510D6B" w14:textId="77777777" w:rsidR="00531F57" w:rsidRDefault="00531F57" w:rsidP="00531F57">
      <w:pPr>
        <w:pStyle w:val="Bullet1"/>
      </w:pPr>
      <w:r>
        <w:t xml:space="preserve">Use a multidimensional pain assessment tool, such as the Modified Residents Verbal Brief Pain Inventory (M-RVBPI), in the initial pain assessment. </w:t>
      </w:r>
    </w:p>
    <w:p w14:paraId="1EFE82BA" w14:textId="77777777" w:rsidR="00531F57" w:rsidRDefault="00531F57" w:rsidP="00531F57">
      <w:pPr>
        <w:pStyle w:val="Bullet1"/>
      </w:pPr>
      <w:r>
        <w:t>Once a suitable pain measurement tool has</w:t>
      </w:r>
      <w:r>
        <w:br/>
        <w:t xml:space="preserve">been identified, use the same tool for recurrent assessments to evaluate the effects of treatment. </w:t>
      </w:r>
    </w:p>
    <w:p w14:paraId="20A0192E" w14:textId="77777777" w:rsidR="00531F57" w:rsidRDefault="00531F57" w:rsidP="00531F57">
      <w:pPr>
        <w:pStyle w:val="Bullet1"/>
      </w:pPr>
      <w:r>
        <w:t>Assess pain at rest and on movement.</w:t>
      </w:r>
    </w:p>
    <w:p w14:paraId="0FCDC50E" w14:textId="25E0155B" w:rsidR="00531F57" w:rsidRPr="00531F57" w:rsidRDefault="00531F57" w:rsidP="00531F57">
      <w:pPr>
        <w:pStyle w:val="Bodyafterbullets"/>
      </w:pPr>
      <w:r w:rsidRPr="00531F57">
        <w:t xml:space="preserve">Suitable tools/scales include, but are not limited to: </w:t>
      </w:r>
    </w:p>
    <w:p w14:paraId="521B58D2" w14:textId="77777777" w:rsidR="00531F57" w:rsidRPr="00531F57" w:rsidRDefault="00531F57" w:rsidP="00531F57">
      <w:pPr>
        <w:pStyle w:val="Bullet1"/>
        <w:rPr>
          <w:i/>
          <w:iCs/>
        </w:rPr>
      </w:pPr>
      <w:r w:rsidRPr="00531F57">
        <w:rPr>
          <w:i/>
          <w:iCs/>
        </w:rPr>
        <w:t xml:space="preserve">Pain measurement tool (self-report): </w:t>
      </w:r>
    </w:p>
    <w:p w14:paraId="7E2B572A" w14:textId="4D3F4139" w:rsidR="00531F57" w:rsidRDefault="00531F57" w:rsidP="00531F57">
      <w:pPr>
        <w:pStyle w:val="Bullet2"/>
      </w:pPr>
      <w:r>
        <w:t xml:space="preserve">Numerical or visual analogue scales. Use of vertical verbal descriptor scales or faces scales are recommended for residents with mild to moderate cognitive or communication impairment. </w:t>
      </w:r>
    </w:p>
    <w:p w14:paraId="5FBBCF28" w14:textId="77777777" w:rsidR="00531F57" w:rsidRPr="00531F57" w:rsidRDefault="00531F57" w:rsidP="00531F57">
      <w:pPr>
        <w:pStyle w:val="Bullet1"/>
        <w:rPr>
          <w:i/>
          <w:iCs/>
        </w:rPr>
      </w:pPr>
      <w:r w:rsidRPr="00531F57">
        <w:rPr>
          <w:i/>
          <w:iCs/>
        </w:rPr>
        <w:t xml:space="preserve">Pain measurement tools (observational): </w:t>
      </w:r>
    </w:p>
    <w:p w14:paraId="465B0BE6" w14:textId="77777777" w:rsidR="00531F57" w:rsidRDefault="00531F57" w:rsidP="00531F57">
      <w:pPr>
        <w:pStyle w:val="Bullet2"/>
      </w:pPr>
      <w:r>
        <w:t>Abbey Pain Scale, Pain Assessment in Advanced Dementia (PAINAD)</w:t>
      </w:r>
    </w:p>
    <w:p w14:paraId="7A2389F9" w14:textId="4C1114E2" w:rsidR="00531F57" w:rsidRDefault="00531F57" w:rsidP="00531F57">
      <w:pPr>
        <w:pStyle w:val="Bullet2"/>
      </w:pPr>
      <w:r>
        <w:t xml:space="preserve">Pain Assessment Checklist for Seniors with Limited Ability to Communicate (PACSLAC) </w:t>
      </w:r>
    </w:p>
    <w:p w14:paraId="3E6D270C" w14:textId="2A3D0BC7" w:rsidR="00531F57" w:rsidRPr="00531F57" w:rsidRDefault="00531F57" w:rsidP="00531F57">
      <w:pPr>
        <w:pStyle w:val="Bullet2"/>
      </w:pPr>
      <w:proofErr w:type="spellStart"/>
      <w:r>
        <w:t>Doloplus</w:t>
      </w:r>
      <w:proofErr w:type="spellEnd"/>
      <w:r>
        <w:t xml:space="preserve"> 2. </w:t>
      </w:r>
    </w:p>
    <w:p w14:paraId="33A36D86" w14:textId="77777777" w:rsidR="00531F57" w:rsidRDefault="00531F57" w:rsidP="00130161">
      <w:pPr>
        <w:pStyle w:val="Heading4"/>
        <w:rPr>
          <w:rFonts w:ascii="Times New Roman" w:hAnsi="Times New Roman"/>
          <w:lang w:eastAsia="en-GB"/>
        </w:rPr>
      </w:pPr>
      <w:r>
        <w:t xml:space="preserve">Review history </w:t>
      </w:r>
    </w:p>
    <w:p w14:paraId="1FAD7B3C" w14:textId="77777777" w:rsidR="00531F57" w:rsidRDefault="00531F57" w:rsidP="00531F57">
      <w:pPr>
        <w:pStyle w:val="Bullet1"/>
      </w:pPr>
      <w:r>
        <w:t xml:space="preserve">Pain onset: event or circumstances (prior injury, illness, surgery) resulting in the onset of pain. </w:t>
      </w:r>
    </w:p>
    <w:p w14:paraId="5D5D6BB3" w14:textId="77777777" w:rsidR="00531F57" w:rsidRDefault="00531F57" w:rsidP="00531F57">
      <w:pPr>
        <w:pStyle w:val="Bullet1"/>
      </w:pPr>
      <w:r>
        <w:t xml:space="preserve">General medical history and evaluation of comorbid conditions and precipitating factors. </w:t>
      </w:r>
    </w:p>
    <w:p w14:paraId="63F98B61" w14:textId="77777777" w:rsidR="00531F57" w:rsidRDefault="00531F57" w:rsidP="00130161">
      <w:pPr>
        <w:pStyle w:val="Heading4"/>
        <w:rPr>
          <w:sz w:val="20"/>
          <w:szCs w:val="20"/>
        </w:rPr>
      </w:pPr>
      <w:r>
        <w:t xml:space="preserve">Pain characteristics </w:t>
      </w:r>
    </w:p>
    <w:p w14:paraId="7764E632" w14:textId="77777777" w:rsidR="00531F57" w:rsidRDefault="00531F57" w:rsidP="00531F57">
      <w:pPr>
        <w:pStyle w:val="Body"/>
      </w:pPr>
      <w:r>
        <w:t xml:space="preserve">Assessment of the resident’s pain characteristics should include: </w:t>
      </w:r>
    </w:p>
    <w:p w14:paraId="74E003D2" w14:textId="77777777" w:rsidR="00531F57" w:rsidRDefault="00531F57" w:rsidP="00531F57">
      <w:pPr>
        <w:pStyle w:val="Bullet1"/>
      </w:pPr>
      <w:r>
        <w:t xml:space="preserve">pain quality – the words the resident uses to describe the pain (such as ‘aching’ or ‘sore’) </w:t>
      </w:r>
    </w:p>
    <w:p w14:paraId="77A96116" w14:textId="5FDB4FE9" w:rsidR="00531F57" w:rsidRDefault="00531F57" w:rsidP="001C49C8">
      <w:pPr>
        <w:pStyle w:val="Bullet1"/>
      </w:pPr>
      <w:r>
        <w:t xml:space="preserve">pain severity/intensity – use a standardised intensity rating scale (see tools/scales) </w:t>
      </w:r>
    </w:p>
    <w:p w14:paraId="38EB0B78" w14:textId="39F286E6" w:rsidR="00531F57" w:rsidRDefault="00531F57" w:rsidP="001C49C8">
      <w:pPr>
        <w:pStyle w:val="Bullet1"/>
      </w:pPr>
      <w:r>
        <w:t xml:space="preserve">duration/frequency and fluctuations throughout the day </w:t>
      </w:r>
    </w:p>
    <w:p w14:paraId="74602617" w14:textId="151176F2" w:rsidR="00531F57" w:rsidRDefault="00531F57" w:rsidP="001C49C8">
      <w:pPr>
        <w:pStyle w:val="Bullet1"/>
      </w:pPr>
      <w:r>
        <w:t xml:space="preserve">pattern – continuous, intermittent, factors that aggravate and relieve the </w:t>
      </w:r>
      <w:proofErr w:type="gramStart"/>
      <w:r>
        <w:t>pain</w:t>
      </w:r>
      <w:proofErr w:type="gramEnd"/>
      <w:r>
        <w:t xml:space="preserve"> </w:t>
      </w:r>
    </w:p>
    <w:p w14:paraId="14D5F3AB" w14:textId="43D83B1A" w:rsidR="00531F57" w:rsidRDefault="00531F57" w:rsidP="001C49C8">
      <w:pPr>
        <w:pStyle w:val="Bullet1"/>
      </w:pPr>
      <w:r>
        <w:t xml:space="preserve">sites of pain – use a diagram/pain map to identify sites where </w:t>
      </w:r>
      <w:proofErr w:type="gramStart"/>
      <w:r>
        <w:t>possible</w:t>
      </w:r>
      <w:proofErr w:type="gramEnd"/>
      <w:r>
        <w:t xml:space="preserve"> </w:t>
      </w:r>
    </w:p>
    <w:p w14:paraId="6EF1B319" w14:textId="77777777" w:rsidR="00531F57" w:rsidRDefault="00531F57" w:rsidP="00531F57">
      <w:pPr>
        <w:pStyle w:val="Bullet1"/>
      </w:pPr>
      <w:r>
        <w:t xml:space="preserve">radiation/referral </w:t>
      </w:r>
    </w:p>
    <w:p w14:paraId="4970A6F7" w14:textId="77777777" w:rsidR="00531F57" w:rsidRDefault="00531F57" w:rsidP="00531F57">
      <w:pPr>
        <w:pStyle w:val="Bullet1"/>
      </w:pPr>
      <w:r>
        <w:t xml:space="preserve">onset (when the problem started). </w:t>
      </w:r>
    </w:p>
    <w:p w14:paraId="01C22654" w14:textId="77777777" w:rsidR="00531F57" w:rsidRDefault="00531F57" w:rsidP="00531F57">
      <w:pPr>
        <w:pStyle w:val="Bodyafterbullets"/>
      </w:pPr>
      <w:r>
        <w:t xml:space="preserve">The </w:t>
      </w:r>
      <w:r>
        <w:rPr>
          <w:b/>
          <w:bCs/>
        </w:rPr>
        <w:t xml:space="preserve">physical assessment </w:t>
      </w:r>
      <w:r>
        <w:t xml:space="preserve">for pain should include: </w:t>
      </w:r>
    </w:p>
    <w:p w14:paraId="10451AC4" w14:textId="77777777" w:rsidR="00531F57" w:rsidRDefault="00531F57" w:rsidP="00531F57">
      <w:pPr>
        <w:pStyle w:val="Bullet1"/>
      </w:pPr>
      <w:r>
        <w:t xml:space="preserve">signs of inflammation (swelling, heat, redness in affected area) </w:t>
      </w:r>
    </w:p>
    <w:p w14:paraId="4620982A" w14:textId="2E720D78" w:rsidR="00531F57" w:rsidRDefault="00531F57" w:rsidP="00531F57">
      <w:pPr>
        <w:pStyle w:val="Bullet1"/>
      </w:pPr>
      <w:r>
        <w:t>report of pain or behavioural response caused by touch, pressure, movement (active and passive range of motion), weight bearing</w:t>
      </w:r>
      <w:r w:rsidR="00130161">
        <w:t xml:space="preserve"> </w:t>
      </w:r>
      <w:r>
        <w:t xml:space="preserve">or other body functions (such as breathing and swallowing) </w:t>
      </w:r>
    </w:p>
    <w:p w14:paraId="6B7A4E42" w14:textId="77777777" w:rsidR="00531F57" w:rsidRDefault="00531F57" w:rsidP="00531F57">
      <w:pPr>
        <w:pStyle w:val="Bullet1"/>
      </w:pPr>
      <w:r>
        <w:t xml:space="preserve">abnormal sensations, including numbness, pain from a non-painful stimulation, heightened sensitivity to pain and hypersensitivity to sensory </w:t>
      </w:r>
      <w:proofErr w:type="gramStart"/>
      <w:r>
        <w:t>stimuli</w:t>
      </w:r>
      <w:proofErr w:type="gramEnd"/>
      <w:r>
        <w:t xml:space="preserve"> </w:t>
      </w:r>
    </w:p>
    <w:p w14:paraId="4E19335C" w14:textId="77777777" w:rsidR="00531F57" w:rsidRDefault="00531F57" w:rsidP="00531F57">
      <w:pPr>
        <w:pStyle w:val="Bullet1"/>
      </w:pPr>
      <w:r>
        <w:t xml:space="preserve">laboratory/diagnostic tests, where </w:t>
      </w:r>
      <w:proofErr w:type="gramStart"/>
      <w:r>
        <w:t>indicated</w:t>
      </w:r>
      <w:proofErr w:type="gramEnd"/>
      <w:r>
        <w:t xml:space="preserve"> </w:t>
      </w:r>
    </w:p>
    <w:p w14:paraId="62E18CF0" w14:textId="66812857" w:rsidR="00531F57" w:rsidRDefault="00531F57" w:rsidP="001C49C8">
      <w:pPr>
        <w:pStyle w:val="Bullet1"/>
      </w:pPr>
      <w:r>
        <w:t xml:space="preserve">cognitive status (severe pain can affect cognition and memory). </w:t>
      </w:r>
    </w:p>
    <w:p w14:paraId="01E8CC0D" w14:textId="77777777" w:rsidR="00531F57" w:rsidRDefault="00531F57" w:rsidP="00531F57">
      <w:pPr>
        <w:pStyle w:val="Bodyafterbullets"/>
        <w:rPr>
          <w:rFonts w:ascii="Times New Roman" w:hAnsi="Times New Roman"/>
          <w:sz w:val="24"/>
          <w:szCs w:val="24"/>
        </w:rPr>
      </w:pPr>
      <w:r>
        <w:t xml:space="preserve">The </w:t>
      </w:r>
      <w:r>
        <w:rPr>
          <w:b/>
          <w:bCs/>
        </w:rPr>
        <w:t xml:space="preserve">functional assessment </w:t>
      </w:r>
      <w:r>
        <w:t xml:space="preserve">for pain should include its impact on: </w:t>
      </w:r>
    </w:p>
    <w:p w14:paraId="42272656" w14:textId="77777777" w:rsidR="00531F57" w:rsidRDefault="00531F57" w:rsidP="00531F57">
      <w:pPr>
        <w:pStyle w:val="Bullet1"/>
      </w:pPr>
      <w:r>
        <w:t xml:space="preserve">activities of daily living (ADLs) and functional ability </w:t>
      </w:r>
    </w:p>
    <w:p w14:paraId="5AE8C1AC" w14:textId="11248C4D" w:rsidR="00531F57" w:rsidRDefault="00531F57" w:rsidP="00531F57">
      <w:pPr>
        <w:pStyle w:val="Bullet1"/>
      </w:pPr>
      <w:r>
        <w:t xml:space="preserve">sleep and appetite. </w:t>
      </w:r>
    </w:p>
    <w:p w14:paraId="2E5AD11C" w14:textId="77777777" w:rsidR="00531F57" w:rsidRDefault="00531F57" w:rsidP="00531F57">
      <w:pPr>
        <w:pStyle w:val="Bodyafterbullets"/>
      </w:pPr>
      <w:r>
        <w:t xml:space="preserve">The </w:t>
      </w:r>
      <w:r>
        <w:rPr>
          <w:b/>
          <w:bCs/>
        </w:rPr>
        <w:t xml:space="preserve">psychosocial assessment </w:t>
      </w:r>
      <w:r>
        <w:t xml:space="preserve">should include asking the resident about: </w:t>
      </w:r>
    </w:p>
    <w:p w14:paraId="6D14DFAF" w14:textId="77777777" w:rsidR="00531F57" w:rsidRDefault="00531F57" w:rsidP="00531F57">
      <w:pPr>
        <w:pStyle w:val="Bullet1"/>
      </w:pPr>
      <w:r>
        <w:t xml:space="preserve">their concerns, worries and beliefs about the </w:t>
      </w:r>
      <w:proofErr w:type="gramStart"/>
      <w:r>
        <w:t>pain</w:t>
      </w:r>
      <w:proofErr w:type="gramEnd"/>
      <w:r>
        <w:t xml:space="preserve"> </w:t>
      </w:r>
    </w:p>
    <w:p w14:paraId="54D62579" w14:textId="77777777" w:rsidR="00531F57" w:rsidRDefault="00531F57" w:rsidP="00531F57">
      <w:pPr>
        <w:pStyle w:val="Bullet1"/>
      </w:pPr>
      <w:r>
        <w:t xml:space="preserve">how they respond to the pain </w:t>
      </w:r>
    </w:p>
    <w:p w14:paraId="4827746D" w14:textId="7A896966" w:rsidR="00531F57" w:rsidRDefault="00531F57" w:rsidP="001C49C8">
      <w:pPr>
        <w:pStyle w:val="Bullet1"/>
      </w:pPr>
      <w:r>
        <w:lastRenderedPageBreak/>
        <w:t xml:space="preserve">pain-related changes to their mental/mood state (depression) (use a validated tool to assess the symptoms of depression) </w:t>
      </w:r>
    </w:p>
    <w:p w14:paraId="1E5B1556" w14:textId="4B2EEED8" w:rsidR="00531F57" w:rsidRDefault="00531F57" w:rsidP="001C49C8">
      <w:pPr>
        <w:pStyle w:val="Bullet1"/>
      </w:pPr>
      <w:r>
        <w:t xml:space="preserve">emotional responses to pain (such as fear/ anxiety, acceptance) </w:t>
      </w:r>
    </w:p>
    <w:p w14:paraId="7EB97FA4" w14:textId="1075727A" w:rsidR="00531F57" w:rsidRDefault="00531F57" w:rsidP="001C49C8">
      <w:pPr>
        <w:pStyle w:val="Bullet1"/>
      </w:pPr>
      <w:r>
        <w:t xml:space="preserve">coping strategies (passive or active) and their level of perceived control over the pain </w:t>
      </w:r>
    </w:p>
    <w:p w14:paraId="3F97C1FE" w14:textId="2EFED998" w:rsidR="00531F57" w:rsidRDefault="00531F57" w:rsidP="001C49C8">
      <w:pPr>
        <w:pStyle w:val="Bullet1"/>
      </w:pPr>
      <w:r>
        <w:t xml:space="preserve">their knowledge and level of understanding about pain and pain management </w:t>
      </w:r>
    </w:p>
    <w:p w14:paraId="3BF9FC8C" w14:textId="77777777" w:rsidR="00531F57" w:rsidRDefault="00531F57" w:rsidP="00531F57">
      <w:pPr>
        <w:pStyle w:val="Bullet1"/>
      </w:pPr>
      <w:r>
        <w:t xml:space="preserve">expectations of treatment </w:t>
      </w:r>
    </w:p>
    <w:p w14:paraId="005A6772" w14:textId="77777777" w:rsidR="00531F57" w:rsidRDefault="00531F57" w:rsidP="00531F57">
      <w:pPr>
        <w:pStyle w:val="Bullet1"/>
      </w:pPr>
      <w:r>
        <w:t xml:space="preserve">impact on family/carers and other supports </w:t>
      </w:r>
    </w:p>
    <w:p w14:paraId="273F3910" w14:textId="77777777" w:rsidR="00531F57" w:rsidRDefault="00531F57" w:rsidP="00531F57">
      <w:pPr>
        <w:pStyle w:val="Bullet1"/>
      </w:pPr>
      <w:r>
        <w:t xml:space="preserve">impact on social participation </w:t>
      </w:r>
    </w:p>
    <w:p w14:paraId="3F7CDA94" w14:textId="77777777" w:rsidR="00531F57" w:rsidRDefault="00531F57" w:rsidP="00531F57">
      <w:pPr>
        <w:pStyle w:val="Bullet1"/>
      </w:pPr>
      <w:r>
        <w:t xml:space="preserve">impact on pleasurable activities </w:t>
      </w:r>
    </w:p>
    <w:p w14:paraId="33DA37BC" w14:textId="77777777" w:rsidR="00531F57" w:rsidRDefault="00531F57" w:rsidP="00531F57">
      <w:pPr>
        <w:pStyle w:val="Bullet1"/>
      </w:pPr>
      <w:r>
        <w:t xml:space="preserve">impact on quality of life. </w:t>
      </w:r>
    </w:p>
    <w:p w14:paraId="5598E436" w14:textId="77777777" w:rsidR="00531F57" w:rsidRDefault="00531F57" w:rsidP="00531F57">
      <w:pPr>
        <w:pStyle w:val="Bodyafterbullets"/>
      </w:pPr>
      <w:r>
        <w:t xml:space="preserve">Evaluate the effectiveness of the resident’s current treatments for pain by reviewing: </w:t>
      </w:r>
    </w:p>
    <w:p w14:paraId="24B0D414" w14:textId="77777777" w:rsidR="00531F57" w:rsidRDefault="00531F57" w:rsidP="00531F57">
      <w:pPr>
        <w:pStyle w:val="Bullet1"/>
      </w:pPr>
      <w:r>
        <w:t xml:space="preserve">their medication history (including prescription, over the counter, complementary and alternative medicines) and </w:t>
      </w:r>
      <w:proofErr w:type="gramStart"/>
      <w:r>
        <w:t>allergies</w:t>
      </w:r>
      <w:proofErr w:type="gramEnd"/>
    </w:p>
    <w:p w14:paraId="3E95D90B" w14:textId="2FD8A14D" w:rsidR="00531F57" w:rsidRDefault="00531F57" w:rsidP="00531F57">
      <w:pPr>
        <w:pStyle w:val="Bullet1"/>
      </w:pPr>
      <w:r>
        <w:t xml:space="preserve">the side effect profile of medications and any drug interactions </w:t>
      </w:r>
    </w:p>
    <w:p w14:paraId="4EE4B208" w14:textId="687B8211" w:rsidR="00531F57" w:rsidRDefault="00531F57" w:rsidP="00531F57">
      <w:pPr>
        <w:pStyle w:val="Bullet1"/>
      </w:pPr>
      <w:r>
        <w:t>the use of alcohol, medicines and illicit drugs</w:t>
      </w:r>
      <w:r w:rsidR="00130161">
        <w:t xml:space="preserve"> </w:t>
      </w:r>
      <w:r>
        <w:t xml:space="preserve">to manage the </w:t>
      </w:r>
      <w:proofErr w:type="gramStart"/>
      <w:r>
        <w:t>pain</w:t>
      </w:r>
      <w:proofErr w:type="gramEnd"/>
    </w:p>
    <w:p w14:paraId="1AAC9E95" w14:textId="77777777" w:rsidR="00531F57" w:rsidRDefault="00531F57" w:rsidP="00531F57">
      <w:pPr>
        <w:pStyle w:val="Bullet1"/>
      </w:pPr>
      <w:r>
        <w:t xml:space="preserve">observational pain charts and verbal pain scores </w:t>
      </w:r>
    </w:p>
    <w:p w14:paraId="15B45609" w14:textId="368EADC1" w:rsidR="00531F57" w:rsidRDefault="00531F57" w:rsidP="00531F57">
      <w:pPr>
        <w:pStyle w:val="Bullet1"/>
      </w:pPr>
      <w:r>
        <w:t xml:space="preserve">what works to relieve the pain and what doesn’t. </w:t>
      </w:r>
    </w:p>
    <w:p w14:paraId="75B4547A" w14:textId="7CEA2A7E" w:rsidR="00531F57" w:rsidRPr="00531F57" w:rsidRDefault="00531F57" w:rsidP="00531F57">
      <w:pPr>
        <w:pStyle w:val="Body"/>
        <w:sectPr w:rsidR="00531F57" w:rsidRPr="00531F57"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669425"/>
      <w:r>
        <w:rPr>
          <w:lang w:val="en-GB" w:eastAsia="en-AU"/>
        </w:rPr>
        <w:t>Interventions</w:t>
      </w:r>
      <w:bookmarkEnd w:id="16"/>
    </w:p>
    <w:p w14:paraId="0A13CA35" w14:textId="77777777" w:rsidR="00531F57" w:rsidRPr="00130161" w:rsidRDefault="00531F57" w:rsidP="00130161">
      <w:pPr>
        <w:pStyle w:val="Heading4"/>
      </w:pPr>
      <w:r w:rsidRPr="00130161">
        <w:t xml:space="preserve">Acute pain </w:t>
      </w:r>
    </w:p>
    <w:p w14:paraId="34410BC0" w14:textId="77777777" w:rsidR="00531F57" w:rsidRDefault="00531F57" w:rsidP="00531F57">
      <w:pPr>
        <w:pStyle w:val="Bullet1"/>
      </w:pPr>
      <w:r>
        <w:t xml:space="preserve">There is an expectation that acute pain of recent onset will resolve with healing or treatment of the underlying cause. </w:t>
      </w:r>
    </w:p>
    <w:p w14:paraId="3E6C9CF1" w14:textId="77777777" w:rsidR="00531F57" w:rsidRDefault="00531F57" w:rsidP="00531F57">
      <w:pPr>
        <w:pStyle w:val="Bullet1"/>
      </w:pPr>
      <w:r>
        <w:t xml:space="preserve">Offer symptomatic relief until the acute episode has resolved. </w:t>
      </w:r>
    </w:p>
    <w:p w14:paraId="67CD9B5F" w14:textId="77777777" w:rsidR="00531F57" w:rsidRDefault="00531F57" w:rsidP="00130161">
      <w:pPr>
        <w:pStyle w:val="Heading4"/>
        <w:rPr>
          <w:sz w:val="20"/>
          <w:szCs w:val="20"/>
        </w:rPr>
      </w:pPr>
      <w:r>
        <w:t xml:space="preserve">Chronic or persistent pain </w:t>
      </w:r>
    </w:p>
    <w:p w14:paraId="6C186816" w14:textId="0AA97D81" w:rsidR="00531F57" w:rsidRPr="00531F57" w:rsidRDefault="00531F57" w:rsidP="00531F57">
      <w:pPr>
        <w:pStyle w:val="Body"/>
      </w:pPr>
      <w:r w:rsidRPr="00531F57">
        <w:t xml:space="preserve">The plan of care for residents experiencing chronic or persistent pain should be comprehensive, individualised, and developed in partnership with the resident, family/carer and multidisciplinary team. It should include the goals of pain management and the interventions for symptoms associated with pain (such as depression, insomnia and constipation). Interventions can be used in combination. </w:t>
      </w:r>
    </w:p>
    <w:p w14:paraId="7F5E06DB" w14:textId="77777777" w:rsidR="00531F57" w:rsidRPr="00130161" w:rsidRDefault="00531F57" w:rsidP="00130161">
      <w:pPr>
        <w:pStyle w:val="Heading4"/>
      </w:pPr>
      <w:r w:rsidRPr="00130161">
        <w:t xml:space="preserve">Non-pharmacological interventions </w:t>
      </w:r>
    </w:p>
    <w:p w14:paraId="5539EAEE" w14:textId="77777777" w:rsidR="00531F57" w:rsidRDefault="00531F57" w:rsidP="00531F57">
      <w:pPr>
        <w:pStyle w:val="Body"/>
      </w:pPr>
      <w:r>
        <w:t xml:space="preserve">Note: Evidence for the use of the following strategies is limited. </w:t>
      </w:r>
    </w:p>
    <w:p w14:paraId="29F6918A" w14:textId="77777777" w:rsidR="00531F57" w:rsidRDefault="00531F57" w:rsidP="00531F57">
      <w:pPr>
        <w:pStyle w:val="Bullet1"/>
      </w:pPr>
      <w:r>
        <w:t xml:space="preserve">Reassurance and education </w:t>
      </w:r>
    </w:p>
    <w:p w14:paraId="1B3FE3EF" w14:textId="05A241C4" w:rsidR="00531F57" w:rsidRDefault="00531F57" w:rsidP="001C49C8">
      <w:pPr>
        <w:pStyle w:val="Bullet1"/>
      </w:pPr>
      <w:r>
        <w:t xml:space="preserve">Application of superficial heat/cold (to be used with caution) </w:t>
      </w:r>
    </w:p>
    <w:p w14:paraId="7D180197" w14:textId="77777777" w:rsidR="00531F57" w:rsidRDefault="00531F57" w:rsidP="00531F57">
      <w:pPr>
        <w:pStyle w:val="Bullet1"/>
      </w:pPr>
      <w:r>
        <w:t xml:space="preserve">Massage </w:t>
      </w:r>
    </w:p>
    <w:p w14:paraId="1D01FFC9" w14:textId="77777777" w:rsidR="00531F57" w:rsidRDefault="00531F57" w:rsidP="00531F57">
      <w:pPr>
        <w:pStyle w:val="Bullet1"/>
      </w:pPr>
      <w:r>
        <w:t xml:space="preserve">Relaxation and meditation techniques </w:t>
      </w:r>
    </w:p>
    <w:p w14:paraId="3877F27D" w14:textId="27BD455F" w:rsidR="00531F57" w:rsidRDefault="00531F57" w:rsidP="001C49C8">
      <w:pPr>
        <w:pStyle w:val="Bullet1"/>
      </w:pPr>
      <w:r>
        <w:t xml:space="preserve">Transcutaneous electrical nerve stimulation (TENS) in residents who can provide reliable </w:t>
      </w:r>
      <w:proofErr w:type="gramStart"/>
      <w:r>
        <w:t>feedback</w:t>
      </w:r>
      <w:proofErr w:type="gramEnd"/>
      <w:r>
        <w:t xml:space="preserve"> </w:t>
      </w:r>
    </w:p>
    <w:p w14:paraId="6C9E7B93" w14:textId="77777777" w:rsidR="00531F57" w:rsidRDefault="00531F57" w:rsidP="00531F57">
      <w:pPr>
        <w:pStyle w:val="Bullet1"/>
      </w:pPr>
      <w:r>
        <w:t xml:space="preserve">Percutaneous electrical nerve stimulation (PENS) </w:t>
      </w:r>
    </w:p>
    <w:p w14:paraId="16F7B243" w14:textId="77777777" w:rsidR="00531F57" w:rsidRDefault="00531F57" w:rsidP="00531F57">
      <w:pPr>
        <w:pStyle w:val="Bullet1"/>
      </w:pPr>
      <w:r>
        <w:t xml:space="preserve">Cognitive behavioural therapy </w:t>
      </w:r>
    </w:p>
    <w:p w14:paraId="377E718F" w14:textId="77777777" w:rsidR="00531F57" w:rsidRDefault="00531F57" w:rsidP="00531F57">
      <w:pPr>
        <w:pStyle w:val="Bullet1"/>
      </w:pPr>
      <w:r>
        <w:t xml:space="preserve">Acceptance and commitment therapy (ACT) </w:t>
      </w:r>
    </w:p>
    <w:p w14:paraId="08D73DCA" w14:textId="77777777" w:rsidR="00531F57" w:rsidRDefault="00531F57" w:rsidP="00531F57">
      <w:pPr>
        <w:pStyle w:val="Bullet1"/>
      </w:pPr>
      <w:r>
        <w:t xml:space="preserve">Mindfulness </w:t>
      </w:r>
    </w:p>
    <w:p w14:paraId="446A22C2" w14:textId="77777777" w:rsidR="00531F57" w:rsidRDefault="00531F57" w:rsidP="00531F57">
      <w:pPr>
        <w:pStyle w:val="Bullet1"/>
      </w:pPr>
      <w:r>
        <w:t xml:space="preserve">Acupuncture </w:t>
      </w:r>
    </w:p>
    <w:p w14:paraId="36C4450B" w14:textId="77777777" w:rsidR="00531F57" w:rsidRDefault="00531F57" w:rsidP="00531F57">
      <w:pPr>
        <w:pStyle w:val="Bullet1"/>
      </w:pPr>
      <w:r>
        <w:t xml:space="preserve">Reflexology </w:t>
      </w:r>
    </w:p>
    <w:p w14:paraId="769B8754" w14:textId="121B1918" w:rsidR="00531F57" w:rsidRDefault="00531F57" w:rsidP="001C49C8">
      <w:pPr>
        <w:pStyle w:val="Bullet1"/>
      </w:pPr>
      <w:r>
        <w:lastRenderedPageBreak/>
        <w:t xml:space="preserve">Other complementary and alternative medicine (CAM) therapies </w:t>
      </w:r>
    </w:p>
    <w:p w14:paraId="47A38FBC" w14:textId="77777777" w:rsidR="00531F57" w:rsidRPr="00130161" w:rsidRDefault="00531F57" w:rsidP="00130161">
      <w:pPr>
        <w:pStyle w:val="Heading4"/>
      </w:pPr>
      <w:r w:rsidRPr="00130161">
        <w:t xml:space="preserve">Physical therapies </w:t>
      </w:r>
    </w:p>
    <w:p w14:paraId="68CE00A0" w14:textId="77777777" w:rsidR="00531F57" w:rsidRPr="004B211C" w:rsidRDefault="00531F57" w:rsidP="00531F57">
      <w:pPr>
        <w:pStyle w:val="Body"/>
      </w:pPr>
      <w:r w:rsidRPr="004B211C">
        <w:t xml:space="preserve">Physical therapy should be prescribed according to the resident’s cognitive, communicative and physical abilities and include: </w:t>
      </w:r>
    </w:p>
    <w:p w14:paraId="41FAF874" w14:textId="77777777" w:rsidR="00531F57" w:rsidRPr="004B211C" w:rsidRDefault="00531F57" w:rsidP="00531F57">
      <w:pPr>
        <w:pStyle w:val="Bullet1"/>
      </w:pPr>
      <w:r w:rsidRPr="004B211C">
        <w:t xml:space="preserve">exercise (prescribed and supervised) – strengthening, stretching and balance, hydrotherapy, functional restoration and isotonic </w:t>
      </w:r>
      <w:proofErr w:type="gramStart"/>
      <w:r w:rsidRPr="004B211C">
        <w:t>exercises</w:t>
      </w:r>
      <w:proofErr w:type="gramEnd"/>
      <w:r w:rsidRPr="004B211C">
        <w:t xml:space="preserve"> </w:t>
      </w:r>
    </w:p>
    <w:p w14:paraId="541A5D6B" w14:textId="77777777" w:rsidR="00531F57" w:rsidRPr="004B211C" w:rsidRDefault="00531F57" w:rsidP="00531F57">
      <w:pPr>
        <w:pStyle w:val="Bullet1"/>
      </w:pPr>
      <w:r w:rsidRPr="004B211C">
        <w:t xml:space="preserve">appropriate manual handling equipment and techniques to reduce pain on movement. </w:t>
      </w:r>
    </w:p>
    <w:p w14:paraId="127EC590" w14:textId="77777777" w:rsidR="00531F57" w:rsidRPr="004B211C" w:rsidRDefault="00531F57" w:rsidP="00531F57">
      <w:pPr>
        <w:pStyle w:val="Heading3"/>
        <w:rPr>
          <w:sz w:val="20"/>
          <w:szCs w:val="20"/>
        </w:rPr>
      </w:pPr>
      <w:r w:rsidRPr="004B211C">
        <w:t xml:space="preserve">Pharmacological therapies </w:t>
      </w:r>
    </w:p>
    <w:p w14:paraId="246DEA2C" w14:textId="77777777" w:rsidR="00531F57" w:rsidRPr="004B211C" w:rsidRDefault="00531F57" w:rsidP="00531F57">
      <w:pPr>
        <w:pStyle w:val="Bullet1"/>
      </w:pPr>
      <w:r w:rsidRPr="004B211C">
        <w:t xml:space="preserve">Anticipate, treat or avoid the side effects, drug interactions and contraindications of pain- relieving medicines. </w:t>
      </w:r>
    </w:p>
    <w:p w14:paraId="27BD710E" w14:textId="77777777" w:rsidR="00531F57" w:rsidRPr="004B211C" w:rsidRDefault="00531F57" w:rsidP="00531F57">
      <w:pPr>
        <w:pStyle w:val="Bullet1"/>
      </w:pPr>
      <w:r w:rsidRPr="004B211C">
        <w:t xml:space="preserve">Administer analgesia on a regular basis (’around the clock’) to maintain therapeutic levels. </w:t>
      </w:r>
    </w:p>
    <w:p w14:paraId="29A6DC1C" w14:textId="77777777" w:rsidR="00531F57" w:rsidRPr="004B211C" w:rsidRDefault="00531F57" w:rsidP="00531F57">
      <w:pPr>
        <w:pStyle w:val="Bullet1"/>
      </w:pPr>
      <w:r w:rsidRPr="004B211C">
        <w:t xml:space="preserve">Give as needed (PRN) short-acting analgesia 30 minutes before an activity to help reduce predictable (incident) pain. </w:t>
      </w:r>
    </w:p>
    <w:p w14:paraId="0156F697" w14:textId="0412C5EA" w:rsidR="00531F57" w:rsidRPr="004B211C" w:rsidRDefault="00531F57" w:rsidP="00531F57">
      <w:pPr>
        <w:pStyle w:val="Bullet1"/>
      </w:pPr>
      <w:r w:rsidRPr="004B211C">
        <w:t>Carefully manage any medication type, dose, route of administration, monitoring and adjustment according to the pain diagnosis</w:t>
      </w:r>
      <w:r w:rsidR="00130161" w:rsidRPr="004B211C">
        <w:t xml:space="preserve"> </w:t>
      </w:r>
      <w:r w:rsidRPr="004B211C">
        <w:t xml:space="preserve">and severity until the goals of pain management are achieved. </w:t>
      </w:r>
    </w:p>
    <w:p w14:paraId="10610E97" w14:textId="669A9971" w:rsidR="00CB537A" w:rsidRDefault="00CB537A" w:rsidP="00CB537A">
      <w:pPr>
        <w:pStyle w:val="Bullet1"/>
      </w:pPr>
      <w:r w:rsidRPr="00291E25">
        <w:t xml:space="preserve">Physiological changes in older people increase the sensitivity to some analgesic drugs, which might necessitate appropriate dose titrations or replacement with an alternate </w:t>
      </w:r>
      <w:proofErr w:type="gramStart"/>
      <w:r w:rsidRPr="00291E25">
        <w:t>medicine</w:t>
      </w:r>
      <w:proofErr w:type="gramEnd"/>
    </w:p>
    <w:p w14:paraId="003EBF39" w14:textId="59258B62" w:rsidR="00531F57" w:rsidRDefault="00531F57" w:rsidP="00531F57">
      <w:pPr>
        <w:pStyle w:val="Bullet1"/>
      </w:pPr>
      <w:r>
        <w:t xml:space="preserve">Consider an analgesic trial when the presence of pain remains unclear and a non-communicative resident continues to present with pain behaviours or responsive behaviours. </w:t>
      </w:r>
    </w:p>
    <w:p w14:paraId="1C071ADF" w14:textId="579E8D31" w:rsidR="00531F57" w:rsidRPr="00531F57" w:rsidRDefault="00531F57" w:rsidP="00531F57">
      <w:pPr>
        <w:pStyle w:val="Bodyafterbullets"/>
      </w:pPr>
      <w:r>
        <w:t xml:space="preserve">Always document the resident’s response to pain management interventions. </w:t>
      </w:r>
    </w:p>
    <w:p w14:paraId="150DBF9B" w14:textId="6B4C68F5" w:rsidR="00CD448D" w:rsidRDefault="00CD448D" w:rsidP="00CD448D">
      <w:pPr>
        <w:pStyle w:val="Heading2"/>
        <w:rPr>
          <w:lang w:val="en-GB" w:eastAsia="en-AU"/>
        </w:rPr>
      </w:pPr>
      <w:bookmarkStart w:id="17" w:name="_Toc112669426"/>
      <w:r>
        <w:rPr>
          <w:lang w:val="en-GB" w:eastAsia="en-AU"/>
        </w:rPr>
        <w:t>Referral</w:t>
      </w:r>
      <w:bookmarkEnd w:id="17"/>
    </w:p>
    <w:p w14:paraId="0A0E2A3D" w14:textId="77777777" w:rsidR="00531F57" w:rsidRDefault="00531F57" w:rsidP="00531F57">
      <w:pPr>
        <w:pStyle w:val="Bullet1"/>
        <w:rPr>
          <w:lang w:eastAsia="en-GB"/>
        </w:rPr>
      </w:pPr>
      <w:r>
        <w:t xml:space="preserve">RN </w:t>
      </w:r>
    </w:p>
    <w:p w14:paraId="5C772ACB" w14:textId="77777777" w:rsidR="00531F57" w:rsidRDefault="00531F57" w:rsidP="00531F57">
      <w:pPr>
        <w:pStyle w:val="Bullet1"/>
      </w:pPr>
      <w:r>
        <w:t xml:space="preserve">GP </w:t>
      </w:r>
    </w:p>
    <w:p w14:paraId="62B19645" w14:textId="77777777" w:rsidR="00531F57" w:rsidRDefault="00531F57" w:rsidP="00531F57">
      <w:pPr>
        <w:pStyle w:val="Bullet1"/>
      </w:pPr>
      <w:r>
        <w:t xml:space="preserve">Physiotherapist </w:t>
      </w:r>
    </w:p>
    <w:p w14:paraId="51DEBDD1" w14:textId="77777777" w:rsidR="00531F57" w:rsidRDefault="00531F57" w:rsidP="00531F57">
      <w:pPr>
        <w:pStyle w:val="Bullet1"/>
      </w:pPr>
      <w:r>
        <w:t xml:space="preserve">Occupational therapist </w:t>
      </w:r>
    </w:p>
    <w:p w14:paraId="6924D237" w14:textId="77777777" w:rsidR="00531F57" w:rsidRDefault="00531F57" w:rsidP="00531F57">
      <w:pPr>
        <w:pStyle w:val="Bullet1"/>
      </w:pPr>
      <w:r>
        <w:t xml:space="preserve">Pain management specialist or clinic </w:t>
      </w:r>
    </w:p>
    <w:p w14:paraId="44A17946" w14:textId="77777777" w:rsidR="00531F57" w:rsidRDefault="00531F57" w:rsidP="00531F57">
      <w:pPr>
        <w:pStyle w:val="Bullet1"/>
      </w:pPr>
      <w:r>
        <w:t xml:space="preserve">Psychologist </w:t>
      </w:r>
    </w:p>
    <w:p w14:paraId="01B63E7C" w14:textId="77777777" w:rsidR="00531F57" w:rsidRDefault="00531F57" w:rsidP="00531F57">
      <w:pPr>
        <w:pStyle w:val="Bullet1"/>
      </w:pPr>
      <w:r>
        <w:t xml:space="preserve">CAM practitioners </w:t>
      </w:r>
    </w:p>
    <w:p w14:paraId="4224442C" w14:textId="4B3E77B5" w:rsidR="00531F57" w:rsidRDefault="00531F57" w:rsidP="001C49C8">
      <w:pPr>
        <w:pStyle w:val="Bullet1"/>
      </w:pPr>
      <w:r>
        <w:t xml:space="preserve">Interpreter when assessing residents who speak a language other than </w:t>
      </w:r>
      <w:proofErr w:type="gramStart"/>
      <w:r>
        <w:t>English</w:t>
      </w:r>
      <w:proofErr w:type="gramEnd"/>
      <w:r>
        <w:t xml:space="preserve"> </w:t>
      </w:r>
    </w:p>
    <w:p w14:paraId="41D0026F" w14:textId="1F23FCE4" w:rsidR="00531F57" w:rsidRDefault="00531F57" w:rsidP="001C49C8">
      <w:pPr>
        <w:pStyle w:val="Bullet1"/>
      </w:pPr>
      <w:r>
        <w:t xml:space="preserve">Local palliative care services for residents requiring palliative </w:t>
      </w:r>
      <w:proofErr w:type="gramStart"/>
      <w:r>
        <w:t>care</w:t>
      </w:r>
      <w:proofErr w:type="gramEnd"/>
      <w:r>
        <w:t xml:space="preserve"> </w:t>
      </w:r>
    </w:p>
    <w:p w14:paraId="63FA2288" w14:textId="77777777" w:rsidR="00531F57" w:rsidRDefault="00531F57" w:rsidP="00531F57">
      <w:pPr>
        <w:pStyle w:val="Bodyafterbullets"/>
      </w:pPr>
      <w:r>
        <w:t xml:space="preserve">If pain is due to a serious injury or disease, it may not be possible to manage this in the residential care environment. </w:t>
      </w:r>
    </w:p>
    <w:p w14:paraId="04A445D9" w14:textId="026A2029" w:rsidR="00CD448D" w:rsidRDefault="00CD448D" w:rsidP="00CD448D">
      <w:pPr>
        <w:pStyle w:val="Heading2"/>
        <w:rPr>
          <w:lang w:val="en-GB" w:eastAsia="en-AU"/>
        </w:rPr>
      </w:pPr>
      <w:bookmarkStart w:id="18" w:name="_Toc112669427"/>
      <w:r>
        <w:rPr>
          <w:lang w:val="en-GB" w:eastAsia="en-AU"/>
        </w:rPr>
        <w:t>Evaluation and reassessment</w:t>
      </w:r>
      <w:bookmarkEnd w:id="18"/>
    </w:p>
    <w:p w14:paraId="60D6D8D6" w14:textId="77777777" w:rsidR="00531F57" w:rsidRDefault="00531F57" w:rsidP="00531F57">
      <w:pPr>
        <w:pStyle w:val="Bullet1"/>
        <w:rPr>
          <w:lang w:eastAsia="en-GB"/>
        </w:rPr>
      </w:pPr>
      <w:r>
        <w:t xml:space="preserve">Monitor the effects on pain within one hour of administering medication, and at least every four hours thereafter. </w:t>
      </w:r>
    </w:p>
    <w:p w14:paraId="2D496E73" w14:textId="77777777" w:rsidR="00531F57" w:rsidRDefault="00531F57" w:rsidP="00531F57">
      <w:pPr>
        <w:pStyle w:val="Bullet1"/>
      </w:pPr>
      <w:r>
        <w:t xml:space="preserve">Regularly review and assess the therapeutic benefit of interventions. </w:t>
      </w:r>
    </w:p>
    <w:p w14:paraId="751EEA0C" w14:textId="77777777" w:rsidR="00531F57" w:rsidRDefault="00531F57" w:rsidP="00531F57">
      <w:pPr>
        <w:pStyle w:val="Bullet1"/>
      </w:pPr>
      <w:r>
        <w:t xml:space="preserve">Monitor for any interactions or adverse effects, such as opioid-induced constipation, drug- induced cognitive impairment and falls. </w:t>
      </w:r>
    </w:p>
    <w:p w14:paraId="3E05B802" w14:textId="77777777" w:rsidR="00531F57" w:rsidRDefault="00531F57" w:rsidP="00531F57">
      <w:pPr>
        <w:pStyle w:val="Bullet1"/>
      </w:pPr>
      <w:r>
        <w:t xml:space="preserve">Continue monitoring, reviewing and adjusting interventions until the resident’s pain is appropriately managed. </w:t>
      </w:r>
    </w:p>
    <w:p w14:paraId="7C71030F" w14:textId="77777777" w:rsidR="00531F57" w:rsidRDefault="00531F57" w:rsidP="00531F57">
      <w:pPr>
        <w:pStyle w:val="Bullet1"/>
      </w:pPr>
      <w:r>
        <w:lastRenderedPageBreak/>
        <w:t xml:space="preserve">Ensure staff vigilance in recognising signs and symptoms that indicate the presence of pain, especially on movement, during daily activities. Document accordingly. </w:t>
      </w:r>
    </w:p>
    <w:p w14:paraId="70DD0BFF" w14:textId="77777777" w:rsidR="00942FAB" w:rsidRDefault="00942FAB" w:rsidP="00942FAB">
      <w:pPr>
        <w:pStyle w:val="Heading2"/>
        <w:rPr>
          <w:lang w:val="en-GB" w:eastAsia="en-AU"/>
        </w:rPr>
      </w:pPr>
      <w:bookmarkStart w:id="19" w:name="_Toc112669428"/>
      <w:r>
        <w:rPr>
          <w:lang w:val="en-GB" w:eastAsia="en-AU"/>
        </w:rPr>
        <w:t>Resident involvement</w:t>
      </w:r>
      <w:bookmarkEnd w:id="19"/>
    </w:p>
    <w:p w14:paraId="293F169F" w14:textId="74DBEFA7" w:rsidR="00531F57" w:rsidRDefault="00531F57" w:rsidP="00531F57">
      <w:pPr>
        <w:pStyle w:val="Bullet1"/>
        <w:rPr>
          <w:rFonts w:ascii="Times New Roman" w:hAnsi="Times New Roman"/>
          <w:sz w:val="24"/>
          <w:lang w:eastAsia="en-GB"/>
        </w:rPr>
      </w:pPr>
      <w:r>
        <w:t xml:space="preserve">Identify the goals for pain management with the resident and/or family/carers. </w:t>
      </w:r>
    </w:p>
    <w:p w14:paraId="7453ACF2" w14:textId="0B6EEF82" w:rsidR="00531F57" w:rsidRDefault="00531F57" w:rsidP="00531F57">
      <w:pPr>
        <w:pStyle w:val="Bullet1"/>
      </w:pPr>
      <w:r>
        <w:t xml:space="preserve">Determine whether the current level of pain relief is consistent with the resident’s goals. </w:t>
      </w:r>
    </w:p>
    <w:p w14:paraId="491EC24A" w14:textId="6D841035" w:rsidR="00531F57" w:rsidRDefault="00531F57" w:rsidP="00531F57">
      <w:pPr>
        <w:pStyle w:val="Bullet1"/>
      </w:pPr>
      <w:r>
        <w:t xml:space="preserve">Support self-management. Provide self-help resources, pain management strategies and address concerns. </w:t>
      </w:r>
    </w:p>
    <w:p w14:paraId="3C106CD2" w14:textId="7899277D" w:rsidR="00531F57" w:rsidRDefault="00531F57" w:rsidP="00531F57">
      <w:pPr>
        <w:pStyle w:val="Bullet1"/>
      </w:pPr>
      <w:r>
        <w:t xml:space="preserve">Educate residents/families about the nature of a resident’s pain, the use of pain assessment tools, non-pharmacological pain management strategies, the benefits of exercise, and medication use. Use suitable written material. </w:t>
      </w:r>
    </w:p>
    <w:p w14:paraId="5D2B8942" w14:textId="0535F545" w:rsidR="00531F57" w:rsidRDefault="00531F57" w:rsidP="00531F57">
      <w:pPr>
        <w:pStyle w:val="Bullet1"/>
      </w:pPr>
      <w:r>
        <w:t xml:space="preserve">Educate families to recognise and report pain when visiting a relative. </w:t>
      </w:r>
    </w:p>
    <w:p w14:paraId="1BF2D364" w14:textId="77777777" w:rsidR="00942FAB" w:rsidRDefault="00942FAB" w:rsidP="00942FAB">
      <w:pPr>
        <w:pStyle w:val="Heading2"/>
        <w:rPr>
          <w:lang w:val="en-GB" w:eastAsia="en-AU"/>
        </w:rPr>
      </w:pPr>
      <w:bookmarkStart w:id="20" w:name="_Toc112669429"/>
      <w:r>
        <w:rPr>
          <w:lang w:val="en-GB" w:eastAsia="en-AU"/>
        </w:rPr>
        <w:t>Staff knowledge and education</w:t>
      </w:r>
      <w:bookmarkEnd w:id="20"/>
    </w:p>
    <w:p w14:paraId="5708376D" w14:textId="2CF72478" w:rsidR="00531F57" w:rsidRPr="00531F57" w:rsidRDefault="00531F57" w:rsidP="001C49C8">
      <w:pPr>
        <w:pStyle w:val="Bullet1"/>
        <w:rPr>
          <w:rFonts w:ascii="Times New Roman" w:hAnsi="Times New Roman"/>
          <w:sz w:val="24"/>
          <w:lang w:eastAsia="en-GB"/>
        </w:rPr>
      </w:pPr>
      <w:r>
        <w:t xml:space="preserve">Educate staff to: </w:t>
      </w:r>
    </w:p>
    <w:p w14:paraId="3D322926" w14:textId="31B60910" w:rsidR="00531F57" w:rsidRDefault="00531F57" w:rsidP="001C49C8">
      <w:pPr>
        <w:pStyle w:val="Bullet2"/>
      </w:pPr>
      <w:r>
        <w:t xml:space="preserve">recognise that all residents, including those with dementia, may have </w:t>
      </w:r>
      <w:proofErr w:type="gramStart"/>
      <w:r>
        <w:t>pain</w:t>
      </w:r>
      <w:proofErr w:type="gramEnd"/>
      <w:r>
        <w:t xml:space="preserve"> </w:t>
      </w:r>
    </w:p>
    <w:p w14:paraId="4196FE0A" w14:textId="559B7011" w:rsidR="00531F57" w:rsidRDefault="00531F57" w:rsidP="001C49C8">
      <w:pPr>
        <w:pStyle w:val="Bullet2"/>
      </w:pPr>
      <w:r>
        <w:t xml:space="preserve">recognise that residents may use various words (‘sore’, ‘aching’) to describe their experience of </w:t>
      </w:r>
      <w:proofErr w:type="gramStart"/>
      <w:r>
        <w:t>pain</w:t>
      </w:r>
      <w:proofErr w:type="gramEnd"/>
      <w:r>
        <w:t xml:space="preserve"> </w:t>
      </w:r>
    </w:p>
    <w:p w14:paraId="0B681917" w14:textId="77135787" w:rsidR="00531F57" w:rsidRDefault="00531F57" w:rsidP="001C49C8">
      <w:pPr>
        <w:pStyle w:val="Bullet2"/>
      </w:pPr>
      <w:r>
        <w:t xml:space="preserve">understand the non-verbal signs of pain in residents with </w:t>
      </w:r>
      <w:proofErr w:type="gramStart"/>
      <w:r>
        <w:t>dementia</w:t>
      </w:r>
      <w:proofErr w:type="gramEnd"/>
      <w:r>
        <w:t xml:space="preserve"> </w:t>
      </w:r>
    </w:p>
    <w:p w14:paraId="4BE3ED1C" w14:textId="3CE42378" w:rsidR="00531F57" w:rsidRDefault="00531F57" w:rsidP="001C49C8">
      <w:pPr>
        <w:pStyle w:val="Bullet2"/>
      </w:pPr>
      <w:r>
        <w:t xml:space="preserve">use non-pharmacological pain management </w:t>
      </w:r>
      <w:proofErr w:type="gramStart"/>
      <w:r>
        <w:t>strategies</w:t>
      </w:r>
      <w:proofErr w:type="gramEnd"/>
      <w:r>
        <w:t xml:space="preserve"> </w:t>
      </w:r>
    </w:p>
    <w:p w14:paraId="020C337A" w14:textId="226ACC65" w:rsidR="00531F57" w:rsidRDefault="00531F57" w:rsidP="00531F57">
      <w:pPr>
        <w:pStyle w:val="Bullet2"/>
      </w:pPr>
      <w:r>
        <w:t xml:space="preserve">use analgesic medication </w:t>
      </w:r>
      <w:proofErr w:type="gramStart"/>
      <w:r>
        <w:t>prophylactically</w:t>
      </w:r>
      <w:proofErr w:type="gramEnd"/>
      <w:r>
        <w:t xml:space="preserve"> </w:t>
      </w:r>
    </w:p>
    <w:p w14:paraId="26D08D0B" w14:textId="3F21D98C" w:rsidR="00531F57" w:rsidRDefault="00531F57" w:rsidP="001C49C8">
      <w:pPr>
        <w:pStyle w:val="Bullet2"/>
      </w:pPr>
      <w:r>
        <w:t>understand the importance of assessing pain on movement.</w:t>
      </w:r>
    </w:p>
    <w:p w14:paraId="759E408C" w14:textId="77777777" w:rsidR="00531F57" w:rsidRDefault="00531F57" w:rsidP="00531F57">
      <w:pPr>
        <w:pStyle w:val="Bullet1"/>
      </w:pPr>
      <w:r w:rsidRPr="00531F57">
        <w:t>Encourage clinicians with advanced skills, knowledge and experience to be responsible</w:t>
      </w:r>
      <w:r w:rsidRPr="00531F57">
        <w:br/>
        <w:t>for a pain management portfolio.</w:t>
      </w:r>
    </w:p>
    <w:p w14:paraId="7F55DACB" w14:textId="6474F314" w:rsidR="00531F57" w:rsidRPr="00531F57" w:rsidRDefault="00531F57" w:rsidP="00531F57">
      <w:pPr>
        <w:pStyle w:val="Bullet1"/>
      </w:pPr>
      <w:r w:rsidRPr="00531F57">
        <w:t xml:space="preserve">Use the education resources available from external health services, community palliative care, Program of Experience in the Palliative Approach (PEPA) and Palliative Care Regional consortia &lt;https://www.health.vic.gov.au/patient- care/palliative-care-consortia&gt;. </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669430"/>
      <w:r w:rsidRPr="00942FAB">
        <w:lastRenderedPageBreak/>
        <w:t>Evidence base</w:t>
      </w:r>
      <w:bookmarkEnd w:id="21"/>
    </w:p>
    <w:p w14:paraId="2CD52111" w14:textId="77777777" w:rsidR="00531F57" w:rsidRPr="00531F57" w:rsidRDefault="00531F57" w:rsidP="00531F57">
      <w:pPr>
        <w:pStyle w:val="Body"/>
        <w:rPr>
          <w:lang w:eastAsia="en-AU"/>
        </w:rPr>
      </w:pPr>
      <w:r w:rsidRPr="00531F57">
        <w:rPr>
          <w:lang w:eastAsia="en-AU"/>
        </w:rPr>
        <w:t xml:space="preserve">Abdulla, A, Adams, N, Bone, M, Elliott, A, </w:t>
      </w:r>
      <w:proofErr w:type="spellStart"/>
      <w:r w:rsidRPr="00531F57">
        <w:rPr>
          <w:lang w:eastAsia="en-AU"/>
        </w:rPr>
        <w:t>Gaffin</w:t>
      </w:r>
      <w:proofErr w:type="spellEnd"/>
      <w:r w:rsidRPr="00531F57">
        <w:rPr>
          <w:lang w:eastAsia="en-AU"/>
        </w:rPr>
        <w:t xml:space="preserve">, J, Jones, D, Knaggs, R, Martin, D, Sampson, L &amp; Schofield, P 2013, ‘Guidance on the management of pain in older people’, </w:t>
      </w:r>
      <w:r w:rsidRPr="00531F57">
        <w:rPr>
          <w:i/>
          <w:iCs/>
          <w:lang w:eastAsia="en-AU"/>
        </w:rPr>
        <w:t xml:space="preserve">Age and Ageing, </w:t>
      </w:r>
      <w:r w:rsidRPr="00531F57">
        <w:rPr>
          <w:lang w:eastAsia="en-AU"/>
        </w:rPr>
        <w:t xml:space="preserve">vol. 42(s1), pp. 1–57. </w:t>
      </w:r>
    </w:p>
    <w:p w14:paraId="6183A465" w14:textId="5F3F5867" w:rsidR="00531F57" w:rsidRPr="00531F57" w:rsidRDefault="00531F57" w:rsidP="00531F57">
      <w:pPr>
        <w:pStyle w:val="Body"/>
        <w:rPr>
          <w:lang w:eastAsia="en-AU"/>
        </w:rPr>
      </w:pPr>
      <w:r w:rsidRPr="00531F57">
        <w:rPr>
          <w:lang w:eastAsia="en-AU"/>
        </w:rPr>
        <w:t xml:space="preserve">American Medical Directors Association 2012, </w:t>
      </w:r>
      <w:r w:rsidRPr="00531F57">
        <w:rPr>
          <w:i/>
          <w:iCs/>
          <w:lang w:eastAsia="en-AU"/>
        </w:rPr>
        <w:t xml:space="preserve">Pain management in the long-term care setting – clinical practice guideline. </w:t>
      </w:r>
      <w:r w:rsidRPr="00531F57">
        <w:rPr>
          <w:lang w:eastAsia="en-AU"/>
        </w:rPr>
        <w:t xml:space="preserve">Columbia, MD: AMDA </w:t>
      </w:r>
    </w:p>
    <w:p w14:paraId="1246A1FE" w14:textId="77777777" w:rsidR="00531F57" w:rsidRPr="00531F57" w:rsidRDefault="00531F57" w:rsidP="00531F57">
      <w:pPr>
        <w:pStyle w:val="Body"/>
        <w:rPr>
          <w:lang w:eastAsia="en-AU"/>
        </w:rPr>
      </w:pPr>
      <w:proofErr w:type="spellStart"/>
      <w:r w:rsidRPr="00531F57">
        <w:rPr>
          <w:lang w:eastAsia="en-AU"/>
        </w:rPr>
        <w:t>Arnstein</w:t>
      </w:r>
      <w:proofErr w:type="spellEnd"/>
      <w:r w:rsidRPr="00531F57">
        <w:rPr>
          <w:lang w:eastAsia="en-AU"/>
        </w:rPr>
        <w:t xml:space="preserve">, P, Herr, K &amp; Butcher, H 2017, ‘Evidence- based practice guideline: Persistent pain management in older adults’, </w:t>
      </w:r>
      <w:r w:rsidRPr="00531F57">
        <w:rPr>
          <w:i/>
          <w:iCs/>
          <w:lang w:eastAsia="en-AU"/>
        </w:rPr>
        <w:t xml:space="preserve">Journal of Gerontological Nursing, </w:t>
      </w:r>
      <w:r w:rsidRPr="00531F57">
        <w:rPr>
          <w:lang w:eastAsia="en-AU"/>
        </w:rPr>
        <w:t xml:space="preserve">vol. 43(7), pp. 20–31. </w:t>
      </w:r>
    </w:p>
    <w:p w14:paraId="58A5EA6A" w14:textId="225FBC9A" w:rsidR="004E1130" w:rsidRPr="004E1130" w:rsidRDefault="004E1130" w:rsidP="004E1130">
      <w:pPr>
        <w:pStyle w:val="Body"/>
      </w:pPr>
      <w:r w:rsidRPr="004D6D85">
        <w:t>Australian and New Zealand Society for Geriatric Medicine Position Statement Abstract: Pain in older people. (2016). Australasian Journal on Ageing, 35(4), 293–293. https://doi.org/10.1111/ajag.12262]</w:t>
      </w:r>
    </w:p>
    <w:p w14:paraId="3AC144F2" w14:textId="31B71B7A" w:rsidR="00531F57" w:rsidRPr="00531F57" w:rsidRDefault="00531F57" w:rsidP="00531F57">
      <w:pPr>
        <w:pStyle w:val="Body"/>
        <w:rPr>
          <w:lang w:eastAsia="en-AU"/>
        </w:rPr>
      </w:pPr>
      <w:r w:rsidRPr="00531F57">
        <w:rPr>
          <w:lang w:eastAsia="en-AU"/>
        </w:rPr>
        <w:t xml:space="preserve">Cornelius, R, Herr, K, Gordon, D, </w:t>
      </w:r>
      <w:proofErr w:type="spellStart"/>
      <w:r w:rsidRPr="00531F57">
        <w:rPr>
          <w:lang w:eastAsia="en-AU"/>
        </w:rPr>
        <w:t>Kretzer</w:t>
      </w:r>
      <w:proofErr w:type="spellEnd"/>
      <w:r w:rsidRPr="00531F57">
        <w:rPr>
          <w:lang w:eastAsia="en-AU"/>
        </w:rPr>
        <w:t xml:space="preserve">, K &amp; Butcher, H 2017, ‘Evidence-based practice guideline: Acute pain management in older adults’, </w:t>
      </w:r>
      <w:r w:rsidRPr="00531F57">
        <w:rPr>
          <w:i/>
          <w:iCs/>
          <w:lang w:eastAsia="en-AU"/>
        </w:rPr>
        <w:t xml:space="preserve">Journal of Gerontological Nursing, </w:t>
      </w:r>
      <w:r w:rsidRPr="00531F57">
        <w:rPr>
          <w:lang w:eastAsia="en-AU"/>
        </w:rPr>
        <w:t xml:space="preserve">vol. 43(2), pp. 18–27. </w:t>
      </w:r>
    </w:p>
    <w:p w14:paraId="237ED02F" w14:textId="77777777" w:rsidR="00531F57" w:rsidRPr="00531F57" w:rsidRDefault="00531F57" w:rsidP="00531F57">
      <w:pPr>
        <w:pStyle w:val="Body"/>
        <w:rPr>
          <w:lang w:eastAsia="en-AU"/>
        </w:rPr>
      </w:pPr>
      <w:r w:rsidRPr="00531F57">
        <w:rPr>
          <w:lang w:eastAsia="en-AU"/>
        </w:rPr>
        <w:t xml:space="preserve">Department of Health 2012, </w:t>
      </w:r>
      <w:r w:rsidRPr="00531F57">
        <w:rPr>
          <w:i/>
          <w:iCs/>
          <w:lang w:eastAsia="en-AU"/>
        </w:rPr>
        <w:t xml:space="preserve">Strengthening care outcomes for residents with evidence (SCORE), </w:t>
      </w:r>
      <w:r w:rsidRPr="00531F57">
        <w:rPr>
          <w:lang w:eastAsia="en-AU"/>
        </w:rPr>
        <w:t xml:space="preserve">Ageing and Aged Care Branch, State Government of Victoria, Melbourne. </w:t>
      </w:r>
    </w:p>
    <w:p w14:paraId="53054D80" w14:textId="77777777" w:rsidR="00531F57" w:rsidRPr="00531F57" w:rsidRDefault="00531F57" w:rsidP="00531F57">
      <w:pPr>
        <w:pStyle w:val="Body"/>
        <w:rPr>
          <w:lang w:eastAsia="en-AU"/>
        </w:rPr>
      </w:pPr>
      <w:r w:rsidRPr="004E1130">
        <w:rPr>
          <w:lang w:eastAsia="en-AU"/>
        </w:rPr>
        <w:t xml:space="preserve">Edith Cowan University 2007, </w:t>
      </w:r>
      <w:r w:rsidRPr="004E1130">
        <w:rPr>
          <w:i/>
          <w:iCs/>
          <w:lang w:eastAsia="en-AU"/>
        </w:rPr>
        <w:t xml:space="preserve">The PMG kit for aged care, </w:t>
      </w:r>
      <w:r w:rsidRPr="004E1130">
        <w:rPr>
          <w:lang w:eastAsia="en-AU"/>
        </w:rPr>
        <w:t>Australian Government Department of Health and Ageing, Canberra.</w:t>
      </w:r>
      <w:r w:rsidRPr="00531F57">
        <w:rPr>
          <w:lang w:eastAsia="en-AU"/>
        </w:rPr>
        <w:t xml:space="preserve"> </w:t>
      </w:r>
    </w:p>
    <w:p w14:paraId="0D7B0AB5" w14:textId="77777777" w:rsidR="00531F57" w:rsidRPr="00531F57" w:rsidRDefault="00531F57" w:rsidP="00531F57">
      <w:pPr>
        <w:pStyle w:val="Body"/>
        <w:rPr>
          <w:lang w:eastAsia="en-AU"/>
        </w:rPr>
      </w:pPr>
      <w:proofErr w:type="spellStart"/>
      <w:r w:rsidRPr="00531F57">
        <w:rPr>
          <w:lang w:eastAsia="en-AU"/>
        </w:rPr>
        <w:t>Goucke</w:t>
      </w:r>
      <w:proofErr w:type="spellEnd"/>
      <w:r w:rsidRPr="00531F57">
        <w:rPr>
          <w:lang w:eastAsia="en-AU"/>
        </w:rPr>
        <w:t>, R (ed), 2018, Pa</w:t>
      </w:r>
      <w:r w:rsidRPr="00531F57">
        <w:rPr>
          <w:i/>
          <w:iCs/>
          <w:lang w:eastAsia="en-AU"/>
        </w:rPr>
        <w:t xml:space="preserve">in in residential care facilities: Management strategies, </w:t>
      </w:r>
      <w:r w:rsidRPr="00531F57">
        <w:rPr>
          <w:lang w:eastAsia="en-AU"/>
        </w:rPr>
        <w:t xml:space="preserve">2nd </w:t>
      </w:r>
      <w:proofErr w:type="spellStart"/>
      <w:r w:rsidRPr="00531F57">
        <w:rPr>
          <w:lang w:eastAsia="en-AU"/>
        </w:rPr>
        <w:t>edn</w:t>
      </w:r>
      <w:proofErr w:type="spellEnd"/>
      <w:r w:rsidRPr="00531F57">
        <w:rPr>
          <w:lang w:eastAsia="en-AU"/>
        </w:rPr>
        <w:t xml:space="preserve">, Australian Pain Society, Sydney. </w:t>
      </w:r>
    </w:p>
    <w:p w14:paraId="4456881D" w14:textId="77777777" w:rsidR="00531F57" w:rsidRPr="00531F57" w:rsidRDefault="00531F57" w:rsidP="00531F57">
      <w:pPr>
        <w:pStyle w:val="Body"/>
        <w:rPr>
          <w:lang w:eastAsia="en-AU"/>
        </w:rPr>
      </w:pPr>
      <w:proofErr w:type="spellStart"/>
      <w:r w:rsidRPr="00531F57">
        <w:rPr>
          <w:lang w:eastAsia="en-AU"/>
        </w:rPr>
        <w:t>Horgas</w:t>
      </w:r>
      <w:proofErr w:type="spellEnd"/>
      <w:r w:rsidRPr="00531F57">
        <w:rPr>
          <w:lang w:eastAsia="en-AU"/>
        </w:rPr>
        <w:t xml:space="preserve">, A, Laframboise-Otto, J, Aul, K &amp; Yoon, S 2020, ‘Ch 22: Pain management in the older adult’, in M Boltz, E </w:t>
      </w:r>
      <w:proofErr w:type="spellStart"/>
      <w:r w:rsidRPr="00531F57">
        <w:rPr>
          <w:lang w:eastAsia="en-AU"/>
        </w:rPr>
        <w:t>Capezuti</w:t>
      </w:r>
      <w:proofErr w:type="spellEnd"/>
      <w:r w:rsidRPr="00531F57">
        <w:rPr>
          <w:lang w:eastAsia="en-AU"/>
        </w:rPr>
        <w:t xml:space="preserve">, D Zwicker &amp; T Fulmer (eds), </w:t>
      </w:r>
      <w:r w:rsidRPr="00531F57">
        <w:rPr>
          <w:i/>
          <w:iCs/>
          <w:lang w:eastAsia="en-AU"/>
        </w:rPr>
        <w:t xml:space="preserve">Evidence-based geriatric nursing protocols for best practice, </w:t>
      </w:r>
      <w:r w:rsidRPr="00531F57">
        <w:rPr>
          <w:lang w:eastAsia="en-AU"/>
        </w:rPr>
        <w:t xml:space="preserve">6th </w:t>
      </w:r>
      <w:proofErr w:type="spellStart"/>
      <w:r w:rsidRPr="00531F57">
        <w:rPr>
          <w:lang w:eastAsia="en-AU"/>
        </w:rPr>
        <w:t>edn</w:t>
      </w:r>
      <w:proofErr w:type="spellEnd"/>
      <w:r w:rsidRPr="00531F57">
        <w:rPr>
          <w:lang w:eastAsia="en-AU"/>
        </w:rPr>
        <w:t xml:space="preserve">, Springer, New York. </w:t>
      </w:r>
    </w:p>
    <w:p w14:paraId="46B08984" w14:textId="77777777" w:rsidR="00531F57" w:rsidRPr="00531F57" w:rsidRDefault="00531F57" w:rsidP="00531F57">
      <w:pPr>
        <w:pStyle w:val="Body"/>
        <w:rPr>
          <w:lang w:eastAsia="en-AU"/>
        </w:rPr>
      </w:pPr>
      <w:r w:rsidRPr="00531F57">
        <w:rPr>
          <w:lang w:eastAsia="en-AU"/>
        </w:rPr>
        <w:t xml:space="preserve">International Association for the Study of Pain (IASP) 2018, </w:t>
      </w:r>
      <w:r w:rsidRPr="00531F57">
        <w:rPr>
          <w:i/>
          <w:iCs/>
          <w:lang w:eastAsia="en-AU"/>
        </w:rPr>
        <w:t xml:space="preserve">Pain terminology, </w:t>
      </w:r>
      <w:r w:rsidRPr="00531F57">
        <w:rPr>
          <w:lang w:eastAsia="en-AU"/>
        </w:rPr>
        <w:t>&lt;https://www.iasp- pain.org/Education/</w:t>
      </w:r>
      <w:proofErr w:type="spellStart"/>
      <w:r w:rsidRPr="00531F57">
        <w:rPr>
          <w:lang w:eastAsia="en-AU"/>
        </w:rPr>
        <w:t>Content.aspx?ItemNumber</w:t>
      </w:r>
      <w:proofErr w:type="spellEnd"/>
      <w:r w:rsidRPr="00531F57">
        <w:rPr>
          <w:lang w:eastAsia="en-AU"/>
        </w:rPr>
        <w:t xml:space="preserve">=169 8&amp;navItemNumber=576&gt; </w:t>
      </w:r>
    </w:p>
    <w:p w14:paraId="7D9863A4" w14:textId="77777777" w:rsidR="00531F57" w:rsidRPr="00531F57" w:rsidRDefault="00531F57" w:rsidP="00531F57">
      <w:pPr>
        <w:pStyle w:val="Body"/>
        <w:rPr>
          <w:lang w:eastAsia="en-AU"/>
        </w:rPr>
      </w:pPr>
      <w:r w:rsidRPr="00531F57">
        <w:rPr>
          <w:lang w:eastAsia="en-AU"/>
        </w:rPr>
        <w:t xml:space="preserve">International Association for the Study of Pain 2010, </w:t>
      </w:r>
      <w:r w:rsidRPr="00531F57">
        <w:rPr>
          <w:i/>
          <w:iCs/>
          <w:lang w:eastAsia="en-AU"/>
        </w:rPr>
        <w:t xml:space="preserve">Declaration of Montreal, </w:t>
      </w:r>
      <w:r w:rsidRPr="00531F57">
        <w:rPr>
          <w:lang w:eastAsia="en-AU"/>
        </w:rPr>
        <w:t xml:space="preserve">&lt;https://www.iasp-pain.org/ </w:t>
      </w:r>
      <w:proofErr w:type="spellStart"/>
      <w:r w:rsidRPr="00531F57">
        <w:rPr>
          <w:lang w:eastAsia="en-AU"/>
        </w:rPr>
        <w:t>DeclarationofMontreal</w:t>
      </w:r>
      <w:proofErr w:type="spellEnd"/>
      <w:r w:rsidRPr="00531F57">
        <w:rPr>
          <w:lang w:eastAsia="en-AU"/>
        </w:rPr>
        <w:t xml:space="preserve">&gt; </w:t>
      </w:r>
    </w:p>
    <w:p w14:paraId="5A3390D9" w14:textId="77777777" w:rsidR="00531F57" w:rsidRPr="00531F57" w:rsidRDefault="00531F57" w:rsidP="00531F57">
      <w:pPr>
        <w:pStyle w:val="Body"/>
        <w:rPr>
          <w:lang w:eastAsia="en-AU"/>
        </w:rPr>
      </w:pPr>
      <w:proofErr w:type="spellStart"/>
      <w:r w:rsidRPr="00531F57">
        <w:rPr>
          <w:lang w:eastAsia="en-AU"/>
        </w:rPr>
        <w:t>Merskey</w:t>
      </w:r>
      <w:proofErr w:type="spellEnd"/>
      <w:r w:rsidRPr="00531F57">
        <w:rPr>
          <w:lang w:eastAsia="en-AU"/>
        </w:rPr>
        <w:t xml:space="preserve">, H &amp; </w:t>
      </w:r>
      <w:proofErr w:type="spellStart"/>
      <w:r w:rsidRPr="00531F57">
        <w:rPr>
          <w:lang w:eastAsia="en-AU"/>
        </w:rPr>
        <w:t>Bogduk</w:t>
      </w:r>
      <w:proofErr w:type="spellEnd"/>
      <w:r w:rsidRPr="00531F57">
        <w:rPr>
          <w:lang w:eastAsia="en-AU"/>
        </w:rPr>
        <w:t xml:space="preserve">, N (eds) 1994, </w:t>
      </w:r>
      <w:r w:rsidRPr="00531F57">
        <w:rPr>
          <w:i/>
          <w:iCs/>
          <w:lang w:eastAsia="en-AU"/>
        </w:rPr>
        <w:t xml:space="preserve">Classification of chronic pain, </w:t>
      </w:r>
      <w:r w:rsidRPr="00531F57">
        <w:rPr>
          <w:lang w:eastAsia="en-AU"/>
        </w:rPr>
        <w:t xml:space="preserve">2nd </w:t>
      </w:r>
      <w:proofErr w:type="spellStart"/>
      <w:r w:rsidRPr="00531F57">
        <w:rPr>
          <w:lang w:eastAsia="en-AU"/>
        </w:rPr>
        <w:t>edn</w:t>
      </w:r>
      <w:proofErr w:type="spellEnd"/>
      <w:r w:rsidRPr="00531F57">
        <w:rPr>
          <w:lang w:eastAsia="en-AU"/>
        </w:rPr>
        <w:t>, IASP Press, &lt;https://www.iasp- pain.org/</w:t>
      </w:r>
      <w:proofErr w:type="spellStart"/>
      <w:r w:rsidRPr="00531F57">
        <w:rPr>
          <w:lang w:eastAsia="en-AU"/>
        </w:rPr>
        <w:t>FreeBooks</w:t>
      </w:r>
      <w:proofErr w:type="spellEnd"/>
      <w:r w:rsidRPr="00531F57">
        <w:rPr>
          <w:lang w:eastAsia="en-AU"/>
        </w:rPr>
        <w:t>?&amp;</w:t>
      </w:r>
      <w:proofErr w:type="spellStart"/>
      <w:r w:rsidRPr="00531F57">
        <w:rPr>
          <w:lang w:eastAsia="en-AU"/>
        </w:rPr>
        <w:t>navItemNumber</w:t>
      </w:r>
      <w:proofErr w:type="spellEnd"/>
      <w:r w:rsidRPr="00531F57">
        <w:rPr>
          <w:lang w:eastAsia="en-AU"/>
        </w:rPr>
        <w:t xml:space="preserve">=677&gt; </w:t>
      </w:r>
    </w:p>
    <w:p w14:paraId="0748C1DB" w14:textId="77777777" w:rsidR="00531F57" w:rsidRPr="00531F57" w:rsidRDefault="00531F57" w:rsidP="00531F57">
      <w:pPr>
        <w:pStyle w:val="Body"/>
        <w:rPr>
          <w:lang w:eastAsia="en-AU"/>
        </w:rPr>
      </w:pPr>
      <w:r w:rsidRPr="00531F57">
        <w:rPr>
          <w:lang w:eastAsia="en-AU"/>
        </w:rPr>
        <w:t xml:space="preserve">Nguyen, D 2018, </w:t>
      </w:r>
      <w:r w:rsidRPr="00531F57">
        <w:rPr>
          <w:i/>
          <w:iCs/>
          <w:lang w:eastAsia="en-AU"/>
        </w:rPr>
        <w:t xml:space="preserve">Evidence Summary: Pain assessment in aged care, </w:t>
      </w:r>
      <w:r w:rsidRPr="00531F57">
        <w:rPr>
          <w:lang w:eastAsia="en-AU"/>
        </w:rPr>
        <w:t xml:space="preserve">The Joanna Briggs Institute EBP Database, </w:t>
      </w:r>
      <w:proofErr w:type="spellStart"/>
      <w:r w:rsidRPr="00531F57">
        <w:rPr>
          <w:lang w:eastAsia="en-AU"/>
        </w:rPr>
        <w:t>JBI@Ovid</w:t>
      </w:r>
      <w:proofErr w:type="spellEnd"/>
      <w:r w:rsidRPr="00531F57">
        <w:rPr>
          <w:lang w:eastAsia="en-AU"/>
        </w:rPr>
        <w:t xml:space="preserve">. JBI4129. </w:t>
      </w:r>
    </w:p>
    <w:p w14:paraId="0D41AD0D" w14:textId="77777777" w:rsidR="00531F57" w:rsidRPr="00531F57" w:rsidRDefault="00531F57" w:rsidP="00531F57">
      <w:pPr>
        <w:pStyle w:val="Body"/>
        <w:rPr>
          <w:lang w:eastAsia="en-AU"/>
        </w:rPr>
      </w:pPr>
      <w:proofErr w:type="spellStart"/>
      <w:r w:rsidRPr="00531F57">
        <w:rPr>
          <w:lang w:eastAsia="en-AU"/>
        </w:rPr>
        <w:t>Podder</w:t>
      </w:r>
      <w:proofErr w:type="spellEnd"/>
      <w:r w:rsidRPr="00531F57">
        <w:rPr>
          <w:lang w:eastAsia="en-AU"/>
        </w:rPr>
        <w:t xml:space="preserve">, V 2019, </w:t>
      </w:r>
      <w:r w:rsidRPr="00531F57">
        <w:rPr>
          <w:i/>
          <w:iCs/>
          <w:lang w:eastAsia="en-AU"/>
        </w:rPr>
        <w:t xml:space="preserve">Evidence Summary: Pain assessment, </w:t>
      </w:r>
      <w:r w:rsidRPr="00531F57">
        <w:rPr>
          <w:lang w:eastAsia="en-AU"/>
        </w:rPr>
        <w:t xml:space="preserve">The Joanna Briggs Institute EBP Database, </w:t>
      </w:r>
      <w:proofErr w:type="spellStart"/>
      <w:r w:rsidRPr="00531F57">
        <w:rPr>
          <w:lang w:eastAsia="en-AU"/>
        </w:rPr>
        <w:t>JBI@Ovid</w:t>
      </w:r>
      <w:proofErr w:type="spellEnd"/>
      <w:r w:rsidRPr="00531F57">
        <w:rPr>
          <w:lang w:eastAsia="en-AU"/>
        </w:rPr>
        <w:t xml:space="preserve">. JBI1653. </w:t>
      </w:r>
    </w:p>
    <w:p w14:paraId="2B9891EF" w14:textId="77777777" w:rsidR="00531F57" w:rsidRDefault="00531F57" w:rsidP="00531F57">
      <w:pPr>
        <w:pStyle w:val="Body"/>
        <w:rPr>
          <w:lang w:eastAsia="en-AU"/>
        </w:rPr>
      </w:pPr>
      <w:r w:rsidRPr="00531F57">
        <w:rPr>
          <w:lang w:eastAsia="en-AU"/>
        </w:rPr>
        <w:t xml:space="preserve">Schofield, P (ed) 2018, ‘The assessment of pain in older people: UK National Guidelines’, </w:t>
      </w:r>
      <w:r w:rsidRPr="00531F57">
        <w:rPr>
          <w:i/>
          <w:iCs/>
          <w:lang w:eastAsia="en-AU"/>
        </w:rPr>
        <w:t xml:space="preserve">Age and Ageing, </w:t>
      </w:r>
      <w:r w:rsidRPr="00531F57">
        <w:rPr>
          <w:lang w:eastAsia="en-AU"/>
        </w:rPr>
        <w:t xml:space="preserve">vol. 47, pp. 1–22. </w:t>
      </w:r>
    </w:p>
    <w:p w14:paraId="6FC1774E" w14:textId="77777777" w:rsidR="004E1130" w:rsidRPr="004E1130" w:rsidRDefault="004E1130" w:rsidP="004E1130">
      <w:pPr>
        <w:pStyle w:val="Body"/>
      </w:pPr>
      <w:r w:rsidRPr="004E1130">
        <w:t xml:space="preserve">Schofield, P., Dunham, M., Martin, D., Bellamy, G., Francis, S.-A., </w:t>
      </w:r>
      <w:proofErr w:type="spellStart"/>
      <w:r w:rsidRPr="004E1130">
        <w:t>Sookhoo</w:t>
      </w:r>
      <w:proofErr w:type="spellEnd"/>
      <w:r w:rsidRPr="004E1130">
        <w:t xml:space="preserve">, D., </w:t>
      </w:r>
      <w:proofErr w:type="spellStart"/>
      <w:r w:rsidRPr="004E1130">
        <w:t>Bonacaro</w:t>
      </w:r>
      <w:proofErr w:type="spellEnd"/>
      <w:r w:rsidRPr="004E1130">
        <w:t xml:space="preserve">, A., Hamid, E., Chandler, R., Abdulla, A., Cumberbatch, M., &amp; Knaggs, R. (2022). Evidence-based clinical practice guidelines on the management of pain in older people – a summary report. British Journal of Pain, 16(1), 6–13. </w:t>
      </w:r>
      <w:hyperlink r:id="rId17" w:history="1">
        <w:r w:rsidRPr="004E1130">
          <w:rPr>
            <w:rStyle w:val="Hyperlink"/>
            <w:color w:val="auto"/>
            <w:u w:val="none"/>
          </w:rPr>
          <w:t>https://doi.org/10.1177/2049463720976155</w:t>
        </w:r>
      </w:hyperlink>
    </w:p>
    <w:p w14:paraId="3098C4C5" w14:textId="7CD7003A" w:rsidR="004E1130" w:rsidRPr="00531F57" w:rsidRDefault="004E1130" w:rsidP="00531F57">
      <w:pPr>
        <w:pStyle w:val="Body"/>
      </w:pPr>
      <w:r>
        <w:t>What’s new in Pain and Analgesia (2020) https://www.tg.org.au</w:t>
      </w:r>
    </w:p>
    <w:p w14:paraId="172338DF" w14:textId="77777777" w:rsidR="00531F57" w:rsidRPr="00531F57" w:rsidRDefault="00531F57" w:rsidP="00531F57">
      <w:pPr>
        <w:pStyle w:val="Body"/>
        <w:rPr>
          <w:lang w:eastAsia="en-AU"/>
        </w:rPr>
      </w:pPr>
      <w:r w:rsidRPr="00531F57">
        <w:rPr>
          <w:lang w:eastAsia="en-AU"/>
        </w:rPr>
        <w:t xml:space="preserve">Therapeutic Guidelines Limited 2012, </w:t>
      </w:r>
      <w:r w:rsidRPr="00531F57">
        <w:rPr>
          <w:i/>
          <w:iCs/>
          <w:lang w:eastAsia="en-AU"/>
        </w:rPr>
        <w:t xml:space="preserve">Analgesic, Version 6. </w:t>
      </w:r>
      <w:r w:rsidRPr="00531F57">
        <w:rPr>
          <w:lang w:eastAsia="en-AU"/>
        </w:rPr>
        <w:t xml:space="preserve">Melbourne, </w:t>
      </w:r>
      <w:proofErr w:type="spellStart"/>
      <w:r w:rsidRPr="00531F57">
        <w:rPr>
          <w:lang w:eastAsia="en-AU"/>
        </w:rPr>
        <w:t>eTG</w:t>
      </w:r>
      <w:proofErr w:type="spellEnd"/>
      <w:r w:rsidRPr="00531F57">
        <w:rPr>
          <w:lang w:eastAsia="en-AU"/>
        </w:rPr>
        <w:t xml:space="preserve"> &lt;https://tgldcdp.tg.org.au/ </w:t>
      </w:r>
      <w:proofErr w:type="spellStart"/>
      <w:r w:rsidRPr="00531F57">
        <w:rPr>
          <w:lang w:eastAsia="en-AU"/>
        </w:rPr>
        <w:t>topicTeaser?guidelinePage</w:t>
      </w:r>
      <w:proofErr w:type="spellEnd"/>
      <w:r w:rsidRPr="00531F57">
        <w:rPr>
          <w:lang w:eastAsia="en-AU"/>
        </w:rPr>
        <w:t>=</w:t>
      </w:r>
      <w:proofErr w:type="spellStart"/>
      <w:r w:rsidRPr="00531F57">
        <w:rPr>
          <w:lang w:eastAsia="en-AU"/>
        </w:rPr>
        <w:t>Analgesic&amp;etgAccess</w:t>
      </w:r>
      <w:proofErr w:type="spellEnd"/>
      <w:r w:rsidRPr="00531F57">
        <w:rPr>
          <w:lang w:eastAsia="en-AU"/>
        </w:rPr>
        <w:t xml:space="preserve">= true&gt; </w:t>
      </w:r>
    </w:p>
    <w:p w14:paraId="3D497B95" w14:textId="77777777" w:rsidR="00531F57" w:rsidRPr="00531F57" w:rsidRDefault="00531F57" w:rsidP="00531F57">
      <w:pPr>
        <w:pStyle w:val="Body"/>
        <w:rPr>
          <w:lang w:eastAsia="en-AU"/>
        </w:rPr>
      </w:pPr>
      <w:r w:rsidRPr="00531F57">
        <w:rPr>
          <w:lang w:eastAsia="en-AU"/>
        </w:rPr>
        <w:lastRenderedPageBreak/>
        <w:t xml:space="preserve">White, C &amp; Katz, B 2012, </w:t>
      </w:r>
      <w:r w:rsidRPr="00531F57">
        <w:rPr>
          <w:i/>
          <w:iCs/>
          <w:lang w:eastAsia="en-AU"/>
        </w:rPr>
        <w:t xml:space="preserve">Australian and New Zealand Society for Geriatric Medicine Position (ANZSGM) statement no. 21: Pain in older people. </w:t>
      </w:r>
      <w:r w:rsidRPr="00531F57">
        <w:rPr>
          <w:lang w:eastAsia="en-AU"/>
        </w:rPr>
        <w:t xml:space="preserve">ANZSGM, Sydney. </w:t>
      </w:r>
    </w:p>
    <w:p w14:paraId="2EBC9A18" w14:textId="48F90701" w:rsidR="00B13959" w:rsidRDefault="00B13959" w:rsidP="00B13959">
      <w:pPr>
        <w:pStyle w:val="Body"/>
        <w:rPr>
          <w:lang w:val="en-GB"/>
        </w:rPr>
      </w:pPr>
      <w:r w:rsidRPr="30CF2CFB">
        <w:rPr>
          <w:b/>
          <w:bCs/>
          <w:lang w:val="en-GB"/>
        </w:rPr>
        <w:t xml:space="preserve">Important note: </w:t>
      </w:r>
      <w:r w:rsidRPr="30CF2CFB">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30CF2CFB">
        <w:rPr>
          <w:lang w:val="en-GB"/>
        </w:rPr>
        <w:t>takes into account</w:t>
      </w:r>
      <w:proofErr w:type="gramEnd"/>
      <w:r w:rsidRPr="30CF2CFB">
        <w:rPr>
          <w:lang w:val="en-GB"/>
        </w:rPr>
        <w:t xml:space="preserve"> resident/patient preferences and values. All decisions in relation to resident/patient care should be made by appropriately qualified personnel in each case. To the extent allowed by law, the Department of Health and State of Victoria disclaim all liability for any loss or damage that arises from any use of this SCP.</w:t>
      </w:r>
    </w:p>
    <w:p w14:paraId="3AE3E28C" w14:textId="77777777" w:rsidR="004E1130" w:rsidRDefault="004E1130"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76DFF555" w:rsidR="00B13959" w:rsidRPr="00B13959" w:rsidRDefault="00B13959" w:rsidP="00B13959">
      <w:pPr>
        <w:pStyle w:val="Body"/>
        <w:rPr>
          <w:lang w:val="en-GB"/>
        </w:rPr>
      </w:pPr>
      <w:r w:rsidRPr="30CF2CFB">
        <w:rPr>
          <w:lang w:val="en-GB"/>
        </w:rPr>
        <w:t xml:space="preserve">© State of Victoria, Department of Health, </w:t>
      </w:r>
      <w:r w:rsidR="41D37F6C" w:rsidRPr="30CF2CFB">
        <w:rPr>
          <w:lang w:val="en-GB"/>
        </w:rPr>
        <w:t>A</w:t>
      </w:r>
      <w:r w:rsidR="00482338">
        <w:rPr>
          <w:lang w:val="en-GB"/>
        </w:rPr>
        <w:t>pril</w:t>
      </w:r>
      <w:r w:rsidR="41D37F6C" w:rsidRPr="30CF2CFB">
        <w:rPr>
          <w:lang w:val="en-GB"/>
        </w:rPr>
        <w:t xml:space="preserve"> </w:t>
      </w:r>
      <w:r w:rsidRPr="30CF2CFB">
        <w:rPr>
          <w:lang w:val="en-GB"/>
        </w:rPr>
        <w:t>202</w:t>
      </w:r>
      <w:r w:rsidR="004E1130">
        <w:rPr>
          <w:lang w:val="en-GB"/>
        </w:rPr>
        <w:t>3</w:t>
      </w:r>
      <w:r w:rsidRPr="30CF2CFB">
        <w:rPr>
          <w:lang w:val="en-GB"/>
        </w:rPr>
        <w:t>. (2</w:t>
      </w:r>
      <w:r w:rsidR="004E1130">
        <w:rPr>
          <w:lang w:val="en-GB"/>
        </w:rPr>
        <w:t>308532</w:t>
      </w:r>
      <w:r w:rsidRPr="30CF2CFB">
        <w:rPr>
          <w:lang w:val="en-GB"/>
        </w:rPr>
        <w:t>)</w:t>
      </w:r>
    </w:p>
    <w:p w14:paraId="1B68A090" w14:textId="43879D87" w:rsidR="00B13959" w:rsidRPr="00B13959" w:rsidRDefault="00B13959" w:rsidP="00B13959">
      <w:pPr>
        <w:pStyle w:val="Body"/>
        <w:rPr>
          <w:lang w:val="en-GB"/>
        </w:rPr>
      </w:pPr>
      <w:r w:rsidRPr="00B13959">
        <w:rPr>
          <w:lang w:val="en-GB"/>
        </w:rPr>
        <w:t>ISBN 978-1-76096-8</w:t>
      </w:r>
      <w:r w:rsidR="00482338">
        <w:rPr>
          <w:lang w:val="en-GB"/>
        </w:rPr>
        <w:t>21</w:t>
      </w:r>
      <w:r w:rsidRPr="00B13959">
        <w:rPr>
          <w:lang w:val="en-GB"/>
        </w:rPr>
        <w:t>-</w:t>
      </w:r>
      <w:r w:rsidR="00482338">
        <w:rPr>
          <w:lang w:val="en-GB"/>
        </w:rPr>
        <w:t>2</w:t>
      </w:r>
      <w:r w:rsidRPr="00B13959">
        <w:rPr>
          <w:lang w:val="en-GB"/>
        </w:rPr>
        <w:t xml:space="preserve"> (pdf/online/MS word)</w:t>
      </w:r>
    </w:p>
    <w:p w14:paraId="43294939" w14:textId="1FC6E24F" w:rsidR="00B13959" w:rsidRPr="004E1130" w:rsidRDefault="004E1130" w:rsidP="004E1130">
      <w:pPr>
        <w:pStyle w:val="Body"/>
      </w:pPr>
      <w:r>
        <w:rPr>
          <w:lang w:val="en-GB" w:eastAsia="en-AU"/>
        </w:rPr>
        <w:t xml:space="preserve">Available from the department’s </w:t>
      </w:r>
      <w:hyperlink r:id="rId18"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sectPr w:rsidR="00B13959" w:rsidRPr="004E1130"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E8D4" w14:textId="77777777" w:rsidR="00617B4A" w:rsidRDefault="00617B4A">
      <w:r>
        <w:separator/>
      </w:r>
    </w:p>
  </w:endnote>
  <w:endnote w:type="continuationSeparator" w:id="0">
    <w:p w14:paraId="64C8738E" w14:textId="77777777" w:rsidR="00617B4A" w:rsidRDefault="0061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864D" w14:textId="77777777" w:rsidR="00617B4A" w:rsidRDefault="00617B4A" w:rsidP="002862F1">
      <w:pPr>
        <w:spacing w:before="120"/>
      </w:pPr>
      <w:r>
        <w:separator/>
      </w:r>
    </w:p>
  </w:footnote>
  <w:footnote w:type="continuationSeparator" w:id="0">
    <w:p w14:paraId="19421A9B" w14:textId="77777777" w:rsidR="00617B4A" w:rsidRDefault="0061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7254" w14:textId="7BE8F148" w:rsidR="00B8319C" w:rsidRPr="00B8319C" w:rsidRDefault="00B8319C" w:rsidP="0011701A">
    <w:pPr>
      <w:pStyle w:val="Header"/>
      <w:rPr>
        <w:lang w:val="en-US"/>
      </w:rPr>
    </w:pPr>
    <w:r>
      <w:rPr>
        <w:lang w:val="en-US"/>
      </w:rPr>
      <w:t>Pain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AF53586"/>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03326847">
    <w:abstractNumId w:val="2"/>
  </w:num>
  <w:num w:numId="2" w16cid:durableId="1246918759">
    <w:abstractNumId w:val="5"/>
  </w:num>
  <w:num w:numId="3" w16cid:durableId="1771897220">
    <w:abstractNumId w:val="4"/>
  </w:num>
  <w:num w:numId="4" w16cid:durableId="567884881">
    <w:abstractNumId w:val="6"/>
  </w:num>
  <w:num w:numId="5" w16cid:durableId="513496740">
    <w:abstractNumId w:val="3"/>
  </w:num>
  <w:num w:numId="6" w16cid:durableId="1969699130">
    <w:abstractNumId w:val="0"/>
  </w:num>
  <w:num w:numId="7" w16cid:durableId="188104489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0161"/>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49C8"/>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2338"/>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211C"/>
    <w:rsid w:val="004C5541"/>
    <w:rsid w:val="004C6EEE"/>
    <w:rsid w:val="004C702B"/>
    <w:rsid w:val="004D0033"/>
    <w:rsid w:val="004D016B"/>
    <w:rsid w:val="004D1B22"/>
    <w:rsid w:val="004D1DA0"/>
    <w:rsid w:val="004D23CC"/>
    <w:rsid w:val="004D36F2"/>
    <w:rsid w:val="004E1106"/>
    <w:rsid w:val="004E1130"/>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1F57"/>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0B0E"/>
    <w:rsid w:val="005E14E7"/>
    <w:rsid w:val="005E26A3"/>
    <w:rsid w:val="005E2ECB"/>
    <w:rsid w:val="005E447E"/>
    <w:rsid w:val="005E4FD1"/>
    <w:rsid w:val="005F0775"/>
    <w:rsid w:val="005F0CF5"/>
    <w:rsid w:val="005F21EB"/>
    <w:rsid w:val="00605908"/>
    <w:rsid w:val="00610D7C"/>
    <w:rsid w:val="00613414"/>
    <w:rsid w:val="00617B4A"/>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024E"/>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19C"/>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0A7B"/>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219A"/>
    <w:rsid w:val="00C93C3E"/>
    <w:rsid w:val="00CA12E3"/>
    <w:rsid w:val="00CA1476"/>
    <w:rsid w:val="00CA6611"/>
    <w:rsid w:val="00CA6AE6"/>
    <w:rsid w:val="00CA782F"/>
    <w:rsid w:val="00CB187B"/>
    <w:rsid w:val="00CB2835"/>
    <w:rsid w:val="00CB3285"/>
    <w:rsid w:val="00CB4500"/>
    <w:rsid w:val="00CB537A"/>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30CF2CFB"/>
    <w:rsid w:val="3F2B60D4"/>
    <w:rsid w:val="41D37F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styleId="NormalWeb">
    <w:name w:val="Normal (Web)"/>
    <w:basedOn w:val="Normal"/>
    <w:uiPriority w:val="99"/>
    <w:semiHidden/>
    <w:unhideWhenUsed/>
    <w:rsid w:val="00531F57"/>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2107">
      <w:bodyDiv w:val="1"/>
      <w:marLeft w:val="0"/>
      <w:marRight w:val="0"/>
      <w:marTop w:val="0"/>
      <w:marBottom w:val="0"/>
      <w:divBdr>
        <w:top w:val="none" w:sz="0" w:space="0" w:color="auto"/>
        <w:left w:val="none" w:sz="0" w:space="0" w:color="auto"/>
        <w:bottom w:val="none" w:sz="0" w:space="0" w:color="auto"/>
        <w:right w:val="none" w:sz="0" w:space="0" w:color="auto"/>
      </w:divBdr>
      <w:divsChild>
        <w:div w:id="273246732">
          <w:marLeft w:val="0"/>
          <w:marRight w:val="0"/>
          <w:marTop w:val="0"/>
          <w:marBottom w:val="0"/>
          <w:divBdr>
            <w:top w:val="none" w:sz="0" w:space="0" w:color="auto"/>
            <w:left w:val="none" w:sz="0" w:space="0" w:color="auto"/>
            <w:bottom w:val="none" w:sz="0" w:space="0" w:color="auto"/>
            <w:right w:val="none" w:sz="0" w:space="0" w:color="auto"/>
          </w:divBdr>
          <w:divsChild>
            <w:div w:id="1008099158">
              <w:marLeft w:val="0"/>
              <w:marRight w:val="0"/>
              <w:marTop w:val="0"/>
              <w:marBottom w:val="0"/>
              <w:divBdr>
                <w:top w:val="none" w:sz="0" w:space="0" w:color="auto"/>
                <w:left w:val="none" w:sz="0" w:space="0" w:color="auto"/>
                <w:bottom w:val="none" w:sz="0" w:space="0" w:color="auto"/>
                <w:right w:val="none" w:sz="0" w:space="0" w:color="auto"/>
              </w:divBdr>
              <w:divsChild>
                <w:div w:id="13846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507">
      <w:bodyDiv w:val="1"/>
      <w:marLeft w:val="0"/>
      <w:marRight w:val="0"/>
      <w:marTop w:val="0"/>
      <w:marBottom w:val="0"/>
      <w:divBdr>
        <w:top w:val="none" w:sz="0" w:space="0" w:color="auto"/>
        <w:left w:val="none" w:sz="0" w:space="0" w:color="auto"/>
        <w:bottom w:val="none" w:sz="0" w:space="0" w:color="auto"/>
        <w:right w:val="none" w:sz="0" w:space="0" w:color="auto"/>
      </w:divBdr>
      <w:divsChild>
        <w:div w:id="1547373392">
          <w:marLeft w:val="0"/>
          <w:marRight w:val="0"/>
          <w:marTop w:val="0"/>
          <w:marBottom w:val="0"/>
          <w:divBdr>
            <w:top w:val="none" w:sz="0" w:space="0" w:color="auto"/>
            <w:left w:val="none" w:sz="0" w:space="0" w:color="auto"/>
            <w:bottom w:val="none" w:sz="0" w:space="0" w:color="auto"/>
            <w:right w:val="none" w:sz="0" w:space="0" w:color="auto"/>
          </w:divBdr>
          <w:divsChild>
            <w:div w:id="1045060987">
              <w:marLeft w:val="0"/>
              <w:marRight w:val="0"/>
              <w:marTop w:val="0"/>
              <w:marBottom w:val="0"/>
              <w:divBdr>
                <w:top w:val="none" w:sz="0" w:space="0" w:color="auto"/>
                <w:left w:val="none" w:sz="0" w:space="0" w:color="auto"/>
                <w:bottom w:val="none" w:sz="0" w:space="0" w:color="auto"/>
                <w:right w:val="none" w:sz="0" w:space="0" w:color="auto"/>
              </w:divBdr>
              <w:divsChild>
                <w:div w:id="501049954">
                  <w:marLeft w:val="0"/>
                  <w:marRight w:val="0"/>
                  <w:marTop w:val="0"/>
                  <w:marBottom w:val="0"/>
                  <w:divBdr>
                    <w:top w:val="none" w:sz="0" w:space="0" w:color="auto"/>
                    <w:left w:val="none" w:sz="0" w:space="0" w:color="auto"/>
                    <w:bottom w:val="none" w:sz="0" w:space="0" w:color="auto"/>
                    <w:right w:val="none" w:sz="0" w:space="0" w:color="auto"/>
                  </w:divBdr>
                </w:div>
                <w:div w:id="13648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8420608">
      <w:bodyDiv w:val="1"/>
      <w:marLeft w:val="0"/>
      <w:marRight w:val="0"/>
      <w:marTop w:val="0"/>
      <w:marBottom w:val="0"/>
      <w:divBdr>
        <w:top w:val="none" w:sz="0" w:space="0" w:color="auto"/>
        <w:left w:val="none" w:sz="0" w:space="0" w:color="auto"/>
        <w:bottom w:val="none" w:sz="0" w:space="0" w:color="auto"/>
        <w:right w:val="none" w:sz="0" w:space="0" w:color="auto"/>
      </w:divBdr>
      <w:divsChild>
        <w:div w:id="842473031">
          <w:marLeft w:val="0"/>
          <w:marRight w:val="0"/>
          <w:marTop w:val="0"/>
          <w:marBottom w:val="0"/>
          <w:divBdr>
            <w:top w:val="none" w:sz="0" w:space="0" w:color="auto"/>
            <w:left w:val="none" w:sz="0" w:space="0" w:color="auto"/>
            <w:bottom w:val="none" w:sz="0" w:space="0" w:color="auto"/>
            <w:right w:val="none" w:sz="0" w:space="0" w:color="auto"/>
          </w:divBdr>
          <w:divsChild>
            <w:div w:id="102461979">
              <w:marLeft w:val="0"/>
              <w:marRight w:val="0"/>
              <w:marTop w:val="0"/>
              <w:marBottom w:val="0"/>
              <w:divBdr>
                <w:top w:val="none" w:sz="0" w:space="0" w:color="auto"/>
                <w:left w:val="none" w:sz="0" w:space="0" w:color="auto"/>
                <w:bottom w:val="none" w:sz="0" w:space="0" w:color="auto"/>
                <w:right w:val="none" w:sz="0" w:space="0" w:color="auto"/>
              </w:divBdr>
              <w:divsChild>
                <w:div w:id="11588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1616627">
      <w:bodyDiv w:val="1"/>
      <w:marLeft w:val="0"/>
      <w:marRight w:val="0"/>
      <w:marTop w:val="0"/>
      <w:marBottom w:val="0"/>
      <w:divBdr>
        <w:top w:val="none" w:sz="0" w:space="0" w:color="auto"/>
        <w:left w:val="none" w:sz="0" w:space="0" w:color="auto"/>
        <w:bottom w:val="none" w:sz="0" w:space="0" w:color="auto"/>
        <w:right w:val="none" w:sz="0" w:space="0" w:color="auto"/>
      </w:divBdr>
      <w:divsChild>
        <w:div w:id="1671324629">
          <w:marLeft w:val="0"/>
          <w:marRight w:val="0"/>
          <w:marTop w:val="0"/>
          <w:marBottom w:val="0"/>
          <w:divBdr>
            <w:top w:val="none" w:sz="0" w:space="0" w:color="auto"/>
            <w:left w:val="none" w:sz="0" w:space="0" w:color="auto"/>
            <w:bottom w:val="none" w:sz="0" w:space="0" w:color="auto"/>
            <w:right w:val="none" w:sz="0" w:space="0" w:color="auto"/>
          </w:divBdr>
          <w:divsChild>
            <w:div w:id="1048066932">
              <w:marLeft w:val="0"/>
              <w:marRight w:val="0"/>
              <w:marTop w:val="0"/>
              <w:marBottom w:val="0"/>
              <w:divBdr>
                <w:top w:val="none" w:sz="0" w:space="0" w:color="auto"/>
                <w:left w:val="none" w:sz="0" w:space="0" w:color="auto"/>
                <w:bottom w:val="none" w:sz="0" w:space="0" w:color="auto"/>
                <w:right w:val="none" w:sz="0" w:space="0" w:color="auto"/>
              </w:divBdr>
              <w:divsChild>
                <w:div w:id="1748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5059">
      <w:bodyDiv w:val="1"/>
      <w:marLeft w:val="0"/>
      <w:marRight w:val="0"/>
      <w:marTop w:val="0"/>
      <w:marBottom w:val="0"/>
      <w:divBdr>
        <w:top w:val="none" w:sz="0" w:space="0" w:color="auto"/>
        <w:left w:val="none" w:sz="0" w:space="0" w:color="auto"/>
        <w:bottom w:val="none" w:sz="0" w:space="0" w:color="auto"/>
        <w:right w:val="none" w:sz="0" w:space="0" w:color="auto"/>
      </w:divBdr>
      <w:divsChild>
        <w:div w:id="2143425584">
          <w:marLeft w:val="0"/>
          <w:marRight w:val="0"/>
          <w:marTop w:val="0"/>
          <w:marBottom w:val="0"/>
          <w:divBdr>
            <w:top w:val="none" w:sz="0" w:space="0" w:color="auto"/>
            <w:left w:val="none" w:sz="0" w:space="0" w:color="auto"/>
            <w:bottom w:val="none" w:sz="0" w:space="0" w:color="auto"/>
            <w:right w:val="none" w:sz="0" w:space="0" w:color="auto"/>
          </w:divBdr>
          <w:divsChild>
            <w:div w:id="1898515056">
              <w:marLeft w:val="0"/>
              <w:marRight w:val="0"/>
              <w:marTop w:val="0"/>
              <w:marBottom w:val="0"/>
              <w:divBdr>
                <w:top w:val="none" w:sz="0" w:space="0" w:color="auto"/>
                <w:left w:val="none" w:sz="0" w:space="0" w:color="auto"/>
                <w:bottom w:val="none" w:sz="0" w:space="0" w:color="auto"/>
                <w:right w:val="none" w:sz="0" w:space="0" w:color="auto"/>
              </w:divBdr>
              <w:divsChild>
                <w:div w:id="5481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442">
      <w:bodyDiv w:val="1"/>
      <w:marLeft w:val="0"/>
      <w:marRight w:val="0"/>
      <w:marTop w:val="0"/>
      <w:marBottom w:val="0"/>
      <w:divBdr>
        <w:top w:val="none" w:sz="0" w:space="0" w:color="auto"/>
        <w:left w:val="none" w:sz="0" w:space="0" w:color="auto"/>
        <w:bottom w:val="none" w:sz="0" w:space="0" w:color="auto"/>
        <w:right w:val="none" w:sz="0" w:space="0" w:color="auto"/>
      </w:divBdr>
      <w:divsChild>
        <w:div w:id="850337505">
          <w:marLeft w:val="0"/>
          <w:marRight w:val="0"/>
          <w:marTop w:val="0"/>
          <w:marBottom w:val="0"/>
          <w:divBdr>
            <w:top w:val="none" w:sz="0" w:space="0" w:color="auto"/>
            <w:left w:val="none" w:sz="0" w:space="0" w:color="auto"/>
            <w:bottom w:val="none" w:sz="0" w:space="0" w:color="auto"/>
            <w:right w:val="none" w:sz="0" w:space="0" w:color="auto"/>
          </w:divBdr>
          <w:divsChild>
            <w:div w:id="100877962">
              <w:marLeft w:val="0"/>
              <w:marRight w:val="0"/>
              <w:marTop w:val="0"/>
              <w:marBottom w:val="0"/>
              <w:divBdr>
                <w:top w:val="none" w:sz="0" w:space="0" w:color="auto"/>
                <w:left w:val="none" w:sz="0" w:space="0" w:color="auto"/>
                <w:bottom w:val="none" w:sz="0" w:space="0" w:color="auto"/>
                <w:right w:val="none" w:sz="0" w:space="0" w:color="auto"/>
              </w:divBdr>
              <w:divsChild>
                <w:div w:id="16614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6299">
      <w:bodyDiv w:val="1"/>
      <w:marLeft w:val="0"/>
      <w:marRight w:val="0"/>
      <w:marTop w:val="0"/>
      <w:marBottom w:val="0"/>
      <w:divBdr>
        <w:top w:val="none" w:sz="0" w:space="0" w:color="auto"/>
        <w:left w:val="none" w:sz="0" w:space="0" w:color="auto"/>
        <w:bottom w:val="none" w:sz="0" w:space="0" w:color="auto"/>
        <w:right w:val="none" w:sz="0" w:space="0" w:color="auto"/>
      </w:divBdr>
      <w:divsChild>
        <w:div w:id="2001080332">
          <w:marLeft w:val="0"/>
          <w:marRight w:val="0"/>
          <w:marTop w:val="0"/>
          <w:marBottom w:val="0"/>
          <w:divBdr>
            <w:top w:val="none" w:sz="0" w:space="0" w:color="auto"/>
            <w:left w:val="none" w:sz="0" w:space="0" w:color="auto"/>
            <w:bottom w:val="none" w:sz="0" w:space="0" w:color="auto"/>
            <w:right w:val="none" w:sz="0" w:space="0" w:color="auto"/>
          </w:divBdr>
          <w:divsChild>
            <w:div w:id="909660005">
              <w:marLeft w:val="0"/>
              <w:marRight w:val="0"/>
              <w:marTop w:val="0"/>
              <w:marBottom w:val="0"/>
              <w:divBdr>
                <w:top w:val="none" w:sz="0" w:space="0" w:color="auto"/>
                <w:left w:val="none" w:sz="0" w:space="0" w:color="auto"/>
                <w:bottom w:val="none" w:sz="0" w:space="0" w:color="auto"/>
                <w:right w:val="none" w:sz="0" w:space="0" w:color="auto"/>
              </w:divBdr>
              <w:divsChild>
                <w:div w:id="90441511">
                  <w:marLeft w:val="0"/>
                  <w:marRight w:val="0"/>
                  <w:marTop w:val="0"/>
                  <w:marBottom w:val="0"/>
                  <w:divBdr>
                    <w:top w:val="none" w:sz="0" w:space="0" w:color="auto"/>
                    <w:left w:val="none" w:sz="0" w:space="0" w:color="auto"/>
                    <w:bottom w:val="none" w:sz="0" w:space="0" w:color="auto"/>
                    <w:right w:val="none" w:sz="0" w:space="0" w:color="auto"/>
                  </w:divBdr>
                </w:div>
                <w:div w:id="16950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7893">
      <w:bodyDiv w:val="1"/>
      <w:marLeft w:val="0"/>
      <w:marRight w:val="0"/>
      <w:marTop w:val="0"/>
      <w:marBottom w:val="0"/>
      <w:divBdr>
        <w:top w:val="none" w:sz="0" w:space="0" w:color="auto"/>
        <w:left w:val="none" w:sz="0" w:space="0" w:color="auto"/>
        <w:bottom w:val="none" w:sz="0" w:space="0" w:color="auto"/>
        <w:right w:val="none" w:sz="0" w:space="0" w:color="auto"/>
      </w:divBdr>
      <w:divsChild>
        <w:div w:id="628169554">
          <w:marLeft w:val="0"/>
          <w:marRight w:val="0"/>
          <w:marTop w:val="0"/>
          <w:marBottom w:val="0"/>
          <w:divBdr>
            <w:top w:val="none" w:sz="0" w:space="0" w:color="auto"/>
            <w:left w:val="none" w:sz="0" w:space="0" w:color="auto"/>
            <w:bottom w:val="none" w:sz="0" w:space="0" w:color="auto"/>
            <w:right w:val="none" w:sz="0" w:space="0" w:color="auto"/>
          </w:divBdr>
          <w:divsChild>
            <w:div w:id="460149023">
              <w:marLeft w:val="0"/>
              <w:marRight w:val="0"/>
              <w:marTop w:val="0"/>
              <w:marBottom w:val="0"/>
              <w:divBdr>
                <w:top w:val="none" w:sz="0" w:space="0" w:color="auto"/>
                <w:left w:val="none" w:sz="0" w:space="0" w:color="auto"/>
                <w:bottom w:val="none" w:sz="0" w:space="0" w:color="auto"/>
                <w:right w:val="none" w:sz="0" w:space="0" w:color="auto"/>
              </w:divBdr>
              <w:divsChild>
                <w:div w:id="12231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9112638">
      <w:bodyDiv w:val="1"/>
      <w:marLeft w:val="0"/>
      <w:marRight w:val="0"/>
      <w:marTop w:val="0"/>
      <w:marBottom w:val="0"/>
      <w:divBdr>
        <w:top w:val="none" w:sz="0" w:space="0" w:color="auto"/>
        <w:left w:val="none" w:sz="0" w:space="0" w:color="auto"/>
        <w:bottom w:val="none" w:sz="0" w:space="0" w:color="auto"/>
        <w:right w:val="none" w:sz="0" w:space="0" w:color="auto"/>
      </w:divBdr>
      <w:divsChild>
        <w:div w:id="258875292">
          <w:marLeft w:val="0"/>
          <w:marRight w:val="0"/>
          <w:marTop w:val="0"/>
          <w:marBottom w:val="0"/>
          <w:divBdr>
            <w:top w:val="none" w:sz="0" w:space="0" w:color="auto"/>
            <w:left w:val="none" w:sz="0" w:space="0" w:color="auto"/>
            <w:bottom w:val="none" w:sz="0" w:space="0" w:color="auto"/>
            <w:right w:val="none" w:sz="0" w:space="0" w:color="auto"/>
          </w:divBdr>
          <w:divsChild>
            <w:div w:id="741174190">
              <w:marLeft w:val="0"/>
              <w:marRight w:val="0"/>
              <w:marTop w:val="0"/>
              <w:marBottom w:val="0"/>
              <w:divBdr>
                <w:top w:val="none" w:sz="0" w:space="0" w:color="auto"/>
                <w:left w:val="none" w:sz="0" w:space="0" w:color="auto"/>
                <w:bottom w:val="none" w:sz="0" w:space="0" w:color="auto"/>
                <w:right w:val="none" w:sz="0" w:space="0" w:color="auto"/>
              </w:divBdr>
              <w:divsChild>
                <w:div w:id="1265966095">
                  <w:marLeft w:val="0"/>
                  <w:marRight w:val="0"/>
                  <w:marTop w:val="0"/>
                  <w:marBottom w:val="0"/>
                  <w:divBdr>
                    <w:top w:val="none" w:sz="0" w:space="0" w:color="auto"/>
                    <w:left w:val="none" w:sz="0" w:space="0" w:color="auto"/>
                    <w:bottom w:val="none" w:sz="0" w:space="0" w:color="auto"/>
                    <w:right w:val="none" w:sz="0" w:space="0" w:color="auto"/>
                  </w:divBdr>
                </w:div>
                <w:div w:id="16340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5724">
      <w:bodyDiv w:val="1"/>
      <w:marLeft w:val="0"/>
      <w:marRight w:val="0"/>
      <w:marTop w:val="0"/>
      <w:marBottom w:val="0"/>
      <w:divBdr>
        <w:top w:val="none" w:sz="0" w:space="0" w:color="auto"/>
        <w:left w:val="none" w:sz="0" w:space="0" w:color="auto"/>
        <w:bottom w:val="none" w:sz="0" w:space="0" w:color="auto"/>
        <w:right w:val="none" w:sz="0" w:space="0" w:color="auto"/>
      </w:divBdr>
      <w:divsChild>
        <w:div w:id="1047337471">
          <w:marLeft w:val="0"/>
          <w:marRight w:val="0"/>
          <w:marTop w:val="0"/>
          <w:marBottom w:val="0"/>
          <w:divBdr>
            <w:top w:val="none" w:sz="0" w:space="0" w:color="auto"/>
            <w:left w:val="none" w:sz="0" w:space="0" w:color="auto"/>
            <w:bottom w:val="none" w:sz="0" w:space="0" w:color="auto"/>
            <w:right w:val="none" w:sz="0" w:space="0" w:color="auto"/>
          </w:divBdr>
          <w:divsChild>
            <w:div w:id="842159125">
              <w:marLeft w:val="0"/>
              <w:marRight w:val="0"/>
              <w:marTop w:val="0"/>
              <w:marBottom w:val="0"/>
              <w:divBdr>
                <w:top w:val="none" w:sz="0" w:space="0" w:color="auto"/>
                <w:left w:val="none" w:sz="0" w:space="0" w:color="auto"/>
                <w:bottom w:val="none" w:sz="0" w:space="0" w:color="auto"/>
                <w:right w:val="none" w:sz="0" w:space="0" w:color="auto"/>
              </w:divBdr>
              <w:divsChild>
                <w:div w:id="2263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6991">
      <w:bodyDiv w:val="1"/>
      <w:marLeft w:val="0"/>
      <w:marRight w:val="0"/>
      <w:marTop w:val="0"/>
      <w:marBottom w:val="0"/>
      <w:divBdr>
        <w:top w:val="none" w:sz="0" w:space="0" w:color="auto"/>
        <w:left w:val="none" w:sz="0" w:space="0" w:color="auto"/>
        <w:bottom w:val="none" w:sz="0" w:space="0" w:color="auto"/>
        <w:right w:val="none" w:sz="0" w:space="0" w:color="auto"/>
      </w:divBdr>
      <w:divsChild>
        <w:div w:id="1517769652">
          <w:marLeft w:val="0"/>
          <w:marRight w:val="0"/>
          <w:marTop w:val="0"/>
          <w:marBottom w:val="0"/>
          <w:divBdr>
            <w:top w:val="none" w:sz="0" w:space="0" w:color="auto"/>
            <w:left w:val="none" w:sz="0" w:space="0" w:color="auto"/>
            <w:bottom w:val="none" w:sz="0" w:space="0" w:color="auto"/>
            <w:right w:val="none" w:sz="0" w:space="0" w:color="auto"/>
          </w:divBdr>
          <w:divsChild>
            <w:div w:id="675810367">
              <w:marLeft w:val="0"/>
              <w:marRight w:val="0"/>
              <w:marTop w:val="0"/>
              <w:marBottom w:val="0"/>
              <w:divBdr>
                <w:top w:val="none" w:sz="0" w:space="0" w:color="auto"/>
                <w:left w:val="none" w:sz="0" w:space="0" w:color="auto"/>
                <w:bottom w:val="none" w:sz="0" w:space="0" w:color="auto"/>
                <w:right w:val="none" w:sz="0" w:space="0" w:color="auto"/>
              </w:divBdr>
              <w:divsChild>
                <w:div w:id="461308408">
                  <w:marLeft w:val="0"/>
                  <w:marRight w:val="0"/>
                  <w:marTop w:val="0"/>
                  <w:marBottom w:val="0"/>
                  <w:divBdr>
                    <w:top w:val="none" w:sz="0" w:space="0" w:color="auto"/>
                    <w:left w:val="none" w:sz="0" w:space="0" w:color="auto"/>
                    <w:bottom w:val="none" w:sz="0" w:space="0" w:color="auto"/>
                    <w:right w:val="none" w:sz="0" w:space="0" w:color="auto"/>
                  </w:divBdr>
                </w:div>
                <w:div w:id="1836800918">
                  <w:marLeft w:val="0"/>
                  <w:marRight w:val="0"/>
                  <w:marTop w:val="0"/>
                  <w:marBottom w:val="0"/>
                  <w:divBdr>
                    <w:top w:val="none" w:sz="0" w:space="0" w:color="auto"/>
                    <w:left w:val="none" w:sz="0" w:space="0" w:color="auto"/>
                    <w:bottom w:val="none" w:sz="0" w:space="0" w:color="auto"/>
                    <w:right w:val="none" w:sz="0" w:space="0" w:color="auto"/>
                  </w:divBdr>
                </w:div>
              </w:divsChild>
            </w:div>
            <w:div w:id="1602840595">
              <w:marLeft w:val="0"/>
              <w:marRight w:val="0"/>
              <w:marTop w:val="0"/>
              <w:marBottom w:val="0"/>
              <w:divBdr>
                <w:top w:val="none" w:sz="0" w:space="0" w:color="auto"/>
                <w:left w:val="none" w:sz="0" w:space="0" w:color="auto"/>
                <w:bottom w:val="none" w:sz="0" w:space="0" w:color="auto"/>
                <w:right w:val="none" w:sz="0" w:space="0" w:color="auto"/>
              </w:divBdr>
              <w:divsChild>
                <w:div w:id="1382635705">
                  <w:marLeft w:val="0"/>
                  <w:marRight w:val="0"/>
                  <w:marTop w:val="0"/>
                  <w:marBottom w:val="0"/>
                  <w:divBdr>
                    <w:top w:val="none" w:sz="0" w:space="0" w:color="auto"/>
                    <w:left w:val="none" w:sz="0" w:space="0" w:color="auto"/>
                    <w:bottom w:val="none" w:sz="0" w:space="0" w:color="auto"/>
                    <w:right w:val="none" w:sz="0" w:space="0" w:color="auto"/>
                  </w:divBdr>
                </w:div>
                <w:div w:id="1166632042">
                  <w:marLeft w:val="0"/>
                  <w:marRight w:val="0"/>
                  <w:marTop w:val="0"/>
                  <w:marBottom w:val="0"/>
                  <w:divBdr>
                    <w:top w:val="none" w:sz="0" w:space="0" w:color="auto"/>
                    <w:left w:val="none" w:sz="0" w:space="0" w:color="auto"/>
                    <w:bottom w:val="none" w:sz="0" w:space="0" w:color="auto"/>
                    <w:right w:val="none" w:sz="0" w:space="0" w:color="auto"/>
                  </w:divBdr>
                </w:div>
              </w:divsChild>
            </w:div>
            <w:div w:id="262736278">
              <w:marLeft w:val="0"/>
              <w:marRight w:val="0"/>
              <w:marTop w:val="0"/>
              <w:marBottom w:val="0"/>
              <w:divBdr>
                <w:top w:val="none" w:sz="0" w:space="0" w:color="auto"/>
                <w:left w:val="none" w:sz="0" w:space="0" w:color="auto"/>
                <w:bottom w:val="none" w:sz="0" w:space="0" w:color="auto"/>
                <w:right w:val="none" w:sz="0" w:space="0" w:color="auto"/>
              </w:divBdr>
              <w:divsChild>
                <w:div w:id="1180050058">
                  <w:marLeft w:val="0"/>
                  <w:marRight w:val="0"/>
                  <w:marTop w:val="0"/>
                  <w:marBottom w:val="0"/>
                  <w:divBdr>
                    <w:top w:val="none" w:sz="0" w:space="0" w:color="auto"/>
                    <w:left w:val="none" w:sz="0" w:space="0" w:color="auto"/>
                    <w:bottom w:val="none" w:sz="0" w:space="0" w:color="auto"/>
                    <w:right w:val="none" w:sz="0" w:space="0" w:color="auto"/>
                  </w:divBdr>
                </w:div>
                <w:div w:id="2535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9582">
      <w:bodyDiv w:val="1"/>
      <w:marLeft w:val="0"/>
      <w:marRight w:val="0"/>
      <w:marTop w:val="0"/>
      <w:marBottom w:val="0"/>
      <w:divBdr>
        <w:top w:val="none" w:sz="0" w:space="0" w:color="auto"/>
        <w:left w:val="none" w:sz="0" w:space="0" w:color="auto"/>
        <w:bottom w:val="none" w:sz="0" w:space="0" w:color="auto"/>
        <w:right w:val="none" w:sz="0" w:space="0" w:color="auto"/>
      </w:divBdr>
      <w:divsChild>
        <w:div w:id="1700157405">
          <w:marLeft w:val="0"/>
          <w:marRight w:val="0"/>
          <w:marTop w:val="0"/>
          <w:marBottom w:val="0"/>
          <w:divBdr>
            <w:top w:val="none" w:sz="0" w:space="0" w:color="auto"/>
            <w:left w:val="none" w:sz="0" w:space="0" w:color="auto"/>
            <w:bottom w:val="none" w:sz="0" w:space="0" w:color="auto"/>
            <w:right w:val="none" w:sz="0" w:space="0" w:color="auto"/>
          </w:divBdr>
          <w:divsChild>
            <w:div w:id="1306205302">
              <w:marLeft w:val="0"/>
              <w:marRight w:val="0"/>
              <w:marTop w:val="0"/>
              <w:marBottom w:val="0"/>
              <w:divBdr>
                <w:top w:val="none" w:sz="0" w:space="0" w:color="auto"/>
                <w:left w:val="none" w:sz="0" w:space="0" w:color="auto"/>
                <w:bottom w:val="none" w:sz="0" w:space="0" w:color="auto"/>
                <w:right w:val="none" w:sz="0" w:space="0" w:color="auto"/>
              </w:divBdr>
              <w:divsChild>
                <w:div w:id="3565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40234">
      <w:bodyDiv w:val="1"/>
      <w:marLeft w:val="0"/>
      <w:marRight w:val="0"/>
      <w:marTop w:val="0"/>
      <w:marBottom w:val="0"/>
      <w:divBdr>
        <w:top w:val="none" w:sz="0" w:space="0" w:color="auto"/>
        <w:left w:val="none" w:sz="0" w:space="0" w:color="auto"/>
        <w:bottom w:val="none" w:sz="0" w:space="0" w:color="auto"/>
        <w:right w:val="none" w:sz="0" w:space="0" w:color="auto"/>
      </w:divBdr>
      <w:divsChild>
        <w:div w:id="422915100">
          <w:marLeft w:val="0"/>
          <w:marRight w:val="0"/>
          <w:marTop w:val="0"/>
          <w:marBottom w:val="0"/>
          <w:divBdr>
            <w:top w:val="none" w:sz="0" w:space="0" w:color="auto"/>
            <w:left w:val="none" w:sz="0" w:space="0" w:color="auto"/>
            <w:bottom w:val="none" w:sz="0" w:space="0" w:color="auto"/>
            <w:right w:val="none" w:sz="0" w:space="0" w:color="auto"/>
          </w:divBdr>
          <w:divsChild>
            <w:div w:id="1005471771">
              <w:marLeft w:val="0"/>
              <w:marRight w:val="0"/>
              <w:marTop w:val="0"/>
              <w:marBottom w:val="0"/>
              <w:divBdr>
                <w:top w:val="none" w:sz="0" w:space="0" w:color="auto"/>
                <w:left w:val="none" w:sz="0" w:space="0" w:color="auto"/>
                <w:bottom w:val="none" w:sz="0" w:space="0" w:color="auto"/>
                <w:right w:val="none" w:sz="0" w:space="0" w:color="auto"/>
              </w:divBdr>
              <w:divsChild>
                <w:div w:id="2117558597">
                  <w:marLeft w:val="0"/>
                  <w:marRight w:val="0"/>
                  <w:marTop w:val="0"/>
                  <w:marBottom w:val="0"/>
                  <w:divBdr>
                    <w:top w:val="none" w:sz="0" w:space="0" w:color="auto"/>
                    <w:left w:val="none" w:sz="0" w:space="0" w:color="auto"/>
                    <w:bottom w:val="none" w:sz="0" w:space="0" w:color="auto"/>
                    <w:right w:val="none" w:sz="0" w:space="0" w:color="auto"/>
                  </w:divBdr>
                </w:div>
                <w:div w:id="1164859690">
                  <w:marLeft w:val="0"/>
                  <w:marRight w:val="0"/>
                  <w:marTop w:val="0"/>
                  <w:marBottom w:val="0"/>
                  <w:divBdr>
                    <w:top w:val="none" w:sz="0" w:space="0" w:color="auto"/>
                    <w:left w:val="none" w:sz="0" w:space="0" w:color="auto"/>
                    <w:bottom w:val="none" w:sz="0" w:space="0" w:color="auto"/>
                    <w:right w:val="none" w:sz="0" w:space="0" w:color="auto"/>
                  </w:divBdr>
                </w:div>
              </w:divsChild>
            </w:div>
            <w:div w:id="308019529">
              <w:marLeft w:val="0"/>
              <w:marRight w:val="0"/>
              <w:marTop w:val="0"/>
              <w:marBottom w:val="0"/>
              <w:divBdr>
                <w:top w:val="none" w:sz="0" w:space="0" w:color="auto"/>
                <w:left w:val="none" w:sz="0" w:space="0" w:color="auto"/>
                <w:bottom w:val="none" w:sz="0" w:space="0" w:color="auto"/>
                <w:right w:val="none" w:sz="0" w:space="0" w:color="auto"/>
              </w:divBdr>
              <w:divsChild>
                <w:div w:id="1675718199">
                  <w:marLeft w:val="0"/>
                  <w:marRight w:val="0"/>
                  <w:marTop w:val="0"/>
                  <w:marBottom w:val="0"/>
                  <w:divBdr>
                    <w:top w:val="none" w:sz="0" w:space="0" w:color="auto"/>
                    <w:left w:val="none" w:sz="0" w:space="0" w:color="auto"/>
                    <w:bottom w:val="none" w:sz="0" w:space="0" w:color="auto"/>
                    <w:right w:val="none" w:sz="0" w:space="0" w:color="auto"/>
                  </w:divBdr>
                </w:div>
                <w:div w:id="1578906274">
                  <w:marLeft w:val="0"/>
                  <w:marRight w:val="0"/>
                  <w:marTop w:val="0"/>
                  <w:marBottom w:val="0"/>
                  <w:divBdr>
                    <w:top w:val="none" w:sz="0" w:space="0" w:color="auto"/>
                    <w:left w:val="none" w:sz="0" w:space="0" w:color="auto"/>
                    <w:bottom w:val="none" w:sz="0" w:space="0" w:color="auto"/>
                    <w:right w:val="none" w:sz="0" w:space="0" w:color="auto"/>
                  </w:divBdr>
                </w:div>
              </w:divsChild>
            </w:div>
            <w:div w:id="272789313">
              <w:marLeft w:val="0"/>
              <w:marRight w:val="0"/>
              <w:marTop w:val="0"/>
              <w:marBottom w:val="0"/>
              <w:divBdr>
                <w:top w:val="none" w:sz="0" w:space="0" w:color="auto"/>
                <w:left w:val="none" w:sz="0" w:space="0" w:color="auto"/>
                <w:bottom w:val="none" w:sz="0" w:space="0" w:color="auto"/>
                <w:right w:val="none" w:sz="0" w:space="0" w:color="auto"/>
              </w:divBdr>
              <w:divsChild>
                <w:div w:id="1478450462">
                  <w:marLeft w:val="0"/>
                  <w:marRight w:val="0"/>
                  <w:marTop w:val="0"/>
                  <w:marBottom w:val="0"/>
                  <w:divBdr>
                    <w:top w:val="none" w:sz="0" w:space="0" w:color="auto"/>
                    <w:left w:val="none" w:sz="0" w:space="0" w:color="auto"/>
                    <w:bottom w:val="none" w:sz="0" w:space="0" w:color="auto"/>
                    <w:right w:val="none" w:sz="0" w:space="0" w:color="auto"/>
                  </w:divBdr>
                </w:div>
                <w:div w:id="1498038534">
                  <w:marLeft w:val="0"/>
                  <w:marRight w:val="0"/>
                  <w:marTop w:val="0"/>
                  <w:marBottom w:val="0"/>
                  <w:divBdr>
                    <w:top w:val="none" w:sz="0" w:space="0" w:color="auto"/>
                    <w:left w:val="none" w:sz="0" w:space="0" w:color="auto"/>
                    <w:bottom w:val="none" w:sz="0" w:space="0" w:color="auto"/>
                    <w:right w:val="none" w:sz="0" w:space="0" w:color="auto"/>
                  </w:divBdr>
                </w:div>
              </w:divsChild>
            </w:div>
            <w:div w:id="1506699916">
              <w:marLeft w:val="0"/>
              <w:marRight w:val="0"/>
              <w:marTop w:val="0"/>
              <w:marBottom w:val="0"/>
              <w:divBdr>
                <w:top w:val="none" w:sz="0" w:space="0" w:color="auto"/>
                <w:left w:val="none" w:sz="0" w:space="0" w:color="auto"/>
                <w:bottom w:val="none" w:sz="0" w:space="0" w:color="auto"/>
                <w:right w:val="none" w:sz="0" w:space="0" w:color="auto"/>
              </w:divBdr>
              <w:divsChild>
                <w:div w:id="763572285">
                  <w:marLeft w:val="0"/>
                  <w:marRight w:val="0"/>
                  <w:marTop w:val="0"/>
                  <w:marBottom w:val="0"/>
                  <w:divBdr>
                    <w:top w:val="none" w:sz="0" w:space="0" w:color="auto"/>
                    <w:left w:val="none" w:sz="0" w:space="0" w:color="auto"/>
                    <w:bottom w:val="none" w:sz="0" w:space="0" w:color="auto"/>
                    <w:right w:val="none" w:sz="0" w:space="0" w:color="auto"/>
                  </w:divBdr>
                </w:div>
                <w:div w:id="6445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7470">
      <w:bodyDiv w:val="1"/>
      <w:marLeft w:val="0"/>
      <w:marRight w:val="0"/>
      <w:marTop w:val="0"/>
      <w:marBottom w:val="0"/>
      <w:divBdr>
        <w:top w:val="none" w:sz="0" w:space="0" w:color="auto"/>
        <w:left w:val="none" w:sz="0" w:space="0" w:color="auto"/>
        <w:bottom w:val="none" w:sz="0" w:space="0" w:color="auto"/>
        <w:right w:val="none" w:sz="0" w:space="0" w:color="auto"/>
      </w:divBdr>
      <w:divsChild>
        <w:div w:id="1369448956">
          <w:marLeft w:val="0"/>
          <w:marRight w:val="0"/>
          <w:marTop w:val="0"/>
          <w:marBottom w:val="0"/>
          <w:divBdr>
            <w:top w:val="none" w:sz="0" w:space="0" w:color="auto"/>
            <w:left w:val="none" w:sz="0" w:space="0" w:color="auto"/>
            <w:bottom w:val="none" w:sz="0" w:space="0" w:color="auto"/>
            <w:right w:val="none" w:sz="0" w:space="0" w:color="auto"/>
          </w:divBdr>
          <w:divsChild>
            <w:div w:id="1822768284">
              <w:marLeft w:val="0"/>
              <w:marRight w:val="0"/>
              <w:marTop w:val="0"/>
              <w:marBottom w:val="0"/>
              <w:divBdr>
                <w:top w:val="none" w:sz="0" w:space="0" w:color="auto"/>
                <w:left w:val="none" w:sz="0" w:space="0" w:color="auto"/>
                <w:bottom w:val="none" w:sz="0" w:space="0" w:color="auto"/>
                <w:right w:val="none" w:sz="0" w:space="0" w:color="auto"/>
              </w:divBdr>
              <w:divsChild>
                <w:div w:id="11452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700">
      <w:bodyDiv w:val="1"/>
      <w:marLeft w:val="0"/>
      <w:marRight w:val="0"/>
      <w:marTop w:val="0"/>
      <w:marBottom w:val="0"/>
      <w:divBdr>
        <w:top w:val="none" w:sz="0" w:space="0" w:color="auto"/>
        <w:left w:val="none" w:sz="0" w:space="0" w:color="auto"/>
        <w:bottom w:val="none" w:sz="0" w:space="0" w:color="auto"/>
        <w:right w:val="none" w:sz="0" w:space="0" w:color="auto"/>
      </w:divBdr>
      <w:divsChild>
        <w:div w:id="257521614">
          <w:marLeft w:val="0"/>
          <w:marRight w:val="0"/>
          <w:marTop w:val="0"/>
          <w:marBottom w:val="0"/>
          <w:divBdr>
            <w:top w:val="none" w:sz="0" w:space="0" w:color="auto"/>
            <w:left w:val="none" w:sz="0" w:space="0" w:color="auto"/>
            <w:bottom w:val="none" w:sz="0" w:space="0" w:color="auto"/>
            <w:right w:val="none" w:sz="0" w:space="0" w:color="auto"/>
          </w:divBdr>
          <w:divsChild>
            <w:div w:id="100036800">
              <w:marLeft w:val="0"/>
              <w:marRight w:val="0"/>
              <w:marTop w:val="0"/>
              <w:marBottom w:val="0"/>
              <w:divBdr>
                <w:top w:val="none" w:sz="0" w:space="0" w:color="auto"/>
                <w:left w:val="none" w:sz="0" w:space="0" w:color="auto"/>
                <w:bottom w:val="none" w:sz="0" w:space="0" w:color="auto"/>
                <w:right w:val="none" w:sz="0" w:space="0" w:color="auto"/>
              </w:divBdr>
              <w:divsChild>
                <w:div w:id="21286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045131">
      <w:bodyDiv w:val="1"/>
      <w:marLeft w:val="0"/>
      <w:marRight w:val="0"/>
      <w:marTop w:val="0"/>
      <w:marBottom w:val="0"/>
      <w:divBdr>
        <w:top w:val="none" w:sz="0" w:space="0" w:color="auto"/>
        <w:left w:val="none" w:sz="0" w:space="0" w:color="auto"/>
        <w:bottom w:val="none" w:sz="0" w:space="0" w:color="auto"/>
        <w:right w:val="none" w:sz="0" w:space="0" w:color="auto"/>
      </w:divBdr>
      <w:divsChild>
        <w:div w:id="928539537">
          <w:marLeft w:val="0"/>
          <w:marRight w:val="0"/>
          <w:marTop w:val="0"/>
          <w:marBottom w:val="0"/>
          <w:divBdr>
            <w:top w:val="none" w:sz="0" w:space="0" w:color="auto"/>
            <w:left w:val="none" w:sz="0" w:space="0" w:color="auto"/>
            <w:bottom w:val="none" w:sz="0" w:space="0" w:color="auto"/>
            <w:right w:val="none" w:sz="0" w:space="0" w:color="auto"/>
          </w:divBdr>
          <w:divsChild>
            <w:div w:id="505904732">
              <w:marLeft w:val="0"/>
              <w:marRight w:val="0"/>
              <w:marTop w:val="0"/>
              <w:marBottom w:val="0"/>
              <w:divBdr>
                <w:top w:val="none" w:sz="0" w:space="0" w:color="auto"/>
                <w:left w:val="none" w:sz="0" w:space="0" w:color="auto"/>
                <w:bottom w:val="none" w:sz="0" w:space="0" w:color="auto"/>
                <w:right w:val="none" w:sz="0" w:space="0" w:color="auto"/>
              </w:divBdr>
              <w:divsChild>
                <w:div w:id="15982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97849">
      <w:bodyDiv w:val="1"/>
      <w:marLeft w:val="0"/>
      <w:marRight w:val="0"/>
      <w:marTop w:val="0"/>
      <w:marBottom w:val="0"/>
      <w:divBdr>
        <w:top w:val="none" w:sz="0" w:space="0" w:color="auto"/>
        <w:left w:val="none" w:sz="0" w:space="0" w:color="auto"/>
        <w:bottom w:val="none" w:sz="0" w:space="0" w:color="auto"/>
        <w:right w:val="none" w:sz="0" w:space="0" w:color="auto"/>
      </w:divBdr>
      <w:divsChild>
        <w:div w:id="358315689">
          <w:marLeft w:val="0"/>
          <w:marRight w:val="0"/>
          <w:marTop w:val="0"/>
          <w:marBottom w:val="0"/>
          <w:divBdr>
            <w:top w:val="none" w:sz="0" w:space="0" w:color="auto"/>
            <w:left w:val="none" w:sz="0" w:space="0" w:color="auto"/>
            <w:bottom w:val="none" w:sz="0" w:space="0" w:color="auto"/>
            <w:right w:val="none" w:sz="0" w:space="0" w:color="auto"/>
          </w:divBdr>
          <w:divsChild>
            <w:div w:id="603534710">
              <w:marLeft w:val="0"/>
              <w:marRight w:val="0"/>
              <w:marTop w:val="0"/>
              <w:marBottom w:val="0"/>
              <w:divBdr>
                <w:top w:val="none" w:sz="0" w:space="0" w:color="auto"/>
                <w:left w:val="none" w:sz="0" w:space="0" w:color="auto"/>
                <w:bottom w:val="none" w:sz="0" w:space="0" w:color="auto"/>
                <w:right w:val="none" w:sz="0" w:space="0" w:color="auto"/>
              </w:divBdr>
              <w:divsChild>
                <w:div w:id="17350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93527">
      <w:bodyDiv w:val="1"/>
      <w:marLeft w:val="0"/>
      <w:marRight w:val="0"/>
      <w:marTop w:val="0"/>
      <w:marBottom w:val="0"/>
      <w:divBdr>
        <w:top w:val="none" w:sz="0" w:space="0" w:color="auto"/>
        <w:left w:val="none" w:sz="0" w:space="0" w:color="auto"/>
        <w:bottom w:val="none" w:sz="0" w:space="0" w:color="auto"/>
        <w:right w:val="none" w:sz="0" w:space="0" w:color="auto"/>
      </w:divBdr>
      <w:divsChild>
        <w:div w:id="2022509504">
          <w:marLeft w:val="0"/>
          <w:marRight w:val="0"/>
          <w:marTop w:val="0"/>
          <w:marBottom w:val="0"/>
          <w:divBdr>
            <w:top w:val="none" w:sz="0" w:space="0" w:color="auto"/>
            <w:left w:val="none" w:sz="0" w:space="0" w:color="auto"/>
            <w:bottom w:val="none" w:sz="0" w:space="0" w:color="auto"/>
            <w:right w:val="none" w:sz="0" w:space="0" w:color="auto"/>
          </w:divBdr>
          <w:divsChild>
            <w:div w:id="1134759071">
              <w:marLeft w:val="0"/>
              <w:marRight w:val="0"/>
              <w:marTop w:val="0"/>
              <w:marBottom w:val="0"/>
              <w:divBdr>
                <w:top w:val="none" w:sz="0" w:space="0" w:color="auto"/>
                <w:left w:val="none" w:sz="0" w:space="0" w:color="auto"/>
                <w:bottom w:val="none" w:sz="0" w:space="0" w:color="auto"/>
                <w:right w:val="none" w:sz="0" w:space="0" w:color="auto"/>
              </w:divBdr>
              <w:divsChild>
                <w:div w:id="497691081">
                  <w:marLeft w:val="0"/>
                  <w:marRight w:val="0"/>
                  <w:marTop w:val="0"/>
                  <w:marBottom w:val="0"/>
                  <w:divBdr>
                    <w:top w:val="none" w:sz="0" w:space="0" w:color="auto"/>
                    <w:left w:val="none" w:sz="0" w:space="0" w:color="auto"/>
                    <w:bottom w:val="none" w:sz="0" w:space="0" w:color="auto"/>
                    <w:right w:val="none" w:sz="0" w:space="0" w:color="auto"/>
                  </w:divBdr>
                </w:div>
                <w:div w:id="585962419">
                  <w:marLeft w:val="0"/>
                  <w:marRight w:val="0"/>
                  <w:marTop w:val="0"/>
                  <w:marBottom w:val="0"/>
                  <w:divBdr>
                    <w:top w:val="none" w:sz="0" w:space="0" w:color="auto"/>
                    <w:left w:val="none" w:sz="0" w:space="0" w:color="auto"/>
                    <w:bottom w:val="none" w:sz="0" w:space="0" w:color="auto"/>
                    <w:right w:val="none" w:sz="0" w:space="0" w:color="auto"/>
                  </w:divBdr>
                </w:div>
              </w:divsChild>
            </w:div>
            <w:div w:id="304969026">
              <w:marLeft w:val="0"/>
              <w:marRight w:val="0"/>
              <w:marTop w:val="0"/>
              <w:marBottom w:val="0"/>
              <w:divBdr>
                <w:top w:val="none" w:sz="0" w:space="0" w:color="auto"/>
                <w:left w:val="none" w:sz="0" w:space="0" w:color="auto"/>
                <w:bottom w:val="none" w:sz="0" w:space="0" w:color="auto"/>
                <w:right w:val="none" w:sz="0" w:space="0" w:color="auto"/>
              </w:divBdr>
              <w:divsChild>
                <w:div w:id="1024359626">
                  <w:marLeft w:val="0"/>
                  <w:marRight w:val="0"/>
                  <w:marTop w:val="0"/>
                  <w:marBottom w:val="0"/>
                  <w:divBdr>
                    <w:top w:val="none" w:sz="0" w:space="0" w:color="auto"/>
                    <w:left w:val="none" w:sz="0" w:space="0" w:color="auto"/>
                    <w:bottom w:val="none" w:sz="0" w:space="0" w:color="auto"/>
                    <w:right w:val="none" w:sz="0" w:space="0" w:color="auto"/>
                  </w:divBdr>
                </w:div>
                <w:div w:id="2072918677">
                  <w:marLeft w:val="0"/>
                  <w:marRight w:val="0"/>
                  <w:marTop w:val="0"/>
                  <w:marBottom w:val="0"/>
                  <w:divBdr>
                    <w:top w:val="none" w:sz="0" w:space="0" w:color="auto"/>
                    <w:left w:val="none" w:sz="0" w:space="0" w:color="auto"/>
                    <w:bottom w:val="none" w:sz="0" w:space="0" w:color="auto"/>
                    <w:right w:val="none" w:sz="0" w:space="0" w:color="auto"/>
                  </w:divBdr>
                </w:div>
              </w:divsChild>
            </w:div>
            <w:div w:id="1317605567">
              <w:marLeft w:val="0"/>
              <w:marRight w:val="0"/>
              <w:marTop w:val="0"/>
              <w:marBottom w:val="0"/>
              <w:divBdr>
                <w:top w:val="none" w:sz="0" w:space="0" w:color="auto"/>
                <w:left w:val="none" w:sz="0" w:space="0" w:color="auto"/>
                <w:bottom w:val="none" w:sz="0" w:space="0" w:color="auto"/>
                <w:right w:val="none" w:sz="0" w:space="0" w:color="auto"/>
              </w:divBdr>
              <w:divsChild>
                <w:div w:id="2830925">
                  <w:marLeft w:val="0"/>
                  <w:marRight w:val="0"/>
                  <w:marTop w:val="0"/>
                  <w:marBottom w:val="0"/>
                  <w:divBdr>
                    <w:top w:val="none" w:sz="0" w:space="0" w:color="auto"/>
                    <w:left w:val="none" w:sz="0" w:space="0" w:color="auto"/>
                    <w:bottom w:val="none" w:sz="0" w:space="0" w:color="auto"/>
                    <w:right w:val="none" w:sz="0" w:space="0" w:color="auto"/>
                  </w:divBdr>
                </w:div>
                <w:div w:id="10261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4243">
      <w:bodyDiv w:val="1"/>
      <w:marLeft w:val="0"/>
      <w:marRight w:val="0"/>
      <w:marTop w:val="0"/>
      <w:marBottom w:val="0"/>
      <w:divBdr>
        <w:top w:val="none" w:sz="0" w:space="0" w:color="auto"/>
        <w:left w:val="none" w:sz="0" w:space="0" w:color="auto"/>
        <w:bottom w:val="none" w:sz="0" w:space="0" w:color="auto"/>
        <w:right w:val="none" w:sz="0" w:space="0" w:color="auto"/>
      </w:divBdr>
      <w:divsChild>
        <w:div w:id="1967933614">
          <w:marLeft w:val="0"/>
          <w:marRight w:val="0"/>
          <w:marTop w:val="0"/>
          <w:marBottom w:val="0"/>
          <w:divBdr>
            <w:top w:val="none" w:sz="0" w:space="0" w:color="auto"/>
            <w:left w:val="none" w:sz="0" w:space="0" w:color="auto"/>
            <w:bottom w:val="none" w:sz="0" w:space="0" w:color="auto"/>
            <w:right w:val="none" w:sz="0" w:space="0" w:color="auto"/>
          </w:divBdr>
          <w:divsChild>
            <w:div w:id="69037614">
              <w:marLeft w:val="0"/>
              <w:marRight w:val="0"/>
              <w:marTop w:val="0"/>
              <w:marBottom w:val="0"/>
              <w:divBdr>
                <w:top w:val="none" w:sz="0" w:space="0" w:color="auto"/>
                <w:left w:val="none" w:sz="0" w:space="0" w:color="auto"/>
                <w:bottom w:val="none" w:sz="0" w:space="0" w:color="auto"/>
                <w:right w:val="none" w:sz="0" w:space="0" w:color="auto"/>
              </w:divBdr>
              <w:divsChild>
                <w:div w:id="15357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0589">
      <w:bodyDiv w:val="1"/>
      <w:marLeft w:val="0"/>
      <w:marRight w:val="0"/>
      <w:marTop w:val="0"/>
      <w:marBottom w:val="0"/>
      <w:divBdr>
        <w:top w:val="none" w:sz="0" w:space="0" w:color="auto"/>
        <w:left w:val="none" w:sz="0" w:space="0" w:color="auto"/>
        <w:bottom w:val="none" w:sz="0" w:space="0" w:color="auto"/>
        <w:right w:val="none" w:sz="0" w:space="0" w:color="auto"/>
      </w:divBdr>
      <w:divsChild>
        <w:div w:id="1608344135">
          <w:marLeft w:val="0"/>
          <w:marRight w:val="0"/>
          <w:marTop w:val="0"/>
          <w:marBottom w:val="0"/>
          <w:divBdr>
            <w:top w:val="none" w:sz="0" w:space="0" w:color="auto"/>
            <w:left w:val="none" w:sz="0" w:space="0" w:color="auto"/>
            <w:bottom w:val="none" w:sz="0" w:space="0" w:color="auto"/>
            <w:right w:val="none" w:sz="0" w:space="0" w:color="auto"/>
          </w:divBdr>
          <w:divsChild>
            <w:div w:id="2025403825">
              <w:marLeft w:val="0"/>
              <w:marRight w:val="0"/>
              <w:marTop w:val="0"/>
              <w:marBottom w:val="0"/>
              <w:divBdr>
                <w:top w:val="none" w:sz="0" w:space="0" w:color="auto"/>
                <w:left w:val="none" w:sz="0" w:space="0" w:color="auto"/>
                <w:bottom w:val="none" w:sz="0" w:space="0" w:color="auto"/>
                <w:right w:val="none" w:sz="0" w:space="0" w:color="auto"/>
              </w:divBdr>
              <w:divsChild>
                <w:div w:id="11435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3166454">
      <w:bodyDiv w:val="1"/>
      <w:marLeft w:val="0"/>
      <w:marRight w:val="0"/>
      <w:marTop w:val="0"/>
      <w:marBottom w:val="0"/>
      <w:divBdr>
        <w:top w:val="none" w:sz="0" w:space="0" w:color="auto"/>
        <w:left w:val="none" w:sz="0" w:space="0" w:color="auto"/>
        <w:bottom w:val="none" w:sz="0" w:space="0" w:color="auto"/>
        <w:right w:val="none" w:sz="0" w:space="0" w:color="auto"/>
      </w:divBdr>
      <w:divsChild>
        <w:div w:id="1467506254">
          <w:marLeft w:val="0"/>
          <w:marRight w:val="0"/>
          <w:marTop w:val="0"/>
          <w:marBottom w:val="0"/>
          <w:divBdr>
            <w:top w:val="none" w:sz="0" w:space="0" w:color="auto"/>
            <w:left w:val="none" w:sz="0" w:space="0" w:color="auto"/>
            <w:bottom w:val="none" w:sz="0" w:space="0" w:color="auto"/>
            <w:right w:val="none" w:sz="0" w:space="0" w:color="auto"/>
          </w:divBdr>
          <w:divsChild>
            <w:div w:id="1176924434">
              <w:marLeft w:val="0"/>
              <w:marRight w:val="0"/>
              <w:marTop w:val="0"/>
              <w:marBottom w:val="0"/>
              <w:divBdr>
                <w:top w:val="none" w:sz="0" w:space="0" w:color="auto"/>
                <w:left w:val="none" w:sz="0" w:space="0" w:color="auto"/>
                <w:bottom w:val="none" w:sz="0" w:space="0" w:color="auto"/>
                <w:right w:val="none" w:sz="0" w:space="0" w:color="auto"/>
              </w:divBdr>
              <w:divsChild>
                <w:div w:id="1093893314">
                  <w:marLeft w:val="0"/>
                  <w:marRight w:val="0"/>
                  <w:marTop w:val="0"/>
                  <w:marBottom w:val="0"/>
                  <w:divBdr>
                    <w:top w:val="none" w:sz="0" w:space="0" w:color="auto"/>
                    <w:left w:val="none" w:sz="0" w:space="0" w:color="auto"/>
                    <w:bottom w:val="none" w:sz="0" w:space="0" w:color="auto"/>
                    <w:right w:val="none" w:sz="0" w:space="0" w:color="auto"/>
                  </w:divBdr>
                </w:div>
                <w:div w:id="17259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8766">
      <w:bodyDiv w:val="1"/>
      <w:marLeft w:val="0"/>
      <w:marRight w:val="0"/>
      <w:marTop w:val="0"/>
      <w:marBottom w:val="0"/>
      <w:divBdr>
        <w:top w:val="none" w:sz="0" w:space="0" w:color="auto"/>
        <w:left w:val="none" w:sz="0" w:space="0" w:color="auto"/>
        <w:bottom w:val="none" w:sz="0" w:space="0" w:color="auto"/>
        <w:right w:val="none" w:sz="0" w:space="0" w:color="auto"/>
      </w:divBdr>
      <w:divsChild>
        <w:div w:id="92291523">
          <w:marLeft w:val="0"/>
          <w:marRight w:val="0"/>
          <w:marTop w:val="0"/>
          <w:marBottom w:val="0"/>
          <w:divBdr>
            <w:top w:val="none" w:sz="0" w:space="0" w:color="auto"/>
            <w:left w:val="none" w:sz="0" w:space="0" w:color="auto"/>
            <w:bottom w:val="none" w:sz="0" w:space="0" w:color="auto"/>
            <w:right w:val="none" w:sz="0" w:space="0" w:color="auto"/>
          </w:divBdr>
          <w:divsChild>
            <w:div w:id="1060636606">
              <w:marLeft w:val="0"/>
              <w:marRight w:val="0"/>
              <w:marTop w:val="0"/>
              <w:marBottom w:val="0"/>
              <w:divBdr>
                <w:top w:val="none" w:sz="0" w:space="0" w:color="auto"/>
                <w:left w:val="none" w:sz="0" w:space="0" w:color="auto"/>
                <w:bottom w:val="none" w:sz="0" w:space="0" w:color="auto"/>
                <w:right w:val="none" w:sz="0" w:space="0" w:color="auto"/>
              </w:divBdr>
              <w:divsChild>
                <w:div w:id="12529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5088236">
      <w:bodyDiv w:val="1"/>
      <w:marLeft w:val="0"/>
      <w:marRight w:val="0"/>
      <w:marTop w:val="0"/>
      <w:marBottom w:val="0"/>
      <w:divBdr>
        <w:top w:val="none" w:sz="0" w:space="0" w:color="auto"/>
        <w:left w:val="none" w:sz="0" w:space="0" w:color="auto"/>
        <w:bottom w:val="none" w:sz="0" w:space="0" w:color="auto"/>
        <w:right w:val="none" w:sz="0" w:space="0" w:color="auto"/>
      </w:divBdr>
      <w:divsChild>
        <w:div w:id="287011681">
          <w:marLeft w:val="0"/>
          <w:marRight w:val="0"/>
          <w:marTop w:val="0"/>
          <w:marBottom w:val="0"/>
          <w:divBdr>
            <w:top w:val="none" w:sz="0" w:space="0" w:color="auto"/>
            <w:left w:val="none" w:sz="0" w:space="0" w:color="auto"/>
            <w:bottom w:val="none" w:sz="0" w:space="0" w:color="auto"/>
            <w:right w:val="none" w:sz="0" w:space="0" w:color="auto"/>
          </w:divBdr>
          <w:divsChild>
            <w:div w:id="947394755">
              <w:marLeft w:val="0"/>
              <w:marRight w:val="0"/>
              <w:marTop w:val="0"/>
              <w:marBottom w:val="0"/>
              <w:divBdr>
                <w:top w:val="none" w:sz="0" w:space="0" w:color="auto"/>
                <w:left w:val="none" w:sz="0" w:space="0" w:color="auto"/>
                <w:bottom w:val="none" w:sz="0" w:space="0" w:color="auto"/>
                <w:right w:val="none" w:sz="0" w:space="0" w:color="auto"/>
              </w:divBdr>
              <w:divsChild>
                <w:div w:id="1795902097">
                  <w:marLeft w:val="0"/>
                  <w:marRight w:val="0"/>
                  <w:marTop w:val="0"/>
                  <w:marBottom w:val="0"/>
                  <w:divBdr>
                    <w:top w:val="none" w:sz="0" w:space="0" w:color="auto"/>
                    <w:left w:val="none" w:sz="0" w:space="0" w:color="auto"/>
                    <w:bottom w:val="none" w:sz="0" w:space="0" w:color="auto"/>
                    <w:right w:val="none" w:sz="0" w:space="0" w:color="auto"/>
                  </w:divBdr>
                </w:div>
                <w:div w:id="12005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3099344">
      <w:bodyDiv w:val="1"/>
      <w:marLeft w:val="0"/>
      <w:marRight w:val="0"/>
      <w:marTop w:val="0"/>
      <w:marBottom w:val="0"/>
      <w:divBdr>
        <w:top w:val="none" w:sz="0" w:space="0" w:color="auto"/>
        <w:left w:val="none" w:sz="0" w:space="0" w:color="auto"/>
        <w:bottom w:val="none" w:sz="0" w:space="0" w:color="auto"/>
        <w:right w:val="none" w:sz="0" w:space="0" w:color="auto"/>
      </w:divBdr>
      <w:divsChild>
        <w:div w:id="1156609309">
          <w:marLeft w:val="0"/>
          <w:marRight w:val="0"/>
          <w:marTop w:val="0"/>
          <w:marBottom w:val="0"/>
          <w:divBdr>
            <w:top w:val="none" w:sz="0" w:space="0" w:color="auto"/>
            <w:left w:val="none" w:sz="0" w:space="0" w:color="auto"/>
            <w:bottom w:val="none" w:sz="0" w:space="0" w:color="auto"/>
            <w:right w:val="none" w:sz="0" w:space="0" w:color="auto"/>
          </w:divBdr>
          <w:divsChild>
            <w:div w:id="1727947458">
              <w:marLeft w:val="0"/>
              <w:marRight w:val="0"/>
              <w:marTop w:val="0"/>
              <w:marBottom w:val="0"/>
              <w:divBdr>
                <w:top w:val="none" w:sz="0" w:space="0" w:color="auto"/>
                <w:left w:val="none" w:sz="0" w:space="0" w:color="auto"/>
                <w:bottom w:val="none" w:sz="0" w:space="0" w:color="auto"/>
                <w:right w:val="none" w:sz="0" w:space="0" w:color="auto"/>
              </w:divBdr>
              <w:divsChild>
                <w:div w:id="20236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99282">
      <w:bodyDiv w:val="1"/>
      <w:marLeft w:val="0"/>
      <w:marRight w:val="0"/>
      <w:marTop w:val="0"/>
      <w:marBottom w:val="0"/>
      <w:divBdr>
        <w:top w:val="none" w:sz="0" w:space="0" w:color="auto"/>
        <w:left w:val="none" w:sz="0" w:space="0" w:color="auto"/>
        <w:bottom w:val="none" w:sz="0" w:space="0" w:color="auto"/>
        <w:right w:val="none" w:sz="0" w:space="0" w:color="auto"/>
      </w:divBdr>
      <w:divsChild>
        <w:div w:id="792601499">
          <w:marLeft w:val="0"/>
          <w:marRight w:val="0"/>
          <w:marTop w:val="0"/>
          <w:marBottom w:val="0"/>
          <w:divBdr>
            <w:top w:val="none" w:sz="0" w:space="0" w:color="auto"/>
            <w:left w:val="none" w:sz="0" w:space="0" w:color="auto"/>
            <w:bottom w:val="none" w:sz="0" w:space="0" w:color="auto"/>
            <w:right w:val="none" w:sz="0" w:space="0" w:color="auto"/>
          </w:divBdr>
          <w:divsChild>
            <w:div w:id="480997892">
              <w:marLeft w:val="0"/>
              <w:marRight w:val="0"/>
              <w:marTop w:val="0"/>
              <w:marBottom w:val="0"/>
              <w:divBdr>
                <w:top w:val="none" w:sz="0" w:space="0" w:color="auto"/>
                <w:left w:val="none" w:sz="0" w:space="0" w:color="auto"/>
                <w:bottom w:val="none" w:sz="0" w:space="0" w:color="auto"/>
                <w:right w:val="none" w:sz="0" w:space="0" w:color="auto"/>
              </w:divBdr>
              <w:divsChild>
                <w:div w:id="10868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177/204946372097615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Props1.xml><?xml version="1.0" encoding="utf-8"?>
<ds:datastoreItem xmlns:ds="http://schemas.openxmlformats.org/officeDocument/2006/customXml" ds:itemID="{BB1F1504-6167-4A2C-BB12-F1AC1BDB3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16</TotalTime>
  <Pages>11</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End of life care</vt:lpstr>
    </vt:vector>
  </TitlesOfParts>
  <Manager/>
  <Company>Victoria State Government, Department of Health</Company>
  <LinksUpToDate>false</LinksUpToDate>
  <CharactersWithSpaces>20941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6</cp:revision>
  <cp:lastPrinted>2020-03-30T03:28:00Z</cp:lastPrinted>
  <dcterms:created xsi:type="dcterms:W3CDTF">2022-08-29T02:44:00Z</dcterms:created>
  <dcterms:modified xsi:type="dcterms:W3CDTF">2023-10-17T05:11:00Z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