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A7BD2A" w14:textId="77777777" w:rsidR="0074696E" w:rsidRPr="004C6EEE" w:rsidRDefault="00904AB4" w:rsidP="00EC40D5">
      <w:pPr>
        <w:pStyle w:val="Sectionbreakfirstpage"/>
      </w:pPr>
      <w:r>
        <w:drawing>
          <wp:anchor distT="0" distB="0" distL="114300" distR="114300" simplePos="0" relativeHeight="251658240" behindDoc="1" locked="1" layoutInCell="1" allowOverlap="0" wp14:anchorId="60E2D8EA" wp14:editId="79A86D55">
            <wp:simplePos x="0" y="0"/>
            <wp:positionH relativeFrom="page">
              <wp:posOffset>0</wp:posOffset>
            </wp:positionH>
            <wp:positionV relativeFrom="page">
              <wp:posOffset>0</wp:posOffset>
            </wp:positionV>
            <wp:extent cx="7556400" cy="1360800"/>
            <wp:effectExtent l="0" t="0" r="63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6400" cy="1360800"/>
                    </a:xfrm>
                    <a:prstGeom prst="rect">
                      <a:avLst/>
                    </a:prstGeom>
                  </pic:spPr>
                </pic:pic>
              </a:graphicData>
            </a:graphic>
            <wp14:sizeRelH relativeFrom="margin">
              <wp14:pctWidth>0</wp14:pctWidth>
            </wp14:sizeRelH>
            <wp14:sizeRelV relativeFrom="margin">
              <wp14:pctHeight>0</wp14:pctHeight>
            </wp14:sizeRelV>
          </wp:anchor>
        </w:drawing>
      </w:r>
    </w:p>
    <w:p w14:paraId="7C10C95F" w14:textId="77777777" w:rsidR="00A62D44" w:rsidRPr="004C6EEE" w:rsidRDefault="00A62D44" w:rsidP="00EC40D5">
      <w:pPr>
        <w:pStyle w:val="Sectionbreakfirstpage"/>
        <w:sectPr w:rsidR="00A62D44" w:rsidRPr="004C6EEE" w:rsidSect="00E62622">
          <w:headerReference w:type="default" r:id="rId12"/>
          <w:footerReference w:type="default" r:id="rId13"/>
          <w:footerReference w:type="first" r:id="rId14"/>
          <w:pgSz w:w="11906" w:h="16838" w:code="9"/>
          <w:pgMar w:top="454" w:right="851" w:bottom="1418" w:left="851" w:header="340" w:footer="851" w:gutter="0"/>
          <w:cols w:space="708"/>
          <w:docGrid w:linePitch="360"/>
        </w:sect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14:paraId="4581C477" w14:textId="77777777" w:rsidTr="00B07FF7">
        <w:trPr>
          <w:trHeight w:val="622"/>
        </w:trPr>
        <w:tc>
          <w:tcPr>
            <w:tcW w:w="10348" w:type="dxa"/>
            <w:tcMar>
              <w:top w:w="1531" w:type="dxa"/>
              <w:left w:w="0" w:type="dxa"/>
              <w:right w:w="0" w:type="dxa"/>
            </w:tcMar>
          </w:tcPr>
          <w:p w14:paraId="2B0A4EE7" w14:textId="0C1C22F6" w:rsidR="003B5733" w:rsidRPr="00A047F5" w:rsidRDefault="00317913" w:rsidP="00A047F5">
            <w:pPr>
              <w:pStyle w:val="Documenttitle"/>
              <w:rPr>
                <w:lang w:val="en-GB"/>
              </w:rPr>
            </w:pPr>
            <w:r w:rsidRPr="00317913">
              <w:rPr>
                <w:lang w:val="en-GB"/>
              </w:rPr>
              <w:t>Unplanned weight loss</w:t>
            </w:r>
          </w:p>
        </w:tc>
      </w:tr>
      <w:tr w:rsidR="003B5733" w14:paraId="214A09C1" w14:textId="77777777" w:rsidTr="00B07FF7">
        <w:tc>
          <w:tcPr>
            <w:tcW w:w="10348" w:type="dxa"/>
          </w:tcPr>
          <w:p w14:paraId="1E5AED30" w14:textId="13A2227B" w:rsidR="003B5733" w:rsidRPr="00A1389F" w:rsidRDefault="00A047F5" w:rsidP="005F44C0">
            <w:pPr>
              <w:pStyle w:val="Documentsubtitle"/>
            </w:pPr>
            <w:r w:rsidRPr="00A047F5">
              <w:rPr>
                <w:lang w:val="en-GB"/>
              </w:rPr>
              <w:t>Standardised care process</w:t>
            </w:r>
          </w:p>
        </w:tc>
      </w:tr>
    </w:tbl>
    <w:p w14:paraId="13F58136" w14:textId="77777777" w:rsidR="00AD784C" w:rsidRPr="00B57329" w:rsidRDefault="00AD784C" w:rsidP="002365B4">
      <w:pPr>
        <w:pStyle w:val="TOCheadingfactsheet"/>
      </w:pPr>
      <w:r w:rsidRPr="00B57329">
        <w:t>Contents</w:t>
      </w:r>
    </w:p>
    <w:p w14:paraId="317D4DF4" w14:textId="5F95A818" w:rsidR="00F57A6C" w:rsidRDefault="004D1DA0">
      <w:pPr>
        <w:pStyle w:val="TOC2"/>
        <w:rPr>
          <w:rFonts w:asciiTheme="minorHAnsi" w:eastAsiaTheme="minorEastAsia" w:hAnsiTheme="minorHAnsi" w:cstheme="minorBidi"/>
          <w:sz w:val="24"/>
          <w:szCs w:val="24"/>
          <w:lang w:eastAsia="en-GB"/>
        </w:rPr>
      </w:pPr>
      <w:r>
        <w:rPr>
          <w:b/>
        </w:rPr>
        <w:fldChar w:fldCharType="begin"/>
      </w:r>
      <w:r>
        <w:rPr>
          <w:b/>
        </w:rPr>
        <w:instrText xml:space="preserve"> TOC \h \z \t "Heading 1,1,Heading 2,2" </w:instrText>
      </w:r>
      <w:r>
        <w:rPr>
          <w:b/>
        </w:rPr>
        <w:fldChar w:fldCharType="separate"/>
      </w:r>
      <w:hyperlink w:anchor="_Toc112424250" w:history="1">
        <w:r w:rsidR="00F57A6C" w:rsidRPr="004A12AA">
          <w:rPr>
            <w:rStyle w:val="Hyperlink"/>
          </w:rPr>
          <w:t>Objective</w:t>
        </w:r>
        <w:r w:rsidR="00F57A6C">
          <w:rPr>
            <w:webHidden/>
          </w:rPr>
          <w:tab/>
        </w:r>
        <w:r w:rsidR="00F57A6C">
          <w:rPr>
            <w:webHidden/>
          </w:rPr>
          <w:fldChar w:fldCharType="begin"/>
        </w:r>
        <w:r w:rsidR="00F57A6C">
          <w:rPr>
            <w:webHidden/>
          </w:rPr>
          <w:instrText xml:space="preserve"> PAGEREF _Toc112424250 \h </w:instrText>
        </w:r>
        <w:r w:rsidR="00F57A6C">
          <w:rPr>
            <w:webHidden/>
          </w:rPr>
        </w:r>
        <w:r w:rsidR="00F57A6C">
          <w:rPr>
            <w:webHidden/>
          </w:rPr>
          <w:fldChar w:fldCharType="separate"/>
        </w:r>
        <w:r w:rsidR="00F57A6C">
          <w:rPr>
            <w:webHidden/>
          </w:rPr>
          <w:t>2</w:t>
        </w:r>
        <w:r w:rsidR="00F57A6C">
          <w:rPr>
            <w:webHidden/>
          </w:rPr>
          <w:fldChar w:fldCharType="end"/>
        </w:r>
      </w:hyperlink>
    </w:p>
    <w:p w14:paraId="2F245DDD" w14:textId="51035061" w:rsidR="00F57A6C" w:rsidRDefault="00000000">
      <w:pPr>
        <w:pStyle w:val="TOC2"/>
        <w:rPr>
          <w:rFonts w:asciiTheme="minorHAnsi" w:eastAsiaTheme="minorEastAsia" w:hAnsiTheme="minorHAnsi" w:cstheme="minorBidi"/>
          <w:sz w:val="24"/>
          <w:szCs w:val="24"/>
          <w:lang w:eastAsia="en-GB"/>
        </w:rPr>
      </w:pPr>
      <w:hyperlink w:anchor="_Toc112424251" w:history="1">
        <w:r w:rsidR="00F57A6C" w:rsidRPr="004A12AA">
          <w:rPr>
            <w:rStyle w:val="Hyperlink"/>
          </w:rPr>
          <w:t xml:space="preserve">Why the response to </w:t>
        </w:r>
        <w:r w:rsidR="00F57A6C" w:rsidRPr="004A12AA">
          <w:rPr>
            <w:rStyle w:val="Hyperlink"/>
            <w:rFonts w:eastAsia="Times"/>
            <w:lang w:val="en-GB"/>
          </w:rPr>
          <w:t>unplanned</w:t>
        </w:r>
        <w:r w:rsidR="00F57A6C" w:rsidRPr="004A12AA">
          <w:rPr>
            <w:rStyle w:val="Hyperlink"/>
            <w:lang w:val="en-GB"/>
          </w:rPr>
          <w:t xml:space="preserve"> weight loss </w:t>
        </w:r>
        <w:r w:rsidR="00F57A6C" w:rsidRPr="004A12AA">
          <w:rPr>
            <w:rStyle w:val="Hyperlink"/>
          </w:rPr>
          <w:t>is important</w:t>
        </w:r>
        <w:r w:rsidR="00F57A6C">
          <w:rPr>
            <w:webHidden/>
          </w:rPr>
          <w:tab/>
        </w:r>
        <w:r w:rsidR="00F57A6C">
          <w:rPr>
            <w:webHidden/>
          </w:rPr>
          <w:fldChar w:fldCharType="begin"/>
        </w:r>
        <w:r w:rsidR="00F57A6C">
          <w:rPr>
            <w:webHidden/>
          </w:rPr>
          <w:instrText xml:space="preserve"> PAGEREF _Toc112424251 \h </w:instrText>
        </w:r>
        <w:r w:rsidR="00F57A6C">
          <w:rPr>
            <w:webHidden/>
          </w:rPr>
        </w:r>
        <w:r w:rsidR="00F57A6C">
          <w:rPr>
            <w:webHidden/>
          </w:rPr>
          <w:fldChar w:fldCharType="separate"/>
        </w:r>
        <w:r w:rsidR="00F57A6C">
          <w:rPr>
            <w:webHidden/>
          </w:rPr>
          <w:t>2</w:t>
        </w:r>
        <w:r w:rsidR="00F57A6C">
          <w:rPr>
            <w:webHidden/>
          </w:rPr>
          <w:fldChar w:fldCharType="end"/>
        </w:r>
      </w:hyperlink>
    </w:p>
    <w:p w14:paraId="2131A10F" w14:textId="14176335" w:rsidR="00F57A6C" w:rsidRDefault="00000000">
      <w:pPr>
        <w:pStyle w:val="TOC2"/>
        <w:rPr>
          <w:rFonts w:asciiTheme="minorHAnsi" w:eastAsiaTheme="minorEastAsia" w:hAnsiTheme="minorHAnsi" w:cstheme="minorBidi"/>
          <w:sz w:val="24"/>
          <w:szCs w:val="24"/>
          <w:lang w:eastAsia="en-GB"/>
        </w:rPr>
      </w:pPr>
      <w:hyperlink w:anchor="_Toc112424252" w:history="1">
        <w:r w:rsidR="00F57A6C" w:rsidRPr="004A12AA">
          <w:rPr>
            <w:rStyle w:val="Hyperlink"/>
            <w:lang w:val="en-GB" w:eastAsia="en-AU"/>
          </w:rPr>
          <w:t>Definitions</w:t>
        </w:r>
        <w:r w:rsidR="00F57A6C">
          <w:rPr>
            <w:webHidden/>
          </w:rPr>
          <w:tab/>
        </w:r>
        <w:r w:rsidR="00F57A6C">
          <w:rPr>
            <w:webHidden/>
          </w:rPr>
          <w:fldChar w:fldCharType="begin"/>
        </w:r>
        <w:r w:rsidR="00F57A6C">
          <w:rPr>
            <w:webHidden/>
          </w:rPr>
          <w:instrText xml:space="preserve"> PAGEREF _Toc112424252 \h </w:instrText>
        </w:r>
        <w:r w:rsidR="00F57A6C">
          <w:rPr>
            <w:webHidden/>
          </w:rPr>
        </w:r>
        <w:r w:rsidR="00F57A6C">
          <w:rPr>
            <w:webHidden/>
          </w:rPr>
          <w:fldChar w:fldCharType="separate"/>
        </w:r>
        <w:r w:rsidR="00F57A6C">
          <w:rPr>
            <w:webHidden/>
          </w:rPr>
          <w:t>2</w:t>
        </w:r>
        <w:r w:rsidR="00F57A6C">
          <w:rPr>
            <w:webHidden/>
          </w:rPr>
          <w:fldChar w:fldCharType="end"/>
        </w:r>
      </w:hyperlink>
    </w:p>
    <w:p w14:paraId="07FC71A7" w14:textId="625D1E08" w:rsidR="00F57A6C" w:rsidRDefault="00000000">
      <w:pPr>
        <w:pStyle w:val="TOC2"/>
        <w:rPr>
          <w:rFonts w:asciiTheme="minorHAnsi" w:eastAsiaTheme="minorEastAsia" w:hAnsiTheme="minorHAnsi" w:cstheme="minorBidi"/>
          <w:sz w:val="24"/>
          <w:szCs w:val="24"/>
          <w:lang w:eastAsia="en-GB"/>
        </w:rPr>
      </w:pPr>
      <w:hyperlink w:anchor="_Toc112424253" w:history="1">
        <w:r w:rsidR="00F57A6C" w:rsidRPr="004A12AA">
          <w:rPr>
            <w:rStyle w:val="Hyperlink"/>
          </w:rPr>
          <w:t>Team</w:t>
        </w:r>
        <w:r w:rsidR="00F57A6C">
          <w:rPr>
            <w:webHidden/>
          </w:rPr>
          <w:tab/>
        </w:r>
        <w:r w:rsidR="00F57A6C">
          <w:rPr>
            <w:webHidden/>
          </w:rPr>
          <w:fldChar w:fldCharType="begin"/>
        </w:r>
        <w:r w:rsidR="00F57A6C">
          <w:rPr>
            <w:webHidden/>
          </w:rPr>
          <w:instrText xml:space="preserve"> PAGEREF _Toc112424253 \h </w:instrText>
        </w:r>
        <w:r w:rsidR="00F57A6C">
          <w:rPr>
            <w:webHidden/>
          </w:rPr>
        </w:r>
        <w:r w:rsidR="00F57A6C">
          <w:rPr>
            <w:webHidden/>
          </w:rPr>
          <w:fldChar w:fldCharType="separate"/>
        </w:r>
        <w:r w:rsidR="00F57A6C">
          <w:rPr>
            <w:webHidden/>
          </w:rPr>
          <w:t>2</w:t>
        </w:r>
        <w:r w:rsidR="00F57A6C">
          <w:rPr>
            <w:webHidden/>
          </w:rPr>
          <w:fldChar w:fldCharType="end"/>
        </w:r>
      </w:hyperlink>
    </w:p>
    <w:p w14:paraId="7AA0C5CB" w14:textId="2E7E7E83" w:rsidR="00F57A6C" w:rsidRDefault="00000000">
      <w:pPr>
        <w:pStyle w:val="TOC2"/>
        <w:rPr>
          <w:rFonts w:asciiTheme="minorHAnsi" w:eastAsiaTheme="minorEastAsia" w:hAnsiTheme="minorHAnsi" w:cstheme="minorBidi"/>
          <w:sz w:val="24"/>
          <w:szCs w:val="24"/>
          <w:lang w:eastAsia="en-GB"/>
        </w:rPr>
      </w:pPr>
      <w:hyperlink w:anchor="_Toc112424254" w:history="1">
        <w:r w:rsidR="00F57A6C" w:rsidRPr="004A12AA">
          <w:rPr>
            <w:rStyle w:val="Hyperlink"/>
          </w:rPr>
          <w:t>Acknowledgement</w:t>
        </w:r>
        <w:r w:rsidR="00F57A6C">
          <w:rPr>
            <w:webHidden/>
          </w:rPr>
          <w:tab/>
        </w:r>
        <w:r w:rsidR="00F57A6C">
          <w:rPr>
            <w:webHidden/>
          </w:rPr>
          <w:fldChar w:fldCharType="begin"/>
        </w:r>
        <w:r w:rsidR="00F57A6C">
          <w:rPr>
            <w:webHidden/>
          </w:rPr>
          <w:instrText xml:space="preserve"> PAGEREF _Toc112424254 \h </w:instrText>
        </w:r>
        <w:r w:rsidR="00F57A6C">
          <w:rPr>
            <w:webHidden/>
          </w:rPr>
        </w:r>
        <w:r w:rsidR="00F57A6C">
          <w:rPr>
            <w:webHidden/>
          </w:rPr>
          <w:fldChar w:fldCharType="separate"/>
        </w:r>
        <w:r w:rsidR="00F57A6C">
          <w:rPr>
            <w:webHidden/>
          </w:rPr>
          <w:t>2</w:t>
        </w:r>
        <w:r w:rsidR="00F57A6C">
          <w:rPr>
            <w:webHidden/>
          </w:rPr>
          <w:fldChar w:fldCharType="end"/>
        </w:r>
      </w:hyperlink>
    </w:p>
    <w:p w14:paraId="04D0EA72" w14:textId="18E7C96A" w:rsidR="00F57A6C" w:rsidRDefault="00000000">
      <w:pPr>
        <w:pStyle w:val="TOC1"/>
        <w:rPr>
          <w:rFonts w:asciiTheme="minorHAnsi" w:eastAsiaTheme="minorEastAsia" w:hAnsiTheme="minorHAnsi" w:cstheme="minorBidi"/>
          <w:b w:val="0"/>
          <w:sz w:val="24"/>
          <w:szCs w:val="24"/>
          <w:lang w:eastAsia="en-GB"/>
        </w:rPr>
      </w:pPr>
      <w:hyperlink w:anchor="_Toc112424255" w:history="1">
        <w:r w:rsidR="00F57A6C" w:rsidRPr="004A12AA">
          <w:rPr>
            <w:rStyle w:val="Hyperlink"/>
          </w:rPr>
          <w:t>Brief standardised care process</w:t>
        </w:r>
        <w:r w:rsidR="00F57A6C">
          <w:rPr>
            <w:webHidden/>
          </w:rPr>
          <w:tab/>
        </w:r>
        <w:r w:rsidR="00F57A6C">
          <w:rPr>
            <w:webHidden/>
          </w:rPr>
          <w:fldChar w:fldCharType="begin"/>
        </w:r>
        <w:r w:rsidR="00F57A6C">
          <w:rPr>
            <w:webHidden/>
          </w:rPr>
          <w:instrText xml:space="preserve"> PAGEREF _Toc112424255 \h </w:instrText>
        </w:r>
        <w:r w:rsidR="00F57A6C">
          <w:rPr>
            <w:webHidden/>
          </w:rPr>
        </w:r>
        <w:r w:rsidR="00F57A6C">
          <w:rPr>
            <w:webHidden/>
          </w:rPr>
          <w:fldChar w:fldCharType="separate"/>
        </w:r>
        <w:r w:rsidR="00F57A6C">
          <w:rPr>
            <w:webHidden/>
          </w:rPr>
          <w:t>3</w:t>
        </w:r>
        <w:r w:rsidR="00F57A6C">
          <w:rPr>
            <w:webHidden/>
          </w:rPr>
          <w:fldChar w:fldCharType="end"/>
        </w:r>
      </w:hyperlink>
    </w:p>
    <w:p w14:paraId="5DBEC7E4" w14:textId="0BE9D23A" w:rsidR="00F57A6C" w:rsidRDefault="00000000">
      <w:pPr>
        <w:pStyle w:val="TOC2"/>
        <w:rPr>
          <w:rFonts w:asciiTheme="minorHAnsi" w:eastAsiaTheme="minorEastAsia" w:hAnsiTheme="minorHAnsi" w:cstheme="minorBidi"/>
          <w:sz w:val="24"/>
          <w:szCs w:val="24"/>
          <w:lang w:eastAsia="en-GB"/>
        </w:rPr>
      </w:pPr>
      <w:hyperlink w:anchor="_Toc112424256" w:history="1">
        <w:r w:rsidR="00F57A6C" w:rsidRPr="004A12AA">
          <w:rPr>
            <w:rStyle w:val="Hyperlink"/>
            <w:lang w:val="en-GB" w:eastAsia="en-AU"/>
          </w:rPr>
          <w:t>Recognition and assessment</w:t>
        </w:r>
        <w:r w:rsidR="00F57A6C">
          <w:rPr>
            <w:webHidden/>
          </w:rPr>
          <w:tab/>
        </w:r>
        <w:r w:rsidR="00F57A6C">
          <w:rPr>
            <w:webHidden/>
          </w:rPr>
          <w:fldChar w:fldCharType="begin"/>
        </w:r>
        <w:r w:rsidR="00F57A6C">
          <w:rPr>
            <w:webHidden/>
          </w:rPr>
          <w:instrText xml:space="preserve"> PAGEREF _Toc112424256 \h </w:instrText>
        </w:r>
        <w:r w:rsidR="00F57A6C">
          <w:rPr>
            <w:webHidden/>
          </w:rPr>
        </w:r>
        <w:r w:rsidR="00F57A6C">
          <w:rPr>
            <w:webHidden/>
          </w:rPr>
          <w:fldChar w:fldCharType="separate"/>
        </w:r>
        <w:r w:rsidR="00F57A6C">
          <w:rPr>
            <w:webHidden/>
          </w:rPr>
          <w:t>3</w:t>
        </w:r>
        <w:r w:rsidR="00F57A6C">
          <w:rPr>
            <w:webHidden/>
          </w:rPr>
          <w:fldChar w:fldCharType="end"/>
        </w:r>
      </w:hyperlink>
    </w:p>
    <w:p w14:paraId="7B0763AB" w14:textId="0DC790AD" w:rsidR="00F57A6C" w:rsidRDefault="00000000">
      <w:pPr>
        <w:pStyle w:val="TOC2"/>
        <w:rPr>
          <w:rFonts w:asciiTheme="minorHAnsi" w:eastAsiaTheme="minorEastAsia" w:hAnsiTheme="minorHAnsi" w:cstheme="minorBidi"/>
          <w:sz w:val="24"/>
          <w:szCs w:val="24"/>
          <w:lang w:eastAsia="en-GB"/>
        </w:rPr>
      </w:pPr>
      <w:hyperlink w:anchor="_Toc112424257" w:history="1">
        <w:r w:rsidR="00F57A6C" w:rsidRPr="004A12AA">
          <w:rPr>
            <w:rStyle w:val="Hyperlink"/>
            <w:lang w:val="en-GB" w:eastAsia="en-AU"/>
          </w:rPr>
          <w:t>Interventions</w:t>
        </w:r>
        <w:r w:rsidR="00F57A6C">
          <w:rPr>
            <w:webHidden/>
          </w:rPr>
          <w:tab/>
        </w:r>
        <w:r w:rsidR="00F57A6C">
          <w:rPr>
            <w:webHidden/>
          </w:rPr>
          <w:fldChar w:fldCharType="begin"/>
        </w:r>
        <w:r w:rsidR="00F57A6C">
          <w:rPr>
            <w:webHidden/>
          </w:rPr>
          <w:instrText xml:space="preserve"> PAGEREF _Toc112424257 \h </w:instrText>
        </w:r>
        <w:r w:rsidR="00F57A6C">
          <w:rPr>
            <w:webHidden/>
          </w:rPr>
        </w:r>
        <w:r w:rsidR="00F57A6C">
          <w:rPr>
            <w:webHidden/>
          </w:rPr>
          <w:fldChar w:fldCharType="separate"/>
        </w:r>
        <w:r w:rsidR="00F57A6C">
          <w:rPr>
            <w:webHidden/>
          </w:rPr>
          <w:t>3</w:t>
        </w:r>
        <w:r w:rsidR="00F57A6C">
          <w:rPr>
            <w:webHidden/>
          </w:rPr>
          <w:fldChar w:fldCharType="end"/>
        </w:r>
      </w:hyperlink>
    </w:p>
    <w:p w14:paraId="6587A243" w14:textId="520C2D7E" w:rsidR="00F57A6C" w:rsidRDefault="00000000">
      <w:pPr>
        <w:pStyle w:val="TOC2"/>
        <w:rPr>
          <w:rFonts w:asciiTheme="minorHAnsi" w:eastAsiaTheme="minorEastAsia" w:hAnsiTheme="minorHAnsi" w:cstheme="minorBidi"/>
          <w:sz w:val="24"/>
          <w:szCs w:val="24"/>
          <w:lang w:eastAsia="en-GB"/>
        </w:rPr>
      </w:pPr>
      <w:hyperlink w:anchor="_Toc112424258" w:history="1">
        <w:r w:rsidR="00F57A6C" w:rsidRPr="004A12AA">
          <w:rPr>
            <w:rStyle w:val="Hyperlink"/>
            <w:lang w:val="en-GB" w:eastAsia="en-AU"/>
          </w:rPr>
          <w:t>Referral</w:t>
        </w:r>
        <w:r w:rsidR="00F57A6C">
          <w:rPr>
            <w:webHidden/>
          </w:rPr>
          <w:tab/>
        </w:r>
        <w:r w:rsidR="00F57A6C">
          <w:rPr>
            <w:webHidden/>
          </w:rPr>
          <w:fldChar w:fldCharType="begin"/>
        </w:r>
        <w:r w:rsidR="00F57A6C">
          <w:rPr>
            <w:webHidden/>
          </w:rPr>
          <w:instrText xml:space="preserve"> PAGEREF _Toc112424258 \h </w:instrText>
        </w:r>
        <w:r w:rsidR="00F57A6C">
          <w:rPr>
            <w:webHidden/>
          </w:rPr>
        </w:r>
        <w:r w:rsidR="00F57A6C">
          <w:rPr>
            <w:webHidden/>
          </w:rPr>
          <w:fldChar w:fldCharType="separate"/>
        </w:r>
        <w:r w:rsidR="00F57A6C">
          <w:rPr>
            <w:webHidden/>
          </w:rPr>
          <w:t>3</w:t>
        </w:r>
        <w:r w:rsidR="00F57A6C">
          <w:rPr>
            <w:webHidden/>
          </w:rPr>
          <w:fldChar w:fldCharType="end"/>
        </w:r>
      </w:hyperlink>
    </w:p>
    <w:p w14:paraId="1F68CA05" w14:textId="3E05D934" w:rsidR="00F57A6C" w:rsidRDefault="00000000">
      <w:pPr>
        <w:pStyle w:val="TOC2"/>
        <w:rPr>
          <w:rFonts w:asciiTheme="minorHAnsi" w:eastAsiaTheme="minorEastAsia" w:hAnsiTheme="minorHAnsi" w:cstheme="minorBidi"/>
          <w:sz w:val="24"/>
          <w:szCs w:val="24"/>
          <w:lang w:eastAsia="en-GB"/>
        </w:rPr>
      </w:pPr>
      <w:hyperlink w:anchor="_Toc112424259" w:history="1">
        <w:r w:rsidR="00F57A6C" w:rsidRPr="004A12AA">
          <w:rPr>
            <w:rStyle w:val="Hyperlink"/>
          </w:rPr>
          <w:t>Evaluation and reassessment</w:t>
        </w:r>
        <w:r w:rsidR="00F57A6C">
          <w:rPr>
            <w:webHidden/>
          </w:rPr>
          <w:tab/>
        </w:r>
        <w:r w:rsidR="00F57A6C">
          <w:rPr>
            <w:webHidden/>
          </w:rPr>
          <w:fldChar w:fldCharType="begin"/>
        </w:r>
        <w:r w:rsidR="00F57A6C">
          <w:rPr>
            <w:webHidden/>
          </w:rPr>
          <w:instrText xml:space="preserve"> PAGEREF _Toc112424259 \h </w:instrText>
        </w:r>
        <w:r w:rsidR="00F57A6C">
          <w:rPr>
            <w:webHidden/>
          </w:rPr>
        </w:r>
        <w:r w:rsidR="00F57A6C">
          <w:rPr>
            <w:webHidden/>
          </w:rPr>
          <w:fldChar w:fldCharType="separate"/>
        </w:r>
        <w:r w:rsidR="00F57A6C">
          <w:rPr>
            <w:webHidden/>
          </w:rPr>
          <w:t>3</w:t>
        </w:r>
        <w:r w:rsidR="00F57A6C">
          <w:rPr>
            <w:webHidden/>
          </w:rPr>
          <w:fldChar w:fldCharType="end"/>
        </w:r>
      </w:hyperlink>
    </w:p>
    <w:p w14:paraId="121AE7F4" w14:textId="442D49D1" w:rsidR="00F57A6C" w:rsidRDefault="00000000">
      <w:pPr>
        <w:pStyle w:val="TOC2"/>
        <w:rPr>
          <w:rFonts w:asciiTheme="minorHAnsi" w:eastAsiaTheme="minorEastAsia" w:hAnsiTheme="minorHAnsi" w:cstheme="minorBidi"/>
          <w:sz w:val="24"/>
          <w:szCs w:val="24"/>
          <w:lang w:eastAsia="en-GB"/>
        </w:rPr>
      </w:pPr>
      <w:hyperlink w:anchor="_Toc112424260" w:history="1">
        <w:r w:rsidR="00F57A6C" w:rsidRPr="004A12AA">
          <w:rPr>
            <w:rStyle w:val="Hyperlink"/>
            <w:lang w:val="en-GB" w:eastAsia="en-AU"/>
          </w:rPr>
          <w:t>Resident involvement</w:t>
        </w:r>
        <w:r w:rsidR="00F57A6C">
          <w:rPr>
            <w:webHidden/>
          </w:rPr>
          <w:tab/>
        </w:r>
        <w:r w:rsidR="00F57A6C">
          <w:rPr>
            <w:webHidden/>
          </w:rPr>
          <w:fldChar w:fldCharType="begin"/>
        </w:r>
        <w:r w:rsidR="00F57A6C">
          <w:rPr>
            <w:webHidden/>
          </w:rPr>
          <w:instrText xml:space="preserve"> PAGEREF _Toc112424260 \h </w:instrText>
        </w:r>
        <w:r w:rsidR="00F57A6C">
          <w:rPr>
            <w:webHidden/>
          </w:rPr>
        </w:r>
        <w:r w:rsidR="00F57A6C">
          <w:rPr>
            <w:webHidden/>
          </w:rPr>
          <w:fldChar w:fldCharType="separate"/>
        </w:r>
        <w:r w:rsidR="00F57A6C">
          <w:rPr>
            <w:webHidden/>
          </w:rPr>
          <w:t>3</w:t>
        </w:r>
        <w:r w:rsidR="00F57A6C">
          <w:rPr>
            <w:webHidden/>
          </w:rPr>
          <w:fldChar w:fldCharType="end"/>
        </w:r>
      </w:hyperlink>
    </w:p>
    <w:p w14:paraId="2D412FB8" w14:textId="18756B09" w:rsidR="00F57A6C" w:rsidRDefault="00000000">
      <w:pPr>
        <w:pStyle w:val="TOC2"/>
        <w:rPr>
          <w:rFonts w:asciiTheme="minorHAnsi" w:eastAsiaTheme="minorEastAsia" w:hAnsiTheme="minorHAnsi" w:cstheme="minorBidi"/>
          <w:sz w:val="24"/>
          <w:szCs w:val="24"/>
          <w:lang w:eastAsia="en-GB"/>
        </w:rPr>
      </w:pPr>
      <w:hyperlink w:anchor="_Toc112424261" w:history="1">
        <w:r w:rsidR="00F57A6C" w:rsidRPr="004A12AA">
          <w:rPr>
            <w:rStyle w:val="Hyperlink"/>
          </w:rPr>
          <w:t>Staff knowledge and education</w:t>
        </w:r>
        <w:r w:rsidR="00F57A6C">
          <w:rPr>
            <w:webHidden/>
          </w:rPr>
          <w:tab/>
        </w:r>
        <w:r w:rsidR="00F57A6C">
          <w:rPr>
            <w:webHidden/>
          </w:rPr>
          <w:fldChar w:fldCharType="begin"/>
        </w:r>
        <w:r w:rsidR="00F57A6C">
          <w:rPr>
            <w:webHidden/>
          </w:rPr>
          <w:instrText xml:space="preserve"> PAGEREF _Toc112424261 \h </w:instrText>
        </w:r>
        <w:r w:rsidR="00F57A6C">
          <w:rPr>
            <w:webHidden/>
          </w:rPr>
        </w:r>
        <w:r w:rsidR="00F57A6C">
          <w:rPr>
            <w:webHidden/>
          </w:rPr>
          <w:fldChar w:fldCharType="separate"/>
        </w:r>
        <w:r w:rsidR="00F57A6C">
          <w:rPr>
            <w:webHidden/>
          </w:rPr>
          <w:t>3</w:t>
        </w:r>
        <w:r w:rsidR="00F57A6C">
          <w:rPr>
            <w:webHidden/>
          </w:rPr>
          <w:fldChar w:fldCharType="end"/>
        </w:r>
      </w:hyperlink>
    </w:p>
    <w:p w14:paraId="38D06289" w14:textId="4BF8B44E" w:rsidR="00F57A6C" w:rsidRDefault="00000000">
      <w:pPr>
        <w:pStyle w:val="TOC1"/>
        <w:rPr>
          <w:rFonts w:asciiTheme="minorHAnsi" w:eastAsiaTheme="minorEastAsia" w:hAnsiTheme="minorHAnsi" w:cstheme="minorBidi"/>
          <w:b w:val="0"/>
          <w:sz w:val="24"/>
          <w:szCs w:val="24"/>
          <w:lang w:eastAsia="en-GB"/>
        </w:rPr>
      </w:pPr>
      <w:hyperlink w:anchor="_Toc112424262" w:history="1">
        <w:r w:rsidR="00F57A6C" w:rsidRPr="004A12AA">
          <w:rPr>
            <w:rStyle w:val="Hyperlink"/>
            <w:lang w:val="en-GB"/>
          </w:rPr>
          <w:t>Full standardised care process</w:t>
        </w:r>
        <w:r w:rsidR="00F57A6C">
          <w:rPr>
            <w:webHidden/>
          </w:rPr>
          <w:tab/>
        </w:r>
        <w:r w:rsidR="00F57A6C">
          <w:rPr>
            <w:webHidden/>
          </w:rPr>
          <w:fldChar w:fldCharType="begin"/>
        </w:r>
        <w:r w:rsidR="00F57A6C">
          <w:rPr>
            <w:webHidden/>
          </w:rPr>
          <w:instrText xml:space="preserve"> PAGEREF _Toc112424262 \h </w:instrText>
        </w:r>
        <w:r w:rsidR="00F57A6C">
          <w:rPr>
            <w:webHidden/>
          </w:rPr>
        </w:r>
        <w:r w:rsidR="00F57A6C">
          <w:rPr>
            <w:webHidden/>
          </w:rPr>
          <w:fldChar w:fldCharType="separate"/>
        </w:r>
        <w:r w:rsidR="00F57A6C">
          <w:rPr>
            <w:webHidden/>
          </w:rPr>
          <w:t>4</w:t>
        </w:r>
        <w:r w:rsidR="00F57A6C">
          <w:rPr>
            <w:webHidden/>
          </w:rPr>
          <w:fldChar w:fldCharType="end"/>
        </w:r>
      </w:hyperlink>
    </w:p>
    <w:p w14:paraId="2D61008E" w14:textId="59CD3581" w:rsidR="00F57A6C" w:rsidRDefault="00000000">
      <w:pPr>
        <w:pStyle w:val="TOC2"/>
        <w:rPr>
          <w:rFonts w:asciiTheme="minorHAnsi" w:eastAsiaTheme="minorEastAsia" w:hAnsiTheme="minorHAnsi" w:cstheme="minorBidi"/>
          <w:sz w:val="24"/>
          <w:szCs w:val="24"/>
          <w:lang w:eastAsia="en-GB"/>
        </w:rPr>
      </w:pPr>
      <w:hyperlink w:anchor="_Toc112424263" w:history="1">
        <w:r w:rsidR="00F57A6C" w:rsidRPr="004A12AA">
          <w:rPr>
            <w:rStyle w:val="Hyperlink"/>
          </w:rPr>
          <w:t>Recognition</w:t>
        </w:r>
        <w:r w:rsidR="00F57A6C">
          <w:rPr>
            <w:webHidden/>
          </w:rPr>
          <w:tab/>
        </w:r>
        <w:r w:rsidR="00F57A6C">
          <w:rPr>
            <w:webHidden/>
          </w:rPr>
          <w:fldChar w:fldCharType="begin"/>
        </w:r>
        <w:r w:rsidR="00F57A6C">
          <w:rPr>
            <w:webHidden/>
          </w:rPr>
          <w:instrText xml:space="preserve"> PAGEREF _Toc112424263 \h </w:instrText>
        </w:r>
        <w:r w:rsidR="00F57A6C">
          <w:rPr>
            <w:webHidden/>
          </w:rPr>
        </w:r>
        <w:r w:rsidR="00F57A6C">
          <w:rPr>
            <w:webHidden/>
          </w:rPr>
          <w:fldChar w:fldCharType="separate"/>
        </w:r>
        <w:r w:rsidR="00F57A6C">
          <w:rPr>
            <w:webHidden/>
          </w:rPr>
          <w:t>4</w:t>
        </w:r>
        <w:r w:rsidR="00F57A6C">
          <w:rPr>
            <w:webHidden/>
          </w:rPr>
          <w:fldChar w:fldCharType="end"/>
        </w:r>
      </w:hyperlink>
    </w:p>
    <w:p w14:paraId="7D5F18CE" w14:textId="08A856AB" w:rsidR="00F57A6C" w:rsidRDefault="00000000">
      <w:pPr>
        <w:pStyle w:val="TOC2"/>
        <w:rPr>
          <w:rFonts w:asciiTheme="minorHAnsi" w:eastAsiaTheme="minorEastAsia" w:hAnsiTheme="minorHAnsi" w:cstheme="minorBidi"/>
          <w:sz w:val="24"/>
          <w:szCs w:val="24"/>
          <w:lang w:eastAsia="en-GB"/>
        </w:rPr>
      </w:pPr>
      <w:hyperlink w:anchor="_Toc112424264" w:history="1">
        <w:r w:rsidR="00F57A6C" w:rsidRPr="004A12AA">
          <w:rPr>
            <w:rStyle w:val="Hyperlink"/>
            <w:rFonts w:eastAsia="Times"/>
            <w:lang w:val="en-GB"/>
          </w:rPr>
          <w:t>Assessment</w:t>
        </w:r>
        <w:r w:rsidR="00F57A6C">
          <w:rPr>
            <w:webHidden/>
          </w:rPr>
          <w:tab/>
        </w:r>
        <w:r w:rsidR="00F57A6C">
          <w:rPr>
            <w:webHidden/>
          </w:rPr>
          <w:fldChar w:fldCharType="begin"/>
        </w:r>
        <w:r w:rsidR="00F57A6C">
          <w:rPr>
            <w:webHidden/>
          </w:rPr>
          <w:instrText xml:space="preserve"> PAGEREF _Toc112424264 \h </w:instrText>
        </w:r>
        <w:r w:rsidR="00F57A6C">
          <w:rPr>
            <w:webHidden/>
          </w:rPr>
        </w:r>
        <w:r w:rsidR="00F57A6C">
          <w:rPr>
            <w:webHidden/>
          </w:rPr>
          <w:fldChar w:fldCharType="separate"/>
        </w:r>
        <w:r w:rsidR="00F57A6C">
          <w:rPr>
            <w:webHidden/>
          </w:rPr>
          <w:t>4</w:t>
        </w:r>
        <w:r w:rsidR="00F57A6C">
          <w:rPr>
            <w:webHidden/>
          </w:rPr>
          <w:fldChar w:fldCharType="end"/>
        </w:r>
      </w:hyperlink>
    </w:p>
    <w:p w14:paraId="44479324" w14:textId="3DD9512E" w:rsidR="00F57A6C" w:rsidRDefault="00000000">
      <w:pPr>
        <w:pStyle w:val="TOC2"/>
        <w:rPr>
          <w:rFonts w:asciiTheme="minorHAnsi" w:eastAsiaTheme="minorEastAsia" w:hAnsiTheme="minorHAnsi" w:cstheme="minorBidi"/>
          <w:sz w:val="24"/>
          <w:szCs w:val="24"/>
          <w:lang w:eastAsia="en-GB"/>
        </w:rPr>
      </w:pPr>
      <w:hyperlink w:anchor="_Toc112424265" w:history="1">
        <w:r w:rsidR="00F57A6C" w:rsidRPr="004A12AA">
          <w:rPr>
            <w:rStyle w:val="Hyperlink"/>
            <w:lang w:val="en-GB" w:eastAsia="en-AU"/>
          </w:rPr>
          <w:t>Interventions</w:t>
        </w:r>
        <w:r w:rsidR="00F57A6C">
          <w:rPr>
            <w:webHidden/>
          </w:rPr>
          <w:tab/>
        </w:r>
        <w:r w:rsidR="00F57A6C">
          <w:rPr>
            <w:webHidden/>
          </w:rPr>
          <w:fldChar w:fldCharType="begin"/>
        </w:r>
        <w:r w:rsidR="00F57A6C">
          <w:rPr>
            <w:webHidden/>
          </w:rPr>
          <w:instrText xml:space="preserve"> PAGEREF _Toc112424265 \h </w:instrText>
        </w:r>
        <w:r w:rsidR="00F57A6C">
          <w:rPr>
            <w:webHidden/>
          </w:rPr>
        </w:r>
        <w:r w:rsidR="00F57A6C">
          <w:rPr>
            <w:webHidden/>
          </w:rPr>
          <w:fldChar w:fldCharType="separate"/>
        </w:r>
        <w:r w:rsidR="00F57A6C">
          <w:rPr>
            <w:webHidden/>
          </w:rPr>
          <w:t>5</w:t>
        </w:r>
        <w:r w:rsidR="00F57A6C">
          <w:rPr>
            <w:webHidden/>
          </w:rPr>
          <w:fldChar w:fldCharType="end"/>
        </w:r>
      </w:hyperlink>
    </w:p>
    <w:p w14:paraId="08E4B31C" w14:textId="139C51C7" w:rsidR="00F57A6C" w:rsidRDefault="00000000">
      <w:pPr>
        <w:pStyle w:val="TOC2"/>
        <w:rPr>
          <w:rFonts w:asciiTheme="minorHAnsi" w:eastAsiaTheme="minorEastAsia" w:hAnsiTheme="minorHAnsi" w:cstheme="minorBidi"/>
          <w:sz w:val="24"/>
          <w:szCs w:val="24"/>
          <w:lang w:eastAsia="en-GB"/>
        </w:rPr>
      </w:pPr>
      <w:hyperlink w:anchor="_Toc112424266" w:history="1">
        <w:r w:rsidR="00F57A6C" w:rsidRPr="004A12AA">
          <w:rPr>
            <w:rStyle w:val="Hyperlink"/>
            <w:lang w:val="en-GB" w:eastAsia="en-AU"/>
          </w:rPr>
          <w:t>Referral</w:t>
        </w:r>
        <w:r w:rsidR="00F57A6C">
          <w:rPr>
            <w:webHidden/>
          </w:rPr>
          <w:tab/>
        </w:r>
        <w:r w:rsidR="00F57A6C">
          <w:rPr>
            <w:webHidden/>
          </w:rPr>
          <w:fldChar w:fldCharType="begin"/>
        </w:r>
        <w:r w:rsidR="00F57A6C">
          <w:rPr>
            <w:webHidden/>
          </w:rPr>
          <w:instrText xml:space="preserve"> PAGEREF _Toc112424266 \h </w:instrText>
        </w:r>
        <w:r w:rsidR="00F57A6C">
          <w:rPr>
            <w:webHidden/>
          </w:rPr>
        </w:r>
        <w:r w:rsidR="00F57A6C">
          <w:rPr>
            <w:webHidden/>
          </w:rPr>
          <w:fldChar w:fldCharType="separate"/>
        </w:r>
        <w:r w:rsidR="00F57A6C">
          <w:rPr>
            <w:webHidden/>
          </w:rPr>
          <w:t>6</w:t>
        </w:r>
        <w:r w:rsidR="00F57A6C">
          <w:rPr>
            <w:webHidden/>
          </w:rPr>
          <w:fldChar w:fldCharType="end"/>
        </w:r>
      </w:hyperlink>
    </w:p>
    <w:p w14:paraId="48B7E348" w14:textId="1D81D66B" w:rsidR="00F57A6C" w:rsidRDefault="00000000">
      <w:pPr>
        <w:pStyle w:val="TOC2"/>
        <w:rPr>
          <w:rFonts w:asciiTheme="minorHAnsi" w:eastAsiaTheme="minorEastAsia" w:hAnsiTheme="minorHAnsi" w:cstheme="minorBidi"/>
          <w:sz w:val="24"/>
          <w:szCs w:val="24"/>
          <w:lang w:eastAsia="en-GB"/>
        </w:rPr>
      </w:pPr>
      <w:hyperlink w:anchor="_Toc112424267" w:history="1">
        <w:r w:rsidR="00F57A6C" w:rsidRPr="004A12AA">
          <w:rPr>
            <w:rStyle w:val="Hyperlink"/>
            <w:lang w:val="en-GB" w:eastAsia="en-AU"/>
          </w:rPr>
          <w:t>Evaluation and reassessment</w:t>
        </w:r>
        <w:r w:rsidR="00F57A6C">
          <w:rPr>
            <w:webHidden/>
          </w:rPr>
          <w:tab/>
        </w:r>
        <w:r w:rsidR="00F57A6C">
          <w:rPr>
            <w:webHidden/>
          </w:rPr>
          <w:fldChar w:fldCharType="begin"/>
        </w:r>
        <w:r w:rsidR="00F57A6C">
          <w:rPr>
            <w:webHidden/>
          </w:rPr>
          <w:instrText xml:space="preserve"> PAGEREF _Toc112424267 \h </w:instrText>
        </w:r>
        <w:r w:rsidR="00F57A6C">
          <w:rPr>
            <w:webHidden/>
          </w:rPr>
        </w:r>
        <w:r w:rsidR="00F57A6C">
          <w:rPr>
            <w:webHidden/>
          </w:rPr>
          <w:fldChar w:fldCharType="separate"/>
        </w:r>
        <w:r w:rsidR="00F57A6C">
          <w:rPr>
            <w:webHidden/>
          </w:rPr>
          <w:t>6</w:t>
        </w:r>
        <w:r w:rsidR="00F57A6C">
          <w:rPr>
            <w:webHidden/>
          </w:rPr>
          <w:fldChar w:fldCharType="end"/>
        </w:r>
      </w:hyperlink>
    </w:p>
    <w:p w14:paraId="51971E24" w14:textId="2A621090" w:rsidR="00F57A6C" w:rsidRDefault="00000000">
      <w:pPr>
        <w:pStyle w:val="TOC2"/>
        <w:rPr>
          <w:rFonts w:asciiTheme="minorHAnsi" w:eastAsiaTheme="minorEastAsia" w:hAnsiTheme="minorHAnsi" w:cstheme="minorBidi"/>
          <w:sz w:val="24"/>
          <w:szCs w:val="24"/>
          <w:lang w:eastAsia="en-GB"/>
        </w:rPr>
      </w:pPr>
      <w:hyperlink w:anchor="_Toc112424268" w:history="1">
        <w:r w:rsidR="00F57A6C" w:rsidRPr="004A12AA">
          <w:rPr>
            <w:rStyle w:val="Hyperlink"/>
            <w:lang w:val="en-GB" w:eastAsia="en-AU"/>
          </w:rPr>
          <w:t>Resident involvement</w:t>
        </w:r>
        <w:r w:rsidR="00F57A6C">
          <w:rPr>
            <w:webHidden/>
          </w:rPr>
          <w:tab/>
        </w:r>
        <w:r w:rsidR="00F57A6C">
          <w:rPr>
            <w:webHidden/>
          </w:rPr>
          <w:fldChar w:fldCharType="begin"/>
        </w:r>
        <w:r w:rsidR="00F57A6C">
          <w:rPr>
            <w:webHidden/>
          </w:rPr>
          <w:instrText xml:space="preserve"> PAGEREF _Toc112424268 \h </w:instrText>
        </w:r>
        <w:r w:rsidR="00F57A6C">
          <w:rPr>
            <w:webHidden/>
          </w:rPr>
        </w:r>
        <w:r w:rsidR="00F57A6C">
          <w:rPr>
            <w:webHidden/>
          </w:rPr>
          <w:fldChar w:fldCharType="separate"/>
        </w:r>
        <w:r w:rsidR="00F57A6C">
          <w:rPr>
            <w:webHidden/>
          </w:rPr>
          <w:t>6</w:t>
        </w:r>
        <w:r w:rsidR="00F57A6C">
          <w:rPr>
            <w:webHidden/>
          </w:rPr>
          <w:fldChar w:fldCharType="end"/>
        </w:r>
      </w:hyperlink>
    </w:p>
    <w:p w14:paraId="2D6C34E1" w14:textId="3CC787F4" w:rsidR="00F57A6C" w:rsidRDefault="00000000">
      <w:pPr>
        <w:pStyle w:val="TOC2"/>
        <w:rPr>
          <w:rFonts w:asciiTheme="minorHAnsi" w:eastAsiaTheme="minorEastAsia" w:hAnsiTheme="minorHAnsi" w:cstheme="minorBidi"/>
          <w:sz w:val="24"/>
          <w:szCs w:val="24"/>
          <w:lang w:eastAsia="en-GB"/>
        </w:rPr>
      </w:pPr>
      <w:hyperlink w:anchor="_Toc112424269" w:history="1">
        <w:r w:rsidR="00F57A6C" w:rsidRPr="004A12AA">
          <w:rPr>
            <w:rStyle w:val="Hyperlink"/>
            <w:lang w:val="en-GB" w:eastAsia="en-AU"/>
          </w:rPr>
          <w:t>Staff knowledge and education</w:t>
        </w:r>
        <w:r w:rsidR="00F57A6C">
          <w:rPr>
            <w:webHidden/>
          </w:rPr>
          <w:tab/>
        </w:r>
        <w:r w:rsidR="00F57A6C">
          <w:rPr>
            <w:webHidden/>
          </w:rPr>
          <w:fldChar w:fldCharType="begin"/>
        </w:r>
        <w:r w:rsidR="00F57A6C">
          <w:rPr>
            <w:webHidden/>
          </w:rPr>
          <w:instrText xml:space="preserve"> PAGEREF _Toc112424269 \h </w:instrText>
        </w:r>
        <w:r w:rsidR="00F57A6C">
          <w:rPr>
            <w:webHidden/>
          </w:rPr>
        </w:r>
        <w:r w:rsidR="00F57A6C">
          <w:rPr>
            <w:webHidden/>
          </w:rPr>
          <w:fldChar w:fldCharType="separate"/>
        </w:r>
        <w:r w:rsidR="00F57A6C">
          <w:rPr>
            <w:webHidden/>
          </w:rPr>
          <w:t>6</w:t>
        </w:r>
        <w:r w:rsidR="00F57A6C">
          <w:rPr>
            <w:webHidden/>
          </w:rPr>
          <w:fldChar w:fldCharType="end"/>
        </w:r>
      </w:hyperlink>
    </w:p>
    <w:p w14:paraId="2B356180" w14:textId="38BAB8DC" w:rsidR="00F57A6C" w:rsidRDefault="00000000">
      <w:pPr>
        <w:pStyle w:val="TOC1"/>
        <w:rPr>
          <w:rFonts w:asciiTheme="minorHAnsi" w:eastAsiaTheme="minorEastAsia" w:hAnsiTheme="minorHAnsi" w:cstheme="minorBidi"/>
          <w:b w:val="0"/>
          <w:sz w:val="24"/>
          <w:szCs w:val="24"/>
          <w:lang w:eastAsia="en-GB"/>
        </w:rPr>
      </w:pPr>
      <w:hyperlink w:anchor="_Toc112424270" w:history="1">
        <w:r w:rsidR="00F57A6C" w:rsidRPr="004A12AA">
          <w:rPr>
            <w:rStyle w:val="Hyperlink"/>
          </w:rPr>
          <w:t>Evidence base</w:t>
        </w:r>
        <w:r w:rsidR="00F57A6C">
          <w:rPr>
            <w:webHidden/>
          </w:rPr>
          <w:tab/>
        </w:r>
        <w:r w:rsidR="00F57A6C">
          <w:rPr>
            <w:webHidden/>
          </w:rPr>
          <w:fldChar w:fldCharType="begin"/>
        </w:r>
        <w:r w:rsidR="00F57A6C">
          <w:rPr>
            <w:webHidden/>
          </w:rPr>
          <w:instrText xml:space="preserve"> PAGEREF _Toc112424270 \h </w:instrText>
        </w:r>
        <w:r w:rsidR="00F57A6C">
          <w:rPr>
            <w:webHidden/>
          </w:rPr>
        </w:r>
        <w:r w:rsidR="00F57A6C">
          <w:rPr>
            <w:webHidden/>
          </w:rPr>
          <w:fldChar w:fldCharType="separate"/>
        </w:r>
        <w:r w:rsidR="00F57A6C">
          <w:rPr>
            <w:webHidden/>
          </w:rPr>
          <w:t>7</w:t>
        </w:r>
        <w:r w:rsidR="00F57A6C">
          <w:rPr>
            <w:webHidden/>
          </w:rPr>
          <w:fldChar w:fldCharType="end"/>
        </w:r>
      </w:hyperlink>
    </w:p>
    <w:p w14:paraId="7180B8A5" w14:textId="39EA2319" w:rsidR="007173CA" w:rsidRDefault="004D1DA0" w:rsidP="00D079AA">
      <w:pPr>
        <w:pStyle w:val="Body"/>
      </w:pPr>
      <w:r>
        <w:rPr>
          <w:rFonts w:eastAsia="Times New Roman"/>
          <w:b/>
          <w:noProof/>
        </w:rPr>
        <w:fldChar w:fldCharType="end"/>
      </w:r>
    </w:p>
    <w:p w14:paraId="7238730C" w14:textId="77777777" w:rsidR="00580394" w:rsidRPr="00B519CD" w:rsidRDefault="00580394" w:rsidP="007173CA">
      <w:pPr>
        <w:pStyle w:val="Body"/>
        <w:sectPr w:rsidR="00580394" w:rsidRPr="00B519CD" w:rsidSect="00E62622">
          <w:headerReference w:type="default" r:id="rId15"/>
          <w:type w:val="continuous"/>
          <w:pgSz w:w="11906" w:h="16838" w:code="9"/>
          <w:pgMar w:top="1418" w:right="851" w:bottom="1418" w:left="851" w:header="851" w:footer="851" w:gutter="0"/>
          <w:cols w:space="340"/>
          <w:titlePg/>
          <w:docGrid w:linePitch="360"/>
        </w:sectPr>
      </w:pPr>
    </w:p>
    <w:p w14:paraId="7AA27CC8" w14:textId="77777777" w:rsidR="00F32368" w:rsidRPr="00F32368" w:rsidRDefault="00F32368" w:rsidP="00F32368">
      <w:pPr>
        <w:pStyle w:val="Body"/>
      </w:pPr>
      <w:bookmarkStart w:id="0" w:name="_Hlk41913885"/>
    </w:p>
    <w:bookmarkEnd w:id="0"/>
    <w:p w14:paraId="5CF08F43" w14:textId="77777777" w:rsidR="004D1DA0" w:rsidRDefault="004D1DA0">
      <w:pPr>
        <w:spacing w:after="0" w:line="240" w:lineRule="auto"/>
        <w:rPr>
          <w:b/>
          <w:color w:val="53565A"/>
          <w:sz w:val="32"/>
          <w:szCs w:val="28"/>
          <w:lang w:val="en-GB" w:eastAsia="en-AU"/>
        </w:rPr>
      </w:pPr>
      <w:r>
        <w:rPr>
          <w:lang w:val="en-GB" w:eastAsia="en-AU"/>
        </w:rPr>
        <w:br w:type="page"/>
      </w:r>
    </w:p>
    <w:p w14:paraId="305CE54D" w14:textId="7565C983" w:rsidR="00A047F5" w:rsidRPr="004D1DA0" w:rsidRDefault="00A047F5" w:rsidP="004D1DA0">
      <w:pPr>
        <w:pStyle w:val="Heading2"/>
      </w:pPr>
      <w:bookmarkStart w:id="1" w:name="_Toc112424250"/>
      <w:r w:rsidRPr="004D1DA0">
        <w:lastRenderedPageBreak/>
        <w:t>Objective</w:t>
      </w:r>
      <w:bookmarkEnd w:id="1"/>
    </w:p>
    <w:p w14:paraId="2E0E36A1" w14:textId="0C4764F9" w:rsidR="00317913" w:rsidRDefault="00317913" w:rsidP="00317913">
      <w:pPr>
        <w:pStyle w:val="Bodynospace"/>
        <w:rPr>
          <w:lang w:val="en-GB" w:eastAsia="en-AU"/>
        </w:rPr>
      </w:pPr>
      <w:r>
        <w:rPr>
          <w:lang w:val="en-GB" w:eastAsia="en-AU"/>
        </w:rPr>
        <w:t>To promote evidence-based practice in the response to unplanned weight loss for older people</w:t>
      </w:r>
    </w:p>
    <w:p w14:paraId="2067AFB2" w14:textId="4D808CD9" w:rsidR="00317913" w:rsidRPr="00317913" w:rsidRDefault="00317913" w:rsidP="00317913">
      <w:pPr>
        <w:pStyle w:val="Bodynospace"/>
        <w:rPr>
          <w:lang w:val="en-GB" w:eastAsia="en-AU"/>
        </w:rPr>
      </w:pPr>
      <w:r>
        <w:rPr>
          <w:lang w:val="en-GB" w:eastAsia="en-AU"/>
        </w:rPr>
        <w:t>who live in a residential aged care setting.</w:t>
      </w:r>
    </w:p>
    <w:p w14:paraId="14E59D99" w14:textId="29304821" w:rsidR="00A047F5" w:rsidRPr="00317913" w:rsidRDefault="00A047F5" w:rsidP="00317913">
      <w:pPr>
        <w:pStyle w:val="Heading2"/>
      </w:pPr>
      <w:bookmarkStart w:id="2" w:name="_Toc112424251"/>
      <w:r w:rsidRPr="00317913">
        <w:t xml:space="preserve">Why the response to </w:t>
      </w:r>
      <w:r w:rsidR="00317913" w:rsidRPr="00317913">
        <w:rPr>
          <w:rFonts w:eastAsia="Times"/>
          <w:lang w:val="en-GB"/>
        </w:rPr>
        <w:t>unplanned</w:t>
      </w:r>
      <w:r w:rsidR="00317913">
        <w:rPr>
          <w:lang w:val="en-GB"/>
        </w:rPr>
        <w:t xml:space="preserve"> </w:t>
      </w:r>
      <w:r w:rsidR="00317913" w:rsidRPr="00317913">
        <w:rPr>
          <w:lang w:val="en-GB"/>
        </w:rPr>
        <w:t>weight loss</w:t>
      </w:r>
      <w:r w:rsidR="00317913">
        <w:rPr>
          <w:lang w:val="en-GB"/>
        </w:rPr>
        <w:t xml:space="preserve"> </w:t>
      </w:r>
      <w:r w:rsidRPr="00317913">
        <w:t xml:space="preserve">is </w:t>
      </w:r>
      <w:proofErr w:type="gramStart"/>
      <w:r w:rsidRPr="00317913">
        <w:t>important</w:t>
      </w:r>
      <w:bookmarkEnd w:id="2"/>
      <w:proofErr w:type="gramEnd"/>
    </w:p>
    <w:p w14:paraId="30052DD7" w14:textId="15E7B04D" w:rsidR="00836BA1" w:rsidRPr="00317913" w:rsidRDefault="00317913" w:rsidP="00317913">
      <w:pPr>
        <w:pStyle w:val="Bodynospace"/>
        <w:rPr>
          <w:lang w:val="en-GB"/>
        </w:rPr>
      </w:pPr>
      <w:r w:rsidRPr="00317913">
        <w:rPr>
          <w:lang w:val="en-GB"/>
        </w:rPr>
        <w:t>Undernourishment and weight loss are common</w:t>
      </w:r>
      <w:r>
        <w:rPr>
          <w:lang w:val="en-GB"/>
        </w:rPr>
        <w:t xml:space="preserve"> </w:t>
      </w:r>
      <w:r w:rsidRPr="00317913">
        <w:rPr>
          <w:lang w:val="en-GB"/>
        </w:rPr>
        <w:t>in older people and have a detrimental impact</w:t>
      </w:r>
      <w:r>
        <w:rPr>
          <w:lang w:val="en-GB"/>
        </w:rPr>
        <w:t xml:space="preserve"> </w:t>
      </w:r>
      <w:r w:rsidRPr="00317913">
        <w:rPr>
          <w:lang w:val="en-GB"/>
        </w:rPr>
        <w:t>on the health and wellbeing of the individual.</w:t>
      </w:r>
      <w:r>
        <w:rPr>
          <w:lang w:val="en-GB"/>
        </w:rPr>
        <w:t xml:space="preserve"> </w:t>
      </w:r>
      <w:r w:rsidRPr="00317913">
        <w:rPr>
          <w:lang w:val="en-GB"/>
        </w:rPr>
        <w:t>It is therefore important that unplanned weight loss</w:t>
      </w:r>
      <w:r>
        <w:rPr>
          <w:lang w:val="en-GB"/>
        </w:rPr>
        <w:t xml:space="preserve"> </w:t>
      </w:r>
      <w:r w:rsidRPr="00317913">
        <w:rPr>
          <w:lang w:val="en-GB"/>
        </w:rPr>
        <w:t>is detected and acted upon (Marin 2019).</w:t>
      </w:r>
      <w:r w:rsidR="00A047F5" w:rsidRPr="00B57329">
        <w:t xml:space="preserve"> </w:t>
      </w:r>
    </w:p>
    <w:p w14:paraId="7C5CA9D0" w14:textId="77777777" w:rsidR="00836BA1" w:rsidRDefault="00836BA1" w:rsidP="00836BA1">
      <w:pPr>
        <w:pStyle w:val="Heading2"/>
        <w:rPr>
          <w:lang w:val="en-GB" w:eastAsia="en-AU"/>
        </w:rPr>
      </w:pPr>
      <w:bookmarkStart w:id="3" w:name="_Toc112424252"/>
      <w:r>
        <w:rPr>
          <w:lang w:val="en-GB" w:eastAsia="en-AU"/>
        </w:rPr>
        <w:t>Definitions</w:t>
      </w:r>
      <w:bookmarkEnd w:id="3"/>
    </w:p>
    <w:p w14:paraId="7D2F1F05" w14:textId="2DF31CE5" w:rsidR="00317913" w:rsidRPr="00317913" w:rsidRDefault="00317913" w:rsidP="00317913">
      <w:pPr>
        <w:pStyle w:val="Body"/>
      </w:pPr>
      <w:r w:rsidRPr="00A149B0">
        <w:rPr>
          <w:b/>
          <w:bCs/>
        </w:rPr>
        <w:t>Body mass index (BMI):</w:t>
      </w:r>
      <w:r w:rsidRPr="00317913">
        <w:t xml:space="preserve"> a weight-to-height</w:t>
      </w:r>
      <w:r>
        <w:t xml:space="preserve"> </w:t>
      </w:r>
      <w:r w:rsidRPr="00317913">
        <w:t>ratio calculation that helps assess a resident’s</w:t>
      </w:r>
      <w:r>
        <w:t xml:space="preserve"> </w:t>
      </w:r>
      <w:r w:rsidRPr="00317913">
        <w:t xml:space="preserve">nutritional status. </w:t>
      </w:r>
      <w:r>
        <w:t xml:space="preserve"> </w:t>
      </w:r>
      <w:r w:rsidRPr="00317913">
        <w:t>The BMI is calculated using the following formula:</w:t>
      </w:r>
    </w:p>
    <w:p w14:paraId="2E40AAA2" w14:textId="3C3B6D75" w:rsidR="00317913" w:rsidRPr="00317913" w:rsidRDefault="00317913" w:rsidP="00317913">
      <w:pPr>
        <w:pStyle w:val="Body"/>
        <w:ind w:firstLine="720"/>
      </w:pPr>
      <w:r w:rsidRPr="00317913">
        <w:t>BMI = Weight in kilograms ÷ Height in metres2 (The Joanna Briggs Institute 2019).</w:t>
      </w:r>
    </w:p>
    <w:p w14:paraId="5E079958" w14:textId="373C7F48" w:rsidR="00317913" w:rsidRPr="00317913" w:rsidRDefault="00317913" w:rsidP="00317913">
      <w:pPr>
        <w:pStyle w:val="Body"/>
        <w:ind w:firstLine="720"/>
      </w:pPr>
      <w:r w:rsidRPr="00317913">
        <w:t>A BMI of 22–27 kg/m2 is desirable for older people (The Joanna Briggs Institute 2019).</w:t>
      </w:r>
    </w:p>
    <w:p w14:paraId="442CA01D" w14:textId="2E38171D" w:rsidR="00317913" w:rsidRPr="00317913" w:rsidRDefault="00317913" w:rsidP="00317913">
      <w:pPr>
        <w:pStyle w:val="Bodynospace"/>
      </w:pPr>
      <w:r w:rsidRPr="00A149B0">
        <w:rPr>
          <w:b/>
          <w:bCs/>
        </w:rPr>
        <w:t>Unplanned weight loss:</w:t>
      </w:r>
      <w:r w:rsidRPr="00317913">
        <w:t xml:space="preserve"> between 5 and 10 per cent</w:t>
      </w:r>
      <w:r>
        <w:t xml:space="preserve"> </w:t>
      </w:r>
      <w:r w:rsidRPr="00317913">
        <w:t>weight loss compared with usual body weight within</w:t>
      </w:r>
      <w:r>
        <w:t xml:space="preserve"> </w:t>
      </w:r>
      <w:r w:rsidRPr="00317913">
        <w:t>the preceding 3–6 months (NICE 2017).</w:t>
      </w:r>
    </w:p>
    <w:p w14:paraId="7DD66F3E" w14:textId="3419E483" w:rsidR="00AF35C5" w:rsidRPr="00AF35C5" w:rsidRDefault="00AF35C5" w:rsidP="00AF35C5">
      <w:pPr>
        <w:pStyle w:val="Heading2"/>
      </w:pPr>
      <w:bookmarkStart w:id="4" w:name="_Toc112424253"/>
      <w:r w:rsidRPr="00AF35C5">
        <w:t>Team</w:t>
      </w:r>
      <w:bookmarkEnd w:id="4"/>
    </w:p>
    <w:p w14:paraId="2D9D164E" w14:textId="7C9831BC" w:rsidR="00A149B0" w:rsidRPr="00A149B0" w:rsidRDefault="00A149B0" w:rsidP="00A149B0">
      <w:pPr>
        <w:pStyle w:val="Bodynospace"/>
      </w:pPr>
      <w:r w:rsidRPr="00A149B0">
        <w:t>Manager, registered nurses (RNs), enrolled nurses</w:t>
      </w:r>
      <w:r>
        <w:t xml:space="preserve"> </w:t>
      </w:r>
      <w:r w:rsidRPr="00A149B0">
        <w:t>(ENs), personal care attendants (PCAs), leisure</w:t>
      </w:r>
      <w:r>
        <w:t xml:space="preserve"> </w:t>
      </w:r>
      <w:r w:rsidRPr="00A149B0">
        <w:t>and lifestyle staff, general practitioner (GP),</w:t>
      </w:r>
      <w:r>
        <w:t xml:space="preserve"> </w:t>
      </w:r>
      <w:r w:rsidRPr="00A149B0">
        <w:t>allied health professionals (such as a dietitian,</w:t>
      </w:r>
      <w:r>
        <w:t xml:space="preserve"> </w:t>
      </w:r>
      <w:r w:rsidRPr="00A149B0">
        <w:t>speech pathologist, physiotherapist, occupational</w:t>
      </w:r>
      <w:r>
        <w:t xml:space="preserve"> </w:t>
      </w:r>
      <w:r w:rsidRPr="00A149B0">
        <w:t>therapist, exercise physiologist), residents and/or</w:t>
      </w:r>
      <w:r>
        <w:t xml:space="preserve"> </w:t>
      </w:r>
      <w:r w:rsidRPr="00A149B0">
        <w:t>family/carers.</w:t>
      </w:r>
    </w:p>
    <w:p w14:paraId="1E343488" w14:textId="4C4FD4A2" w:rsidR="00AF35C5" w:rsidRPr="00AF35C5" w:rsidRDefault="00AF35C5" w:rsidP="00A149B0">
      <w:pPr>
        <w:pStyle w:val="Heading2"/>
      </w:pPr>
      <w:bookmarkStart w:id="5" w:name="_Toc112424254"/>
      <w:r w:rsidRPr="00AF35C5">
        <w:t>Acknowledgement</w:t>
      </w:r>
      <w:bookmarkEnd w:id="5"/>
    </w:p>
    <w:p w14:paraId="2D77439A" w14:textId="34D3A487" w:rsidR="00836BA1" w:rsidRDefault="00A149B0" w:rsidP="00A149B0">
      <w:pPr>
        <w:pStyle w:val="Bodynospace"/>
      </w:pPr>
      <w:r w:rsidRPr="00A149B0">
        <w:rPr>
          <w:lang w:val="en-GB" w:eastAsia="en-AU"/>
        </w:rPr>
        <w:t>This standardised care process (SCP) has been</w:t>
      </w:r>
      <w:r>
        <w:rPr>
          <w:lang w:val="en-GB" w:eastAsia="en-AU"/>
        </w:rPr>
        <w:t xml:space="preserve"> </w:t>
      </w:r>
      <w:r w:rsidRPr="00A149B0">
        <w:rPr>
          <w:lang w:val="en-GB" w:eastAsia="en-AU"/>
        </w:rPr>
        <w:t>developed for public sector residential aged</w:t>
      </w:r>
      <w:r>
        <w:rPr>
          <w:lang w:val="en-GB" w:eastAsia="en-AU"/>
        </w:rPr>
        <w:t xml:space="preserve"> </w:t>
      </w:r>
      <w:r w:rsidRPr="00A149B0">
        <w:rPr>
          <w:lang w:val="en-GB" w:eastAsia="en-AU"/>
        </w:rPr>
        <w:t>care services (PSRACS) by the Australian Centre</w:t>
      </w:r>
      <w:r>
        <w:rPr>
          <w:lang w:val="en-GB" w:eastAsia="en-AU"/>
        </w:rPr>
        <w:t xml:space="preserve"> </w:t>
      </w:r>
      <w:r w:rsidRPr="00A149B0">
        <w:rPr>
          <w:lang w:val="en-GB" w:eastAsia="en-AU"/>
        </w:rPr>
        <w:t>for Evidence Based Care (ACEBAC) at La Trobe</w:t>
      </w:r>
      <w:r>
        <w:rPr>
          <w:lang w:val="en-GB" w:eastAsia="en-AU"/>
        </w:rPr>
        <w:t xml:space="preserve"> </w:t>
      </w:r>
      <w:r w:rsidRPr="00A149B0">
        <w:rPr>
          <w:lang w:val="en-GB" w:eastAsia="en-AU"/>
        </w:rPr>
        <w:t>University through the Department of Health and</w:t>
      </w:r>
      <w:r>
        <w:rPr>
          <w:lang w:val="en-GB" w:eastAsia="en-AU"/>
        </w:rPr>
        <w:t xml:space="preserve"> </w:t>
      </w:r>
      <w:r w:rsidRPr="00A149B0">
        <w:rPr>
          <w:lang w:val="en-GB" w:eastAsia="en-AU"/>
        </w:rPr>
        <w:t>Human Services Strengthening Care Outcomes for</w:t>
      </w:r>
      <w:r>
        <w:rPr>
          <w:lang w:val="en-GB" w:eastAsia="en-AU"/>
        </w:rPr>
        <w:t xml:space="preserve"> </w:t>
      </w:r>
      <w:r w:rsidRPr="00A149B0">
        <w:rPr>
          <w:lang w:val="en-GB" w:eastAsia="en-AU"/>
        </w:rPr>
        <w:t>Residents with Evidence (SCORE) initiatives. This</w:t>
      </w:r>
      <w:r>
        <w:rPr>
          <w:lang w:val="en-GB" w:eastAsia="en-AU"/>
        </w:rPr>
        <w:t xml:space="preserve"> </w:t>
      </w:r>
      <w:r w:rsidRPr="00A149B0">
        <w:rPr>
          <w:lang w:val="en-GB" w:eastAsia="en-AU"/>
        </w:rPr>
        <w:t>SCP is one of a series of priority risk areas reviewed</w:t>
      </w:r>
      <w:r>
        <w:rPr>
          <w:lang w:val="en-GB" w:eastAsia="en-AU"/>
        </w:rPr>
        <w:t xml:space="preserve"> </w:t>
      </w:r>
      <w:r w:rsidRPr="00A149B0">
        <w:rPr>
          <w:lang w:val="en-GB" w:eastAsia="en-AU"/>
        </w:rPr>
        <w:t>based on the best available evidence in 202</w:t>
      </w:r>
      <w:r w:rsidR="00CD305F">
        <w:rPr>
          <w:lang w:val="en-GB" w:eastAsia="en-AU"/>
        </w:rPr>
        <w:t>3</w:t>
      </w:r>
      <w:r w:rsidRPr="00A149B0">
        <w:rPr>
          <w:lang w:val="en-GB" w:eastAsia="en-AU"/>
        </w:rPr>
        <w:t>.</w:t>
      </w:r>
    </w:p>
    <w:p w14:paraId="3EC2CA41" w14:textId="77777777" w:rsidR="00AF35C5" w:rsidRDefault="00AF35C5">
      <w:pPr>
        <w:spacing w:after="0" w:line="240" w:lineRule="auto"/>
        <w:rPr>
          <w:rFonts w:eastAsia="Times"/>
        </w:rPr>
      </w:pPr>
      <w:r>
        <w:br w:type="page"/>
      </w:r>
    </w:p>
    <w:p w14:paraId="4945FF38" w14:textId="1142C236" w:rsidR="000A1155" w:rsidRDefault="00AF35C5" w:rsidP="000A1155">
      <w:pPr>
        <w:pStyle w:val="Heading1"/>
      </w:pPr>
      <w:bookmarkStart w:id="6" w:name="_Toc112424255"/>
      <w:r w:rsidRPr="00AF35C5">
        <w:lastRenderedPageBreak/>
        <w:t>Brief standardised care process</w:t>
      </w:r>
      <w:bookmarkEnd w:id="6"/>
    </w:p>
    <w:p w14:paraId="489F95F5" w14:textId="77777777" w:rsidR="00EA2C24" w:rsidRDefault="00EA2C24" w:rsidP="00AF35C5">
      <w:pPr>
        <w:pStyle w:val="Heading2"/>
        <w:rPr>
          <w:lang w:val="en-GB" w:eastAsia="en-AU"/>
        </w:rPr>
        <w:sectPr w:rsidR="00EA2C24" w:rsidSect="00E62622">
          <w:footerReference w:type="default" r:id="rId16"/>
          <w:type w:val="continuous"/>
          <w:pgSz w:w="11906" w:h="16838" w:code="9"/>
          <w:pgMar w:top="1418" w:right="851" w:bottom="1418" w:left="851" w:header="680" w:footer="851" w:gutter="0"/>
          <w:cols w:space="340"/>
          <w:docGrid w:linePitch="360"/>
        </w:sectPr>
      </w:pPr>
    </w:p>
    <w:p w14:paraId="5C55105A" w14:textId="72B933CE" w:rsidR="00AF35C5" w:rsidRDefault="00AF35C5" w:rsidP="00AF35C5">
      <w:pPr>
        <w:pStyle w:val="Heading2"/>
        <w:rPr>
          <w:lang w:val="en-GB" w:eastAsia="en-AU"/>
        </w:rPr>
      </w:pPr>
      <w:bookmarkStart w:id="7" w:name="_Toc112424256"/>
      <w:r>
        <w:rPr>
          <w:lang w:val="en-GB" w:eastAsia="en-AU"/>
        </w:rPr>
        <w:t>Recognition and assessment</w:t>
      </w:r>
      <w:bookmarkEnd w:id="7"/>
    </w:p>
    <w:p w14:paraId="108CB5BE" w14:textId="77777777" w:rsidR="00A149B0" w:rsidRDefault="00A149B0" w:rsidP="00A149B0">
      <w:pPr>
        <w:pStyle w:val="Body"/>
        <w:rPr>
          <w:lang w:val="en-GB" w:eastAsia="en-AU"/>
        </w:rPr>
      </w:pPr>
      <w:r>
        <w:rPr>
          <w:lang w:val="en-GB" w:eastAsia="en-AU"/>
        </w:rPr>
        <w:t>Remain alert for signs of weight loss in residents.</w:t>
      </w:r>
    </w:p>
    <w:p w14:paraId="131F1E62" w14:textId="78B94A90" w:rsidR="006111C7" w:rsidRPr="006111C7" w:rsidRDefault="006111C7" w:rsidP="006111C7">
      <w:pPr>
        <w:pStyle w:val="Body"/>
      </w:pPr>
      <w:r w:rsidRPr="006111C7">
        <w:t>Clinical guidelines recommend routine screening for malnutrition in all older adults, together with nutritional assessment and individually tailored nutritional support for older adults with a positive screening test</w:t>
      </w:r>
      <w:r>
        <w:t>.</w:t>
      </w:r>
    </w:p>
    <w:p w14:paraId="266677B4" w14:textId="00EBD6D9" w:rsidR="00A149B0" w:rsidRDefault="00A149B0" w:rsidP="00A149B0">
      <w:pPr>
        <w:pStyle w:val="Body"/>
        <w:rPr>
          <w:lang w:val="en-GB" w:eastAsia="en-AU"/>
        </w:rPr>
      </w:pPr>
      <w:r>
        <w:rPr>
          <w:lang w:val="en-GB" w:eastAsia="en-AU"/>
        </w:rPr>
        <w:t>On admission, conduct a nutritional assessment including:</w:t>
      </w:r>
    </w:p>
    <w:p w14:paraId="440AF79A" w14:textId="578D0486" w:rsidR="00A149B0" w:rsidRDefault="00A149B0" w:rsidP="00A149B0">
      <w:pPr>
        <w:pStyle w:val="Bullet1"/>
        <w:rPr>
          <w:lang w:val="en-GB" w:eastAsia="en-AU"/>
        </w:rPr>
      </w:pPr>
      <w:r>
        <w:rPr>
          <w:lang w:val="en-GB" w:eastAsia="en-AU"/>
        </w:rPr>
        <w:t>dietary history</w:t>
      </w:r>
    </w:p>
    <w:p w14:paraId="73C9A629" w14:textId="2F3F982E" w:rsidR="00A149B0" w:rsidRDefault="00A149B0" w:rsidP="00A149B0">
      <w:pPr>
        <w:pStyle w:val="Bullet1"/>
        <w:rPr>
          <w:lang w:val="en-GB" w:eastAsia="en-AU"/>
        </w:rPr>
      </w:pPr>
      <w:r>
        <w:rPr>
          <w:lang w:val="en-GB" w:eastAsia="en-AU"/>
        </w:rPr>
        <w:t>medical history</w:t>
      </w:r>
    </w:p>
    <w:p w14:paraId="19F85D38" w14:textId="50B17309" w:rsidR="00A149B0" w:rsidRDefault="00A149B0" w:rsidP="00A149B0">
      <w:pPr>
        <w:pStyle w:val="Bullet1"/>
        <w:rPr>
          <w:lang w:val="en-GB" w:eastAsia="en-AU"/>
        </w:rPr>
      </w:pPr>
      <w:r>
        <w:rPr>
          <w:lang w:val="en-GB" w:eastAsia="en-AU"/>
        </w:rPr>
        <w:t>physical examination</w:t>
      </w:r>
    </w:p>
    <w:p w14:paraId="681CFD97" w14:textId="37057ED3" w:rsidR="00A149B0" w:rsidRDefault="00A149B0" w:rsidP="00A149B0">
      <w:pPr>
        <w:pStyle w:val="Bullet1"/>
        <w:rPr>
          <w:lang w:val="en-GB" w:eastAsia="en-AU"/>
        </w:rPr>
      </w:pPr>
      <w:r>
        <w:rPr>
          <w:lang w:val="en-GB" w:eastAsia="en-AU"/>
        </w:rPr>
        <w:t>Mini Nutritional Assessment (MNA)</w:t>
      </w:r>
    </w:p>
    <w:p w14:paraId="3B39784D" w14:textId="56A9C23D" w:rsidR="00A149B0" w:rsidRDefault="00A149B0" w:rsidP="00A149B0">
      <w:pPr>
        <w:pStyle w:val="Bullet1"/>
        <w:rPr>
          <w:lang w:val="en-GB" w:eastAsia="en-AU"/>
        </w:rPr>
      </w:pPr>
      <w:r>
        <w:rPr>
          <w:lang w:val="en-GB" w:eastAsia="en-AU"/>
        </w:rPr>
        <w:t>social factors</w:t>
      </w:r>
    </w:p>
    <w:p w14:paraId="54F09646" w14:textId="6F9A3453" w:rsidR="00A149B0" w:rsidRDefault="00A149B0" w:rsidP="00A149B0">
      <w:pPr>
        <w:pStyle w:val="Bullet1"/>
        <w:rPr>
          <w:lang w:val="en-GB" w:eastAsia="en-AU"/>
        </w:rPr>
      </w:pPr>
      <w:r>
        <w:rPr>
          <w:lang w:val="en-GB" w:eastAsia="en-AU"/>
        </w:rPr>
        <w:t>functional ability.</w:t>
      </w:r>
    </w:p>
    <w:p w14:paraId="306B2FB0" w14:textId="498D833D" w:rsidR="002C117D" w:rsidRDefault="002C117D" w:rsidP="00A149B0">
      <w:pPr>
        <w:pStyle w:val="Heading2"/>
        <w:rPr>
          <w:lang w:val="en-GB" w:eastAsia="en-AU"/>
        </w:rPr>
      </w:pPr>
      <w:bookmarkStart w:id="8" w:name="_Toc112424257"/>
      <w:r>
        <w:rPr>
          <w:lang w:val="en-GB" w:eastAsia="en-AU"/>
        </w:rPr>
        <w:t>Interventions</w:t>
      </w:r>
      <w:bookmarkEnd w:id="8"/>
    </w:p>
    <w:p w14:paraId="68A6618A" w14:textId="77777777" w:rsidR="00A149B0" w:rsidRDefault="00A149B0" w:rsidP="00A149B0">
      <w:pPr>
        <w:pStyle w:val="Body"/>
        <w:rPr>
          <w:lang w:val="en-GB" w:eastAsia="en-AU"/>
        </w:rPr>
      </w:pPr>
      <w:r>
        <w:rPr>
          <w:lang w:val="en-GB" w:eastAsia="en-AU"/>
        </w:rPr>
        <w:t>Interventions should be implemented if:</w:t>
      </w:r>
    </w:p>
    <w:p w14:paraId="5599F1B7" w14:textId="06665C89" w:rsidR="00A149B0" w:rsidRPr="00A149B0" w:rsidRDefault="00A149B0" w:rsidP="007373F2">
      <w:pPr>
        <w:pStyle w:val="Bullet1"/>
      </w:pPr>
      <w:r w:rsidRPr="00A149B0">
        <w:t>weight loss is detected, or the BMI is less than</w:t>
      </w:r>
      <w:r>
        <w:t xml:space="preserve"> </w:t>
      </w:r>
      <w:r w:rsidRPr="00A149B0">
        <w:t>20 if under 70 years, and under 22 if over 70 years</w:t>
      </w:r>
    </w:p>
    <w:p w14:paraId="50FEF09D" w14:textId="36D9501F" w:rsidR="00A149B0" w:rsidRPr="00A149B0" w:rsidRDefault="00A149B0" w:rsidP="00BE421E">
      <w:pPr>
        <w:pStyle w:val="Bullet1"/>
      </w:pPr>
      <w:r w:rsidRPr="00A149B0">
        <w:t>the resident’s oral intake is less than 50 per cent</w:t>
      </w:r>
      <w:r>
        <w:t xml:space="preserve"> </w:t>
      </w:r>
      <w:r w:rsidRPr="00A149B0">
        <w:t>of requirements for more than three days.</w:t>
      </w:r>
    </w:p>
    <w:p w14:paraId="6510C2CE" w14:textId="5F6185DC" w:rsidR="002C117D" w:rsidRDefault="002C117D" w:rsidP="00A149B0">
      <w:pPr>
        <w:pStyle w:val="Heading2"/>
        <w:rPr>
          <w:lang w:val="en-GB" w:eastAsia="en-AU"/>
        </w:rPr>
      </w:pPr>
      <w:bookmarkStart w:id="9" w:name="_Toc112424258"/>
      <w:r>
        <w:rPr>
          <w:lang w:val="en-GB" w:eastAsia="en-AU"/>
        </w:rPr>
        <w:t>Referral</w:t>
      </w:r>
      <w:bookmarkEnd w:id="9"/>
    </w:p>
    <w:p w14:paraId="3920F68A" w14:textId="77777777" w:rsidR="00A149B0" w:rsidRDefault="00A149B0" w:rsidP="00A149B0">
      <w:pPr>
        <w:pStyle w:val="Bullet1"/>
        <w:rPr>
          <w:lang w:val="en-GB" w:eastAsia="en-AU"/>
        </w:rPr>
      </w:pPr>
      <w:r>
        <w:rPr>
          <w:lang w:val="en-GB" w:eastAsia="en-AU"/>
        </w:rPr>
        <w:t>GP</w:t>
      </w:r>
    </w:p>
    <w:p w14:paraId="409ECE12" w14:textId="6F98D65A" w:rsidR="00A149B0" w:rsidRDefault="00A149B0" w:rsidP="00A149B0">
      <w:pPr>
        <w:pStyle w:val="Bullet1"/>
        <w:rPr>
          <w:lang w:val="en-GB" w:eastAsia="en-AU"/>
        </w:rPr>
      </w:pPr>
      <w:r>
        <w:rPr>
          <w:lang w:val="en-GB" w:eastAsia="en-AU"/>
        </w:rPr>
        <w:t>Dietitian</w:t>
      </w:r>
    </w:p>
    <w:p w14:paraId="27545C63" w14:textId="7D0FAB18" w:rsidR="00A149B0" w:rsidRDefault="00A149B0" w:rsidP="00A149B0">
      <w:pPr>
        <w:pStyle w:val="Bullet1"/>
        <w:rPr>
          <w:lang w:val="en-GB" w:eastAsia="en-AU"/>
        </w:rPr>
      </w:pPr>
      <w:r>
        <w:rPr>
          <w:lang w:val="en-GB" w:eastAsia="en-AU"/>
        </w:rPr>
        <w:t>Speech pathologist</w:t>
      </w:r>
    </w:p>
    <w:p w14:paraId="6A68FF41" w14:textId="3E454B34" w:rsidR="00A149B0" w:rsidRDefault="00A149B0" w:rsidP="00A149B0">
      <w:pPr>
        <w:pStyle w:val="Bullet1"/>
        <w:rPr>
          <w:lang w:val="en-GB" w:eastAsia="en-AU"/>
        </w:rPr>
      </w:pPr>
      <w:r>
        <w:rPr>
          <w:lang w:val="en-GB" w:eastAsia="en-AU"/>
        </w:rPr>
        <w:t>Occupational therapist</w:t>
      </w:r>
    </w:p>
    <w:p w14:paraId="591550C8" w14:textId="032375FB" w:rsidR="00A149B0" w:rsidRDefault="00A149B0" w:rsidP="00A149B0">
      <w:pPr>
        <w:pStyle w:val="Bullet1"/>
        <w:rPr>
          <w:lang w:val="en-GB" w:eastAsia="en-AU"/>
        </w:rPr>
      </w:pPr>
      <w:r>
        <w:rPr>
          <w:lang w:val="en-GB" w:eastAsia="en-AU"/>
        </w:rPr>
        <w:t>Pharmacist</w:t>
      </w:r>
    </w:p>
    <w:p w14:paraId="01A6514C" w14:textId="6428EAB2" w:rsidR="00A149B0" w:rsidRDefault="00A149B0" w:rsidP="00A149B0">
      <w:pPr>
        <w:pStyle w:val="Bullet1"/>
        <w:rPr>
          <w:lang w:val="en-GB" w:eastAsia="en-AU"/>
        </w:rPr>
      </w:pPr>
      <w:r>
        <w:rPr>
          <w:lang w:val="en-GB" w:eastAsia="en-AU"/>
        </w:rPr>
        <w:t>Dentist</w:t>
      </w:r>
    </w:p>
    <w:p w14:paraId="4DDEBA15" w14:textId="648994CB" w:rsidR="009836D4" w:rsidRPr="002D28A3" w:rsidRDefault="009836D4" w:rsidP="00A149B0">
      <w:pPr>
        <w:pStyle w:val="Heading2"/>
      </w:pPr>
      <w:bookmarkStart w:id="10" w:name="_Toc112424259"/>
      <w:r w:rsidRPr="002D28A3">
        <w:t>Evaluation and reassessment</w:t>
      </w:r>
      <w:bookmarkEnd w:id="10"/>
    </w:p>
    <w:p w14:paraId="05316E81" w14:textId="77777777" w:rsidR="00A149B0" w:rsidRPr="00A149B0" w:rsidRDefault="00A149B0" w:rsidP="00A149B0">
      <w:pPr>
        <w:pStyle w:val="Bullet1"/>
        <w:rPr>
          <w:lang w:val="en-GB" w:eastAsia="en-AU"/>
        </w:rPr>
      </w:pPr>
      <w:r w:rsidRPr="00A149B0">
        <w:rPr>
          <w:lang w:val="en-GB" w:eastAsia="en-AU"/>
        </w:rPr>
        <w:t>Weigh the resident monthly.</w:t>
      </w:r>
    </w:p>
    <w:p w14:paraId="5C175416" w14:textId="38FA4015" w:rsidR="00A149B0" w:rsidRPr="00A149B0" w:rsidRDefault="00A149B0" w:rsidP="00B1645A">
      <w:pPr>
        <w:pStyle w:val="Bullet1"/>
        <w:rPr>
          <w:lang w:val="en-GB" w:eastAsia="en-AU"/>
        </w:rPr>
      </w:pPr>
      <w:r w:rsidRPr="00A149B0">
        <w:rPr>
          <w:lang w:val="en-GB" w:eastAsia="en-AU"/>
        </w:rPr>
        <w:t>If weight loss is detected, repeat the assessment</w:t>
      </w:r>
      <w:r>
        <w:rPr>
          <w:lang w:val="en-GB" w:eastAsia="en-AU"/>
        </w:rPr>
        <w:t xml:space="preserve"> </w:t>
      </w:r>
      <w:r w:rsidRPr="00A149B0">
        <w:rPr>
          <w:lang w:val="en-GB" w:eastAsia="en-AU"/>
        </w:rPr>
        <w:t>and reweigh the resident more frequently.</w:t>
      </w:r>
    </w:p>
    <w:p w14:paraId="47ED81C0" w14:textId="54334FC6" w:rsidR="00A149B0" w:rsidRPr="00A149B0" w:rsidRDefault="00A149B0" w:rsidP="002D32EE">
      <w:pPr>
        <w:pStyle w:val="Bullet1"/>
        <w:rPr>
          <w:lang w:val="en-GB" w:eastAsia="en-AU"/>
        </w:rPr>
      </w:pPr>
      <w:r w:rsidRPr="00A149B0">
        <w:rPr>
          <w:lang w:val="en-GB" w:eastAsia="en-AU"/>
        </w:rPr>
        <w:t>Regularly review any interventions for their</w:t>
      </w:r>
      <w:r>
        <w:rPr>
          <w:lang w:val="en-GB" w:eastAsia="en-AU"/>
        </w:rPr>
        <w:t xml:space="preserve"> </w:t>
      </w:r>
      <w:r w:rsidRPr="00A149B0">
        <w:rPr>
          <w:lang w:val="en-GB" w:eastAsia="en-AU"/>
        </w:rPr>
        <w:t>effectiveness.</w:t>
      </w:r>
    </w:p>
    <w:p w14:paraId="4E7D727F" w14:textId="10C09A56" w:rsidR="009836D4" w:rsidRDefault="009836D4" w:rsidP="009836D4">
      <w:pPr>
        <w:pStyle w:val="Heading2"/>
        <w:rPr>
          <w:lang w:val="en-GB" w:eastAsia="en-AU"/>
        </w:rPr>
      </w:pPr>
      <w:bookmarkStart w:id="11" w:name="_Toc112424260"/>
      <w:r>
        <w:rPr>
          <w:lang w:val="en-GB" w:eastAsia="en-AU"/>
        </w:rPr>
        <w:t>Resident involvement</w:t>
      </w:r>
      <w:bookmarkEnd w:id="11"/>
    </w:p>
    <w:p w14:paraId="0E44742A" w14:textId="77777777" w:rsidR="00A149B0" w:rsidRPr="00A149B0" w:rsidRDefault="00A149B0" w:rsidP="00A149B0">
      <w:pPr>
        <w:pStyle w:val="Bullet1"/>
        <w:rPr>
          <w:lang w:val="en-GB"/>
        </w:rPr>
      </w:pPr>
      <w:r w:rsidRPr="00A149B0">
        <w:rPr>
          <w:lang w:val="en-GB"/>
        </w:rPr>
        <w:t>Discuss food and mealtime preferences.</w:t>
      </w:r>
    </w:p>
    <w:p w14:paraId="3E6842AE" w14:textId="48C556BE" w:rsidR="009836D4" w:rsidRDefault="00A149B0" w:rsidP="00B44E07">
      <w:pPr>
        <w:pStyle w:val="Bullet1"/>
      </w:pPr>
      <w:r w:rsidRPr="00A149B0">
        <w:rPr>
          <w:lang w:val="en-GB"/>
        </w:rPr>
        <w:t>Provide the resident and/or family/carers with information on nutrition and maintaining</w:t>
      </w:r>
      <w:r>
        <w:rPr>
          <w:lang w:val="en-GB"/>
        </w:rPr>
        <w:t xml:space="preserve"> </w:t>
      </w:r>
      <w:r w:rsidRPr="00A149B0">
        <w:rPr>
          <w:lang w:val="en-GB"/>
        </w:rPr>
        <w:t>nutritional status</w:t>
      </w:r>
      <w:r w:rsidR="009836D4" w:rsidRPr="002C117D">
        <w:t>.</w:t>
      </w:r>
    </w:p>
    <w:p w14:paraId="40D2D2F8" w14:textId="77777777" w:rsidR="009836D4" w:rsidRPr="002C117D" w:rsidRDefault="009836D4" w:rsidP="009836D4">
      <w:pPr>
        <w:pStyle w:val="Heading2"/>
      </w:pPr>
      <w:bookmarkStart w:id="12" w:name="_Toc112424261"/>
      <w:r w:rsidRPr="002C117D">
        <w:t>Staff knowledge and education</w:t>
      </w:r>
      <w:bookmarkEnd w:id="12"/>
    </w:p>
    <w:p w14:paraId="6D4C6E34" w14:textId="77777777" w:rsidR="009B753B" w:rsidRPr="009B753B" w:rsidRDefault="009B753B" w:rsidP="009B753B">
      <w:pPr>
        <w:pStyle w:val="Bullet1"/>
        <w:rPr>
          <w:lang w:val="en-GB"/>
        </w:rPr>
      </w:pPr>
      <w:r w:rsidRPr="009B753B">
        <w:rPr>
          <w:lang w:val="en-GB"/>
        </w:rPr>
        <w:t>Nutrition in older people</w:t>
      </w:r>
    </w:p>
    <w:p w14:paraId="282CAF56" w14:textId="2AAC3684" w:rsidR="009B753B" w:rsidRPr="009B753B" w:rsidRDefault="009B753B" w:rsidP="009B753B">
      <w:pPr>
        <w:pStyle w:val="Bullet1"/>
        <w:rPr>
          <w:lang w:val="en-GB"/>
        </w:rPr>
      </w:pPr>
      <w:r w:rsidRPr="009B753B">
        <w:rPr>
          <w:lang w:val="en-GB"/>
        </w:rPr>
        <w:t>Risk factors for malnourishment</w:t>
      </w:r>
    </w:p>
    <w:p w14:paraId="554F4631" w14:textId="3B5F532C" w:rsidR="009B753B" w:rsidRPr="009B753B" w:rsidRDefault="009B753B" w:rsidP="009B753B">
      <w:pPr>
        <w:pStyle w:val="Bullet1"/>
        <w:rPr>
          <w:lang w:val="en-GB"/>
        </w:rPr>
      </w:pPr>
      <w:r w:rsidRPr="009B753B">
        <w:rPr>
          <w:lang w:val="en-GB"/>
        </w:rPr>
        <w:t>Creating a positive meal-time environment</w:t>
      </w:r>
    </w:p>
    <w:p w14:paraId="5D44985F" w14:textId="3CA0A52A" w:rsidR="009B753B" w:rsidRPr="009B753B" w:rsidRDefault="009B753B" w:rsidP="009B753B">
      <w:pPr>
        <w:pStyle w:val="Bullet1"/>
        <w:rPr>
          <w:lang w:val="en-GB"/>
        </w:rPr>
      </w:pPr>
      <w:proofErr w:type="gramStart"/>
      <w:r w:rsidRPr="009B753B">
        <w:rPr>
          <w:lang w:val="en-GB"/>
        </w:rPr>
        <w:t>Providing assistance</w:t>
      </w:r>
      <w:proofErr w:type="gramEnd"/>
      <w:r w:rsidRPr="009B753B">
        <w:rPr>
          <w:lang w:val="en-GB"/>
        </w:rPr>
        <w:t xml:space="preserve"> with eating and drinking</w:t>
      </w:r>
    </w:p>
    <w:p w14:paraId="595DAC80" w14:textId="17223282" w:rsidR="009B753B" w:rsidRDefault="009B753B" w:rsidP="009B753B">
      <w:pPr>
        <w:pStyle w:val="Bullet1"/>
        <w:rPr>
          <w:lang w:val="en-GB"/>
        </w:rPr>
        <w:sectPr w:rsidR="009B753B" w:rsidSect="009B753B">
          <w:type w:val="continuous"/>
          <w:pgSz w:w="11906" w:h="16838" w:code="9"/>
          <w:pgMar w:top="1418" w:right="851" w:bottom="1418" w:left="851" w:header="680" w:footer="851" w:gutter="0"/>
          <w:cols w:space="340"/>
          <w:docGrid w:linePitch="360"/>
        </w:sectPr>
      </w:pPr>
      <w:r w:rsidRPr="009B753B">
        <w:rPr>
          <w:lang w:val="en-GB"/>
        </w:rPr>
        <w:lastRenderedPageBreak/>
        <w:t>Religious and cultural preferences and choices</w:t>
      </w:r>
    </w:p>
    <w:p w14:paraId="36623FD9" w14:textId="2B9654CC" w:rsidR="009836D4" w:rsidRDefault="009836D4" w:rsidP="009B753B">
      <w:pPr>
        <w:pStyle w:val="Bullet1"/>
      </w:pPr>
      <w:r>
        <w:br w:type="page"/>
      </w:r>
    </w:p>
    <w:p w14:paraId="2D48C1E1" w14:textId="302C89FD" w:rsidR="009836D4" w:rsidRDefault="009836D4" w:rsidP="00AF35C5">
      <w:pPr>
        <w:pStyle w:val="Body"/>
        <w:sectPr w:rsidR="009836D4" w:rsidSect="00EA2C24">
          <w:type w:val="continuous"/>
          <w:pgSz w:w="11906" w:h="16838" w:code="9"/>
          <w:pgMar w:top="1418" w:right="851" w:bottom="1418" w:left="851" w:header="680" w:footer="851" w:gutter="0"/>
          <w:cols w:num="2" w:space="340"/>
          <w:docGrid w:linePitch="360"/>
        </w:sectPr>
      </w:pPr>
    </w:p>
    <w:p w14:paraId="2DD411B5" w14:textId="2C1DFC8F" w:rsidR="002C117D" w:rsidRDefault="009836D4" w:rsidP="009836D4">
      <w:pPr>
        <w:pStyle w:val="Heading1"/>
      </w:pPr>
      <w:bookmarkStart w:id="13" w:name="_Toc112424262"/>
      <w:r w:rsidRPr="009836D4">
        <w:rPr>
          <w:lang w:val="en-GB"/>
        </w:rPr>
        <w:lastRenderedPageBreak/>
        <w:t>Full standardised care process</w:t>
      </w:r>
      <w:bookmarkEnd w:id="13"/>
    </w:p>
    <w:p w14:paraId="4B64DF27" w14:textId="77777777" w:rsidR="001477A6" w:rsidRDefault="001477A6" w:rsidP="001477A6">
      <w:pPr>
        <w:pStyle w:val="Heading2"/>
        <w:sectPr w:rsidR="001477A6" w:rsidSect="00E62622">
          <w:type w:val="continuous"/>
          <w:pgSz w:w="11906" w:h="16838" w:code="9"/>
          <w:pgMar w:top="1418" w:right="851" w:bottom="1418" w:left="851" w:header="680" w:footer="851" w:gutter="0"/>
          <w:cols w:space="340"/>
          <w:docGrid w:linePitch="360"/>
        </w:sectPr>
      </w:pPr>
    </w:p>
    <w:p w14:paraId="789EB088" w14:textId="77777777" w:rsidR="001477A6" w:rsidRPr="001477A6" w:rsidRDefault="001477A6" w:rsidP="001477A6">
      <w:pPr>
        <w:pStyle w:val="Heading2"/>
      </w:pPr>
      <w:bookmarkStart w:id="14" w:name="_Toc112424263"/>
      <w:r w:rsidRPr="001477A6">
        <w:t>Recognition</w:t>
      </w:r>
      <w:bookmarkEnd w:id="14"/>
    </w:p>
    <w:p w14:paraId="1424C299" w14:textId="3C123DAB" w:rsidR="001477A6" w:rsidRPr="001477A6" w:rsidRDefault="009B753B" w:rsidP="001477A6">
      <w:pPr>
        <w:pStyle w:val="Body"/>
      </w:pPr>
      <w:r w:rsidRPr="009B753B">
        <w:rPr>
          <w:lang w:val="en-GB"/>
        </w:rPr>
        <w:t>Remain vigilant for signs of weight loss in residents.</w:t>
      </w:r>
    </w:p>
    <w:p w14:paraId="4C93B23A" w14:textId="77777777" w:rsidR="001477A6" w:rsidRPr="001477A6" w:rsidRDefault="001477A6" w:rsidP="001477A6">
      <w:pPr>
        <w:pStyle w:val="Heading2"/>
        <w:rPr>
          <w:rFonts w:eastAsia="Times"/>
          <w:lang w:val="en-GB"/>
        </w:rPr>
      </w:pPr>
      <w:bookmarkStart w:id="15" w:name="_Toc112424264"/>
      <w:r w:rsidRPr="001477A6">
        <w:rPr>
          <w:rFonts w:eastAsia="Times"/>
          <w:lang w:val="en-GB"/>
        </w:rPr>
        <w:t>Assessment</w:t>
      </w:r>
      <w:bookmarkEnd w:id="15"/>
    </w:p>
    <w:p w14:paraId="1FFE2357" w14:textId="25F12097" w:rsidR="009B753B" w:rsidRDefault="009B753B" w:rsidP="009B753B">
      <w:pPr>
        <w:pStyle w:val="Bullet1"/>
        <w:numPr>
          <w:ilvl w:val="0"/>
          <w:numId w:val="0"/>
        </w:numPr>
        <w:ind w:left="284" w:hanging="284"/>
        <w:rPr>
          <w:lang w:val="en-GB"/>
        </w:rPr>
      </w:pPr>
      <w:r w:rsidRPr="009B753B">
        <w:rPr>
          <w:lang w:val="en-GB"/>
        </w:rPr>
        <w:t>On admission, conduct an assessment that</w:t>
      </w:r>
      <w:r>
        <w:rPr>
          <w:lang w:val="en-GB"/>
        </w:rPr>
        <w:t xml:space="preserve"> </w:t>
      </w:r>
      <w:r w:rsidRPr="009B753B">
        <w:rPr>
          <w:lang w:val="en-GB"/>
        </w:rPr>
        <w:t>includes:</w:t>
      </w:r>
    </w:p>
    <w:p w14:paraId="2A5D7BD2" w14:textId="77777777" w:rsidR="009B753B" w:rsidRDefault="009B753B" w:rsidP="009B753B">
      <w:pPr>
        <w:pStyle w:val="Bullet1"/>
        <w:rPr>
          <w:lang w:val="en-GB" w:eastAsia="en-AU"/>
        </w:rPr>
      </w:pPr>
      <w:r>
        <w:rPr>
          <w:lang w:val="en-GB" w:eastAsia="en-AU"/>
        </w:rPr>
        <w:t>dietary history</w:t>
      </w:r>
    </w:p>
    <w:p w14:paraId="7CB8DD68" w14:textId="09A9F94A" w:rsidR="009B753B" w:rsidRPr="009B753B" w:rsidRDefault="009B753B" w:rsidP="009B753B">
      <w:pPr>
        <w:pStyle w:val="Bullet2"/>
        <w:rPr>
          <w:lang w:val="en-GB" w:eastAsia="en-AU"/>
        </w:rPr>
      </w:pPr>
      <w:r w:rsidRPr="009B753B">
        <w:rPr>
          <w:lang w:val="en-GB" w:eastAsia="en-AU"/>
        </w:rPr>
        <w:t>food preferences, cultural and religious</w:t>
      </w:r>
      <w:r>
        <w:rPr>
          <w:lang w:val="en-GB" w:eastAsia="en-AU"/>
        </w:rPr>
        <w:t xml:space="preserve"> </w:t>
      </w:r>
      <w:r w:rsidRPr="009B753B">
        <w:rPr>
          <w:lang w:val="en-GB" w:eastAsia="en-AU"/>
        </w:rPr>
        <w:t>considerations, usual number and type</w:t>
      </w:r>
      <w:r>
        <w:rPr>
          <w:lang w:val="en-GB" w:eastAsia="en-AU"/>
        </w:rPr>
        <w:t xml:space="preserve"> </w:t>
      </w:r>
      <w:r w:rsidRPr="009B753B">
        <w:rPr>
          <w:lang w:val="en-GB" w:eastAsia="en-AU"/>
        </w:rPr>
        <w:t>of meals, times meals were taken, preferred</w:t>
      </w:r>
      <w:r>
        <w:rPr>
          <w:lang w:val="en-GB" w:eastAsia="en-AU"/>
        </w:rPr>
        <w:t xml:space="preserve"> </w:t>
      </w:r>
      <w:r w:rsidRPr="009B753B">
        <w:rPr>
          <w:lang w:val="en-GB" w:eastAsia="en-AU"/>
        </w:rPr>
        <w:t>temperature of food</w:t>
      </w:r>
    </w:p>
    <w:p w14:paraId="7DD33D5C" w14:textId="38D806A7" w:rsidR="009B753B" w:rsidRPr="009B753B" w:rsidRDefault="009B753B" w:rsidP="008B50E3">
      <w:pPr>
        <w:pStyle w:val="Bullet2"/>
        <w:rPr>
          <w:lang w:val="en-GB" w:eastAsia="en-AU"/>
        </w:rPr>
      </w:pPr>
      <w:r w:rsidRPr="009B753B">
        <w:rPr>
          <w:lang w:val="en-GB" w:eastAsia="en-AU"/>
        </w:rPr>
        <w:t>changes in appetite (for example, loss</w:t>
      </w:r>
      <w:r>
        <w:rPr>
          <w:lang w:val="en-GB" w:eastAsia="en-AU"/>
        </w:rPr>
        <w:t xml:space="preserve"> </w:t>
      </w:r>
      <w:r w:rsidRPr="009B753B">
        <w:rPr>
          <w:lang w:val="en-GB" w:eastAsia="en-AU"/>
        </w:rPr>
        <w:t>of appetite, increase in appetite)</w:t>
      </w:r>
    </w:p>
    <w:p w14:paraId="2BE5EE5B" w14:textId="2E24EECC" w:rsidR="009B753B" w:rsidRDefault="009B753B" w:rsidP="009B753B">
      <w:pPr>
        <w:pStyle w:val="Bullet2"/>
        <w:rPr>
          <w:lang w:val="en-GB" w:eastAsia="en-AU"/>
        </w:rPr>
      </w:pPr>
      <w:r>
        <w:rPr>
          <w:lang w:val="en-GB" w:eastAsia="en-AU"/>
        </w:rPr>
        <w:t>changes in taste sensation</w:t>
      </w:r>
    </w:p>
    <w:p w14:paraId="29385879" w14:textId="1A445FF6" w:rsidR="009B753B" w:rsidRPr="009B753B" w:rsidRDefault="009B753B" w:rsidP="009966E5">
      <w:pPr>
        <w:pStyle w:val="Bullet2"/>
        <w:rPr>
          <w:lang w:val="en-GB" w:eastAsia="en-AU"/>
        </w:rPr>
      </w:pPr>
      <w:r w:rsidRPr="009B753B">
        <w:rPr>
          <w:lang w:val="en-GB" w:eastAsia="en-AU"/>
        </w:rPr>
        <w:t>possible eating disorder and attitudes</w:t>
      </w:r>
      <w:r>
        <w:rPr>
          <w:lang w:val="en-GB" w:eastAsia="en-AU"/>
        </w:rPr>
        <w:t xml:space="preserve"> </w:t>
      </w:r>
      <w:r w:rsidRPr="009B753B">
        <w:rPr>
          <w:lang w:val="en-GB" w:eastAsia="en-AU"/>
        </w:rPr>
        <w:t>towards weight</w:t>
      </w:r>
    </w:p>
    <w:p w14:paraId="71A6F0F2" w14:textId="09E48D14" w:rsidR="009B753B" w:rsidRPr="009B753B" w:rsidRDefault="009B753B" w:rsidP="009B753B">
      <w:pPr>
        <w:pStyle w:val="Bullet1"/>
      </w:pPr>
      <w:r w:rsidRPr="009B753B">
        <w:t>medical history</w:t>
      </w:r>
    </w:p>
    <w:p w14:paraId="56A7DC33" w14:textId="6C132BCB" w:rsidR="009B753B" w:rsidRPr="009B753B" w:rsidRDefault="009B753B" w:rsidP="00FD34CE">
      <w:pPr>
        <w:pStyle w:val="Bullet2"/>
        <w:rPr>
          <w:lang w:val="en-GB" w:eastAsia="en-AU"/>
        </w:rPr>
      </w:pPr>
      <w:r w:rsidRPr="009B753B">
        <w:rPr>
          <w:lang w:val="en-GB" w:eastAsia="en-AU"/>
        </w:rPr>
        <w:t>cognition using the Psychogeriatric</w:t>
      </w:r>
      <w:r>
        <w:rPr>
          <w:lang w:val="en-GB" w:eastAsia="en-AU"/>
        </w:rPr>
        <w:t xml:space="preserve"> </w:t>
      </w:r>
      <w:r w:rsidRPr="009B753B">
        <w:rPr>
          <w:lang w:val="en-GB" w:eastAsia="en-AU"/>
        </w:rPr>
        <w:t>Assessment Scales (PAS)</w:t>
      </w:r>
    </w:p>
    <w:p w14:paraId="1958743A" w14:textId="606D14CA" w:rsidR="009B753B" w:rsidRPr="009B753B" w:rsidRDefault="009B753B" w:rsidP="00C12379">
      <w:pPr>
        <w:pStyle w:val="Bullet2"/>
        <w:rPr>
          <w:lang w:val="en-GB" w:eastAsia="en-AU"/>
        </w:rPr>
      </w:pPr>
      <w:r w:rsidRPr="009B753B">
        <w:rPr>
          <w:lang w:val="en-GB" w:eastAsia="en-AU"/>
        </w:rPr>
        <w:t>depression screen using the Cornell Scale for</w:t>
      </w:r>
      <w:r>
        <w:rPr>
          <w:lang w:val="en-GB" w:eastAsia="en-AU"/>
        </w:rPr>
        <w:t xml:space="preserve"> </w:t>
      </w:r>
      <w:r w:rsidRPr="009B753B">
        <w:rPr>
          <w:lang w:val="en-GB" w:eastAsia="en-AU"/>
        </w:rPr>
        <w:t>Depression in dementia (see SCP: Depression)</w:t>
      </w:r>
    </w:p>
    <w:p w14:paraId="2143B253" w14:textId="4E79830B" w:rsidR="009B753B" w:rsidRPr="009B753B" w:rsidRDefault="009B753B" w:rsidP="001F11C4">
      <w:pPr>
        <w:pStyle w:val="Bullet2"/>
        <w:rPr>
          <w:lang w:val="en-GB" w:eastAsia="en-AU"/>
        </w:rPr>
      </w:pPr>
      <w:r w:rsidRPr="009B753B">
        <w:rPr>
          <w:lang w:val="en-GB" w:eastAsia="en-AU"/>
        </w:rPr>
        <w:t>physical symptoms associated with weight loss (nausea, vomiting, diarrhoea, dysphagia</w:t>
      </w:r>
      <w:r>
        <w:rPr>
          <w:lang w:val="en-GB" w:eastAsia="en-AU"/>
        </w:rPr>
        <w:t xml:space="preserve"> </w:t>
      </w:r>
      <w:r w:rsidRPr="009B753B">
        <w:rPr>
          <w:lang w:val="en-GB" w:eastAsia="en-AU"/>
        </w:rPr>
        <w:t>or pain)</w:t>
      </w:r>
    </w:p>
    <w:p w14:paraId="756C52B8" w14:textId="787B97EF" w:rsidR="009B753B" w:rsidRPr="009B753B" w:rsidRDefault="009B753B" w:rsidP="00D23024">
      <w:pPr>
        <w:pStyle w:val="Bullet2"/>
        <w:rPr>
          <w:lang w:val="en-GB" w:eastAsia="en-AU"/>
        </w:rPr>
      </w:pPr>
      <w:r w:rsidRPr="009B753B">
        <w:rPr>
          <w:lang w:val="en-GB" w:eastAsia="en-AU"/>
        </w:rPr>
        <w:t>medical diagnosis associated with weight loss (gastrointestinal disease, diabetes</w:t>
      </w:r>
      <w:r>
        <w:rPr>
          <w:lang w:val="en-GB" w:eastAsia="en-AU"/>
        </w:rPr>
        <w:t xml:space="preserve"> </w:t>
      </w:r>
      <w:r w:rsidRPr="009B753B">
        <w:rPr>
          <w:lang w:val="en-GB" w:eastAsia="en-AU"/>
        </w:rPr>
        <w:t>or neurological conditions)</w:t>
      </w:r>
    </w:p>
    <w:p w14:paraId="5B1B4738" w14:textId="77777777" w:rsidR="009B753B" w:rsidRDefault="009B753B" w:rsidP="007F772B">
      <w:pPr>
        <w:pStyle w:val="Bullet2"/>
        <w:rPr>
          <w:lang w:val="en-GB" w:eastAsia="en-AU"/>
        </w:rPr>
      </w:pPr>
      <w:r w:rsidRPr="009B753B">
        <w:rPr>
          <w:lang w:val="en-GB" w:eastAsia="en-AU"/>
        </w:rPr>
        <w:t>progression of pre-existing conditions (cancer, chronic obstructive pulmonary disease or cardiac, hepatic or renal failure) or palliative</w:t>
      </w:r>
      <w:r>
        <w:rPr>
          <w:lang w:val="en-GB" w:eastAsia="en-AU"/>
        </w:rPr>
        <w:t xml:space="preserve"> </w:t>
      </w:r>
    </w:p>
    <w:p w14:paraId="7BE2CD0A" w14:textId="2F799F38" w:rsidR="009B753B" w:rsidRPr="009B753B" w:rsidRDefault="009B753B" w:rsidP="008F2F7C">
      <w:pPr>
        <w:pStyle w:val="Bullet2"/>
        <w:rPr>
          <w:lang w:val="en-GB" w:eastAsia="en-AU"/>
        </w:rPr>
      </w:pPr>
      <w:r w:rsidRPr="009B753B">
        <w:rPr>
          <w:lang w:val="en-GB" w:eastAsia="en-AU"/>
        </w:rPr>
        <w:t>weight history (for example, overweight, underweight, past fluctuations in weight</w:t>
      </w:r>
      <w:r>
        <w:rPr>
          <w:lang w:val="en-GB" w:eastAsia="en-AU"/>
        </w:rPr>
        <w:t xml:space="preserve"> </w:t>
      </w:r>
      <w:r w:rsidRPr="009B753B">
        <w:rPr>
          <w:lang w:val="en-GB" w:eastAsia="en-AU"/>
        </w:rPr>
        <w:t>or changes in clothing sizes)</w:t>
      </w:r>
    </w:p>
    <w:p w14:paraId="734B8D48" w14:textId="77777777" w:rsidR="009B753B" w:rsidRPr="009B753B" w:rsidRDefault="009B753B" w:rsidP="00FC7E25">
      <w:pPr>
        <w:pStyle w:val="Bullet2"/>
      </w:pPr>
      <w:r w:rsidRPr="009B753B">
        <w:rPr>
          <w:lang w:val="en-GB" w:eastAsia="en-AU"/>
        </w:rPr>
        <w:t>check the resident’s medications to assess their potential for causing current or future problems because some medicines can affect nutritional intake (for example, by altering the taste, reducing appetite or causing nausea)</w:t>
      </w:r>
      <w:r>
        <w:rPr>
          <w:lang w:val="en-GB" w:eastAsia="en-AU"/>
        </w:rPr>
        <w:t xml:space="preserve"> </w:t>
      </w:r>
      <w:r w:rsidRPr="009B753B">
        <w:rPr>
          <w:lang w:val="en-GB" w:eastAsia="en-AU"/>
        </w:rPr>
        <w:t xml:space="preserve">or have weight loss as an adverse </w:t>
      </w:r>
      <w:proofErr w:type="gramStart"/>
      <w:r w:rsidRPr="009B753B">
        <w:rPr>
          <w:lang w:val="en-GB" w:eastAsia="en-AU"/>
        </w:rPr>
        <w:t>effect</w:t>
      </w:r>
      <w:proofErr w:type="gramEnd"/>
    </w:p>
    <w:p w14:paraId="3596646C" w14:textId="77777777" w:rsidR="00E0721B" w:rsidRDefault="00E0721B" w:rsidP="00E0721B">
      <w:pPr>
        <w:pStyle w:val="Bullet1"/>
        <w:rPr>
          <w:lang w:val="en-GB" w:eastAsia="en-AU"/>
        </w:rPr>
      </w:pPr>
      <w:r>
        <w:rPr>
          <w:lang w:val="en-GB" w:eastAsia="en-AU"/>
        </w:rPr>
        <w:t>physical examination</w:t>
      </w:r>
    </w:p>
    <w:p w14:paraId="659760D1" w14:textId="36600D25" w:rsidR="00E0721B" w:rsidRDefault="00E0721B" w:rsidP="00E0721B">
      <w:pPr>
        <w:pStyle w:val="Bullet2"/>
        <w:rPr>
          <w:lang w:val="en-GB" w:eastAsia="en-AU"/>
        </w:rPr>
      </w:pPr>
      <w:r>
        <w:rPr>
          <w:lang w:val="en-GB" w:eastAsia="en-AU"/>
        </w:rPr>
        <w:t>weight</w:t>
      </w:r>
    </w:p>
    <w:p w14:paraId="7B6A2D1B" w14:textId="76FEA1E6" w:rsidR="00E0721B" w:rsidRDefault="00E0721B" w:rsidP="00E0721B">
      <w:pPr>
        <w:pStyle w:val="Bullet2"/>
        <w:rPr>
          <w:lang w:val="en-GB" w:eastAsia="en-AU"/>
        </w:rPr>
      </w:pPr>
      <w:r>
        <w:rPr>
          <w:lang w:val="en-GB" w:eastAsia="en-AU"/>
        </w:rPr>
        <w:t>BMI</w:t>
      </w:r>
    </w:p>
    <w:p w14:paraId="36A6E088" w14:textId="3F59620F" w:rsidR="00E0721B" w:rsidRPr="00E0721B" w:rsidRDefault="00E0721B" w:rsidP="00E0721B">
      <w:pPr>
        <w:pStyle w:val="Bullet2"/>
        <w:rPr>
          <w:lang w:val="en-GB" w:eastAsia="en-AU"/>
        </w:rPr>
      </w:pPr>
      <w:r w:rsidRPr="00E0721B">
        <w:rPr>
          <w:lang w:val="en-GB" w:eastAsia="en-AU"/>
        </w:rPr>
        <w:t>nutritional screen using the Mini Nutritional</w:t>
      </w:r>
      <w:r>
        <w:rPr>
          <w:lang w:val="en-GB" w:eastAsia="en-AU"/>
        </w:rPr>
        <w:t xml:space="preserve"> </w:t>
      </w:r>
      <w:r w:rsidRPr="00E0721B">
        <w:rPr>
          <w:lang w:val="en-GB" w:eastAsia="en-AU"/>
        </w:rPr>
        <w:t>Assessment (MNA) (a score of ≤ 11 requires</w:t>
      </w:r>
      <w:r>
        <w:rPr>
          <w:lang w:val="en-GB" w:eastAsia="en-AU"/>
        </w:rPr>
        <w:t xml:space="preserve"> </w:t>
      </w:r>
      <w:r w:rsidRPr="00E0721B">
        <w:rPr>
          <w:lang w:val="en-GB" w:eastAsia="en-AU"/>
        </w:rPr>
        <w:t>further assessment)</w:t>
      </w:r>
    </w:p>
    <w:p w14:paraId="1F736707" w14:textId="4B84955C" w:rsidR="00E0721B" w:rsidRPr="00E0721B" w:rsidRDefault="00E0721B" w:rsidP="006E77E4">
      <w:pPr>
        <w:pStyle w:val="Bullet2"/>
        <w:rPr>
          <w:lang w:val="en-GB" w:eastAsia="en-AU"/>
        </w:rPr>
      </w:pPr>
      <w:r w:rsidRPr="00E0721B">
        <w:rPr>
          <w:lang w:val="en-GB" w:eastAsia="en-AU"/>
        </w:rPr>
        <w:t>oral and dental assessment (see SCP: Oral</w:t>
      </w:r>
      <w:r>
        <w:rPr>
          <w:lang w:val="en-GB" w:eastAsia="en-AU"/>
        </w:rPr>
        <w:t xml:space="preserve"> </w:t>
      </w:r>
      <w:r w:rsidRPr="00E0721B">
        <w:rPr>
          <w:lang w:val="en-GB" w:eastAsia="en-AU"/>
        </w:rPr>
        <w:t>and dental hygiene)</w:t>
      </w:r>
    </w:p>
    <w:p w14:paraId="29444A7E" w14:textId="4018AFA0" w:rsidR="00E0721B" w:rsidRDefault="00E0721B" w:rsidP="00E0721B">
      <w:pPr>
        <w:pStyle w:val="Bullet2"/>
        <w:rPr>
          <w:lang w:val="en-GB" w:eastAsia="en-AU"/>
        </w:rPr>
      </w:pPr>
      <w:r>
        <w:rPr>
          <w:lang w:val="en-GB" w:eastAsia="en-AU"/>
        </w:rPr>
        <w:t>bloody or melaena stools</w:t>
      </w:r>
    </w:p>
    <w:p w14:paraId="3BEA7A2C" w14:textId="0A8D5985" w:rsidR="00E0721B" w:rsidRDefault="00E0721B" w:rsidP="00E0721B">
      <w:pPr>
        <w:pStyle w:val="Bullet2"/>
        <w:rPr>
          <w:lang w:val="en-GB" w:eastAsia="en-AU"/>
        </w:rPr>
      </w:pPr>
      <w:r>
        <w:rPr>
          <w:lang w:val="en-GB" w:eastAsia="en-AU"/>
        </w:rPr>
        <w:t>pathology</w:t>
      </w:r>
    </w:p>
    <w:p w14:paraId="00708FDD" w14:textId="048969CC" w:rsidR="00E0721B" w:rsidRPr="00E0721B" w:rsidRDefault="00E0721B" w:rsidP="007624BD">
      <w:pPr>
        <w:pStyle w:val="Bullet1"/>
        <w:rPr>
          <w:lang w:val="en-GB" w:eastAsia="en-AU"/>
        </w:rPr>
      </w:pPr>
      <w:r w:rsidRPr="00E0721B">
        <w:t>functional</w:t>
      </w:r>
      <w:r w:rsidRPr="00E0721B">
        <w:rPr>
          <w:lang w:val="en-GB" w:eastAsia="en-AU"/>
        </w:rPr>
        <w:t xml:space="preserve"> ability (for example, ability to eat and</w:t>
      </w:r>
      <w:r>
        <w:rPr>
          <w:lang w:val="en-GB" w:eastAsia="en-AU"/>
        </w:rPr>
        <w:t xml:space="preserve"> </w:t>
      </w:r>
      <w:r w:rsidRPr="00E0721B">
        <w:rPr>
          <w:lang w:val="en-GB" w:eastAsia="en-AU"/>
        </w:rPr>
        <w:t>drink, what assistance is required with meals)</w:t>
      </w:r>
    </w:p>
    <w:p w14:paraId="794BC7C1" w14:textId="4092E1E1" w:rsidR="00E0721B" w:rsidRDefault="00E0721B" w:rsidP="00E0721B">
      <w:pPr>
        <w:pStyle w:val="Bullet1"/>
        <w:rPr>
          <w:lang w:val="en-GB" w:eastAsia="en-AU"/>
        </w:rPr>
      </w:pPr>
      <w:r>
        <w:rPr>
          <w:lang w:val="en-GB" w:eastAsia="en-AU"/>
        </w:rPr>
        <w:t>social factors</w:t>
      </w:r>
    </w:p>
    <w:p w14:paraId="6B3B3956" w14:textId="77777777" w:rsidR="00E0721B" w:rsidRDefault="00E0721B" w:rsidP="00E0721B">
      <w:pPr>
        <w:pStyle w:val="Bullet1"/>
        <w:numPr>
          <w:ilvl w:val="0"/>
          <w:numId w:val="0"/>
        </w:numPr>
        <w:ind w:left="284"/>
        <w:rPr>
          <w:lang w:val="en-GB" w:eastAsia="en-AU"/>
        </w:rPr>
      </w:pPr>
      <w:r>
        <w:rPr>
          <w:lang w:val="en-GB" w:eastAsia="en-AU"/>
        </w:rPr>
        <w:t>– abuse or neglect</w:t>
      </w:r>
    </w:p>
    <w:p w14:paraId="5A139825" w14:textId="77777777" w:rsidR="00E0721B" w:rsidRDefault="00E0721B" w:rsidP="00E0721B">
      <w:pPr>
        <w:pStyle w:val="Bullet1"/>
        <w:numPr>
          <w:ilvl w:val="0"/>
          <w:numId w:val="0"/>
        </w:numPr>
        <w:ind w:left="284"/>
        <w:rPr>
          <w:lang w:val="en-GB" w:eastAsia="en-AU"/>
        </w:rPr>
      </w:pPr>
      <w:r>
        <w:rPr>
          <w:lang w:val="en-GB" w:eastAsia="en-AU"/>
        </w:rPr>
        <w:t>– lack of access to food.</w:t>
      </w:r>
    </w:p>
    <w:p w14:paraId="3CC09FAE" w14:textId="77777777" w:rsidR="00E0721B" w:rsidRDefault="00E0721B" w:rsidP="00E0721B">
      <w:pPr>
        <w:pStyle w:val="Bodyafterbullets"/>
        <w:rPr>
          <w:lang w:val="en-GB" w:eastAsia="en-AU"/>
        </w:rPr>
      </w:pPr>
      <w:r>
        <w:rPr>
          <w:lang w:val="en-GB" w:eastAsia="en-AU"/>
        </w:rPr>
        <w:t>Interventions should be implemented if:</w:t>
      </w:r>
    </w:p>
    <w:p w14:paraId="6CB2947E" w14:textId="11A7250C" w:rsidR="00E0721B" w:rsidRPr="00E0721B" w:rsidRDefault="00E0721B" w:rsidP="0082236C">
      <w:pPr>
        <w:pStyle w:val="Bullet1"/>
      </w:pPr>
      <w:r w:rsidRPr="00E0721B">
        <w:t>any unplanned and unexpected weight loss</w:t>
      </w:r>
      <w:r>
        <w:t xml:space="preserve"> </w:t>
      </w:r>
      <w:r w:rsidRPr="00E0721B">
        <w:t>is detected, or the BMI is less than 20 If under</w:t>
      </w:r>
      <w:r>
        <w:t xml:space="preserve"> </w:t>
      </w:r>
      <w:r w:rsidRPr="00E0721B">
        <w:t>70 years, and under 22 If over 70 years</w:t>
      </w:r>
    </w:p>
    <w:p w14:paraId="4AE6CDBE" w14:textId="1EE98FEC" w:rsidR="00E0721B" w:rsidRPr="00E0721B" w:rsidRDefault="00E0721B" w:rsidP="009E4B4B">
      <w:pPr>
        <w:pStyle w:val="Bullet1"/>
        <w:rPr>
          <w:lang w:val="en-GB" w:eastAsia="en-AU"/>
        </w:rPr>
      </w:pPr>
      <w:r w:rsidRPr="00E0721B">
        <w:rPr>
          <w:lang w:val="en-GB" w:eastAsia="en-AU"/>
        </w:rPr>
        <w:t>the resident’s oral intake is less than 50 per cent</w:t>
      </w:r>
      <w:r>
        <w:rPr>
          <w:lang w:val="en-GB" w:eastAsia="en-AU"/>
        </w:rPr>
        <w:t xml:space="preserve"> </w:t>
      </w:r>
      <w:r w:rsidRPr="00E0721B">
        <w:rPr>
          <w:lang w:val="en-GB" w:eastAsia="en-AU"/>
        </w:rPr>
        <w:t>of requirements for more than three days</w:t>
      </w:r>
    </w:p>
    <w:p w14:paraId="428253BE" w14:textId="5096AEB5" w:rsidR="00E0721B" w:rsidRPr="00E0721B" w:rsidRDefault="00E0721B" w:rsidP="00F6785C">
      <w:pPr>
        <w:pStyle w:val="Bullet1"/>
        <w:rPr>
          <w:lang w:val="en-GB" w:eastAsia="en-AU"/>
        </w:rPr>
      </w:pPr>
      <w:r w:rsidRPr="00E0721B">
        <w:rPr>
          <w:lang w:val="en-GB" w:eastAsia="en-AU"/>
        </w:rPr>
        <w:lastRenderedPageBreak/>
        <w:t>weight loss is sudden (this requires immediate</w:t>
      </w:r>
      <w:r>
        <w:rPr>
          <w:lang w:val="en-GB" w:eastAsia="en-AU"/>
        </w:rPr>
        <w:t xml:space="preserve"> </w:t>
      </w:r>
      <w:r w:rsidRPr="00E0721B">
        <w:rPr>
          <w:lang w:val="en-GB" w:eastAsia="en-AU"/>
        </w:rPr>
        <w:t>medical attention).</w:t>
      </w:r>
    </w:p>
    <w:p w14:paraId="1CD37871" w14:textId="77777777" w:rsidR="00E0721B" w:rsidRDefault="00E0721B" w:rsidP="00E0721B">
      <w:pPr>
        <w:pStyle w:val="Bullet1"/>
        <w:numPr>
          <w:ilvl w:val="0"/>
          <w:numId w:val="0"/>
        </w:numPr>
        <w:rPr>
          <w:lang w:val="en-GB" w:eastAsia="en-AU"/>
        </w:rPr>
      </w:pPr>
      <w:r>
        <w:rPr>
          <w:lang w:val="en-GB" w:eastAsia="en-AU"/>
        </w:rPr>
        <w:t>Note:</w:t>
      </w:r>
    </w:p>
    <w:p w14:paraId="26808879" w14:textId="510D7239" w:rsidR="00E0721B" w:rsidRPr="00E0721B" w:rsidRDefault="00E0721B" w:rsidP="00B4386F">
      <w:pPr>
        <w:pStyle w:val="Bullet1"/>
        <w:rPr>
          <w:lang w:val="en-GB" w:eastAsia="en-AU"/>
        </w:rPr>
      </w:pPr>
      <w:r w:rsidRPr="00E0721B">
        <w:rPr>
          <w:lang w:val="en-GB" w:eastAsia="en-AU"/>
        </w:rPr>
        <w:t>Even in overweight older people, unintentional</w:t>
      </w:r>
      <w:r>
        <w:rPr>
          <w:lang w:val="en-GB" w:eastAsia="en-AU"/>
        </w:rPr>
        <w:t xml:space="preserve"> </w:t>
      </w:r>
      <w:r w:rsidRPr="00E0721B">
        <w:rPr>
          <w:lang w:val="en-GB" w:eastAsia="en-AU"/>
        </w:rPr>
        <w:t>weight loss has been shown to increase mortality.</w:t>
      </w:r>
    </w:p>
    <w:p w14:paraId="23387ADB" w14:textId="6CC0ADF8" w:rsidR="00E0721B" w:rsidRPr="00E0721B" w:rsidRDefault="00E0721B" w:rsidP="00F6243C">
      <w:pPr>
        <w:pStyle w:val="Bullet1"/>
        <w:rPr>
          <w:lang w:val="en-GB" w:eastAsia="en-AU"/>
        </w:rPr>
      </w:pPr>
      <w:r w:rsidRPr="00E0721B">
        <w:rPr>
          <w:lang w:val="en-GB" w:eastAsia="en-AU"/>
        </w:rPr>
        <w:t>Only older people who are healthy should</w:t>
      </w:r>
      <w:r>
        <w:rPr>
          <w:lang w:val="en-GB" w:eastAsia="en-AU"/>
        </w:rPr>
        <w:t xml:space="preserve"> </w:t>
      </w:r>
      <w:r w:rsidRPr="00E0721B">
        <w:rPr>
          <w:lang w:val="en-GB" w:eastAsia="en-AU"/>
        </w:rPr>
        <w:t>attempt weight loss.</w:t>
      </w:r>
    </w:p>
    <w:p w14:paraId="48CDEF29" w14:textId="20135FE2" w:rsidR="00E0721B" w:rsidRDefault="00E0721B" w:rsidP="00E0721B">
      <w:pPr>
        <w:pStyle w:val="Bullet1"/>
        <w:rPr>
          <w:lang w:val="en-GB" w:eastAsia="en-AU"/>
        </w:rPr>
      </w:pPr>
      <w:r>
        <w:rPr>
          <w:lang w:val="en-GB" w:eastAsia="en-AU"/>
        </w:rPr>
        <w:t>For consideration:</w:t>
      </w:r>
    </w:p>
    <w:p w14:paraId="1F5CDC4D" w14:textId="77777777" w:rsidR="00E0721B" w:rsidRDefault="00E0721B" w:rsidP="00E0721B">
      <w:pPr>
        <w:pStyle w:val="Bullet1"/>
        <w:numPr>
          <w:ilvl w:val="0"/>
          <w:numId w:val="0"/>
        </w:numPr>
        <w:ind w:left="284"/>
        <w:rPr>
          <w:lang w:val="en-GB" w:eastAsia="en-AU"/>
        </w:rPr>
      </w:pPr>
      <w:r>
        <w:rPr>
          <w:lang w:val="en-GB" w:eastAsia="en-AU"/>
        </w:rPr>
        <w:t>– Have the scales recently been calibrated?</w:t>
      </w:r>
    </w:p>
    <w:p w14:paraId="60995811" w14:textId="46CEAB2E" w:rsidR="00E0721B" w:rsidRDefault="00E0721B" w:rsidP="00E0721B">
      <w:pPr>
        <w:pStyle w:val="Bullet1"/>
        <w:numPr>
          <w:ilvl w:val="0"/>
          <w:numId w:val="0"/>
        </w:numPr>
        <w:ind w:left="284"/>
        <w:rPr>
          <w:lang w:val="en-GB" w:eastAsia="en-AU"/>
        </w:rPr>
      </w:pPr>
      <w:r>
        <w:rPr>
          <w:lang w:val="en-GB" w:eastAsia="en-AU"/>
        </w:rPr>
        <w:t>– Is the same set of scales being used each time the resident is weighed?</w:t>
      </w:r>
    </w:p>
    <w:p w14:paraId="6F94CC35" w14:textId="22838AB2" w:rsidR="00E0721B" w:rsidRDefault="00E0721B" w:rsidP="00E0721B">
      <w:pPr>
        <w:pStyle w:val="Bullet1"/>
        <w:numPr>
          <w:ilvl w:val="0"/>
          <w:numId w:val="0"/>
        </w:numPr>
        <w:ind w:left="284"/>
        <w:rPr>
          <w:lang w:val="en-GB" w:eastAsia="en-AU"/>
        </w:rPr>
      </w:pPr>
      <w:r>
        <w:rPr>
          <w:lang w:val="en-GB" w:eastAsia="en-AU"/>
        </w:rPr>
        <w:t>– Is the resident weighed at the same time of the day and in the same clothes?</w:t>
      </w:r>
    </w:p>
    <w:p w14:paraId="3172856E" w14:textId="7557170E" w:rsidR="009836D4" w:rsidRDefault="00E0721B" w:rsidP="00E0721B">
      <w:pPr>
        <w:pStyle w:val="Bodyafterbullets"/>
      </w:pPr>
      <w:r>
        <w:rPr>
          <w:lang w:val="en-GB" w:eastAsia="en-AU"/>
        </w:rPr>
        <w:t>The assessment should be informed by the resident’s wishes, particularly when receiving a palliative approach.</w:t>
      </w:r>
    </w:p>
    <w:p w14:paraId="75B4547A" w14:textId="3AE8301F" w:rsidR="002D28A3" w:rsidRDefault="002D28A3" w:rsidP="000247EF">
      <w:pPr>
        <w:pStyle w:val="Heading2"/>
        <w:rPr>
          <w:lang w:val="en-GB" w:eastAsia="en-AU"/>
        </w:rPr>
        <w:sectPr w:rsidR="002D28A3" w:rsidSect="002D28A3">
          <w:type w:val="continuous"/>
          <w:pgSz w:w="11906" w:h="16838" w:code="9"/>
          <w:pgMar w:top="1418" w:right="851" w:bottom="1418" w:left="851" w:header="680" w:footer="851" w:gutter="0"/>
          <w:cols w:space="340"/>
          <w:docGrid w:linePitch="360"/>
        </w:sectPr>
      </w:pPr>
    </w:p>
    <w:p w14:paraId="788AF684" w14:textId="77777777" w:rsidR="002D28A3" w:rsidRDefault="000247EF" w:rsidP="000247EF">
      <w:pPr>
        <w:pStyle w:val="Heading2"/>
        <w:rPr>
          <w:lang w:val="en-GB" w:eastAsia="en-AU"/>
        </w:rPr>
        <w:sectPr w:rsidR="002D28A3" w:rsidSect="001477A6">
          <w:type w:val="continuous"/>
          <w:pgSz w:w="11906" w:h="16838" w:code="9"/>
          <w:pgMar w:top="1418" w:right="851" w:bottom="1418" w:left="851" w:header="680" w:footer="851" w:gutter="0"/>
          <w:cols w:num="2" w:space="340"/>
          <w:docGrid w:linePitch="360"/>
        </w:sectPr>
      </w:pPr>
      <w:bookmarkStart w:id="16" w:name="_Toc112424265"/>
      <w:r>
        <w:rPr>
          <w:lang w:val="en-GB" w:eastAsia="en-AU"/>
        </w:rPr>
        <w:t>Interventions</w:t>
      </w:r>
      <w:bookmarkEnd w:id="16"/>
    </w:p>
    <w:p w14:paraId="37BFC4BB" w14:textId="01086D4C" w:rsidR="00E0721B" w:rsidRDefault="00E0721B" w:rsidP="00E0721B">
      <w:pPr>
        <w:pStyle w:val="Bodynospace"/>
        <w:rPr>
          <w:lang w:val="en-GB" w:eastAsia="en-AU"/>
        </w:rPr>
      </w:pPr>
      <w:r>
        <w:rPr>
          <w:lang w:val="en-GB" w:eastAsia="en-AU"/>
        </w:rPr>
        <w:t>Where screening and assessment identifies that a resident has unplanned weight loss or is at risk of weight loss:</w:t>
      </w:r>
    </w:p>
    <w:p w14:paraId="52EB07B5" w14:textId="5D9166E8" w:rsidR="00E0721B" w:rsidRPr="00E0721B" w:rsidRDefault="00E0721B" w:rsidP="00E0721B">
      <w:pPr>
        <w:pStyle w:val="Bullet1"/>
      </w:pPr>
      <w:r w:rsidRPr="00E0721B">
        <w:t>Weigh the resident more frequently.</w:t>
      </w:r>
    </w:p>
    <w:p w14:paraId="4271A8F0" w14:textId="5956A807" w:rsidR="00E0721B" w:rsidRPr="00E0721B" w:rsidRDefault="00E0721B" w:rsidP="00D072E4">
      <w:pPr>
        <w:pStyle w:val="Bullet1"/>
      </w:pPr>
      <w:r w:rsidRPr="00E0721B">
        <w:t>Refer to a GP for a medical review to determine</w:t>
      </w:r>
      <w:r>
        <w:t xml:space="preserve"> </w:t>
      </w:r>
      <w:r w:rsidRPr="00E0721B">
        <w:t>any underlying causes.</w:t>
      </w:r>
    </w:p>
    <w:p w14:paraId="27CCAAF1" w14:textId="08755E3E" w:rsidR="00E0721B" w:rsidRPr="00E0721B" w:rsidRDefault="00E0721B" w:rsidP="00417536">
      <w:pPr>
        <w:pStyle w:val="Bullet1"/>
      </w:pPr>
      <w:r w:rsidRPr="00E0721B">
        <w:t>In consultation with the GP, treat any underlying</w:t>
      </w:r>
      <w:r>
        <w:t xml:space="preserve"> </w:t>
      </w:r>
      <w:r w:rsidRPr="00E0721B">
        <w:t>causes.</w:t>
      </w:r>
    </w:p>
    <w:p w14:paraId="16772608" w14:textId="4597CEDA" w:rsidR="00E0721B" w:rsidRPr="00E0721B" w:rsidRDefault="00E0721B" w:rsidP="002E6C78">
      <w:pPr>
        <w:pStyle w:val="Bullet1"/>
      </w:pPr>
      <w:r w:rsidRPr="00E0721B">
        <w:t>In consultation with the GP and pharmacist,</w:t>
      </w:r>
      <w:r>
        <w:t xml:space="preserve"> </w:t>
      </w:r>
      <w:r w:rsidRPr="00E0721B">
        <w:t>check the resident’s medications to assess their</w:t>
      </w:r>
      <w:r>
        <w:t xml:space="preserve"> </w:t>
      </w:r>
      <w:r w:rsidRPr="00E0721B">
        <w:t>potential for causing current or future problems.</w:t>
      </w:r>
    </w:p>
    <w:p w14:paraId="756AF3D0" w14:textId="79B15240" w:rsidR="00E0721B" w:rsidRPr="00E0721B" w:rsidRDefault="00E0721B" w:rsidP="00C67C5E">
      <w:pPr>
        <w:pStyle w:val="Bullet1"/>
      </w:pPr>
      <w:r w:rsidRPr="00E0721B">
        <w:t>Refer to a dietitian to evaluate the resident’s</w:t>
      </w:r>
      <w:r>
        <w:t xml:space="preserve"> </w:t>
      </w:r>
      <w:r w:rsidRPr="00E0721B">
        <w:t>food, fluid and nutrient intake and energy needs.</w:t>
      </w:r>
    </w:p>
    <w:p w14:paraId="79067CD5" w14:textId="6FA52761" w:rsidR="00E0721B" w:rsidRPr="00E0721B" w:rsidRDefault="00E0721B" w:rsidP="003252A1">
      <w:pPr>
        <w:pStyle w:val="Bullet1"/>
      </w:pPr>
      <w:r w:rsidRPr="00E0721B">
        <w:t>Where indicated, refer to a speech pathologist</w:t>
      </w:r>
      <w:r>
        <w:t xml:space="preserve"> </w:t>
      </w:r>
      <w:r w:rsidRPr="00E0721B">
        <w:t>for a swallowing assessment.</w:t>
      </w:r>
    </w:p>
    <w:p w14:paraId="72A6C23D" w14:textId="28E1FFAA" w:rsidR="00E0721B" w:rsidRPr="00E0721B" w:rsidRDefault="00E0721B" w:rsidP="000C1F5C">
      <w:pPr>
        <w:pStyle w:val="Bullet1"/>
      </w:pPr>
      <w:r w:rsidRPr="00E0721B">
        <w:t>Where indicated, refer to an occupational</w:t>
      </w:r>
      <w:r>
        <w:t xml:space="preserve"> </w:t>
      </w:r>
      <w:r w:rsidRPr="00E0721B">
        <w:t>therapist for aids and adaptations to the</w:t>
      </w:r>
      <w:r>
        <w:t xml:space="preserve"> </w:t>
      </w:r>
      <w:r w:rsidRPr="00E0721B">
        <w:t>resident’s eating utensils.</w:t>
      </w:r>
    </w:p>
    <w:p w14:paraId="11F58D71" w14:textId="67B9FB3F" w:rsidR="00E0721B" w:rsidRPr="00E0721B" w:rsidRDefault="00E0721B" w:rsidP="00B4036D">
      <w:pPr>
        <w:pStyle w:val="Bullet1"/>
      </w:pPr>
      <w:r w:rsidRPr="00E0721B">
        <w:t>Following a discussion about food preferences</w:t>
      </w:r>
      <w:r>
        <w:t xml:space="preserve"> </w:t>
      </w:r>
      <w:r w:rsidRPr="00E0721B">
        <w:t>with the resident and/or their family/carers,</w:t>
      </w:r>
      <w:r>
        <w:t xml:space="preserve"> </w:t>
      </w:r>
      <w:r w:rsidRPr="00E0721B">
        <w:t>offer the preferred foods.</w:t>
      </w:r>
    </w:p>
    <w:p w14:paraId="7408D6DB" w14:textId="5A65E70B" w:rsidR="00E0721B" w:rsidRPr="00E0721B" w:rsidRDefault="00E0721B" w:rsidP="003F7ACA">
      <w:pPr>
        <w:pStyle w:val="Bullet1"/>
      </w:pPr>
      <w:r w:rsidRPr="00E0721B">
        <w:t>Increase the resident’s calorie and protein intake</w:t>
      </w:r>
      <w:r>
        <w:t xml:space="preserve"> </w:t>
      </w:r>
      <w:r w:rsidRPr="00E0721B">
        <w:t>(as per the dietitian’s recommendations).</w:t>
      </w:r>
    </w:p>
    <w:p w14:paraId="173F5CD2" w14:textId="27C37B1A" w:rsidR="00E0721B" w:rsidRPr="00E0721B" w:rsidRDefault="00E0721B" w:rsidP="00346197">
      <w:pPr>
        <w:pStyle w:val="Bullet1"/>
      </w:pPr>
      <w:r w:rsidRPr="00E0721B">
        <w:t>If possible, in consultation with the GP and</w:t>
      </w:r>
      <w:r>
        <w:t xml:space="preserve"> </w:t>
      </w:r>
      <w:r w:rsidRPr="00E0721B">
        <w:t>dietitian, limit dietary restrictions (for example,</w:t>
      </w:r>
      <w:r>
        <w:t xml:space="preserve"> </w:t>
      </w:r>
      <w:r w:rsidRPr="00E0721B">
        <w:t>salt, sugar, fats and oils).</w:t>
      </w:r>
    </w:p>
    <w:p w14:paraId="3642B4DB" w14:textId="0A1FEF22" w:rsidR="00E0721B" w:rsidRPr="00E0721B" w:rsidRDefault="00E0721B" w:rsidP="00D8759E">
      <w:pPr>
        <w:pStyle w:val="Bullet1"/>
      </w:pPr>
      <w:r w:rsidRPr="00E0721B">
        <w:t>Offer small meals more frequently and increase</w:t>
      </w:r>
      <w:r>
        <w:t xml:space="preserve"> </w:t>
      </w:r>
      <w:r w:rsidRPr="00E0721B">
        <w:t>the availability of food outside mealtimes.</w:t>
      </w:r>
    </w:p>
    <w:p w14:paraId="66951685" w14:textId="55417723" w:rsidR="00E0721B" w:rsidRPr="00E0721B" w:rsidRDefault="00E0721B" w:rsidP="0072560B">
      <w:pPr>
        <w:pStyle w:val="Bullet1"/>
      </w:pPr>
      <w:r w:rsidRPr="00E0721B">
        <w:t>Reheat or keep warm food for residents who</w:t>
      </w:r>
      <w:r>
        <w:t xml:space="preserve"> </w:t>
      </w:r>
      <w:r w:rsidRPr="00E0721B">
        <w:t>eat slowly.</w:t>
      </w:r>
    </w:p>
    <w:p w14:paraId="5BA6EACE" w14:textId="48758AAE" w:rsidR="00E0721B" w:rsidRPr="00E0721B" w:rsidRDefault="00E0721B" w:rsidP="00BB0706">
      <w:pPr>
        <w:pStyle w:val="Bullet1"/>
      </w:pPr>
      <w:r w:rsidRPr="00E0721B">
        <w:t>Modify food and fluids to the right texture</w:t>
      </w:r>
      <w:r>
        <w:t xml:space="preserve"> </w:t>
      </w:r>
      <w:r w:rsidRPr="00E0721B">
        <w:t>for residents with dysphagia.</w:t>
      </w:r>
    </w:p>
    <w:p w14:paraId="2D8AB5E2" w14:textId="625262F6" w:rsidR="00E0721B" w:rsidRPr="00E0721B" w:rsidRDefault="00E0721B" w:rsidP="00E0721B">
      <w:pPr>
        <w:pStyle w:val="Bullet1"/>
      </w:pPr>
      <w:r w:rsidRPr="00E0721B">
        <w:t>Provide nutritious finger foods.</w:t>
      </w:r>
    </w:p>
    <w:p w14:paraId="3419168D" w14:textId="13E13479" w:rsidR="00E0721B" w:rsidRPr="00E0721B" w:rsidRDefault="00E0721B" w:rsidP="00CB6086">
      <w:pPr>
        <w:pStyle w:val="Bullet1"/>
        <w:rPr>
          <w:rFonts w:ascii="Times New Roman" w:hAnsi="Times New Roman"/>
          <w:sz w:val="19"/>
          <w:szCs w:val="19"/>
          <w:lang w:val="en-GB" w:eastAsia="en-AU"/>
        </w:rPr>
      </w:pPr>
      <w:r w:rsidRPr="00E0721B">
        <w:t>Provide appropriate mealtime aids and/or</w:t>
      </w:r>
      <w:r>
        <w:t xml:space="preserve"> </w:t>
      </w:r>
      <w:r w:rsidRPr="00E0721B">
        <w:t>physical assistance with meals (for example,</w:t>
      </w:r>
      <w:r>
        <w:t xml:space="preserve"> </w:t>
      </w:r>
      <w:r w:rsidRPr="00E0721B">
        <w:t>full assistance with feeding, opening packages,</w:t>
      </w:r>
      <w:r>
        <w:t xml:space="preserve"> </w:t>
      </w:r>
      <w:r w:rsidRPr="00E0721B">
        <w:t>ensuring the food is within reach and regular/frequent prompting). Assistance should be</w:t>
      </w:r>
      <w:r>
        <w:t xml:space="preserve"> </w:t>
      </w:r>
      <w:r w:rsidRPr="00E0721B">
        <w:t xml:space="preserve">provided at the right level for the resident </w:t>
      </w:r>
      <w:r w:rsidRPr="00E0721B">
        <w:rPr>
          <w:lang w:val="en-GB" w:eastAsia="en-AU"/>
        </w:rPr>
        <w:t>to maintain independence.</w:t>
      </w:r>
    </w:p>
    <w:p w14:paraId="4CE24BC6" w14:textId="665BA8C6" w:rsidR="0087712B" w:rsidRPr="0087712B" w:rsidRDefault="0087712B" w:rsidP="00736236">
      <w:pPr>
        <w:pStyle w:val="Bullet1"/>
        <w:rPr>
          <w:lang w:val="en-GB" w:eastAsia="en-AU"/>
        </w:rPr>
      </w:pPr>
      <w:r w:rsidRPr="0087712B">
        <w:rPr>
          <w:lang w:val="en-GB" w:eastAsia="en-AU"/>
        </w:rPr>
        <w:t>Ensure adequate fluid intake (see SCP:</w:t>
      </w:r>
      <w:r>
        <w:rPr>
          <w:lang w:val="en-GB" w:eastAsia="en-AU"/>
        </w:rPr>
        <w:t xml:space="preserve"> </w:t>
      </w:r>
      <w:r w:rsidRPr="0087712B">
        <w:rPr>
          <w:lang w:val="en-GB" w:eastAsia="en-AU"/>
        </w:rPr>
        <w:t>Dehydration and SCP: Constipation).</w:t>
      </w:r>
    </w:p>
    <w:p w14:paraId="3C711E50" w14:textId="040FB178" w:rsidR="0087712B" w:rsidRPr="0087712B" w:rsidRDefault="0087712B" w:rsidP="00EE160A">
      <w:pPr>
        <w:pStyle w:val="Bullet1"/>
        <w:rPr>
          <w:lang w:val="en-GB" w:eastAsia="en-AU"/>
        </w:rPr>
      </w:pPr>
      <w:r w:rsidRPr="0087712B">
        <w:rPr>
          <w:lang w:val="en-GB" w:eastAsia="en-AU"/>
        </w:rPr>
        <w:t>Maintain adequate oral and dental hygiene (see SCP: Oral and dental hygiene). Refer</w:t>
      </w:r>
      <w:r>
        <w:rPr>
          <w:lang w:val="en-GB" w:eastAsia="en-AU"/>
        </w:rPr>
        <w:t xml:space="preserve"> </w:t>
      </w:r>
      <w:r w:rsidRPr="0087712B">
        <w:rPr>
          <w:lang w:val="en-GB" w:eastAsia="en-AU"/>
        </w:rPr>
        <w:t>to a dentist where required.</w:t>
      </w:r>
    </w:p>
    <w:p w14:paraId="7CF57B54" w14:textId="511E042C" w:rsidR="0087712B" w:rsidRPr="0087712B" w:rsidRDefault="0087712B" w:rsidP="007B34D9">
      <w:pPr>
        <w:pStyle w:val="Bullet1"/>
        <w:rPr>
          <w:lang w:val="en-GB" w:eastAsia="en-AU"/>
        </w:rPr>
      </w:pPr>
      <w:r w:rsidRPr="0087712B">
        <w:rPr>
          <w:lang w:val="en-GB" w:eastAsia="en-AU"/>
        </w:rPr>
        <w:t>Encourage the resident to wear dentures</w:t>
      </w:r>
      <w:r>
        <w:rPr>
          <w:lang w:val="en-GB" w:eastAsia="en-AU"/>
        </w:rPr>
        <w:t xml:space="preserve"> </w:t>
      </w:r>
      <w:r w:rsidRPr="0087712B">
        <w:rPr>
          <w:lang w:val="en-GB" w:eastAsia="en-AU"/>
        </w:rPr>
        <w:t>and ensure correct fit</w:t>
      </w:r>
    </w:p>
    <w:p w14:paraId="4DB04A6F" w14:textId="76CB5292" w:rsidR="0087712B" w:rsidRPr="0087712B" w:rsidRDefault="0087712B" w:rsidP="00AE6D2D">
      <w:pPr>
        <w:pStyle w:val="Bullet1"/>
        <w:rPr>
          <w:lang w:val="en-GB" w:eastAsia="en-AU"/>
        </w:rPr>
      </w:pPr>
      <w:r w:rsidRPr="0087712B">
        <w:rPr>
          <w:lang w:val="en-GB" w:eastAsia="en-AU"/>
        </w:rPr>
        <w:t>Ensure appropriate positioning for meals – at a table is ideal but if the resident needs to rest in bed ensure they are sitting upright and are</w:t>
      </w:r>
      <w:r>
        <w:rPr>
          <w:lang w:val="en-GB" w:eastAsia="en-AU"/>
        </w:rPr>
        <w:t xml:space="preserve"> </w:t>
      </w:r>
      <w:r w:rsidRPr="0087712B">
        <w:rPr>
          <w:lang w:val="en-GB" w:eastAsia="en-AU"/>
        </w:rPr>
        <w:t>supported in this position.</w:t>
      </w:r>
    </w:p>
    <w:p w14:paraId="483729AC" w14:textId="542EE36E" w:rsidR="0087712B" w:rsidRPr="0087712B" w:rsidRDefault="0087712B" w:rsidP="00B02CBD">
      <w:pPr>
        <w:pStyle w:val="Bullet1"/>
        <w:rPr>
          <w:lang w:val="en-GB" w:eastAsia="en-AU"/>
        </w:rPr>
      </w:pPr>
      <w:r w:rsidRPr="0087712B">
        <w:rPr>
          <w:lang w:val="en-GB" w:eastAsia="en-AU"/>
        </w:rPr>
        <w:t>In consultation with the dietitian and GP, provide nutritional supplements. Note: Nutritional supplements should be given between meals because they may reduce the appetite and food</w:t>
      </w:r>
      <w:r>
        <w:rPr>
          <w:lang w:val="en-GB" w:eastAsia="en-AU"/>
        </w:rPr>
        <w:t xml:space="preserve"> </w:t>
      </w:r>
      <w:r w:rsidRPr="0087712B">
        <w:rPr>
          <w:lang w:val="en-GB" w:eastAsia="en-AU"/>
        </w:rPr>
        <w:t>intake if given with meals.</w:t>
      </w:r>
    </w:p>
    <w:p w14:paraId="5FBC5B9F" w14:textId="71ECC01E" w:rsidR="0087712B" w:rsidRPr="0087712B" w:rsidRDefault="0087712B" w:rsidP="008263ED">
      <w:pPr>
        <w:pStyle w:val="Bullet1"/>
        <w:rPr>
          <w:lang w:val="en-GB" w:eastAsia="en-AU"/>
        </w:rPr>
      </w:pPr>
      <w:r w:rsidRPr="0087712B">
        <w:rPr>
          <w:lang w:val="en-GB" w:eastAsia="en-AU"/>
        </w:rPr>
        <w:t>Encourage exercise within the resident’s abilities to stimulate appetite and promote muscle</w:t>
      </w:r>
      <w:r>
        <w:rPr>
          <w:lang w:val="en-GB" w:eastAsia="en-AU"/>
        </w:rPr>
        <w:t xml:space="preserve"> </w:t>
      </w:r>
      <w:r w:rsidRPr="0087712B">
        <w:rPr>
          <w:lang w:val="en-GB" w:eastAsia="en-AU"/>
        </w:rPr>
        <w:t>strength.</w:t>
      </w:r>
    </w:p>
    <w:p w14:paraId="0ACC53E0" w14:textId="4DD15E94" w:rsidR="0087712B" w:rsidRPr="0087712B" w:rsidRDefault="0087712B" w:rsidP="004047E1">
      <w:pPr>
        <w:pStyle w:val="Bullet1"/>
        <w:rPr>
          <w:lang w:val="en-GB" w:eastAsia="en-AU"/>
        </w:rPr>
      </w:pPr>
      <w:r w:rsidRPr="0087712B">
        <w:rPr>
          <w:lang w:val="en-GB" w:eastAsia="en-AU"/>
        </w:rPr>
        <w:lastRenderedPageBreak/>
        <w:t>Promote a relaxed and social dining environment</w:t>
      </w:r>
      <w:r>
        <w:rPr>
          <w:lang w:val="en-GB" w:eastAsia="en-AU"/>
        </w:rPr>
        <w:t xml:space="preserve"> </w:t>
      </w:r>
      <w:r w:rsidRPr="0087712B">
        <w:rPr>
          <w:lang w:val="en-GB" w:eastAsia="en-AU"/>
        </w:rPr>
        <w:t>in the following ways:</w:t>
      </w:r>
    </w:p>
    <w:p w14:paraId="5BBA76A4" w14:textId="6F04DEF8" w:rsidR="0087712B" w:rsidRDefault="0087712B" w:rsidP="0087712B">
      <w:pPr>
        <w:pStyle w:val="Bullet2"/>
        <w:rPr>
          <w:lang w:val="en-GB" w:eastAsia="en-AU"/>
        </w:rPr>
      </w:pPr>
      <w:r>
        <w:rPr>
          <w:lang w:val="en-GB" w:eastAsia="en-AU"/>
        </w:rPr>
        <w:t>minimise mealtime interruptions</w:t>
      </w:r>
    </w:p>
    <w:p w14:paraId="17A436D0" w14:textId="4F66120C" w:rsidR="0087712B" w:rsidRDefault="0087712B" w:rsidP="0087712B">
      <w:pPr>
        <w:pStyle w:val="Bullet2"/>
        <w:rPr>
          <w:lang w:val="en-GB" w:eastAsia="en-AU"/>
        </w:rPr>
      </w:pPr>
      <w:r>
        <w:rPr>
          <w:lang w:val="en-GB" w:eastAsia="en-AU"/>
        </w:rPr>
        <w:t>encourage the resident to eat in the company of others (for example, in the dining room, staff being with the resident at mealtimes or asking family/carer to be present at mealtimes)</w:t>
      </w:r>
    </w:p>
    <w:p w14:paraId="1496C6C8" w14:textId="3ED76AE9" w:rsidR="0087712B" w:rsidRDefault="0087712B" w:rsidP="0087712B">
      <w:pPr>
        <w:pStyle w:val="Bullet2"/>
        <w:rPr>
          <w:lang w:val="en-GB" w:eastAsia="en-AU"/>
        </w:rPr>
      </w:pPr>
      <w:r>
        <w:rPr>
          <w:lang w:val="en-GB" w:eastAsia="en-AU"/>
        </w:rPr>
        <w:t>ensure that food presentation is attractive and palatable</w:t>
      </w:r>
    </w:p>
    <w:p w14:paraId="0253CB6B" w14:textId="0AD01F62" w:rsidR="0087712B" w:rsidRDefault="0087712B" w:rsidP="0087712B">
      <w:pPr>
        <w:pStyle w:val="Bullet2"/>
        <w:rPr>
          <w:lang w:val="en-GB" w:eastAsia="en-AU"/>
        </w:rPr>
      </w:pPr>
      <w:r>
        <w:rPr>
          <w:lang w:val="en-GB" w:eastAsia="en-AU"/>
        </w:rPr>
        <w:t>stimulate the resident’s appetite by intensifying the smell and taste of the food</w:t>
      </w:r>
    </w:p>
    <w:p w14:paraId="752C3670" w14:textId="4B842D7A" w:rsidR="0087712B" w:rsidRDefault="0087712B" w:rsidP="0087712B">
      <w:pPr>
        <w:pStyle w:val="Bullet2"/>
        <w:rPr>
          <w:lang w:val="en-GB" w:eastAsia="en-AU"/>
        </w:rPr>
      </w:pPr>
      <w:r>
        <w:rPr>
          <w:lang w:val="en-GB" w:eastAsia="en-AU"/>
        </w:rPr>
        <w:t>promote food intake with intimate dining areas, high-contrast tableware, background music and a focal point, such as an aquarium</w:t>
      </w:r>
    </w:p>
    <w:p w14:paraId="4A683710" w14:textId="0A3D453D" w:rsidR="0087712B" w:rsidRDefault="0087712B" w:rsidP="0087712B">
      <w:pPr>
        <w:pStyle w:val="Bullet1"/>
        <w:numPr>
          <w:ilvl w:val="0"/>
          <w:numId w:val="0"/>
        </w:numPr>
        <w:ind w:left="284"/>
        <w:rPr>
          <w:lang w:val="en-GB" w:eastAsia="en-AU"/>
        </w:rPr>
      </w:pPr>
      <w:r>
        <w:rPr>
          <w:lang w:val="en-GB" w:eastAsia="en-AU"/>
        </w:rPr>
        <w:t>– consider seating arrangements and seating comfort.</w:t>
      </w:r>
    </w:p>
    <w:p w14:paraId="192D0232" w14:textId="0F70C470" w:rsidR="0087712B" w:rsidRPr="0087712B" w:rsidRDefault="0087712B" w:rsidP="00793FCE">
      <w:pPr>
        <w:pStyle w:val="Bullet1"/>
        <w:rPr>
          <w:lang w:val="en-GB" w:eastAsia="en-AU"/>
        </w:rPr>
      </w:pPr>
      <w:r w:rsidRPr="0087712B">
        <w:rPr>
          <w:lang w:val="en-GB" w:eastAsia="en-AU"/>
        </w:rPr>
        <w:t>Allocate sufficient staff and time to assist with</w:t>
      </w:r>
      <w:r>
        <w:rPr>
          <w:lang w:val="en-GB" w:eastAsia="en-AU"/>
        </w:rPr>
        <w:t xml:space="preserve"> </w:t>
      </w:r>
      <w:r w:rsidRPr="0087712B">
        <w:rPr>
          <w:lang w:val="en-GB" w:eastAsia="en-AU"/>
        </w:rPr>
        <w:t>mealtimes.</w:t>
      </w:r>
    </w:p>
    <w:p w14:paraId="6ED695A2" w14:textId="3B12FE85" w:rsidR="0087712B" w:rsidRPr="0087712B" w:rsidRDefault="0087712B" w:rsidP="00135DD2">
      <w:pPr>
        <w:pStyle w:val="Bullet1"/>
        <w:rPr>
          <w:lang w:val="en-GB" w:eastAsia="en-AU"/>
        </w:rPr>
      </w:pPr>
      <w:r w:rsidRPr="0087712B">
        <w:rPr>
          <w:lang w:val="en-GB" w:eastAsia="en-AU"/>
        </w:rPr>
        <w:t>Encourage volunteers and family/carers to assist</w:t>
      </w:r>
      <w:r>
        <w:rPr>
          <w:lang w:val="en-GB" w:eastAsia="en-AU"/>
        </w:rPr>
        <w:t xml:space="preserve"> </w:t>
      </w:r>
      <w:r w:rsidRPr="0087712B">
        <w:rPr>
          <w:lang w:val="en-GB" w:eastAsia="en-AU"/>
        </w:rPr>
        <w:t>at mealtimes.</w:t>
      </w:r>
    </w:p>
    <w:p w14:paraId="47B83614" w14:textId="6C044C2E" w:rsidR="00CD448D" w:rsidRPr="0087712B" w:rsidRDefault="0087712B" w:rsidP="0087712B">
      <w:pPr>
        <w:pStyle w:val="Bullet1"/>
        <w:rPr>
          <w:lang w:val="en-GB" w:eastAsia="en-AU"/>
        </w:rPr>
      </w:pPr>
      <w:r w:rsidRPr="0087712B">
        <w:rPr>
          <w:lang w:val="en-GB" w:eastAsia="en-AU"/>
        </w:rPr>
        <w:t>Consult with residents when preparing menus</w:t>
      </w:r>
      <w:r>
        <w:rPr>
          <w:lang w:val="en-GB" w:eastAsia="en-AU"/>
        </w:rPr>
        <w:t xml:space="preserve"> </w:t>
      </w:r>
      <w:r w:rsidRPr="0087712B">
        <w:rPr>
          <w:lang w:val="en-GB" w:eastAsia="en-AU"/>
        </w:rPr>
        <w:t>and making food choices.</w:t>
      </w:r>
    </w:p>
    <w:p w14:paraId="150DBF9B" w14:textId="77777777" w:rsidR="00CD448D" w:rsidRDefault="00CD448D" w:rsidP="00CD448D">
      <w:pPr>
        <w:pStyle w:val="Heading2"/>
        <w:rPr>
          <w:lang w:val="en-GB" w:eastAsia="en-AU"/>
        </w:rPr>
      </w:pPr>
      <w:bookmarkStart w:id="17" w:name="_Toc112424266"/>
      <w:r>
        <w:rPr>
          <w:lang w:val="en-GB" w:eastAsia="en-AU"/>
        </w:rPr>
        <w:t>Referral</w:t>
      </w:r>
      <w:bookmarkEnd w:id="17"/>
    </w:p>
    <w:p w14:paraId="10F24142" w14:textId="77777777" w:rsidR="00522654" w:rsidRPr="00522654" w:rsidRDefault="00522654" w:rsidP="00522654">
      <w:pPr>
        <w:pStyle w:val="Bullet1"/>
        <w:rPr>
          <w:lang w:val="en-GB"/>
        </w:rPr>
      </w:pPr>
      <w:r w:rsidRPr="00522654">
        <w:rPr>
          <w:lang w:val="en-GB"/>
        </w:rPr>
        <w:t>GP</w:t>
      </w:r>
    </w:p>
    <w:p w14:paraId="38BE42C4" w14:textId="3F1BC989" w:rsidR="00522654" w:rsidRPr="00522654" w:rsidRDefault="00522654" w:rsidP="00522654">
      <w:pPr>
        <w:pStyle w:val="Bullet1"/>
        <w:rPr>
          <w:lang w:val="en-GB"/>
        </w:rPr>
      </w:pPr>
      <w:r w:rsidRPr="00522654">
        <w:rPr>
          <w:lang w:val="en-GB"/>
        </w:rPr>
        <w:t>Dietitian</w:t>
      </w:r>
    </w:p>
    <w:p w14:paraId="76141F1C" w14:textId="6F006173" w:rsidR="00522654" w:rsidRPr="00522654" w:rsidRDefault="00522654" w:rsidP="00522654">
      <w:pPr>
        <w:pStyle w:val="Bullet1"/>
        <w:rPr>
          <w:lang w:val="en-GB"/>
        </w:rPr>
      </w:pPr>
      <w:r w:rsidRPr="00522654">
        <w:rPr>
          <w:lang w:val="en-GB"/>
        </w:rPr>
        <w:t>Speech pathologist</w:t>
      </w:r>
    </w:p>
    <w:p w14:paraId="7CFA6111" w14:textId="3CE7E8D0" w:rsidR="00522654" w:rsidRPr="00522654" w:rsidRDefault="00522654" w:rsidP="00522654">
      <w:pPr>
        <w:pStyle w:val="Bullet1"/>
        <w:rPr>
          <w:lang w:val="en-GB"/>
        </w:rPr>
      </w:pPr>
      <w:r w:rsidRPr="00522654">
        <w:rPr>
          <w:lang w:val="en-GB"/>
        </w:rPr>
        <w:t>Pharmacist</w:t>
      </w:r>
    </w:p>
    <w:p w14:paraId="5159754B" w14:textId="17CE46B0" w:rsidR="004D1DA0" w:rsidRPr="00522654" w:rsidRDefault="00522654" w:rsidP="00522654">
      <w:pPr>
        <w:pStyle w:val="Bullet1"/>
        <w:rPr>
          <w:lang w:val="en-GB"/>
        </w:rPr>
      </w:pPr>
      <w:r w:rsidRPr="00522654">
        <w:rPr>
          <w:lang w:val="en-GB"/>
        </w:rPr>
        <w:t>Dentist for management of decayed or broken</w:t>
      </w:r>
      <w:r>
        <w:rPr>
          <w:lang w:val="en-GB"/>
        </w:rPr>
        <w:t xml:space="preserve"> </w:t>
      </w:r>
      <w:r w:rsidRPr="00522654">
        <w:rPr>
          <w:lang w:val="en-GB"/>
        </w:rPr>
        <w:t>teeth or ill-fitting dentures</w:t>
      </w:r>
    </w:p>
    <w:p w14:paraId="04A445D9" w14:textId="026A2029" w:rsidR="00CD448D" w:rsidRDefault="00CD448D" w:rsidP="00CD448D">
      <w:pPr>
        <w:pStyle w:val="Heading2"/>
        <w:rPr>
          <w:lang w:val="en-GB" w:eastAsia="en-AU"/>
        </w:rPr>
      </w:pPr>
      <w:bookmarkStart w:id="18" w:name="_Toc112424267"/>
      <w:r>
        <w:rPr>
          <w:lang w:val="en-GB" w:eastAsia="en-AU"/>
        </w:rPr>
        <w:t>Evaluation and reassessment</w:t>
      </w:r>
      <w:bookmarkEnd w:id="18"/>
    </w:p>
    <w:p w14:paraId="4A1A5A79" w14:textId="37A9550B" w:rsidR="00522654" w:rsidRPr="00522654" w:rsidRDefault="00522654" w:rsidP="00522654">
      <w:pPr>
        <w:pStyle w:val="Bullet1"/>
        <w:rPr>
          <w:lang w:val="en-GB" w:eastAsia="en-AU"/>
        </w:rPr>
      </w:pPr>
      <w:r w:rsidRPr="00522654">
        <w:rPr>
          <w:lang w:val="en-GB" w:eastAsia="en-AU"/>
        </w:rPr>
        <w:t>Weigh the resident monthly.</w:t>
      </w:r>
    </w:p>
    <w:p w14:paraId="5655CDDA" w14:textId="42A24586" w:rsidR="00522654" w:rsidRPr="00522654" w:rsidRDefault="00522654" w:rsidP="007D060B">
      <w:pPr>
        <w:pStyle w:val="Bullet1"/>
        <w:rPr>
          <w:lang w:val="en-GB" w:eastAsia="en-AU"/>
        </w:rPr>
      </w:pPr>
      <w:r w:rsidRPr="00522654">
        <w:rPr>
          <w:lang w:val="en-GB" w:eastAsia="en-AU"/>
        </w:rPr>
        <w:t>If weight loss detected, increase the frequency</w:t>
      </w:r>
      <w:r>
        <w:rPr>
          <w:lang w:val="en-GB" w:eastAsia="en-AU"/>
        </w:rPr>
        <w:t xml:space="preserve"> </w:t>
      </w:r>
      <w:r w:rsidRPr="00522654">
        <w:rPr>
          <w:lang w:val="en-GB" w:eastAsia="en-AU"/>
        </w:rPr>
        <w:t>of weighs.</w:t>
      </w:r>
    </w:p>
    <w:p w14:paraId="3E2E3AC4" w14:textId="723E8A95" w:rsidR="004D1DA0" w:rsidRDefault="00522654" w:rsidP="00522654">
      <w:pPr>
        <w:pStyle w:val="Bullet1"/>
      </w:pPr>
      <w:r w:rsidRPr="00522654">
        <w:rPr>
          <w:lang w:val="en-GB" w:eastAsia="en-AU"/>
        </w:rPr>
        <w:t xml:space="preserve">Regularly review any </w:t>
      </w:r>
      <w:r w:rsidR="00F57A6C" w:rsidRPr="00522654">
        <w:rPr>
          <w:lang w:val="en-GB" w:eastAsia="en-AU"/>
        </w:rPr>
        <w:t>interventions.</w:t>
      </w:r>
    </w:p>
    <w:p w14:paraId="70DD0BFF" w14:textId="77777777" w:rsidR="00942FAB" w:rsidRDefault="00942FAB" w:rsidP="00942FAB">
      <w:pPr>
        <w:pStyle w:val="Heading2"/>
        <w:rPr>
          <w:lang w:val="en-GB" w:eastAsia="en-AU"/>
        </w:rPr>
      </w:pPr>
      <w:bookmarkStart w:id="19" w:name="_Toc112424268"/>
      <w:r>
        <w:rPr>
          <w:lang w:val="en-GB" w:eastAsia="en-AU"/>
        </w:rPr>
        <w:t>Resident involvement</w:t>
      </w:r>
      <w:bookmarkEnd w:id="19"/>
    </w:p>
    <w:p w14:paraId="215A099B" w14:textId="3E6CCB6D" w:rsidR="00522654" w:rsidRPr="00522654" w:rsidRDefault="00522654" w:rsidP="001B4B4E">
      <w:pPr>
        <w:pStyle w:val="Bullet1"/>
        <w:rPr>
          <w:lang w:val="en-GB"/>
        </w:rPr>
      </w:pPr>
      <w:r w:rsidRPr="00522654">
        <w:rPr>
          <w:lang w:val="en-GB"/>
        </w:rPr>
        <w:t>Discuss food and mealtime preferences with</w:t>
      </w:r>
      <w:r>
        <w:rPr>
          <w:lang w:val="en-GB"/>
        </w:rPr>
        <w:t xml:space="preserve"> </w:t>
      </w:r>
      <w:r w:rsidRPr="00522654">
        <w:rPr>
          <w:lang w:val="en-GB"/>
        </w:rPr>
        <w:t>the resident as above.</w:t>
      </w:r>
    </w:p>
    <w:p w14:paraId="2E0CE665" w14:textId="309AFAD7" w:rsidR="004D1DA0" w:rsidRPr="00942FAB" w:rsidRDefault="00522654" w:rsidP="0043202F">
      <w:pPr>
        <w:pStyle w:val="Bullet1"/>
      </w:pPr>
      <w:r w:rsidRPr="00522654">
        <w:rPr>
          <w:lang w:val="en-GB"/>
        </w:rPr>
        <w:t>Provide the resident and/or family/carers with information on nutrition and maintaining</w:t>
      </w:r>
      <w:r>
        <w:rPr>
          <w:lang w:val="en-GB"/>
        </w:rPr>
        <w:t xml:space="preserve"> </w:t>
      </w:r>
      <w:r w:rsidRPr="00522654">
        <w:rPr>
          <w:lang w:val="en-GB"/>
        </w:rPr>
        <w:t>nutritional status</w:t>
      </w:r>
      <w:r w:rsidR="00942FAB" w:rsidRPr="00942FAB">
        <w:t>.</w:t>
      </w:r>
    </w:p>
    <w:p w14:paraId="1BF2D364" w14:textId="77777777" w:rsidR="00942FAB" w:rsidRDefault="00942FAB" w:rsidP="00942FAB">
      <w:pPr>
        <w:pStyle w:val="Heading2"/>
        <w:rPr>
          <w:lang w:val="en-GB" w:eastAsia="en-AU"/>
        </w:rPr>
      </w:pPr>
      <w:bookmarkStart w:id="20" w:name="_Toc112424269"/>
      <w:r>
        <w:rPr>
          <w:lang w:val="en-GB" w:eastAsia="en-AU"/>
        </w:rPr>
        <w:t>Staff knowledge and education</w:t>
      </w:r>
      <w:bookmarkEnd w:id="20"/>
    </w:p>
    <w:p w14:paraId="7CFEFC58" w14:textId="77777777" w:rsidR="00522654" w:rsidRPr="00522654" w:rsidRDefault="00522654" w:rsidP="00522654">
      <w:pPr>
        <w:pStyle w:val="Bullet1"/>
        <w:rPr>
          <w:lang w:val="en-GB"/>
        </w:rPr>
      </w:pPr>
      <w:r w:rsidRPr="00522654">
        <w:rPr>
          <w:lang w:val="en-GB"/>
        </w:rPr>
        <w:t>Nutrition in older people</w:t>
      </w:r>
    </w:p>
    <w:p w14:paraId="5D23BECB" w14:textId="003CD6C0" w:rsidR="00522654" w:rsidRPr="00522654" w:rsidRDefault="00522654" w:rsidP="00522654">
      <w:pPr>
        <w:pStyle w:val="Bullet1"/>
        <w:rPr>
          <w:lang w:val="en-GB"/>
        </w:rPr>
      </w:pPr>
      <w:r w:rsidRPr="00522654">
        <w:rPr>
          <w:lang w:val="en-GB"/>
        </w:rPr>
        <w:t>Risk factors for malnourishment</w:t>
      </w:r>
    </w:p>
    <w:p w14:paraId="3F5B5148" w14:textId="64E15D9D" w:rsidR="00522654" w:rsidRPr="00522654" w:rsidRDefault="00522654" w:rsidP="00522654">
      <w:pPr>
        <w:pStyle w:val="Bullet1"/>
        <w:rPr>
          <w:lang w:val="en-GB"/>
        </w:rPr>
      </w:pPr>
      <w:r w:rsidRPr="00522654">
        <w:rPr>
          <w:lang w:val="en-GB"/>
        </w:rPr>
        <w:t>Creating a positive mealtime environment</w:t>
      </w:r>
    </w:p>
    <w:p w14:paraId="2D4A0156" w14:textId="58B8D71B" w:rsidR="00522654" w:rsidRPr="00522654" w:rsidRDefault="00522654" w:rsidP="00522654">
      <w:pPr>
        <w:pStyle w:val="Bullet1"/>
        <w:rPr>
          <w:lang w:val="en-GB"/>
        </w:rPr>
      </w:pPr>
      <w:proofErr w:type="gramStart"/>
      <w:r w:rsidRPr="00522654">
        <w:rPr>
          <w:lang w:val="en-GB"/>
        </w:rPr>
        <w:t>Providing assistance</w:t>
      </w:r>
      <w:proofErr w:type="gramEnd"/>
      <w:r w:rsidRPr="00522654">
        <w:rPr>
          <w:lang w:val="en-GB"/>
        </w:rPr>
        <w:t xml:space="preserve"> with eating and drinking</w:t>
      </w:r>
    </w:p>
    <w:p w14:paraId="17457946" w14:textId="7AA71789" w:rsidR="009836D4" w:rsidRDefault="00522654" w:rsidP="00522654">
      <w:pPr>
        <w:pStyle w:val="Bullet1"/>
      </w:pPr>
      <w:r w:rsidRPr="00522654">
        <w:rPr>
          <w:lang w:val="en-GB"/>
        </w:rPr>
        <w:t>Religious and cultural preferences and choices</w:t>
      </w:r>
    </w:p>
    <w:p w14:paraId="7247FECA" w14:textId="4F0670AF" w:rsidR="00942FAB" w:rsidRDefault="00942FAB">
      <w:pPr>
        <w:spacing w:after="0" w:line="240" w:lineRule="auto"/>
        <w:rPr>
          <w:rFonts w:eastAsia="Times"/>
        </w:rPr>
      </w:pPr>
      <w:r>
        <w:br w:type="page"/>
      </w:r>
    </w:p>
    <w:p w14:paraId="2AB0EE07" w14:textId="77777777" w:rsidR="00942FAB" w:rsidRPr="00942FAB" w:rsidRDefault="00942FAB" w:rsidP="00942FAB">
      <w:pPr>
        <w:pStyle w:val="Heading1"/>
      </w:pPr>
      <w:bookmarkStart w:id="21" w:name="_Toc112424270"/>
      <w:r w:rsidRPr="00942FAB">
        <w:lastRenderedPageBreak/>
        <w:t>Evidence base</w:t>
      </w:r>
      <w:bookmarkEnd w:id="21"/>
    </w:p>
    <w:p w14:paraId="29CF0B6A" w14:textId="57749432" w:rsidR="00522654" w:rsidRDefault="00522654" w:rsidP="00522654">
      <w:pPr>
        <w:pStyle w:val="Body"/>
        <w:rPr>
          <w:lang w:val="en-GB" w:eastAsia="en-AU"/>
        </w:rPr>
      </w:pPr>
      <w:r>
        <w:rPr>
          <w:lang w:val="en-GB" w:eastAsia="en-AU"/>
        </w:rPr>
        <w:t>Corish, C &amp; Bardon, L 2019, ‘Malnutrition in older adults: screening and determinants’, Proceedings of the Nutrition Society, Vol. 78, pp. 372–379.</w:t>
      </w:r>
    </w:p>
    <w:p w14:paraId="6CA3D26B" w14:textId="73414C15" w:rsidR="00522654" w:rsidRDefault="00522654" w:rsidP="00522654">
      <w:pPr>
        <w:pStyle w:val="Body"/>
        <w:rPr>
          <w:lang w:val="en-GB" w:eastAsia="en-AU"/>
        </w:rPr>
      </w:pPr>
      <w:r>
        <w:rPr>
          <w:lang w:val="en-GB" w:eastAsia="en-AU"/>
        </w:rPr>
        <w:t xml:space="preserve">Department of Health 2012, </w:t>
      </w:r>
      <w:r w:rsidRPr="00522654">
        <w:rPr>
          <w:i/>
          <w:iCs/>
          <w:lang w:val="en-GB" w:eastAsia="en-AU"/>
        </w:rPr>
        <w:t>Strengthening care outcomes for residents with evidence (SCORE)</w:t>
      </w:r>
      <w:r>
        <w:rPr>
          <w:lang w:val="en-GB" w:eastAsia="en-AU"/>
        </w:rPr>
        <w:t>, Ageing and Aged Care Branch, State Government of Victoria, Melbourne.</w:t>
      </w:r>
    </w:p>
    <w:p w14:paraId="2CDA103E" w14:textId="7E827C6D" w:rsidR="00CD305F" w:rsidRDefault="00CD305F" w:rsidP="00CD305F">
      <w:pPr>
        <w:pStyle w:val="Body"/>
        <w:rPr>
          <w:lang w:val="en-GB"/>
        </w:rPr>
      </w:pPr>
      <w:r>
        <w:t xml:space="preserve">Dent, R., Wright, O.R.L, Woo, J. and </w:t>
      </w:r>
      <w:proofErr w:type="spellStart"/>
      <w:r>
        <w:t>Hoogendiik</w:t>
      </w:r>
      <w:proofErr w:type="spellEnd"/>
      <w:r>
        <w:t xml:space="preserve">, E.O. (2023). Malnutrition in older adults </w:t>
      </w:r>
      <w:r w:rsidRPr="00CD305F">
        <w:rPr>
          <w:i/>
          <w:iCs/>
        </w:rPr>
        <w:t>Lancet</w:t>
      </w:r>
      <w:r>
        <w:t xml:space="preserve"> 2023; 401: 951–66 Published Online January 27, </w:t>
      </w:r>
      <w:proofErr w:type="gramStart"/>
      <w:r>
        <w:t>2023</w:t>
      </w:r>
      <w:proofErr w:type="gramEnd"/>
      <w:r>
        <w:t xml:space="preserve"> https://doi.org/10.1016/S0140-6736(22)02612-5</w:t>
      </w:r>
    </w:p>
    <w:p w14:paraId="6885B04A" w14:textId="7BFBBCD1" w:rsidR="00522654" w:rsidRDefault="00522654" w:rsidP="00522654">
      <w:pPr>
        <w:pStyle w:val="Body"/>
        <w:rPr>
          <w:lang w:val="en-GB" w:eastAsia="en-AU"/>
        </w:rPr>
      </w:pPr>
      <w:proofErr w:type="spellStart"/>
      <w:r>
        <w:rPr>
          <w:lang w:val="en-GB" w:eastAsia="en-AU"/>
        </w:rPr>
        <w:t>DiMarie-Ghalili</w:t>
      </w:r>
      <w:proofErr w:type="spellEnd"/>
      <w:r>
        <w:rPr>
          <w:lang w:val="en-GB" w:eastAsia="en-AU"/>
        </w:rPr>
        <w:t xml:space="preserve">, R 2020, ‘Ch 13: Nutrition in the older adult’, in M Boltz, E </w:t>
      </w:r>
      <w:proofErr w:type="spellStart"/>
      <w:r>
        <w:rPr>
          <w:lang w:val="en-GB" w:eastAsia="en-AU"/>
        </w:rPr>
        <w:t>Capezuti</w:t>
      </w:r>
      <w:proofErr w:type="spellEnd"/>
      <w:r>
        <w:rPr>
          <w:lang w:val="en-GB" w:eastAsia="en-AU"/>
        </w:rPr>
        <w:t xml:space="preserve">, D Zwicker &amp; T Fulmer (eds), </w:t>
      </w:r>
      <w:r w:rsidRPr="00522654">
        <w:rPr>
          <w:i/>
          <w:iCs/>
          <w:lang w:val="en-GB" w:eastAsia="en-AU"/>
        </w:rPr>
        <w:t>Evidence-based geriatric nursing protocols for best practice</w:t>
      </w:r>
      <w:r>
        <w:rPr>
          <w:lang w:val="en-GB" w:eastAsia="en-AU"/>
        </w:rPr>
        <w:t xml:space="preserve">, 6th </w:t>
      </w:r>
      <w:proofErr w:type="spellStart"/>
      <w:r>
        <w:rPr>
          <w:lang w:val="en-GB" w:eastAsia="en-AU"/>
        </w:rPr>
        <w:t>edn</w:t>
      </w:r>
      <w:proofErr w:type="spellEnd"/>
      <w:r>
        <w:rPr>
          <w:lang w:val="en-GB" w:eastAsia="en-AU"/>
        </w:rPr>
        <w:t>, Springer, New York.</w:t>
      </w:r>
    </w:p>
    <w:p w14:paraId="792199C1" w14:textId="29184154" w:rsidR="00522654" w:rsidRDefault="00522654" w:rsidP="00522654">
      <w:pPr>
        <w:pStyle w:val="Body"/>
        <w:rPr>
          <w:lang w:val="en-GB" w:eastAsia="en-AU"/>
        </w:rPr>
      </w:pPr>
      <w:r>
        <w:rPr>
          <w:lang w:val="en-GB" w:eastAsia="en-AU"/>
        </w:rPr>
        <w:t xml:space="preserve">Marin, T 2019, Evidence Summary. </w:t>
      </w:r>
      <w:r w:rsidRPr="00522654">
        <w:rPr>
          <w:i/>
          <w:iCs/>
          <w:lang w:val="en-GB" w:eastAsia="en-AU"/>
        </w:rPr>
        <w:t>Malnutrition risk assessment (older people): long-term aged care facilities</w:t>
      </w:r>
      <w:r>
        <w:rPr>
          <w:lang w:val="en-GB" w:eastAsia="en-AU"/>
        </w:rPr>
        <w:t xml:space="preserve">, The Joanna Briggs Institute EBP Database, </w:t>
      </w:r>
      <w:proofErr w:type="spellStart"/>
      <w:r>
        <w:rPr>
          <w:lang w:val="en-GB" w:eastAsia="en-AU"/>
        </w:rPr>
        <w:t>JBI@Ovid</w:t>
      </w:r>
      <w:proofErr w:type="spellEnd"/>
      <w:r>
        <w:rPr>
          <w:lang w:val="en-GB" w:eastAsia="en-AU"/>
        </w:rPr>
        <w:t>. JBI22196.</w:t>
      </w:r>
    </w:p>
    <w:p w14:paraId="52A45BF7" w14:textId="31B8477D" w:rsidR="00522654" w:rsidRDefault="00522654" w:rsidP="00522654">
      <w:pPr>
        <w:pStyle w:val="Body"/>
        <w:rPr>
          <w:lang w:val="en-GB" w:eastAsia="en-AU"/>
        </w:rPr>
      </w:pPr>
      <w:r>
        <w:rPr>
          <w:lang w:val="en-GB" w:eastAsia="en-AU"/>
        </w:rPr>
        <w:t>Nestlé Nutrition Institute ND. MNA: Mini nutritional assessment &lt;https://www.mna-elderly.com/sites/default/files/2021-10/mna-mini-english.pdf&gt;.</w:t>
      </w:r>
    </w:p>
    <w:p w14:paraId="4B422ECC" w14:textId="03016BDD" w:rsidR="00522654" w:rsidRDefault="00522654" w:rsidP="00522654">
      <w:pPr>
        <w:pStyle w:val="Body"/>
        <w:rPr>
          <w:lang w:val="en-GB" w:eastAsia="en-AU"/>
        </w:rPr>
      </w:pPr>
      <w:r>
        <w:rPr>
          <w:lang w:val="en-GB" w:eastAsia="en-AU"/>
        </w:rPr>
        <w:t xml:space="preserve">National Institute for Health and Care Excellence (NICE) 2017, </w:t>
      </w:r>
      <w:r w:rsidRPr="00522654">
        <w:rPr>
          <w:i/>
          <w:iCs/>
          <w:lang w:val="en-GB" w:eastAsia="en-AU"/>
        </w:rPr>
        <w:t>Nutrition support for adults: oral nutrition support, enteral tube feeding and parenteral nutrition</w:t>
      </w:r>
      <w:r>
        <w:rPr>
          <w:lang w:val="en-GB" w:eastAsia="en-AU"/>
        </w:rPr>
        <w:t>. Guideline 32, &lt;https://www.nice.org.uk/guidance/cg32/resources/nutritionsupport-for-adults-oral-nutrition-supportenteral-tube-feeding-and-parenteral-nutritionpdf-975383198917&gt;.</w:t>
      </w:r>
    </w:p>
    <w:p w14:paraId="14063E37" w14:textId="7B7A54DF" w:rsidR="00522654" w:rsidRDefault="00522654" w:rsidP="00522654">
      <w:pPr>
        <w:pStyle w:val="Body"/>
        <w:rPr>
          <w:lang w:val="en-GB" w:eastAsia="en-AU"/>
        </w:rPr>
      </w:pPr>
      <w:proofErr w:type="spellStart"/>
      <w:r>
        <w:rPr>
          <w:lang w:val="en-GB" w:eastAsia="en-AU"/>
        </w:rPr>
        <w:t>Sivapuram</w:t>
      </w:r>
      <w:proofErr w:type="spellEnd"/>
      <w:r>
        <w:rPr>
          <w:lang w:val="en-GB" w:eastAsia="en-AU"/>
        </w:rPr>
        <w:t xml:space="preserve">, M 2018, Evidence Summary. </w:t>
      </w:r>
      <w:r w:rsidRPr="00522654">
        <w:rPr>
          <w:i/>
          <w:iCs/>
          <w:lang w:val="en-GB" w:eastAsia="en-AU"/>
        </w:rPr>
        <w:t>Malnutrition in residential aged care: mealtime interventions</w:t>
      </w:r>
      <w:r>
        <w:rPr>
          <w:lang w:val="en-GB" w:eastAsia="en-AU"/>
        </w:rPr>
        <w:t xml:space="preserve">, The Joanna Briggs Institute EBP Database, </w:t>
      </w:r>
      <w:proofErr w:type="spellStart"/>
      <w:r>
        <w:rPr>
          <w:lang w:val="en-GB" w:eastAsia="en-AU"/>
        </w:rPr>
        <w:t>JBI@Ovid</w:t>
      </w:r>
      <w:proofErr w:type="spellEnd"/>
      <w:r>
        <w:rPr>
          <w:lang w:val="en-GB" w:eastAsia="en-AU"/>
        </w:rPr>
        <w:t>. JBI16867.</w:t>
      </w:r>
    </w:p>
    <w:p w14:paraId="3280BDCF" w14:textId="0BDAE26F" w:rsidR="00522654" w:rsidRDefault="00522654" w:rsidP="00522654">
      <w:pPr>
        <w:pStyle w:val="Body"/>
        <w:rPr>
          <w:lang w:val="en-GB" w:eastAsia="en-AU"/>
        </w:rPr>
      </w:pPr>
      <w:r>
        <w:rPr>
          <w:lang w:val="en-GB" w:eastAsia="en-AU"/>
        </w:rPr>
        <w:t xml:space="preserve">The Joanna Briggs Institute 2018, Recommended Practice. </w:t>
      </w:r>
      <w:r w:rsidRPr="00522654">
        <w:rPr>
          <w:i/>
          <w:iCs/>
          <w:lang w:val="en-GB" w:eastAsia="en-AU"/>
        </w:rPr>
        <w:t>Mealtime assistance in aged care</w:t>
      </w:r>
      <w:r>
        <w:rPr>
          <w:lang w:val="en-GB" w:eastAsia="en-AU"/>
        </w:rPr>
        <w:t xml:space="preserve">, The Joanna Briggs Institute EBP Database, </w:t>
      </w:r>
      <w:proofErr w:type="spellStart"/>
      <w:r>
        <w:rPr>
          <w:lang w:val="en-GB" w:eastAsia="en-AU"/>
        </w:rPr>
        <w:t>JBI@Ovid</w:t>
      </w:r>
      <w:proofErr w:type="spellEnd"/>
      <w:r>
        <w:rPr>
          <w:lang w:val="en-GB" w:eastAsia="en-AU"/>
        </w:rPr>
        <w:t>. JBI16868.</w:t>
      </w:r>
    </w:p>
    <w:p w14:paraId="71E361EE" w14:textId="2613A39E" w:rsidR="00522654" w:rsidRDefault="00522654" w:rsidP="00522654">
      <w:pPr>
        <w:pStyle w:val="Body"/>
        <w:rPr>
          <w:lang w:val="en-GB" w:eastAsia="en-AU"/>
        </w:rPr>
      </w:pPr>
      <w:r>
        <w:rPr>
          <w:lang w:val="en-GB" w:eastAsia="en-AU"/>
        </w:rPr>
        <w:t xml:space="preserve">The Joanna Briggs Institute 2019, Recommended Practice. </w:t>
      </w:r>
      <w:r w:rsidRPr="00522654">
        <w:rPr>
          <w:i/>
          <w:iCs/>
          <w:lang w:val="en-GB" w:eastAsia="en-AU"/>
        </w:rPr>
        <w:t>Observations: weight and height (older people),</w:t>
      </w:r>
      <w:r>
        <w:rPr>
          <w:lang w:val="en-GB" w:eastAsia="en-AU"/>
        </w:rPr>
        <w:t xml:space="preserve"> The Joanna Briggs Institute EBP Database, </w:t>
      </w:r>
      <w:proofErr w:type="spellStart"/>
      <w:r>
        <w:rPr>
          <w:lang w:val="en-GB" w:eastAsia="en-AU"/>
        </w:rPr>
        <w:t>JBI@Ovid</w:t>
      </w:r>
      <w:proofErr w:type="spellEnd"/>
      <w:r>
        <w:rPr>
          <w:lang w:val="en-GB" w:eastAsia="en-AU"/>
        </w:rPr>
        <w:t>. JBI2344.</w:t>
      </w:r>
    </w:p>
    <w:p w14:paraId="64DF176D" w14:textId="13D98403" w:rsidR="00522654" w:rsidRDefault="00522654" w:rsidP="00522654">
      <w:pPr>
        <w:pStyle w:val="Body"/>
        <w:rPr>
          <w:lang w:val="en-GB" w:eastAsia="en-AU"/>
        </w:rPr>
      </w:pPr>
      <w:r>
        <w:rPr>
          <w:lang w:val="en-GB" w:eastAsia="en-AU"/>
        </w:rPr>
        <w:t xml:space="preserve">Therapeutic Guidelines Limited 2016, </w:t>
      </w:r>
      <w:r w:rsidRPr="00522654">
        <w:rPr>
          <w:i/>
          <w:iCs/>
          <w:lang w:val="en-GB" w:eastAsia="en-AU"/>
        </w:rPr>
        <w:t>Nutrition support: malnutrition</w:t>
      </w:r>
      <w:r>
        <w:rPr>
          <w:lang w:val="en-GB" w:eastAsia="en-AU"/>
        </w:rPr>
        <w:t>, Therapeutic Guidelines Ltd, Melbourne.</w:t>
      </w:r>
    </w:p>
    <w:p w14:paraId="09D56542" w14:textId="3784260D" w:rsidR="00CD305F" w:rsidRDefault="00CD305F" w:rsidP="00CD305F">
      <w:pPr>
        <w:pStyle w:val="Body"/>
        <w:rPr>
          <w:lang w:val="en-GB"/>
        </w:rPr>
      </w:pPr>
      <w:r>
        <w:t xml:space="preserve">Victorian State Government: Better Health Channel. 2022. Body mass index (BMI).  https://www.betterhealth.vic.gov.au/health/healthyliving/body-mass-index-bmi  accessed </w:t>
      </w:r>
      <w:proofErr w:type="gramStart"/>
      <w:r>
        <w:t>12/4/2023</w:t>
      </w:r>
      <w:proofErr w:type="gramEnd"/>
    </w:p>
    <w:p w14:paraId="0C0583E6" w14:textId="244F1B41" w:rsidR="00522654" w:rsidRDefault="00522654" w:rsidP="00522654">
      <w:pPr>
        <w:pStyle w:val="Body"/>
        <w:rPr>
          <w:lang w:val="en-GB" w:eastAsia="en-AU"/>
        </w:rPr>
      </w:pPr>
      <w:proofErr w:type="spellStart"/>
      <w:r>
        <w:rPr>
          <w:lang w:val="en-GB" w:eastAsia="en-AU"/>
        </w:rPr>
        <w:t>Volkert</w:t>
      </w:r>
      <w:proofErr w:type="spellEnd"/>
      <w:r>
        <w:rPr>
          <w:lang w:val="en-GB" w:eastAsia="en-AU"/>
        </w:rPr>
        <w:t xml:space="preserve">, D, Beck, A, </w:t>
      </w:r>
      <w:proofErr w:type="spellStart"/>
      <w:r>
        <w:rPr>
          <w:lang w:val="en-GB" w:eastAsia="en-AU"/>
        </w:rPr>
        <w:t>Cedarholm</w:t>
      </w:r>
      <w:proofErr w:type="spellEnd"/>
      <w:r>
        <w:rPr>
          <w:lang w:val="en-GB" w:eastAsia="en-AU"/>
        </w:rPr>
        <w:t xml:space="preserve">, T, </w:t>
      </w:r>
      <w:proofErr w:type="spellStart"/>
      <w:r>
        <w:rPr>
          <w:lang w:val="en-GB" w:eastAsia="en-AU"/>
        </w:rPr>
        <w:t>Cereda</w:t>
      </w:r>
      <w:proofErr w:type="spellEnd"/>
      <w:r>
        <w:rPr>
          <w:lang w:val="en-GB" w:eastAsia="en-AU"/>
        </w:rPr>
        <w:t>, E, Cruz</w:t>
      </w:r>
      <w:r>
        <w:rPr>
          <w:rFonts w:ascii="Cambria Math" w:hAnsi="Cambria Math" w:cs="Cambria Math"/>
          <w:lang w:val="en-GB" w:eastAsia="en-AU"/>
        </w:rPr>
        <w:t>‑</w:t>
      </w:r>
      <w:proofErr w:type="spellStart"/>
      <w:r>
        <w:rPr>
          <w:lang w:val="en-GB" w:eastAsia="en-AU"/>
        </w:rPr>
        <w:t>Jentoft</w:t>
      </w:r>
      <w:proofErr w:type="spellEnd"/>
      <w:r>
        <w:rPr>
          <w:lang w:val="en-GB" w:eastAsia="en-AU"/>
        </w:rPr>
        <w:t xml:space="preserve">, A, </w:t>
      </w:r>
      <w:proofErr w:type="spellStart"/>
      <w:r>
        <w:rPr>
          <w:lang w:val="en-GB" w:eastAsia="en-AU"/>
        </w:rPr>
        <w:t>Goisser</w:t>
      </w:r>
      <w:proofErr w:type="spellEnd"/>
      <w:r>
        <w:rPr>
          <w:lang w:val="en-GB" w:eastAsia="en-AU"/>
        </w:rPr>
        <w:t xml:space="preserve">, S. de Groot, L, </w:t>
      </w:r>
      <w:proofErr w:type="spellStart"/>
      <w:r>
        <w:rPr>
          <w:lang w:val="en-GB" w:eastAsia="en-AU"/>
        </w:rPr>
        <w:t>Großhauser</w:t>
      </w:r>
      <w:proofErr w:type="spellEnd"/>
      <w:r>
        <w:rPr>
          <w:lang w:val="en-GB" w:eastAsia="en-AU"/>
        </w:rPr>
        <w:t xml:space="preserve">, F, </w:t>
      </w:r>
      <w:proofErr w:type="spellStart"/>
      <w:r>
        <w:rPr>
          <w:lang w:val="en-GB" w:eastAsia="en-AU"/>
        </w:rPr>
        <w:t>Kiesswetter</w:t>
      </w:r>
      <w:proofErr w:type="spellEnd"/>
      <w:r>
        <w:rPr>
          <w:lang w:val="en-GB" w:eastAsia="en-AU"/>
        </w:rPr>
        <w:t xml:space="preserve">, E, Norman, K, </w:t>
      </w:r>
      <w:proofErr w:type="spellStart"/>
      <w:r>
        <w:rPr>
          <w:lang w:val="en-GB" w:eastAsia="en-AU"/>
        </w:rPr>
        <w:t>Pourhassan</w:t>
      </w:r>
      <w:proofErr w:type="spellEnd"/>
      <w:r>
        <w:rPr>
          <w:lang w:val="en-GB" w:eastAsia="en-AU"/>
        </w:rPr>
        <w:t xml:space="preserve">, M, Reinders, I, Roberts, HC, Rolland, Y, Schneider, SM, </w:t>
      </w:r>
      <w:proofErr w:type="spellStart"/>
      <w:r>
        <w:rPr>
          <w:lang w:val="en-GB" w:eastAsia="en-AU"/>
        </w:rPr>
        <w:t>Sieber</w:t>
      </w:r>
      <w:proofErr w:type="spellEnd"/>
      <w:r>
        <w:rPr>
          <w:lang w:val="en-GB" w:eastAsia="en-AU"/>
        </w:rPr>
        <w:t xml:space="preserve">, CC, </w:t>
      </w:r>
      <w:proofErr w:type="spellStart"/>
      <w:r>
        <w:rPr>
          <w:lang w:val="en-GB" w:eastAsia="en-AU"/>
        </w:rPr>
        <w:t>Thiem</w:t>
      </w:r>
      <w:proofErr w:type="spellEnd"/>
      <w:r>
        <w:rPr>
          <w:lang w:val="en-GB" w:eastAsia="en-AU"/>
        </w:rPr>
        <w:t xml:space="preserve">, U, Visser, M, </w:t>
      </w:r>
      <w:proofErr w:type="spellStart"/>
      <w:r>
        <w:rPr>
          <w:lang w:val="en-GB" w:eastAsia="en-AU"/>
        </w:rPr>
        <w:t>Wijnhoven</w:t>
      </w:r>
      <w:proofErr w:type="spellEnd"/>
      <w:r>
        <w:rPr>
          <w:lang w:val="en-GB" w:eastAsia="en-AU"/>
        </w:rPr>
        <w:t xml:space="preserve">, H &amp; Wirth, R 2019, ‘Management of malnutrition in older patients – current approaches, evidence open questions’, </w:t>
      </w:r>
      <w:r w:rsidRPr="00522654">
        <w:rPr>
          <w:i/>
          <w:iCs/>
          <w:lang w:val="en-GB" w:eastAsia="en-AU"/>
        </w:rPr>
        <w:t>Journal of Clinical Medicine</w:t>
      </w:r>
      <w:r>
        <w:rPr>
          <w:lang w:val="en-GB" w:eastAsia="en-AU"/>
        </w:rPr>
        <w:t>, doi:10.3390/jcm8070974</w:t>
      </w:r>
    </w:p>
    <w:p w14:paraId="44ABDDA9" w14:textId="6798D056" w:rsidR="00522654" w:rsidRDefault="00522654" w:rsidP="00522654">
      <w:pPr>
        <w:pStyle w:val="Body"/>
        <w:rPr>
          <w:lang w:val="en-GB" w:eastAsia="en-AU"/>
        </w:rPr>
      </w:pPr>
      <w:proofErr w:type="spellStart"/>
      <w:r>
        <w:rPr>
          <w:lang w:val="en-GB" w:eastAsia="en-AU"/>
        </w:rPr>
        <w:t>Volkert</w:t>
      </w:r>
      <w:proofErr w:type="spellEnd"/>
      <w:r>
        <w:rPr>
          <w:lang w:val="en-GB" w:eastAsia="en-AU"/>
        </w:rPr>
        <w:t xml:space="preserve">, D, Beck, A, </w:t>
      </w:r>
      <w:proofErr w:type="spellStart"/>
      <w:r>
        <w:rPr>
          <w:lang w:val="en-GB" w:eastAsia="en-AU"/>
        </w:rPr>
        <w:t>Cedarholm</w:t>
      </w:r>
      <w:proofErr w:type="spellEnd"/>
      <w:r>
        <w:rPr>
          <w:lang w:val="en-GB" w:eastAsia="en-AU"/>
        </w:rPr>
        <w:t>, T, Cruz-</w:t>
      </w:r>
      <w:proofErr w:type="spellStart"/>
      <w:r>
        <w:rPr>
          <w:lang w:val="en-GB" w:eastAsia="en-AU"/>
        </w:rPr>
        <w:t>Jentoft</w:t>
      </w:r>
      <w:proofErr w:type="spellEnd"/>
      <w:r>
        <w:rPr>
          <w:lang w:val="en-GB" w:eastAsia="en-AU"/>
        </w:rPr>
        <w:t xml:space="preserve">, A, </w:t>
      </w:r>
      <w:proofErr w:type="spellStart"/>
      <w:r>
        <w:rPr>
          <w:lang w:val="en-GB" w:eastAsia="en-AU"/>
        </w:rPr>
        <w:t>Goisser</w:t>
      </w:r>
      <w:proofErr w:type="spellEnd"/>
      <w:r>
        <w:rPr>
          <w:lang w:val="en-GB" w:eastAsia="en-AU"/>
        </w:rPr>
        <w:t xml:space="preserve">, S. Hooper, L. </w:t>
      </w:r>
      <w:proofErr w:type="spellStart"/>
      <w:r>
        <w:rPr>
          <w:lang w:val="en-GB" w:eastAsia="en-AU"/>
        </w:rPr>
        <w:t>Kiesswetter</w:t>
      </w:r>
      <w:proofErr w:type="spellEnd"/>
      <w:r>
        <w:rPr>
          <w:lang w:val="en-GB" w:eastAsia="en-AU"/>
        </w:rPr>
        <w:t xml:space="preserve">, E, Maggio, M, Raynaud-Simon, A, </w:t>
      </w:r>
      <w:proofErr w:type="spellStart"/>
      <w:r>
        <w:rPr>
          <w:lang w:val="en-GB" w:eastAsia="en-AU"/>
        </w:rPr>
        <w:t>Sieber</w:t>
      </w:r>
      <w:proofErr w:type="spellEnd"/>
      <w:r>
        <w:rPr>
          <w:lang w:val="en-GB" w:eastAsia="en-AU"/>
        </w:rPr>
        <w:t xml:space="preserve">, CC, Sobotka, L, van Asselt, D, Wirth, R, &amp; Bischoff, S 2019, ‘ESPEN guideline on clinical nutrition and hydration in geriatrics’, </w:t>
      </w:r>
      <w:r w:rsidRPr="00522654">
        <w:rPr>
          <w:i/>
          <w:iCs/>
          <w:lang w:val="en-GB" w:eastAsia="en-AU"/>
        </w:rPr>
        <w:t>Clinical Nutrition</w:t>
      </w:r>
      <w:r>
        <w:rPr>
          <w:lang w:val="en-GB" w:eastAsia="en-AU"/>
        </w:rPr>
        <w:t>, vol. 38, pp. 10–47.</w:t>
      </w:r>
    </w:p>
    <w:p w14:paraId="15C5CD51" w14:textId="77777777" w:rsidR="005D6A05" w:rsidRDefault="005D6A05" w:rsidP="00522654">
      <w:pPr>
        <w:pStyle w:val="Body"/>
        <w:rPr>
          <w:b/>
          <w:bCs/>
          <w:lang w:val="en-GB"/>
        </w:rPr>
      </w:pPr>
    </w:p>
    <w:p w14:paraId="6EF30635" w14:textId="0615BBB7" w:rsidR="005D6A05" w:rsidRPr="00F57A6C" w:rsidRDefault="00B13959" w:rsidP="690FEBFA">
      <w:pPr>
        <w:pStyle w:val="Body"/>
        <w:rPr>
          <w:sz w:val="20"/>
          <w:lang w:val="en-GB"/>
        </w:rPr>
      </w:pPr>
      <w:r w:rsidRPr="690FEBFA">
        <w:rPr>
          <w:b/>
          <w:bCs/>
          <w:sz w:val="20"/>
          <w:lang w:val="en-GB"/>
        </w:rPr>
        <w:t xml:space="preserve">Important note: </w:t>
      </w:r>
      <w:r w:rsidRPr="690FEBFA">
        <w:rPr>
          <w:sz w:val="20"/>
          <w:lang w:val="en-GB"/>
        </w:rPr>
        <w:t xml:space="preserve">This standardised care process (SCP) is a general resource only and should not be relied upon as an exhaustive or determinative clinical decision-making tool. It is just one element of good clinical care decision making, which also </w:t>
      </w:r>
      <w:proofErr w:type="gramStart"/>
      <w:r w:rsidRPr="690FEBFA">
        <w:rPr>
          <w:sz w:val="20"/>
          <w:lang w:val="en-GB"/>
        </w:rPr>
        <w:t>takes into account</w:t>
      </w:r>
      <w:proofErr w:type="gramEnd"/>
      <w:r w:rsidRPr="690FEBFA">
        <w:rPr>
          <w:sz w:val="20"/>
          <w:lang w:val="en-GB"/>
        </w:rPr>
        <w:t xml:space="preserve"> resident/patient preferences and values. All decisions in relation to resident/patient care should be made by appropriately qualified personnel in each case. To the extent allowed by law, the Department of Health and the State of Victoria disclaim all liability for any loss or damage that arises from any use of this SCP.</w:t>
      </w:r>
    </w:p>
    <w:p w14:paraId="73BD087F" w14:textId="77777777" w:rsidR="00B13959" w:rsidRPr="005D6A05" w:rsidRDefault="00B13959" w:rsidP="00B13959">
      <w:pPr>
        <w:pStyle w:val="Body"/>
        <w:rPr>
          <w:sz w:val="20"/>
          <w:lang w:val="en-GB"/>
        </w:rPr>
      </w:pPr>
      <w:r w:rsidRPr="005D6A05">
        <w:rPr>
          <w:sz w:val="20"/>
          <w:lang w:val="en-GB"/>
        </w:rPr>
        <w:t>Authorised and published by the Victorian Government, 1 Treasury Place, Melbourne.</w:t>
      </w:r>
    </w:p>
    <w:p w14:paraId="35FBE40D" w14:textId="20DC2C1D" w:rsidR="00B13959" w:rsidRPr="005D6A05" w:rsidRDefault="00B13959" w:rsidP="690FEBFA">
      <w:pPr>
        <w:pStyle w:val="Body"/>
        <w:rPr>
          <w:sz w:val="20"/>
          <w:lang w:val="en-GB"/>
        </w:rPr>
      </w:pPr>
      <w:r w:rsidRPr="690FEBFA">
        <w:rPr>
          <w:sz w:val="20"/>
          <w:lang w:val="en-GB"/>
        </w:rPr>
        <w:lastRenderedPageBreak/>
        <w:t xml:space="preserve">© State of Victoria, Department of Health, </w:t>
      </w:r>
      <w:r w:rsidR="00EB5340">
        <w:rPr>
          <w:sz w:val="20"/>
          <w:lang w:val="en-GB"/>
        </w:rPr>
        <w:t xml:space="preserve">April </w:t>
      </w:r>
      <w:r w:rsidRPr="690FEBFA">
        <w:rPr>
          <w:sz w:val="20"/>
          <w:lang w:val="en-GB"/>
        </w:rPr>
        <w:t>202</w:t>
      </w:r>
      <w:r w:rsidR="00CD305F">
        <w:rPr>
          <w:sz w:val="20"/>
          <w:lang w:val="en-GB"/>
        </w:rPr>
        <w:t>3</w:t>
      </w:r>
      <w:r w:rsidRPr="690FEBFA">
        <w:rPr>
          <w:sz w:val="20"/>
          <w:lang w:val="en-GB"/>
        </w:rPr>
        <w:t>. (2</w:t>
      </w:r>
      <w:r w:rsidR="00CD305F">
        <w:rPr>
          <w:sz w:val="20"/>
          <w:lang w:val="en-GB"/>
        </w:rPr>
        <w:t>308532</w:t>
      </w:r>
      <w:r w:rsidRPr="690FEBFA">
        <w:rPr>
          <w:sz w:val="20"/>
          <w:lang w:val="en-GB"/>
        </w:rPr>
        <w:t>)</w:t>
      </w:r>
    </w:p>
    <w:p w14:paraId="1B68A090" w14:textId="46AF6D85" w:rsidR="00B13959" w:rsidRPr="005D6A05" w:rsidRDefault="00B13959" w:rsidP="00B13959">
      <w:pPr>
        <w:pStyle w:val="Body"/>
        <w:rPr>
          <w:sz w:val="20"/>
          <w:lang w:val="en-GB"/>
        </w:rPr>
      </w:pPr>
      <w:r w:rsidRPr="005D6A05">
        <w:rPr>
          <w:sz w:val="20"/>
          <w:lang w:val="en-GB"/>
        </w:rPr>
        <w:t>ISBN 978-1-76096-8</w:t>
      </w:r>
      <w:r w:rsidR="006111C7">
        <w:rPr>
          <w:sz w:val="20"/>
          <w:lang w:val="en-GB"/>
        </w:rPr>
        <w:t>27</w:t>
      </w:r>
      <w:r w:rsidRPr="005D6A05">
        <w:rPr>
          <w:sz w:val="20"/>
          <w:lang w:val="en-GB"/>
        </w:rPr>
        <w:t>-</w:t>
      </w:r>
      <w:r w:rsidR="006111C7">
        <w:rPr>
          <w:sz w:val="20"/>
          <w:lang w:val="en-GB"/>
        </w:rPr>
        <w:t>4</w:t>
      </w:r>
      <w:r w:rsidRPr="005D6A05">
        <w:rPr>
          <w:sz w:val="20"/>
          <w:lang w:val="en-GB"/>
        </w:rPr>
        <w:t xml:space="preserve"> (pdf/online/MS word)</w:t>
      </w:r>
    </w:p>
    <w:p w14:paraId="1CEA6057" w14:textId="028696C7" w:rsidR="00CD305F" w:rsidRPr="00D46A48" w:rsidRDefault="00CD305F" w:rsidP="00CD305F">
      <w:pPr>
        <w:pStyle w:val="Imprint"/>
      </w:pPr>
      <w:r>
        <w:rPr>
          <w:lang w:val="en-GB" w:eastAsia="en-AU"/>
        </w:rPr>
        <w:t xml:space="preserve">Available from the department’s </w:t>
      </w:r>
      <w:hyperlink r:id="rId17" w:history="1">
        <w:r>
          <w:rPr>
            <w:color w:val="DCA10D"/>
            <w:u w:val="single" w:color="DCA10D"/>
            <w:lang w:val="en-GB" w:eastAsia="en-AU"/>
          </w:rPr>
          <w:t>Standardised care processes webpage</w:t>
        </w:r>
      </w:hyperlink>
      <w:r>
        <w:rPr>
          <w:lang w:val="en-GB" w:eastAsia="en-AU"/>
        </w:rPr>
        <w:t xml:space="preserve"> &lt;https://www.health.vic.gov.au/residential-aged-care/standardised-care-processes&gt;.</w:t>
      </w:r>
    </w:p>
    <w:p w14:paraId="43294939" w14:textId="0D414B17" w:rsidR="00B13959" w:rsidRPr="005D6A05" w:rsidRDefault="00B13959" w:rsidP="00CD305F">
      <w:pPr>
        <w:pStyle w:val="Body"/>
        <w:rPr>
          <w:sz w:val="20"/>
        </w:rPr>
      </w:pPr>
    </w:p>
    <w:sectPr w:rsidR="00B13959" w:rsidRPr="005D6A05" w:rsidSect="00E62622">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63F8DF" w14:textId="77777777" w:rsidR="00690207" w:rsidRDefault="00690207">
      <w:r>
        <w:separator/>
      </w:r>
    </w:p>
  </w:endnote>
  <w:endnote w:type="continuationSeparator" w:id="0">
    <w:p w14:paraId="516A54B1" w14:textId="77777777" w:rsidR="00690207" w:rsidRDefault="006902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Verdana">
    <w:panose1 w:val="020B0604030504040204"/>
    <w:charset w:val="00"/>
    <w:family w:val="swiss"/>
    <w:pitch w:val="variable"/>
    <w:sig w:usb0="A10006FF" w:usb1="4000205B" w:usb2="00000010" w:usb3="00000000" w:csb0="0000019F" w:csb1="00000000"/>
  </w:font>
  <w:font w:name="Lucida Grande">
    <w:panose1 w:val="020B0600040502020204"/>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604020202020204"/>
    <w:charset w:val="00"/>
    <w:family w:val="swiss"/>
    <w:pitch w:val="variable"/>
    <w:sig w:usb0="E4002EFF" w:usb1="C000E47F" w:usb2="00000009" w:usb3="00000000" w:csb0="000001FF" w:csb1="00000000"/>
  </w:font>
  <w:font w:name="VIC-Regular">
    <w:altName w:val="Calibri"/>
    <w:panose1 w:val="020B0604020202020204"/>
    <w:charset w:val="4D"/>
    <w:family w:val="auto"/>
    <w:notTrueType/>
    <w:pitch w:val="variable"/>
    <w:sig w:usb0="00000007" w:usb1="00000000" w:usb2="00000000" w:usb3="00000000" w:csb0="00000093"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AE18C" w14:textId="77777777" w:rsidR="00E261B3" w:rsidRPr="00F65AA9" w:rsidRDefault="0072251A" w:rsidP="00F84FA0">
    <w:pPr>
      <w:pStyle w:val="Footer"/>
    </w:pPr>
    <w:r>
      <w:rPr>
        <w:noProof/>
        <w:lang w:eastAsia="en-AU"/>
      </w:rPr>
      <w:drawing>
        <wp:anchor distT="0" distB="0" distL="114300" distR="114300" simplePos="0" relativeHeight="251674112" behindDoc="1" locked="1" layoutInCell="1" allowOverlap="1" wp14:anchorId="5A742283" wp14:editId="345CF127">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68992" behindDoc="0" locked="0" layoutInCell="0" allowOverlap="1" wp14:anchorId="6C9C3EC8" wp14:editId="412161C9">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7991FE1"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C9C3EC8"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6899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kot2FAIAACQEAAAOAAAAZHJzL2Uyb0RvYy54bWysU01v2zAMvQ/YfxB0X2w3TdoacYqsRYYB&#13;&#10;QVsgHXqWZSk2IIuapMTOfv0o2UmKbqdhF5kiaX6897S471tFDsK6BnRBs0lKidAcqkbvCvrjdf3l&#13;&#10;lhLnma6YAi0KehSO3i8/f1p0JhdXUIOqhCVYRLu8MwWtvTd5kjhei5a5CRihMSjBtszj1e6SyrIO&#13;&#10;q7cquUrTedKBrYwFLpxD7+MQpMtYX0rB/bOUTniiCoqz+XjaeJbhTJYLlu8sM3XDxzHYP0zRskZj&#13;&#10;03OpR+YZ2dvmj1Jtwy04kH7CoU1AyoaLuANuk6UfttnWzIi4C4LjzBkm9//K8qfD1rxY4vuv0COB&#13;&#10;AZDOuNyhM+zTS9uGL05KMI4QHs+wid4Tjs6b2TydZhjiGJtm2c3tLJRJLn8b6/w3AS0JRkEt0hLR&#13;&#10;YoeN80PqKSU007BulIrUKE26gs6nszT+cI5gcaWxx2XWYPm+7McFSqiOuJeFgXJn+LrB5hvm/Auz&#13;&#10;yDHOi7r1z3hIBdgERouSGuyvv/lDPkKPUUo61ExB3c89s4IS9V0jKXfZ9XUQWbygYd97y5NX79sH&#13;&#10;QDlm+DIMj2bI9epkSgvtG8p6FbphiGmOPQtanswHPygYnwUXq1VMQjkZ5jd6a3goHWAMkL72b8ya&#13;&#10;EXePjD3BSVUs/wD/kDsQsNp7kE3kJgA7oDnijVKM7I7PJmj9/T1mXR738jcAAAD//wMAUEsDBBQA&#13;&#10;BgAIAAAAIQBQdvZA4QAAABABAAAPAAAAZHJzL2Rvd25yZXYueG1sTE9NT8MwDL0j8R8iI3Fj6WAU&#13;&#10;1jWdEBMXJDQxEOe0cT/WxqmabGv/Pe4JLpb9nvw+0u1oO3HGwTeOFCwXEQikwpmGKgXfX293zyB8&#13;&#10;0GR05wgVTOhhm11fpTox7kKfeD6ESrAI+UQrqEPoEyl9UaPVfuF6JOZKN1gd+BwqaQZ9YXHbyfso&#13;&#10;iqXVDbFDrXt8rbFoDyerYLVf56U8tvb4Mb1PU9OWP7u8VOr2ZtxteLxsQAQcw98HzB04P2QcLHcn&#13;&#10;Ml50CrhNYDSOVjGImV+uI97yGXt8eAKZpfJ/kewXAAD//wMAUEsBAi0AFAAGAAgAAAAhALaDOJL+&#13;&#10;AAAA4QEAABMAAAAAAAAAAAAAAAAAAAAAAFtDb250ZW50X1R5cGVzXS54bWxQSwECLQAUAAYACAAA&#13;&#10;ACEAOP0h/9YAAACUAQAACwAAAAAAAAAAAAAAAAAvAQAAX3JlbHMvLnJlbHNQSwECLQAUAAYACAAA&#13;&#10;ACEAnZKLdhQCAAAkBAAADgAAAAAAAAAAAAAAAAAuAgAAZHJzL2Uyb0RvYy54bWxQSwECLQAUAAYA&#13;&#10;CAAAACEAUHb2QOEAAAAQAQAADwAAAAAAAAAAAAAAAABuBAAAZHJzL2Rvd25yZXYueG1sUEsFBgAA&#13;&#10;AAAEAAQA8wAAAHwFAAAAAA==&#13;&#10;" o:allowincell="f" filled="f" stroked="f" strokeweight=".5pt">
              <v:textbox inset=",0,,0">
                <w:txbxContent>
                  <w:p w14:paraId="27991FE1"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5F9E8" w14:textId="77777777" w:rsidR="00E261B3" w:rsidRDefault="00E261B3">
    <w:pPr>
      <w:pStyle w:val="Footer"/>
    </w:pPr>
    <w:r>
      <w:rPr>
        <w:noProof/>
      </w:rPr>
      <mc:AlternateContent>
        <mc:Choice Requires="wps">
          <w:drawing>
            <wp:anchor distT="0" distB="0" distL="114300" distR="114300" simplePos="1" relativeHeight="251670016" behindDoc="0" locked="0" layoutInCell="0" allowOverlap="1" wp14:anchorId="38B141D9" wp14:editId="0337F5E8">
              <wp:simplePos x="0" y="10189687"/>
              <wp:positionH relativeFrom="page">
                <wp:posOffset>0</wp:posOffset>
              </wp:positionH>
              <wp:positionV relativeFrom="page">
                <wp:posOffset>10189210</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55D29B8"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8B141D9"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700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G+r9FgIAACsEAAAOAAAAZHJzL2Uyb0RvYy54bWysU8tu2zAQvBfoPxC815Li2EkEy4GbwEWB&#13;&#10;IAngFDnTFGkRoLgsSVtyv75Lyi+kPRW9UMvd1T5mhrP7vtVkJ5xXYCpajHJKhOFQK7Op6I+35Zdb&#13;&#10;SnxgpmYajKjoXnh6P//8adbZUlxBA7oWjmAR48vOVrQJwZZZ5nkjWuZHYIXBoATXsoBXt8lqxzqs&#13;&#10;3ursKs+nWQeutg648B69j0OQzlN9KQUPL1J6EYiuKM4W0unSuY5nNp+xcuOYbRQ/jMH+YYqWKYNN&#13;&#10;T6UeWWBk69QfpVrFHXiQYcShzUBKxUXaAbcp8g/brBpmRdoFwfH2BJP/f2X5825lXx0J/VfokcAI&#13;&#10;SGd96dEZ9+mla+MXJyUYRwj3J9hEHwhH581kmo8LDHGMjYvi5nYSy2Tnv63z4ZuAlkSjog5pSWix&#13;&#10;3ZMPQ+oxJTYzsFRaJ2q0IV1Fp+NJnn44RbC4NtjjPGu0Qr/uiaov9lhDvcf1HAzMe8uXCmd4Yj68&#13;&#10;ModU49go3/CCh9SAveBgUdKA+/U3f8xHBjBKSYfSqaj/uWVOUKK/G+Tmrri+jlpLFzTcpXd99Jpt&#13;&#10;+wCoygIfiOXJjLlBH03poH1HdS9iNwwxw7FnRddH8yEMQsbXwcVikZJQVZaFJ7OyPJaOaEZk3/p3&#13;&#10;5uwB/oDEPcNRXKz8wMKQO/Cw2AaQKlEU8R3QPMCOikwkH15PlPzlPWWd3/j8NwAAAP//AwBQSwME&#13;&#10;FAAGAAgAAAAhAFB29kDhAAAAEAEAAA8AAABkcnMvZG93bnJldi54bWxMT01PwzAMvSPxHyIjcWPp&#13;&#10;YBTWNZ0QExckNDEQ57RxP9bGqZpsa/897gkulv2e/D7S7Wg7ccbBN44ULBcRCKTCmYYqBd9fb3fP&#13;&#10;IHzQZHTnCBVM6GGbXV+lOjHuQp94PoRKsAj5RCuoQ+gTKX1Ro9V+4Xok5ko3WB34HCppBn1hcdvJ&#13;&#10;+yiKpdUNsUOte3ytsWgPJ6tgtV/npTy29vgxvU9T05Y/u7xU6vZm3G14vGxABBzD3wfMHTg/ZBws&#13;&#10;dycyXnQKuE1gNI5WMYiZX64j3vIZe3x4Apml8n+R7BcAAP//AwBQSwECLQAUAAYACAAAACEAtoM4&#13;&#10;kv4AAADhAQAAEwAAAAAAAAAAAAAAAAAAAAAAW0NvbnRlbnRfVHlwZXNdLnhtbFBLAQItABQABgAI&#13;&#10;AAAAIQA4/SH/1gAAAJQBAAALAAAAAAAAAAAAAAAAAC8BAABfcmVscy8ucmVsc1BLAQItABQABgAI&#13;&#10;AAAAIQDqG+r9FgIAACsEAAAOAAAAAAAAAAAAAAAAAC4CAABkcnMvZTJvRG9jLnhtbFBLAQItABQA&#13;&#10;BgAIAAAAIQBQdvZA4QAAABABAAAPAAAAAAAAAAAAAAAAAHAEAABkcnMvZG93bnJldi54bWxQSwUG&#13;&#10;AAAAAAQABADzAAAAfgUAAAAA&#13;&#10;" o:allowincell="f" filled="f" stroked="f" strokeweight=".5pt">
              <v:textbox inset=",0,,0">
                <w:txbxContent>
                  <w:p w14:paraId="255D29B8"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5FA11" w14:textId="77777777" w:rsidR="00373890" w:rsidRPr="00F65AA9" w:rsidRDefault="00B07FF7" w:rsidP="00F84FA0">
    <w:pPr>
      <w:pStyle w:val="Footer"/>
    </w:pPr>
    <w:r>
      <w:rPr>
        <w:noProof/>
      </w:rPr>
      <mc:AlternateContent>
        <mc:Choice Requires="wps">
          <w:drawing>
            <wp:anchor distT="0" distB="0" distL="114300" distR="114300" simplePos="0" relativeHeight="251675136" behindDoc="0" locked="0" layoutInCell="0" allowOverlap="1" wp14:anchorId="14E1711E" wp14:editId="27BD4958">
              <wp:simplePos x="0" y="0"/>
              <wp:positionH relativeFrom="page">
                <wp:posOffset>0</wp:posOffset>
              </wp:positionH>
              <wp:positionV relativeFrom="page">
                <wp:posOffset>10189210</wp:posOffset>
              </wp:positionV>
              <wp:extent cx="7560310" cy="311785"/>
              <wp:effectExtent l="0" t="0" r="0" b="12065"/>
              <wp:wrapNone/>
              <wp:docPr id="7" name="MSIPCMf473436da8889006ed5648e0"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C0C4679"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4E1711E" id="_x0000_t202" coordsize="21600,21600" o:spt="202" path="m,l,21600r21600,l21600,xe">
              <v:stroke joinstyle="miter"/>
              <v:path gradientshapeok="t" o:connecttype="rect"/>
            </v:shapetype>
            <v:shape id="MSIPCMf473436da8889006ed5648e0" o:spid="_x0000_s1028"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751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jRm/GAIAACsEAAAOAAAAZHJzL2Uyb0RvYy54bWysU99v2jAQfp+0/8Hy+0gChbYRoWKtmCah&#13;&#10;thKd+mwcm0RyfJ5tSNhfv7NDoOr2VPXFOd9d7sf3fZ7fdY0iB2FdDbqg2SilRGgOZa13Bf31svp2&#13;&#10;Q4nzTJdMgRYFPQpH7xZfv8xbk4sxVKBKYQkW0S5vTUEr702eJI5XomFuBEZoDEqwDfN4tbuktKzF&#13;&#10;6o1Kxmk6S1qwpbHAhXPofeiDdBHrSym4f5LSCU9UQXE2H08bz204k8Wc5TvLTFXz0xjsA1M0rNbY&#13;&#10;9FzqgXlG9rb+p1RTcwsOpB9xaBKQsuYi7oDbZOm7bTYVMyLuguA4c4bJfV5Z/njYmGdLfPcdOiQw&#13;&#10;ANIalzt0hn06aZvwxUkJxhHC4xk20XnC0Xk9naWTDEMcY5Msu76ZhjLJ5W9jnf8hoCHBKKhFWiJa&#13;&#10;7LB2vk8dUkIzDataqUiN0qQt6GwyTeMP5wgWVxp7XGYNlu+2HanLgo6HPbZQHnE9Cz3zzvBVjTOs&#13;&#10;mfPPzCLVODbK1z/hIRVgLzhZlFRg//zPH/KRAYxS0qJ0Cup+75kVlKifGrm5za6ugtbiBQ371rsd&#13;&#10;vHrf3AOqMsMHYng0Q65XgyktNK+o7mXohiGmOfYs6HYw730vZHwdXCyXMQlVZZhf643hoXRAMyD7&#13;&#10;0r0ya07weyTuEQZxsfwdC31uz8Ny70HWkaKAb4/mCXZUZCT59HqC5N/eY9bljS/+AgAA//8DAFBL&#13;&#10;AwQUAAYACAAAACEAUHb2QOEAAAAQAQAADwAAAGRycy9kb3ducmV2LnhtbExPTU/DMAy9I/EfIiNx&#13;&#10;Y+lgFNY1nRATFyQ0MRDntHE/1sapmmxr/z3uCS6W/Z78PtLtaDtxxsE3jhQsFxEIpMKZhioF319v&#13;&#10;d88gfNBkdOcIFUzoYZtdX6U6Me5Cn3g+hEqwCPlEK6hD6BMpfVGj1X7heiTmSjdYHfgcKmkGfWFx&#13;&#10;28n7KIql1Q2xQ617fK2xaA8nq2C1X+elPLb2+DG9T1PTlj+7vFTq9mbcbXi8bEAEHMPfB8wdOD9k&#13;&#10;HCx3JzJedAq4TWA0jlYxiJlfriPe8hl7fHgCmaXyf5HsFwAA//8DAFBLAQItABQABgAIAAAAIQC2&#13;&#10;gziS/gAAAOEBAAATAAAAAAAAAAAAAAAAAAAAAABbQ29udGVudF9UeXBlc10ueG1sUEsBAi0AFAAG&#13;&#10;AAgAAAAhADj9If/WAAAAlAEAAAsAAAAAAAAAAAAAAAAALwEAAF9yZWxzLy5yZWxzUEsBAi0AFAAG&#13;&#10;AAgAAAAhALuNGb8YAgAAKwQAAA4AAAAAAAAAAAAAAAAALgIAAGRycy9lMm9Eb2MueG1sUEsBAi0A&#13;&#10;FAAGAAgAAAAhAFB29kDhAAAAEAEAAA8AAAAAAAAAAAAAAAAAcgQAAGRycy9kb3ducmV2LnhtbFBL&#13;&#10;BQYAAAAABAAEAPMAAACABQAAAAA=&#13;&#10;" o:allowincell="f" filled="f" stroked="f" strokeweight=".5pt">
              <v:textbox inset=",0,,0">
                <w:txbxContent>
                  <w:p w14:paraId="2C0C4679"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91D2D0" w14:textId="77777777" w:rsidR="00690207" w:rsidRDefault="00690207" w:rsidP="002862F1">
      <w:pPr>
        <w:spacing w:before="120"/>
      </w:pPr>
      <w:r>
        <w:separator/>
      </w:r>
    </w:p>
  </w:footnote>
  <w:footnote w:type="continuationSeparator" w:id="0">
    <w:p w14:paraId="40CC6CB4" w14:textId="77777777" w:rsidR="00690207" w:rsidRDefault="006902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BEB2F" w14:textId="77777777" w:rsidR="00EC40D5" w:rsidRDefault="00EC40D5" w:rsidP="00EC40D5">
    <w:pPr>
      <w:pStyle w:val="Heade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696D5" w14:textId="7615C4E2" w:rsidR="00E261B3" w:rsidRPr="0051568D" w:rsidRDefault="005D6A05" w:rsidP="0011701A">
    <w:pPr>
      <w:pStyle w:val="Header"/>
    </w:pPr>
    <w:r>
      <w:t>Unplanned weight loss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4A1477D0"/>
    <w:numStyleLink w:val="ZZNumbersloweralpha"/>
  </w:abstractNum>
  <w:abstractNum w:abstractNumId="13" w15:restartNumberingAfterBreak="0">
    <w:nsid w:val="0B8D43DB"/>
    <w:multiLevelType w:val="multilevel"/>
    <w:tmpl w:val="1D06E7FE"/>
    <w:numStyleLink w:val="ZZNumbersdigit"/>
  </w:abstractNum>
  <w:abstractNum w:abstractNumId="14"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853758185">
    <w:abstractNumId w:val="10"/>
  </w:num>
  <w:num w:numId="2" w16cid:durableId="741297382">
    <w:abstractNumId w:val="17"/>
  </w:num>
  <w:num w:numId="3" w16cid:durableId="14332346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765709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6080144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2774459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78601118">
    <w:abstractNumId w:val="21"/>
  </w:num>
  <w:num w:numId="8" w16cid:durableId="411708643">
    <w:abstractNumId w:val="16"/>
  </w:num>
  <w:num w:numId="9" w16cid:durableId="1186557980">
    <w:abstractNumId w:val="20"/>
  </w:num>
  <w:num w:numId="10" w16cid:durableId="3821258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75320338">
    <w:abstractNumId w:val="22"/>
  </w:num>
  <w:num w:numId="12" w16cid:durableId="140583594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22709600">
    <w:abstractNumId w:val="18"/>
  </w:num>
  <w:num w:numId="14" w16cid:durableId="14231394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458067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1513447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705366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56059670">
    <w:abstractNumId w:val="24"/>
  </w:num>
  <w:num w:numId="19" w16cid:durableId="55740323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81482667">
    <w:abstractNumId w:val="14"/>
  </w:num>
  <w:num w:numId="21" w16cid:durableId="315955765">
    <w:abstractNumId w:val="12"/>
  </w:num>
  <w:num w:numId="22" w16cid:durableId="89274155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67010829">
    <w:abstractNumId w:val="15"/>
  </w:num>
  <w:num w:numId="24" w16cid:durableId="1050809671">
    <w:abstractNumId w:val="25"/>
  </w:num>
  <w:num w:numId="25" w16cid:durableId="1754550112">
    <w:abstractNumId w:val="23"/>
  </w:num>
  <w:num w:numId="26" w16cid:durableId="561333109">
    <w:abstractNumId w:val="19"/>
  </w:num>
  <w:num w:numId="27" w16cid:durableId="572161273">
    <w:abstractNumId w:val="11"/>
  </w:num>
  <w:num w:numId="28" w16cid:durableId="274097119">
    <w:abstractNumId w:val="26"/>
  </w:num>
  <w:num w:numId="29" w16cid:durableId="1694529617">
    <w:abstractNumId w:val="9"/>
  </w:num>
  <w:num w:numId="30" w16cid:durableId="1829709422">
    <w:abstractNumId w:val="7"/>
  </w:num>
  <w:num w:numId="31" w16cid:durableId="1369838618">
    <w:abstractNumId w:val="6"/>
  </w:num>
  <w:num w:numId="32" w16cid:durableId="562759198">
    <w:abstractNumId w:val="5"/>
  </w:num>
  <w:num w:numId="33" w16cid:durableId="909853288">
    <w:abstractNumId w:val="4"/>
  </w:num>
  <w:num w:numId="34" w16cid:durableId="1651783002">
    <w:abstractNumId w:val="8"/>
  </w:num>
  <w:num w:numId="35" w16cid:durableId="1226186607">
    <w:abstractNumId w:val="3"/>
  </w:num>
  <w:num w:numId="36" w16cid:durableId="866603210">
    <w:abstractNumId w:val="2"/>
  </w:num>
  <w:num w:numId="37" w16cid:durableId="253363759">
    <w:abstractNumId w:val="1"/>
  </w:num>
  <w:num w:numId="38" w16cid:durableId="997881580">
    <w:abstractNumId w:val="0"/>
  </w:num>
  <w:num w:numId="39" w16cid:durableId="2535607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7F5"/>
    <w:rsid w:val="00000719"/>
    <w:rsid w:val="00003403"/>
    <w:rsid w:val="00005347"/>
    <w:rsid w:val="000072B6"/>
    <w:rsid w:val="000101F4"/>
    <w:rsid w:val="0001021B"/>
    <w:rsid w:val="00011D89"/>
    <w:rsid w:val="000154FD"/>
    <w:rsid w:val="00016FBF"/>
    <w:rsid w:val="00022271"/>
    <w:rsid w:val="000235E8"/>
    <w:rsid w:val="000247EF"/>
    <w:rsid w:val="00024D89"/>
    <w:rsid w:val="000250B6"/>
    <w:rsid w:val="00033D81"/>
    <w:rsid w:val="00037366"/>
    <w:rsid w:val="00041BF0"/>
    <w:rsid w:val="00042C8A"/>
    <w:rsid w:val="0004536B"/>
    <w:rsid w:val="00046B68"/>
    <w:rsid w:val="000527DD"/>
    <w:rsid w:val="000578B2"/>
    <w:rsid w:val="00060959"/>
    <w:rsid w:val="00060C8F"/>
    <w:rsid w:val="0006298A"/>
    <w:rsid w:val="000663CD"/>
    <w:rsid w:val="000733FE"/>
    <w:rsid w:val="00074219"/>
    <w:rsid w:val="00074ED5"/>
    <w:rsid w:val="000835C6"/>
    <w:rsid w:val="0008508E"/>
    <w:rsid w:val="000851BD"/>
    <w:rsid w:val="00087951"/>
    <w:rsid w:val="0009113B"/>
    <w:rsid w:val="00093402"/>
    <w:rsid w:val="00094DA3"/>
    <w:rsid w:val="00096CD1"/>
    <w:rsid w:val="000A012C"/>
    <w:rsid w:val="000A0EB9"/>
    <w:rsid w:val="000A1155"/>
    <w:rsid w:val="000A186C"/>
    <w:rsid w:val="000A1EA4"/>
    <w:rsid w:val="000A2476"/>
    <w:rsid w:val="000A641A"/>
    <w:rsid w:val="000B3EDB"/>
    <w:rsid w:val="000B543D"/>
    <w:rsid w:val="000B55F9"/>
    <w:rsid w:val="000B5BF7"/>
    <w:rsid w:val="000B6BC8"/>
    <w:rsid w:val="000C0303"/>
    <w:rsid w:val="000C42EA"/>
    <w:rsid w:val="000C4546"/>
    <w:rsid w:val="000D1242"/>
    <w:rsid w:val="000E0970"/>
    <w:rsid w:val="000E1910"/>
    <w:rsid w:val="000E3CC7"/>
    <w:rsid w:val="000E6BD4"/>
    <w:rsid w:val="000E6D6D"/>
    <w:rsid w:val="000F1F1E"/>
    <w:rsid w:val="000F2259"/>
    <w:rsid w:val="000F2DDA"/>
    <w:rsid w:val="000F5213"/>
    <w:rsid w:val="00101001"/>
    <w:rsid w:val="00103276"/>
    <w:rsid w:val="0010392D"/>
    <w:rsid w:val="0010447F"/>
    <w:rsid w:val="00104FE3"/>
    <w:rsid w:val="0010714F"/>
    <w:rsid w:val="001120C5"/>
    <w:rsid w:val="0011701A"/>
    <w:rsid w:val="00120BD3"/>
    <w:rsid w:val="00122FEA"/>
    <w:rsid w:val="001232BD"/>
    <w:rsid w:val="00124ED5"/>
    <w:rsid w:val="001276FA"/>
    <w:rsid w:val="0014255B"/>
    <w:rsid w:val="001447B3"/>
    <w:rsid w:val="001477A6"/>
    <w:rsid w:val="00152073"/>
    <w:rsid w:val="00154E2D"/>
    <w:rsid w:val="00156598"/>
    <w:rsid w:val="00161939"/>
    <w:rsid w:val="00161AA0"/>
    <w:rsid w:val="00161D2E"/>
    <w:rsid w:val="00161F3E"/>
    <w:rsid w:val="00162093"/>
    <w:rsid w:val="00162CA9"/>
    <w:rsid w:val="00165459"/>
    <w:rsid w:val="00165A57"/>
    <w:rsid w:val="001712C2"/>
    <w:rsid w:val="00172BAF"/>
    <w:rsid w:val="001771DD"/>
    <w:rsid w:val="00177995"/>
    <w:rsid w:val="00177A8C"/>
    <w:rsid w:val="00184C7A"/>
    <w:rsid w:val="00186B33"/>
    <w:rsid w:val="00192F9D"/>
    <w:rsid w:val="00196EB8"/>
    <w:rsid w:val="00196EFB"/>
    <w:rsid w:val="001979FF"/>
    <w:rsid w:val="00197B17"/>
    <w:rsid w:val="001A1950"/>
    <w:rsid w:val="001A1C54"/>
    <w:rsid w:val="001A3ACE"/>
    <w:rsid w:val="001B058F"/>
    <w:rsid w:val="001B738B"/>
    <w:rsid w:val="001C09DB"/>
    <w:rsid w:val="001C277E"/>
    <w:rsid w:val="001C2A72"/>
    <w:rsid w:val="001C31B7"/>
    <w:rsid w:val="001C5A1D"/>
    <w:rsid w:val="001D0B75"/>
    <w:rsid w:val="001D39A5"/>
    <w:rsid w:val="001D3C09"/>
    <w:rsid w:val="001D44E8"/>
    <w:rsid w:val="001D5D56"/>
    <w:rsid w:val="001D60EC"/>
    <w:rsid w:val="001D6F59"/>
    <w:rsid w:val="001E0907"/>
    <w:rsid w:val="001E0C5D"/>
    <w:rsid w:val="001E2A36"/>
    <w:rsid w:val="001E44DF"/>
    <w:rsid w:val="001E5058"/>
    <w:rsid w:val="001E68A5"/>
    <w:rsid w:val="001E6BB0"/>
    <w:rsid w:val="001E7282"/>
    <w:rsid w:val="001F3826"/>
    <w:rsid w:val="001F6E46"/>
    <w:rsid w:val="001F7186"/>
    <w:rsid w:val="001F7C91"/>
    <w:rsid w:val="00200176"/>
    <w:rsid w:val="002033B7"/>
    <w:rsid w:val="00206463"/>
    <w:rsid w:val="00206F2F"/>
    <w:rsid w:val="0021053D"/>
    <w:rsid w:val="00210A92"/>
    <w:rsid w:val="00216C03"/>
    <w:rsid w:val="00220C04"/>
    <w:rsid w:val="0022278D"/>
    <w:rsid w:val="0022701F"/>
    <w:rsid w:val="00227C68"/>
    <w:rsid w:val="002333F5"/>
    <w:rsid w:val="00233724"/>
    <w:rsid w:val="002365B4"/>
    <w:rsid w:val="002375CF"/>
    <w:rsid w:val="002432E1"/>
    <w:rsid w:val="00246207"/>
    <w:rsid w:val="00246C5E"/>
    <w:rsid w:val="00250960"/>
    <w:rsid w:val="00251343"/>
    <w:rsid w:val="002536A4"/>
    <w:rsid w:val="00254F58"/>
    <w:rsid w:val="002620BC"/>
    <w:rsid w:val="00262802"/>
    <w:rsid w:val="00263A90"/>
    <w:rsid w:val="00263C1F"/>
    <w:rsid w:val="0026408B"/>
    <w:rsid w:val="00267C3E"/>
    <w:rsid w:val="002709BB"/>
    <w:rsid w:val="0027113F"/>
    <w:rsid w:val="00273BAC"/>
    <w:rsid w:val="002763B3"/>
    <w:rsid w:val="002802E3"/>
    <w:rsid w:val="0028213D"/>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117D"/>
    <w:rsid w:val="002C2728"/>
    <w:rsid w:val="002D1E0D"/>
    <w:rsid w:val="002D28A3"/>
    <w:rsid w:val="002D5006"/>
    <w:rsid w:val="002E01D0"/>
    <w:rsid w:val="002E161D"/>
    <w:rsid w:val="002E3100"/>
    <w:rsid w:val="002E6C95"/>
    <w:rsid w:val="002E7C36"/>
    <w:rsid w:val="002F0107"/>
    <w:rsid w:val="002F3D32"/>
    <w:rsid w:val="002F5F31"/>
    <w:rsid w:val="002F5F46"/>
    <w:rsid w:val="00302216"/>
    <w:rsid w:val="003039C0"/>
    <w:rsid w:val="00303E53"/>
    <w:rsid w:val="00305CC1"/>
    <w:rsid w:val="00306E5F"/>
    <w:rsid w:val="00307E14"/>
    <w:rsid w:val="00314054"/>
    <w:rsid w:val="00315BD8"/>
    <w:rsid w:val="00316F27"/>
    <w:rsid w:val="00317913"/>
    <w:rsid w:val="003214F1"/>
    <w:rsid w:val="00322E4B"/>
    <w:rsid w:val="00327870"/>
    <w:rsid w:val="0033259D"/>
    <w:rsid w:val="003333D2"/>
    <w:rsid w:val="003406C6"/>
    <w:rsid w:val="003418CC"/>
    <w:rsid w:val="003459BD"/>
    <w:rsid w:val="00350D38"/>
    <w:rsid w:val="00351B36"/>
    <w:rsid w:val="00357B4E"/>
    <w:rsid w:val="003716FD"/>
    <w:rsid w:val="0037204B"/>
    <w:rsid w:val="00373890"/>
    <w:rsid w:val="003744CF"/>
    <w:rsid w:val="00374717"/>
    <w:rsid w:val="0037676C"/>
    <w:rsid w:val="00381043"/>
    <w:rsid w:val="003829E5"/>
    <w:rsid w:val="00386109"/>
    <w:rsid w:val="00386944"/>
    <w:rsid w:val="00387225"/>
    <w:rsid w:val="003956CC"/>
    <w:rsid w:val="00395C9A"/>
    <w:rsid w:val="003A0853"/>
    <w:rsid w:val="003A6B67"/>
    <w:rsid w:val="003B13B6"/>
    <w:rsid w:val="003B15E6"/>
    <w:rsid w:val="003B1B5E"/>
    <w:rsid w:val="003B408A"/>
    <w:rsid w:val="003B5733"/>
    <w:rsid w:val="003C08A2"/>
    <w:rsid w:val="003C2045"/>
    <w:rsid w:val="003C43A1"/>
    <w:rsid w:val="003C4FC0"/>
    <w:rsid w:val="003C55F4"/>
    <w:rsid w:val="003C7897"/>
    <w:rsid w:val="003C7A3F"/>
    <w:rsid w:val="003D2766"/>
    <w:rsid w:val="003D2A74"/>
    <w:rsid w:val="003D3E8F"/>
    <w:rsid w:val="003D6475"/>
    <w:rsid w:val="003E2167"/>
    <w:rsid w:val="003E375C"/>
    <w:rsid w:val="003E4086"/>
    <w:rsid w:val="003E639E"/>
    <w:rsid w:val="003E71E5"/>
    <w:rsid w:val="003F0445"/>
    <w:rsid w:val="003F0CF0"/>
    <w:rsid w:val="003F14B1"/>
    <w:rsid w:val="003F2B20"/>
    <w:rsid w:val="003F3289"/>
    <w:rsid w:val="003F5CB9"/>
    <w:rsid w:val="004013C7"/>
    <w:rsid w:val="00401FCF"/>
    <w:rsid w:val="0040248F"/>
    <w:rsid w:val="00406285"/>
    <w:rsid w:val="004112C6"/>
    <w:rsid w:val="004148F9"/>
    <w:rsid w:val="00414D4A"/>
    <w:rsid w:val="0042084E"/>
    <w:rsid w:val="0042187E"/>
    <w:rsid w:val="00421EEF"/>
    <w:rsid w:val="00424D65"/>
    <w:rsid w:val="00442C6C"/>
    <w:rsid w:val="00443CBE"/>
    <w:rsid w:val="00443E8A"/>
    <w:rsid w:val="004441BC"/>
    <w:rsid w:val="004468B4"/>
    <w:rsid w:val="0045230A"/>
    <w:rsid w:val="00454AD0"/>
    <w:rsid w:val="00457337"/>
    <w:rsid w:val="00462E3D"/>
    <w:rsid w:val="00466E79"/>
    <w:rsid w:val="00470D7D"/>
    <w:rsid w:val="0047372D"/>
    <w:rsid w:val="00473BA3"/>
    <w:rsid w:val="004743DD"/>
    <w:rsid w:val="00474CEA"/>
    <w:rsid w:val="00483968"/>
    <w:rsid w:val="00484F86"/>
    <w:rsid w:val="00490746"/>
    <w:rsid w:val="00490852"/>
    <w:rsid w:val="00491C9C"/>
    <w:rsid w:val="00492F30"/>
    <w:rsid w:val="004946F4"/>
    <w:rsid w:val="0049487E"/>
    <w:rsid w:val="004A160D"/>
    <w:rsid w:val="004A3E81"/>
    <w:rsid w:val="004A4195"/>
    <w:rsid w:val="004A5C62"/>
    <w:rsid w:val="004A5CE5"/>
    <w:rsid w:val="004A707D"/>
    <w:rsid w:val="004C5541"/>
    <w:rsid w:val="004C6EEE"/>
    <w:rsid w:val="004C702B"/>
    <w:rsid w:val="004D0033"/>
    <w:rsid w:val="004D016B"/>
    <w:rsid w:val="004D1B22"/>
    <w:rsid w:val="004D1DA0"/>
    <w:rsid w:val="004D23CC"/>
    <w:rsid w:val="004D36F2"/>
    <w:rsid w:val="004E1106"/>
    <w:rsid w:val="004E138F"/>
    <w:rsid w:val="004E4649"/>
    <w:rsid w:val="004E5C2B"/>
    <w:rsid w:val="004F00DD"/>
    <w:rsid w:val="004F2133"/>
    <w:rsid w:val="004F4D39"/>
    <w:rsid w:val="004F5398"/>
    <w:rsid w:val="004F55F1"/>
    <w:rsid w:val="004F6936"/>
    <w:rsid w:val="00503DC6"/>
    <w:rsid w:val="00506F5D"/>
    <w:rsid w:val="00510C37"/>
    <w:rsid w:val="005126D0"/>
    <w:rsid w:val="0051568D"/>
    <w:rsid w:val="00522654"/>
    <w:rsid w:val="00526AC7"/>
    <w:rsid w:val="00526C15"/>
    <w:rsid w:val="00536395"/>
    <w:rsid w:val="00536499"/>
    <w:rsid w:val="00543903"/>
    <w:rsid w:val="00543F11"/>
    <w:rsid w:val="00546305"/>
    <w:rsid w:val="00547A95"/>
    <w:rsid w:val="0055119B"/>
    <w:rsid w:val="005548B5"/>
    <w:rsid w:val="00554C28"/>
    <w:rsid w:val="00572031"/>
    <w:rsid w:val="00572282"/>
    <w:rsid w:val="00573B91"/>
    <w:rsid w:val="00573CE3"/>
    <w:rsid w:val="00576E84"/>
    <w:rsid w:val="00580394"/>
    <w:rsid w:val="005809CD"/>
    <w:rsid w:val="00582B8C"/>
    <w:rsid w:val="0058757E"/>
    <w:rsid w:val="00596A4B"/>
    <w:rsid w:val="00597507"/>
    <w:rsid w:val="005A479D"/>
    <w:rsid w:val="005B1C6D"/>
    <w:rsid w:val="005B21B6"/>
    <w:rsid w:val="005B3A08"/>
    <w:rsid w:val="005B7A63"/>
    <w:rsid w:val="005C0955"/>
    <w:rsid w:val="005C49DA"/>
    <w:rsid w:val="005C50F3"/>
    <w:rsid w:val="005C54B5"/>
    <w:rsid w:val="005C5D80"/>
    <w:rsid w:val="005C5D91"/>
    <w:rsid w:val="005D07B8"/>
    <w:rsid w:val="005D6597"/>
    <w:rsid w:val="005D6A05"/>
    <w:rsid w:val="005E14E7"/>
    <w:rsid w:val="005E26A3"/>
    <w:rsid w:val="005E2ECB"/>
    <w:rsid w:val="005E447E"/>
    <w:rsid w:val="005E4FD1"/>
    <w:rsid w:val="005F0775"/>
    <w:rsid w:val="005F0CF5"/>
    <w:rsid w:val="005F21EB"/>
    <w:rsid w:val="00605908"/>
    <w:rsid w:val="00610D7C"/>
    <w:rsid w:val="006111C7"/>
    <w:rsid w:val="00613414"/>
    <w:rsid w:val="00620154"/>
    <w:rsid w:val="0062408D"/>
    <w:rsid w:val="006240CC"/>
    <w:rsid w:val="00624940"/>
    <w:rsid w:val="006254F8"/>
    <w:rsid w:val="00627DA7"/>
    <w:rsid w:val="00630DA4"/>
    <w:rsid w:val="00632597"/>
    <w:rsid w:val="006358B4"/>
    <w:rsid w:val="006419AA"/>
    <w:rsid w:val="00644B1F"/>
    <w:rsid w:val="00644B7E"/>
    <w:rsid w:val="006454E6"/>
    <w:rsid w:val="00646235"/>
    <w:rsid w:val="00646A68"/>
    <w:rsid w:val="006505BD"/>
    <w:rsid w:val="006508EA"/>
    <w:rsid w:val="0065092E"/>
    <w:rsid w:val="006557A7"/>
    <w:rsid w:val="00656290"/>
    <w:rsid w:val="006608D8"/>
    <w:rsid w:val="006621D7"/>
    <w:rsid w:val="0066302A"/>
    <w:rsid w:val="00667770"/>
    <w:rsid w:val="00667994"/>
    <w:rsid w:val="00670597"/>
    <w:rsid w:val="006706D0"/>
    <w:rsid w:val="00677574"/>
    <w:rsid w:val="0068454C"/>
    <w:rsid w:val="00690207"/>
    <w:rsid w:val="00691B62"/>
    <w:rsid w:val="006933B5"/>
    <w:rsid w:val="00693D14"/>
    <w:rsid w:val="00696F27"/>
    <w:rsid w:val="006A18C2"/>
    <w:rsid w:val="006A3383"/>
    <w:rsid w:val="006B077C"/>
    <w:rsid w:val="006B6803"/>
    <w:rsid w:val="006D0F16"/>
    <w:rsid w:val="006D2A3F"/>
    <w:rsid w:val="006D2FBC"/>
    <w:rsid w:val="006E0541"/>
    <w:rsid w:val="006E138B"/>
    <w:rsid w:val="006E3F9A"/>
    <w:rsid w:val="006F0330"/>
    <w:rsid w:val="006F1FDC"/>
    <w:rsid w:val="006F6B8C"/>
    <w:rsid w:val="007013EF"/>
    <w:rsid w:val="007055BD"/>
    <w:rsid w:val="007173CA"/>
    <w:rsid w:val="007216AA"/>
    <w:rsid w:val="00721AB5"/>
    <w:rsid w:val="00721CFB"/>
    <w:rsid w:val="00721DEF"/>
    <w:rsid w:val="0072251A"/>
    <w:rsid w:val="00724A43"/>
    <w:rsid w:val="007273AC"/>
    <w:rsid w:val="00731AD4"/>
    <w:rsid w:val="007346E4"/>
    <w:rsid w:val="00734FCA"/>
    <w:rsid w:val="0073582E"/>
    <w:rsid w:val="00735F97"/>
    <w:rsid w:val="00740F22"/>
    <w:rsid w:val="00741CF0"/>
    <w:rsid w:val="00741F1A"/>
    <w:rsid w:val="007447DA"/>
    <w:rsid w:val="007450F8"/>
    <w:rsid w:val="0074696E"/>
    <w:rsid w:val="00750135"/>
    <w:rsid w:val="00750EC2"/>
    <w:rsid w:val="00752B28"/>
    <w:rsid w:val="007541A9"/>
    <w:rsid w:val="00754E36"/>
    <w:rsid w:val="00763139"/>
    <w:rsid w:val="00770F37"/>
    <w:rsid w:val="007711A0"/>
    <w:rsid w:val="00772D5E"/>
    <w:rsid w:val="0077463E"/>
    <w:rsid w:val="00776928"/>
    <w:rsid w:val="00776E0F"/>
    <w:rsid w:val="007774B1"/>
    <w:rsid w:val="00777BE1"/>
    <w:rsid w:val="007833D8"/>
    <w:rsid w:val="00785677"/>
    <w:rsid w:val="00786F16"/>
    <w:rsid w:val="00791BD7"/>
    <w:rsid w:val="007933F7"/>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1227"/>
    <w:rsid w:val="007E3B98"/>
    <w:rsid w:val="007E417A"/>
    <w:rsid w:val="007E7C00"/>
    <w:rsid w:val="007F31B6"/>
    <w:rsid w:val="007F546C"/>
    <w:rsid w:val="007F625F"/>
    <w:rsid w:val="007F665E"/>
    <w:rsid w:val="00800412"/>
    <w:rsid w:val="0080587B"/>
    <w:rsid w:val="00806468"/>
    <w:rsid w:val="008119CA"/>
    <w:rsid w:val="008130C4"/>
    <w:rsid w:val="008155F0"/>
    <w:rsid w:val="00816735"/>
    <w:rsid w:val="00820141"/>
    <w:rsid w:val="00820E0C"/>
    <w:rsid w:val="008213F0"/>
    <w:rsid w:val="00823275"/>
    <w:rsid w:val="0082366F"/>
    <w:rsid w:val="008338A2"/>
    <w:rsid w:val="00835FAF"/>
    <w:rsid w:val="00836BA1"/>
    <w:rsid w:val="00841AA9"/>
    <w:rsid w:val="008474FE"/>
    <w:rsid w:val="00853EE4"/>
    <w:rsid w:val="00855535"/>
    <w:rsid w:val="00855920"/>
    <w:rsid w:val="00857C5A"/>
    <w:rsid w:val="0086255E"/>
    <w:rsid w:val="008633F0"/>
    <w:rsid w:val="00867D9D"/>
    <w:rsid w:val="00872E0A"/>
    <w:rsid w:val="00873594"/>
    <w:rsid w:val="00874519"/>
    <w:rsid w:val="00875285"/>
    <w:rsid w:val="0087712B"/>
    <w:rsid w:val="00884B62"/>
    <w:rsid w:val="0088529C"/>
    <w:rsid w:val="00887903"/>
    <w:rsid w:val="0089270A"/>
    <w:rsid w:val="00893AF6"/>
    <w:rsid w:val="00894BC4"/>
    <w:rsid w:val="008A28A8"/>
    <w:rsid w:val="008A5B32"/>
    <w:rsid w:val="008B2EE4"/>
    <w:rsid w:val="008B4D3D"/>
    <w:rsid w:val="008B57C7"/>
    <w:rsid w:val="008C2F92"/>
    <w:rsid w:val="008C3697"/>
    <w:rsid w:val="008C5557"/>
    <w:rsid w:val="008C589D"/>
    <w:rsid w:val="008C6D51"/>
    <w:rsid w:val="008D2846"/>
    <w:rsid w:val="008D4236"/>
    <w:rsid w:val="008D462F"/>
    <w:rsid w:val="008D6DCF"/>
    <w:rsid w:val="008E3DE9"/>
    <w:rsid w:val="008E4376"/>
    <w:rsid w:val="008E7A0A"/>
    <w:rsid w:val="008E7B49"/>
    <w:rsid w:val="008F59F6"/>
    <w:rsid w:val="00900719"/>
    <w:rsid w:val="009017AC"/>
    <w:rsid w:val="00902A9A"/>
    <w:rsid w:val="00904A1C"/>
    <w:rsid w:val="00904AB4"/>
    <w:rsid w:val="00905030"/>
    <w:rsid w:val="00906490"/>
    <w:rsid w:val="009111B2"/>
    <w:rsid w:val="009151F5"/>
    <w:rsid w:val="0092130F"/>
    <w:rsid w:val="009220CA"/>
    <w:rsid w:val="00924AE1"/>
    <w:rsid w:val="009269B1"/>
    <w:rsid w:val="0092724D"/>
    <w:rsid w:val="009272B3"/>
    <w:rsid w:val="009315BE"/>
    <w:rsid w:val="0093338F"/>
    <w:rsid w:val="00937BD9"/>
    <w:rsid w:val="00942FAB"/>
    <w:rsid w:val="00950E2C"/>
    <w:rsid w:val="00951D50"/>
    <w:rsid w:val="009525EB"/>
    <w:rsid w:val="0095470B"/>
    <w:rsid w:val="00954874"/>
    <w:rsid w:val="0095615A"/>
    <w:rsid w:val="00961400"/>
    <w:rsid w:val="00963646"/>
    <w:rsid w:val="0096632D"/>
    <w:rsid w:val="009718C7"/>
    <w:rsid w:val="0097559F"/>
    <w:rsid w:val="0097761E"/>
    <w:rsid w:val="00982454"/>
    <w:rsid w:val="00982CF0"/>
    <w:rsid w:val="009836D4"/>
    <w:rsid w:val="009853E1"/>
    <w:rsid w:val="00986E6B"/>
    <w:rsid w:val="00990032"/>
    <w:rsid w:val="00990B19"/>
    <w:rsid w:val="0099153B"/>
    <w:rsid w:val="00991769"/>
    <w:rsid w:val="0099232C"/>
    <w:rsid w:val="00994386"/>
    <w:rsid w:val="009A13D8"/>
    <w:rsid w:val="009A279E"/>
    <w:rsid w:val="009A3015"/>
    <w:rsid w:val="009A3490"/>
    <w:rsid w:val="009B0A6F"/>
    <w:rsid w:val="009B0A94"/>
    <w:rsid w:val="009B2AE8"/>
    <w:rsid w:val="009B59E9"/>
    <w:rsid w:val="009B70AA"/>
    <w:rsid w:val="009B753B"/>
    <w:rsid w:val="009C5E77"/>
    <w:rsid w:val="009C7A7E"/>
    <w:rsid w:val="009D02E8"/>
    <w:rsid w:val="009D51D0"/>
    <w:rsid w:val="009D70A4"/>
    <w:rsid w:val="009D7B14"/>
    <w:rsid w:val="009E08D1"/>
    <w:rsid w:val="009E0D2A"/>
    <w:rsid w:val="009E1B95"/>
    <w:rsid w:val="009E496F"/>
    <w:rsid w:val="009E4B0D"/>
    <w:rsid w:val="009E5250"/>
    <w:rsid w:val="009E7F92"/>
    <w:rsid w:val="009F02A3"/>
    <w:rsid w:val="009F2F27"/>
    <w:rsid w:val="009F34AA"/>
    <w:rsid w:val="009F6BCB"/>
    <w:rsid w:val="009F7B78"/>
    <w:rsid w:val="009F7C7C"/>
    <w:rsid w:val="00A0057A"/>
    <w:rsid w:val="00A02FA1"/>
    <w:rsid w:val="00A047F5"/>
    <w:rsid w:val="00A04CCE"/>
    <w:rsid w:val="00A07421"/>
    <w:rsid w:val="00A0776B"/>
    <w:rsid w:val="00A10FB9"/>
    <w:rsid w:val="00A11421"/>
    <w:rsid w:val="00A1389F"/>
    <w:rsid w:val="00A149B0"/>
    <w:rsid w:val="00A157B1"/>
    <w:rsid w:val="00A22229"/>
    <w:rsid w:val="00A24442"/>
    <w:rsid w:val="00A330BB"/>
    <w:rsid w:val="00A44882"/>
    <w:rsid w:val="00A45125"/>
    <w:rsid w:val="00A54715"/>
    <w:rsid w:val="00A6061C"/>
    <w:rsid w:val="00A62D44"/>
    <w:rsid w:val="00A67263"/>
    <w:rsid w:val="00A7161C"/>
    <w:rsid w:val="00A77AA3"/>
    <w:rsid w:val="00A8236D"/>
    <w:rsid w:val="00A854EB"/>
    <w:rsid w:val="00A872E5"/>
    <w:rsid w:val="00A91406"/>
    <w:rsid w:val="00A96E65"/>
    <w:rsid w:val="00A97C72"/>
    <w:rsid w:val="00AA268E"/>
    <w:rsid w:val="00AA310B"/>
    <w:rsid w:val="00AA63D4"/>
    <w:rsid w:val="00AB06E8"/>
    <w:rsid w:val="00AB1CD3"/>
    <w:rsid w:val="00AB352F"/>
    <w:rsid w:val="00AC274B"/>
    <w:rsid w:val="00AC4764"/>
    <w:rsid w:val="00AC6D36"/>
    <w:rsid w:val="00AD0CBA"/>
    <w:rsid w:val="00AD177A"/>
    <w:rsid w:val="00AD2087"/>
    <w:rsid w:val="00AD26E2"/>
    <w:rsid w:val="00AD784C"/>
    <w:rsid w:val="00AE126A"/>
    <w:rsid w:val="00AE1BAE"/>
    <w:rsid w:val="00AE3005"/>
    <w:rsid w:val="00AE3BD5"/>
    <w:rsid w:val="00AE59A0"/>
    <w:rsid w:val="00AF0C57"/>
    <w:rsid w:val="00AF26F3"/>
    <w:rsid w:val="00AF35C5"/>
    <w:rsid w:val="00AF5F04"/>
    <w:rsid w:val="00B00672"/>
    <w:rsid w:val="00B01B4D"/>
    <w:rsid w:val="00B06571"/>
    <w:rsid w:val="00B068BA"/>
    <w:rsid w:val="00B07FF7"/>
    <w:rsid w:val="00B13851"/>
    <w:rsid w:val="00B13959"/>
    <w:rsid w:val="00B13B1C"/>
    <w:rsid w:val="00B14780"/>
    <w:rsid w:val="00B21F90"/>
    <w:rsid w:val="00B22291"/>
    <w:rsid w:val="00B23F9A"/>
    <w:rsid w:val="00B2417B"/>
    <w:rsid w:val="00B24E6F"/>
    <w:rsid w:val="00B26CB5"/>
    <w:rsid w:val="00B2752E"/>
    <w:rsid w:val="00B307CC"/>
    <w:rsid w:val="00B326B7"/>
    <w:rsid w:val="00B3588E"/>
    <w:rsid w:val="00B41F3D"/>
    <w:rsid w:val="00B431E8"/>
    <w:rsid w:val="00B45141"/>
    <w:rsid w:val="00B46DE7"/>
    <w:rsid w:val="00B519CD"/>
    <w:rsid w:val="00B5273A"/>
    <w:rsid w:val="00B57329"/>
    <w:rsid w:val="00B60E61"/>
    <w:rsid w:val="00B62B50"/>
    <w:rsid w:val="00B635B7"/>
    <w:rsid w:val="00B63AE8"/>
    <w:rsid w:val="00B65950"/>
    <w:rsid w:val="00B66D83"/>
    <w:rsid w:val="00B672C0"/>
    <w:rsid w:val="00B676FD"/>
    <w:rsid w:val="00B70EAB"/>
    <w:rsid w:val="00B75646"/>
    <w:rsid w:val="00B90729"/>
    <w:rsid w:val="00B907DA"/>
    <w:rsid w:val="00B94CD5"/>
    <w:rsid w:val="00B950BC"/>
    <w:rsid w:val="00B9714C"/>
    <w:rsid w:val="00BA29AD"/>
    <w:rsid w:val="00BA33CF"/>
    <w:rsid w:val="00BA3F8D"/>
    <w:rsid w:val="00BB7A10"/>
    <w:rsid w:val="00BC3E8F"/>
    <w:rsid w:val="00BC60BE"/>
    <w:rsid w:val="00BC7468"/>
    <w:rsid w:val="00BC7D4F"/>
    <w:rsid w:val="00BC7ED7"/>
    <w:rsid w:val="00BD2850"/>
    <w:rsid w:val="00BE28D2"/>
    <w:rsid w:val="00BE4A64"/>
    <w:rsid w:val="00BE5E43"/>
    <w:rsid w:val="00BF30B2"/>
    <w:rsid w:val="00BF557D"/>
    <w:rsid w:val="00BF7F58"/>
    <w:rsid w:val="00C01381"/>
    <w:rsid w:val="00C01AB1"/>
    <w:rsid w:val="00C026A0"/>
    <w:rsid w:val="00C06137"/>
    <w:rsid w:val="00C079B8"/>
    <w:rsid w:val="00C10037"/>
    <w:rsid w:val="00C123EA"/>
    <w:rsid w:val="00C12A49"/>
    <w:rsid w:val="00C133EE"/>
    <w:rsid w:val="00C149D0"/>
    <w:rsid w:val="00C26588"/>
    <w:rsid w:val="00C27DE9"/>
    <w:rsid w:val="00C32989"/>
    <w:rsid w:val="00C33388"/>
    <w:rsid w:val="00C35484"/>
    <w:rsid w:val="00C4173A"/>
    <w:rsid w:val="00C50DED"/>
    <w:rsid w:val="00C602FF"/>
    <w:rsid w:val="00C61174"/>
    <w:rsid w:val="00C6148F"/>
    <w:rsid w:val="00C621B1"/>
    <w:rsid w:val="00C62F7A"/>
    <w:rsid w:val="00C63B9C"/>
    <w:rsid w:val="00C6682F"/>
    <w:rsid w:val="00C67BF4"/>
    <w:rsid w:val="00C7275E"/>
    <w:rsid w:val="00C74C5D"/>
    <w:rsid w:val="00C863C4"/>
    <w:rsid w:val="00C8746D"/>
    <w:rsid w:val="00C920EA"/>
    <w:rsid w:val="00C93C3E"/>
    <w:rsid w:val="00CA12E3"/>
    <w:rsid w:val="00CA1476"/>
    <w:rsid w:val="00CA6611"/>
    <w:rsid w:val="00CA6AE6"/>
    <w:rsid w:val="00CA782F"/>
    <w:rsid w:val="00CB187B"/>
    <w:rsid w:val="00CB2835"/>
    <w:rsid w:val="00CB3285"/>
    <w:rsid w:val="00CB4500"/>
    <w:rsid w:val="00CB7800"/>
    <w:rsid w:val="00CC0C72"/>
    <w:rsid w:val="00CC2BFD"/>
    <w:rsid w:val="00CD305F"/>
    <w:rsid w:val="00CD3476"/>
    <w:rsid w:val="00CD448D"/>
    <w:rsid w:val="00CD64DF"/>
    <w:rsid w:val="00CE225F"/>
    <w:rsid w:val="00CF2F50"/>
    <w:rsid w:val="00CF6198"/>
    <w:rsid w:val="00D02919"/>
    <w:rsid w:val="00D04C61"/>
    <w:rsid w:val="00D05B8D"/>
    <w:rsid w:val="00D065A2"/>
    <w:rsid w:val="00D079AA"/>
    <w:rsid w:val="00D07F00"/>
    <w:rsid w:val="00D1130F"/>
    <w:rsid w:val="00D17B72"/>
    <w:rsid w:val="00D3185C"/>
    <w:rsid w:val="00D3205F"/>
    <w:rsid w:val="00D3318E"/>
    <w:rsid w:val="00D33E72"/>
    <w:rsid w:val="00D35BD6"/>
    <w:rsid w:val="00D361B5"/>
    <w:rsid w:val="00D405AC"/>
    <w:rsid w:val="00D411A2"/>
    <w:rsid w:val="00D4606D"/>
    <w:rsid w:val="00D46A48"/>
    <w:rsid w:val="00D46C92"/>
    <w:rsid w:val="00D50B9C"/>
    <w:rsid w:val="00D52D73"/>
    <w:rsid w:val="00D52E58"/>
    <w:rsid w:val="00D56B20"/>
    <w:rsid w:val="00D578B3"/>
    <w:rsid w:val="00D618F4"/>
    <w:rsid w:val="00D714CC"/>
    <w:rsid w:val="00D75EA7"/>
    <w:rsid w:val="00D81ADF"/>
    <w:rsid w:val="00D81F21"/>
    <w:rsid w:val="00D864F2"/>
    <w:rsid w:val="00D92F95"/>
    <w:rsid w:val="00D943F8"/>
    <w:rsid w:val="00D95470"/>
    <w:rsid w:val="00D96B55"/>
    <w:rsid w:val="00DA2619"/>
    <w:rsid w:val="00DA4239"/>
    <w:rsid w:val="00DA65DE"/>
    <w:rsid w:val="00DB0B61"/>
    <w:rsid w:val="00DB1474"/>
    <w:rsid w:val="00DB2962"/>
    <w:rsid w:val="00DB52FB"/>
    <w:rsid w:val="00DC013B"/>
    <w:rsid w:val="00DC090B"/>
    <w:rsid w:val="00DC1679"/>
    <w:rsid w:val="00DC219B"/>
    <w:rsid w:val="00DC2CF1"/>
    <w:rsid w:val="00DC4FCF"/>
    <w:rsid w:val="00DC50E0"/>
    <w:rsid w:val="00DC6386"/>
    <w:rsid w:val="00DD1130"/>
    <w:rsid w:val="00DD1951"/>
    <w:rsid w:val="00DD487D"/>
    <w:rsid w:val="00DD4E83"/>
    <w:rsid w:val="00DD6628"/>
    <w:rsid w:val="00DD6945"/>
    <w:rsid w:val="00DE2D04"/>
    <w:rsid w:val="00DE3250"/>
    <w:rsid w:val="00DE451A"/>
    <w:rsid w:val="00DE6028"/>
    <w:rsid w:val="00DE78A3"/>
    <w:rsid w:val="00DF1A71"/>
    <w:rsid w:val="00DF50FC"/>
    <w:rsid w:val="00DF68C7"/>
    <w:rsid w:val="00DF731A"/>
    <w:rsid w:val="00E06B75"/>
    <w:rsid w:val="00E0721B"/>
    <w:rsid w:val="00E11332"/>
    <w:rsid w:val="00E11352"/>
    <w:rsid w:val="00E170DC"/>
    <w:rsid w:val="00E17546"/>
    <w:rsid w:val="00E210B5"/>
    <w:rsid w:val="00E261B3"/>
    <w:rsid w:val="00E26818"/>
    <w:rsid w:val="00E27FFC"/>
    <w:rsid w:val="00E30B15"/>
    <w:rsid w:val="00E33237"/>
    <w:rsid w:val="00E40181"/>
    <w:rsid w:val="00E54950"/>
    <w:rsid w:val="00E56A01"/>
    <w:rsid w:val="00E62622"/>
    <w:rsid w:val="00E629A1"/>
    <w:rsid w:val="00E6794C"/>
    <w:rsid w:val="00E71591"/>
    <w:rsid w:val="00E71CEB"/>
    <w:rsid w:val="00E7474F"/>
    <w:rsid w:val="00E80DE3"/>
    <w:rsid w:val="00E82C55"/>
    <w:rsid w:val="00E8787E"/>
    <w:rsid w:val="00E92AC3"/>
    <w:rsid w:val="00EA1360"/>
    <w:rsid w:val="00EA2C24"/>
    <w:rsid w:val="00EA2F6A"/>
    <w:rsid w:val="00EB00E0"/>
    <w:rsid w:val="00EB2E33"/>
    <w:rsid w:val="00EB5340"/>
    <w:rsid w:val="00EC059F"/>
    <w:rsid w:val="00EC1F24"/>
    <w:rsid w:val="00EC22F6"/>
    <w:rsid w:val="00EC40D5"/>
    <w:rsid w:val="00ED5B9B"/>
    <w:rsid w:val="00ED6BAD"/>
    <w:rsid w:val="00ED7447"/>
    <w:rsid w:val="00EE00D6"/>
    <w:rsid w:val="00EE11E7"/>
    <w:rsid w:val="00EE1488"/>
    <w:rsid w:val="00EE29AD"/>
    <w:rsid w:val="00EE3E24"/>
    <w:rsid w:val="00EE4D5D"/>
    <w:rsid w:val="00EE5131"/>
    <w:rsid w:val="00EF109B"/>
    <w:rsid w:val="00EF201C"/>
    <w:rsid w:val="00EF36AF"/>
    <w:rsid w:val="00EF59A3"/>
    <w:rsid w:val="00EF6675"/>
    <w:rsid w:val="00F00F9C"/>
    <w:rsid w:val="00F01E5F"/>
    <w:rsid w:val="00F024F3"/>
    <w:rsid w:val="00F02ABA"/>
    <w:rsid w:val="00F0437A"/>
    <w:rsid w:val="00F101B8"/>
    <w:rsid w:val="00F11037"/>
    <w:rsid w:val="00F16F1B"/>
    <w:rsid w:val="00F250A9"/>
    <w:rsid w:val="00F267AF"/>
    <w:rsid w:val="00F30FF4"/>
    <w:rsid w:val="00F3122E"/>
    <w:rsid w:val="00F32368"/>
    <w:rsid w:val="00F331AD"/>
    <w:rsid w:val="00F35287"/>
    <w:rsid w:val="00F40A70"/>
    <w:rsid w:val="00F43A37"/>
    <w:rsid w:val="00F451AB"/>
    <w:rsid w:val="00F4641B"/>
    <w:rsid w:val="00F46EB8"/>
    <w:rsid w:val="00F50CD1"/>
    <w:rsid w:val="00F511E4"/>
    <w:rsid w:val="00F52D09"/>
    <w:rsid w:val="00F52E08"/>
    <w:rsid w:val="00F53A66"/>
    <w:rsid w:val="00F53DDD"/>
    <w:rsid w:val="00F5462D"/>
    <w:rsid w:val="00F55B21"/>
    <w:rsid w:val="00F56EF6"/>
    <w:rsid w:val="00F57A6C"/>
    <w:rsid w:val="00F60082"/>
    <w:rsid w:val="00F61A9F"/>
    <w:rsid w:val="00F61B5F"/>
    <w:rsid w:val="00F64696"/>
    <w:rsid w:val="00F65AA9"/>
    <w:rsid w:val="00F6768F"/>
    <w:rsid w:val="00F712D8"/>
    <w:rsid w:val="00F72C2C"/>
    <w:rsid w:val="00F76CAB"/>
    <w:rsid w:val="00F772C6"/>
    <w:rsid w:val="00F815B5"/>
    <w:rsid w:val="00F84FA0"/>
    <w:rsid w:val="00F85195"/>
    <w:rsid w:val="00F868E3"/>
    <w:rsid w:val="00F938BA"/>
    <w:rsid w:val="00F97919"/>
    <w:rsid w:val="00FA2C46"/>
    <w:rsid w:val="00FA3525"/>
    <w:rsid w:val="00FA5A53"/>
    <w:rsid w:val="00FB2551"/>
    <w:rsid w:val="00FB4769"/>
    <w:rsid w:val="00FB4CDA"/>
    <w:rsid w:val="00FB6481"/>
    <w:rsid w:val="00FB6D36"/>
    <w:rsid w:val="00FC0965"/>
    <w:rsid w:val="00FC0F81"/>
    <w:rsid w:val="00FC252F"/>
    <w:rsid w:val="00FC395C"/>
    <w:rsid w:val="00FC5E8E"/>
    <w:rsid w:val="00FD3766"/>
    <w:rsid w:val="00FD47C4"/>
    <w:rsid w:val="00FD722A"/>
    <w:rsid w:val="00FE2DCF"/>
    <w:rsid w:val="00FE3FA7"/>
    <w:rsid w:val="00FF2A4E"/>
    <w:rsid w:val="00FF2FCE"/>
    <w:rsid w:val="00FF4DE4"/>
    <w:rsid w:val="00FF4F7D"/>
    <w:rsid w:val="00FF54DF"/>
    <w:rsid w:val="00FF6D9D"/>
    <w:rsid w:val="00FF78F4"/>
    <w:rsid w:val="00FF7DD5"/>
    <w:rsid w:val="33690DAE"/>
    <w:rsid w:val="690FEBFA"/>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67734B0"/>
  <w15:docId w15:val="{90F1FD34-DB34-554C-B987-5941B33FD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D46C92"/>
    <w:pPr>
      <w:spacing w:after="120" w:line="280" w:lineRule="atLeast"/>
    </w:pPr>
    <w:rPr>
      <w:rFonts w:ascii="Arial" w:hAnsi="Arial"/>
      <w:sz w:val="21"/>
      <w:lang w:eastAsia="en-US"/>
    </w:rPr>
  </w:style>
  <w:style w:type="paragraph" w:styleId="Heading1">
    <w:name w:val="heading 1"/>
    <w:next w:val="Body"/>
    <w:link w:val="Heading1Char"/>
    <w:uiPriority w:val="1"/>
    <w:qFormat/>
    <w:rsid w:val="00AD2087"/>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AD2087"/>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AD2087"/>
    <w:pPr>
      <w:spacing w:after="24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2"/>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101001"/>
    <w:pPr>
      <w:numPr>
        <w:numId w:val="2"/>
      </w:numPr>
    </w:pPr>
  </w:style>
  <w:style w:type="numbering" w:customStyle="1" w:styleId="ZZQuotebullets">
    <w:name w:val="ZZ Quote bullets"/>
    <w:basedOn w:val="ZZNumbersdigit"/>
    <w:rsid w:val="008E7B49"/>
    <w:pPr>
      <w:numPr>
        <w:numId w:val="11"/>
      </w:numPr>
    </w:pPr>
  </w:style>
  <w:style w:type="paragraph" w:customStyle="1" w:styleId="Numberdigit">
    <w:name w:val="Number digit"/>
    <w:basedOn w:val="Body"/>
    <w:uiPriority w:val="2"/>
    <w:rsid w:val="00857C5A"/>
    <w:pPr>
      <w:numPr>
        <w:numId w:val="2"/>
      </w:numPr>
    </w:pPr>
  </w:style>
  <w:style w:type="paragraph" w:customStyle="1" w:styleId="Numberloweralphaindent">
    <w:name w:val="Number lower alpha indent"/>
    <w:basedOn w:val="Body"/>
    <w:uiPriority w:val="3"/>
    <w:rsid w:val="00721CFB"/>
    <w:pPr>
      <w:numPr>
        <w:ilvl w:val="1"/>
        <w:numId w:val="20"/>
      </w:numPr>
    </w:pPr>
  </w:style>
  <w:style w:type="paragraph" w:customStyle="1" w:styleId="Numberdigitindent">
    <w:name w:val="Number digit indent"/>
    <w:basedOn w:val="Numberloweralphaindent"/>
    <w:uiPriority w:val="3"/>
    <w:rsid w:val="00101001"/>
    <w:pPr>
      <w:numPr>
        <w:numId w:val="2"/>
      </w:numPr>
    </w:pPr>
  </w:style>
  <w:style w:type="paragraph" w:customStyle="1" w:styleId="Numberloweralpha">
    <w:name w:val="Number lower alpha"/>
    <w:basedOn w:val="Body"/>
    <w:uiPriority w:val="3"/>
    <w:rsid w:val="00721CFB"/>
    <w:pPr>
      <w:numPr>
        <w:numId w:val="20"/>
      </w:numPr>
    </w:pPr>
  </w:style>
  <w:style w:type="paragraph" w:customStyle="1" w:styleId="Numberlowerroman">
    <w:name w:val="Number lower roman"/>
    <w:basedOn w:val="Body"/>
    <w:uiPriority w:val="3"/>
    <w:rsid w:val="00721CFB"/>
    <w:pPr>
      <w:numPr>
        <w:numId w:val="13"/>
      </w:numPr>
    </w:pPr>
  </w:style>
  <w:style w:type="paragraph" w:customStyle="1" w:styleId="Numberlowerromanindent">
    <w:name w:val="Number lower roman indent"/>
    <w:basedOn w:val="Body"/>
    <w:uiPriority w:val="3"/>
    <w:rsid w:val="00721CFB"/>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2"/>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Quotebullet1">
    <w:name w:val="Quote bullet 1"/>
    <w:basedOn w:val="Quotetext"/>
    <w:rsid w:val="008E7B49"/>
    <w:pPr>
      <w:numPr>
        <w:numId w:val="11"/>
      </w:numPr>
    </w:pPr>
  </w:style>
  <w:style w:type="paragraph" w:customStyle="1" w:styleId="Quotebullet2">
    <w:name w:val="Quote bullet 2"/>
    <w:basedOn w:val="Quotetext"/>
    <w:rsid w:val="008E7B4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AD2087"/>
    <w:pPr>
      <w:spacing w:line="320" w:lineRule="atLeast"/>
    </w:pPr>
    <w:rPr>
      <w:color w:val="201547"/>
      <w:sz w:val="24"/>
    </w:rPr>
  </w:style>
  <w:style w:type="paragraph" w:styleId="ListParagraph">
    <w:name w:val="List Paragraph"/>
    <w:basedOn w:val="Normal"/>
    <w:uiPriority w:val="72"/>
    <w:semiHidden/>
    <w:qFormat/>
    <w:rsid w:val="003B1B5E"/>
    <w:pPr>
      <w:ind w:left="720"/>
      <w:contextualSpacing/>
    </w:pPr>
  </w:style>
  <w:style w:type="paragraph" w:customStyle="1" w:styleId="BodyCopyBody">
    <w:name w:val="Body Copy (Body)"/>
    <w:basedOn w:val="Normal"/>
    <w:uiPriority w:val="99"/>
    <w:rsid w:val="00CD305F"/>
    <w:pPr>
      <w:widowControl w:val="0"/>
      <w:tabs>
        <w:tab w:val="left" w:pos="227"/>
        <w:tab w:val="left" w:pos="454"/>
        <w:tab w:val="left" w:pos="680"/>
        <w:tab w:val="left" w:pos="907"/>
        <w:tab w:val="left" w:pos="1134"/>
        <w:tab w:val="left" w:pos="1361"/>
        <w:tab w:val="left" w:pos="1587"/>
        <w:tab w:val="left" w:pos="1814"/>
        <w:tab w:val="left" w:pos="2041"/>
        <w:tab w:val="left" w:pos="2268"/>
        <w:tab w:val="left" w:pos="2494"/>
        <w:tab w:val="left" w:pos="2721"/>
        <w:tab w:val="left" w:pos="2948"/>
        <w:tab w:val="left" w:pos="3175"/>
        <w:tab w:val="left" w:pos="3402"/>
        <w:tab w:val="left" w:pos="3628"/>
        <w:tab w:val="left" w:pos="3855"/>
        <w:tab w:val="left" w:pos="4082"/>
        <w:tab w:val="left" w:pos="4309"/>
        <w:tab w:val="left" w:pos="4535"/>
        <w:tab w:val="left" w:pos="4762"/>
        <w:tab w:val="left" w:pos="4989"/>
        <w:tab w:val="left" w:pos="5216"/>
        <w:tab w:val="left" w:pos="5443"/>
        <w:tab w:val="left" w:pos="5669"/>
        <w:tab w:val="left" w:pos="5896"/>
        <w:tab w:val="left" w:pos="6123"/>
        <w:tab w:val="left" w:pos="6350"/>
        <w:tab w:val="left" w:pos="6576"/>
        <w:tab w:val="left" w:pos="6803"/>
        <w:tab w:val="left" w:pos="7030"/>
        <w:tab w:val="left" w:pos="7257"/>
        <w:tab w:val="left" w:pos="7483"/>
        <w:tab w:val="left" w:pos="7710"/>
        <w:tab w:val="left" w:pos="7937"/>
        <w:tab w:val="left" w:pos="8164"/>
        <w:tab w:val="left" w:pos="8391"/>
        <w:tab w:val="left" w:pos="8617"/>
        <w:tab w:val="left" w:pos="8844"/>
        <w:tab w:val="left" w:pos="9071"/>
        <w:tab w:val="left" w:pos="9298"/>
        <w:tab w:val="left" w:pos="9524"/>
        <w:tab w:val="left" w:pos="9751"/>
      </w:tabs>
      <w:suppressAutoHyphens/>
      <w:autoSpaceDE w:val="0"/>
      <w:autoSpaceDN w:val="0"/>
      <w:adjustRightInd w:val="0"/>
      <w:spacing w:after="113" w:line="270" w:lineRule="atLeast"/>
      <w:textAlignment w:val="center"/>
    </w:pPr>
    <w:rPr>
      <w:rFonts w:ascii="VIC-Regular" w:hAnsi="VIC-Regular" w:cs="VIC-Regular"/>
      <w:color w:val="000000"/>
      <w:sz w:val="19"/>
      <w:szCs w:val="19"/>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health.vic.gov.au/residential-aged-care/standardised-care-processes" TargetMode="Externa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D179483B3A4E458E2DA955233B6DD4" ma:contentTypeVersion="17" ma:contentTypeDescription="Create a new document." ma:contentTypeScope="" ma:versionID="1ccb5c08fc987aae76c9040a2ef7cf61">
  <xsd:schema xmlns:xsd="http://www.w3.org/2001/XMLSchema" xmlns:xs="http://www.w3.org/2001/XMLSchema" xmlns:p="http://schemas.microsoft.com/office/2006/metadata/properties" xmlns:ns2="31b2e4f9-c376-4e2f-bd2e-796d1bcd5746" xmlns:ns3="7ee2ad8a-2b33-419f-875c-ac0e4cfc6b7f" xmlns:ns4="5ce0f2b5-5be5-4508-bce9-d7011ece0659" targetNamespace="http://schemas.microsoft.com/office/2006/metadata/properties" ma:root="true" ma:fieldsID="34ff2ea20f3c0d4358ff758bc6885bad" ns2:_="" ns3:_="" ns4:_="">
    <xsd:import namespace="31b2e4f9-c376-4e2f-bd2e-796d1bcd5746"/>
    <xsd:import namespace="7ee2ad8a-2b33-419f-875c-ac0e4cfc6b7f"/>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4:TaxCatchAll" minOccurs="0"/>
                <xsd:element ref="ns2:MediaLengthInSeconds" minOccurs="0"/>
                <xsd:element ref="ns2:MediaServiceObjectDetectorVersions" minOccurs="0"/>
                <xsd:element ref="ns2:AccreditationComplianc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b2e4f9-c376-4e2f-bd2e-796d1bcd57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AccreditationCompliance" ma:index="24" ma:displayName="Accreditation Compliance" ma:format="Dropdown" ma:internalName="AccreditationCompliance">
      <xsd:simpleType>
        <xsd:union memberTypes="dms:Text">
          <xsd:simpleType>
            <xsd:restriction base="dms:Choice">
              <xsd:enumeration value="Non-compliance"/>
              <xsd:enumeration value="Compliant"/>
              <xsd:enumeration value="Other"/>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7ee2ad8a-2b33-419f-875c-ac0e4cfc6b7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179ae61d-ea30-493b-8839-6f91706441b2}" ma:internalName="TaxCatchAll" ma:showField="CatchAllData" ma:web="7ee2ad8a-2b33-419f-875c-ac0e4cfc6b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1b2e4f9-c376-4e2f-bd2e-796d1bcd5746">
      <Terms xmlns="http://schemas.microsoft.com/office/infopath/2007/PartnerControls"/>
    </lcf76f155ced4ddcb4097134ff3c332f>
    <TaxCatchAll xmlns="5ce0f2b5-5be5-4508-bce9-d7011ece0659" xsi:nil="true"/>
    <AccreditationCompliance xmlns="31b2e4f9-c376-4e2f-bd2e-796d1bcd5746"/>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8A45E6-9F7B-4B2E-B973-00CA2D189B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b2e4f9-c376-4e2f-bd2e-796d1bcd5746"/>
    <ds:schemaRef ds:uri="7ee2ad8a-2b33-419f-875c-ac0e4cfc6b7f"/>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31b2e4f9-c376-4e2f-bd2e-796d1bcd5746"/>
    <ds:schemaRef ds:uri="5ce0f2b5-5be5-4508-bce9-d7011ece0659"/>
  </ds:schemaRefs>
</ds:datastoreItem>
</file>

<file path=customXml/itemProps3.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customXml/itemProps4.xml><?xml version="1.0" encoding="utf-8"?>
<ds:datastoreItem xmlns:ds="http://schemas.openxmlformats.org/officeDocument/2006/customXml" ds:itemID="{58CE1EBB-C189-4849-810F-0EC61D30BA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2286</Words>
  <Characters>13032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Unplanned Weight Loss</vt:lpstr>
    </vt:vector>
  </TitlesOfParts>
  <Manager/>
  <Company>Victoria State Government, Department of Health</Company>
  <LinksUpToDate>false</LinksUpToDate>
  <CharactersWithSpaces>15288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Unplanned Weight Loss</dc:title>
  <dc:subject>Standardised care process</dc:subject>
  <dc:creator>Aged Care &amp; Community Services</dc:creator>
  <cp:keywords>unplanned weight loss, standardised care, care process</cp:keywords>
  <dc:description/>
  <cp:lastModifiedBy>Jo Press (Health)</cp:lastModifiedBy>
  <cp:revision>3</cp:revision>
  <cp:lastPrinted>2020-03-30T03:28:00Z</cp:lastPrinted>
  <dcterms:created xsi:type="dcterms:W3CDTF">2023-10-10T03:45:00Z</dcterms:created>
  <dcterms:modified xsi:type="dcterms:W3CDTF">2023-10-17T05:18:00Z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0x01010026D179483B3A4E458E2DA955233B6DD4</vt:lpwstr>
  </property>
  <property fmtid="{D5CDD505-2E9C-101B-9397-08002B2CF9AE}" pid="4" name="version">
    <vt:lpwstr>v5 12032021</vt:lpwstr>
  </property>
  <property fmtid="{D5CDD505-2E9C-101B-9397-08002B2CF9AE}" pid="5" name="MSIP_Label_43e64453-338c-4f93-8a4d-0039a0a41f2a_Enabled">
    <vt:lpwstr>true</vt:lpwstr>
  </property>
  <property fmtid="{D5CDD505-2E9C-101B-9397-08002B2CF9AE}" pid="6" name="MSIP_Label_43e64453-338c-4f93-8a4d-0039a0a41f2a_SetDate">
    <vt:lpwstr>2021-03-12T01:24:49Z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54912b29-25c0-467c-aeba-e810dbabbcec</vt:lpwstr>
  </property>
  <property fmtid="{D5CDD505-2E9C-101B-9397-08002B2CF9AE}" pid="11" name="MSIP_Label_43e64453-338c-4f93-8a4d-0039a0a41f2a_ContentBits">
    <vt:lpwstr>2</vt:lpwstr>
  </property>
  <property fmtid="{D5CDD505-2E9C-101B-9397-08002B2CF9AE}" pid="12" name="MediaServiceImageTags">
    <vt:lpwstr/>
  </property>
</Properties>
</file>