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57C1F0FF">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262B48C3"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BC4AF4">
              <w:t>4</w:t>
            </w:r>
            <w:r w:rsidRPr="00C63074">
              <w:t>-2</w:t>
            </w:r>
            <w:r w:rsidR="00BC4AF4">
              <w:t>5</w:t>
            </w:r>
          </w:p>
          <w:p w14:paraId="70942F7D" w14:textId="4FD87130" w:rsidR="00AD784C" w:rsidRPr="00C63074" w:rsidRDefault="00012128" w:rsidP="00012128">
            <w:pPr>
              <w:pStyle w:val="Documenttitle"/>
            </w:pPr>
            <w:r>
              <w:t xml:space="preserve">Section </w:t>
            </w:r>
            <w:r w:rsidR="007B4D6E">
              <w:t>2</w:t>
            </w:r>
            <w:r>
              <w:t xml:space="preserve"> </w:t>
            </w:r>
            <w:r w:rsidR="007B4D6E">
              <w:t>Concept and derived item definitions</w:t>
            </w:r>
          </w:p>
        </w:tc>
      </w:tr>
      <w:tr w:rsidR="00AD784C" w:rsidRPr="00C63074" w14:paraId="4911A8AF" w14:textId="77777777" w:rsidTr="00431F42">
        <w:trPr>
          <w:cantSplit/>
        </w:trPr>
        <w:tc>
          <w:tcPr>
            <w:tcW w:w="0" w:type="auto"/>
          </w:tcPr>
          <w:p w14:paraId="07B86BF1" w14:textId="1928487B" w:rsidR="00386109" w:rsidRPr="00C63074" w:rsidRDefault="00012128" w:rsidP="009315BE">
            <w:pPr>
              <w:pStyle w:val="Documentsubtitle"/>
            </w:pPr>
            <w:r>
              <w:t xml:space="preserve">Version </w:t>
            </w:r>
            <w:r w:rsidR="00A2278B">
              <w:t>1</w:t>
            </w:r>
            <w:r w:rsidR="006A14C4">
              <w:t>2</w:t>
            </w:r>
            <w:r>
              <w:t>.0</w:t>
            </w:r>
          </w:p>
        </w:tc>
      </w:tr>
      <w:tr w:rsidR="00430393" w:rsidRPr="00C63074" w14:paraId="04F16417" w14:textId="77777777" w:rsidTr="00431F42">
        <w:trPr>
          <w:cantSplit/>
        </w:trPr>
        <w:tc>
          <w:tcPr>
            <w:tcW w:w="0" w:type="auto"/>
          </w:tcPr>
          <w:p w14:paraId="45811AE4" w14:textId="77777777" w:rsidR="00430393" w:rsidRPr="00C63074" w:rsidRDefault="00000000" w:rsidP="00430393">
            <w:pPr>
              <w:pStyle w:val="Bannermarking"/>
            </w:pPr>
            <w:r>
              <w:fldChar w:fldCharType="begin"/>
            </w:r>
            <w:r>
              <w:instrText>FILLIN  "Type the protective marking" \d OFFICIAL \o  \* MERGEFORMAT</w:instrText>
            </w:r>
            <w:r>
              <w:fldChar w:fldCharType="separate"/>
            </w:r>
            <w:r w:rsidR="00F57DFB" w:rsidRPr="00C63074">
              <w:t>OFFICIAL</w:t>
            </w:r>
            <w:r>
              <w:fldChar w:fldCharType="end"/>
            </w:r>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167FD0">
          <w:footerReference w:type="even" r:id="rId12"/>
          <w:footerReference w:type="default" r:id="rId13"/>
          <w:footerReference w:type="first" r:id="rId14"/>
          <w:type w:val="continuous"/>
          <w:pgSz w:w="11906" w:h="16838" w:code="9"/>
          <w:pgMar w:top="3969" w:right="1304" w:bottom="1418" w:left="1304" w:header="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781"/>
      </w:tblGrid>
      <w:tr w:rsidR="009F2182" w:rsidRPr="00C63074" w14:paraId="4C355B47" w14:textId="77777777" w:rsidTr="00B411CB">
        <w:trPr>
          <w:cantSplit/>
          <w:trHeight w:val="5103"/>
        </w:trPr>
        <w:tc>
          <w:tcPr>
            <w:tcW w:w="9781"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208FEBBE" w14:textId="49D812A9" w:rsidR="009F2182" w:rsidRPr="00F9319B" w:rsidRDefault="009F2182" w:rsidP="00B10BE6">
            <w:pPr>
              <w:pStyle w:val="Imprint"/>
              <w:rPr>
                <w:color w:val="auto"/>
              </w:rPr>
            </w:pPr>
            <w:r w:rsidRPr="00C63074">
              <w:rPr>
                <w:color w:val="auto"/>
              </w:rPr>
              <w:t xml:space="preserve">© State of Victoria, Australia, Department of </w:t>
            </w:r>
            <w:r w:rsidR="003D5928" w:rsidRPr="00C63074">
              <w:rPr>
                <w:color w:val="auto"/>
              </w:rPr>
              <w:t>Health</w:t>
            </w:r>
            <w:r w:rsidRPr="00C63074">
              <w:rPr>
                <w:color w:val="auto"/>
              </w:rPr>
              <w:t xml:space="preserve">, </w:t>
            </w:r>
            <w:r w:rsidR="00263217">
              <w:rPr>
                <w:color w:val="auto"/>
              </w:rPr>
              <w:t xml:space="preserve">published June 2024, </w:t>
            </w:r>
            <w:r w:rsidR="008738CA">
              <w:rPr>
                <w:color w:val="auto"/>
              </w:rPr>
              <w:t xml:space="preserve">effective </w:t>
            </w:r>
            <w:r w:rsidR="00263217">
              <w:rPr>
                <w:color w:val="auto"/>
              </w:rPr>
              <w:t xml:space="preserve">1 </w:t>
            </w:r>
            <w:r w:rsidR="00BE3CEF">
              <w:rPr>
                <w:color w:val="auto"/>
              </w:rPr>
              <w:t>Ju</w:t>
            </w:r>
            <w:r w:rsidR="00263217">
              <w:rPr>
                <w:color w:val="auto"/>
              </w:rPr>
              <w:t xml:space="preserve">ly </w:t>
            </w:r>
            <w:r w:rsidR="008738CA">
              <w:rPr>
                <w:color w:val="auto"/>
              </w:rPr>
              <w:t>202</w:t>
            </w:r>
            <w:r w:rsidR="00BE3CEF">
              <w:rPr>
                <w:color w:val="auto"/>
              </w:rPr>
              <w:t>4</w:t>
            </w:r>
            <w:r w:rsidRPr="00C63074">
              <w:rPr>
                <w:color w:val="auto"/>
              </w:rPr>
              <w:t>.</w:t>
            </w:r>
            <w:bookmarkStart w:id="0" w:name="_Hlk62746129"/>
          </w:p>
          <w:p w14:paraId="7A889977" w14:textId="77777777" w:rsidR="000D0DEC" w:rsidRDefault="000D0DEC" w:rsidP="00B10BE6">
            <w:pPr>
              <w:pStyle w:val="Imprint"/>
              <w:rPr>
                <w:rFonts w:cs="Arial"/>
                <w:b/>
                <w:bCs/>
                <w:color w:val="000000"/>
              </w:rPr>
            </w:pPr>
            <w:r>
              <w:rPr>
                <w:rFonts w:cs="Arial"/>
                <w:b/>
                <w:bCs/>
                <w:color w:val="000000"/>
              </w:rPr>
              <w:t xml:space="preserve">ISBN </w:t>
            </w:r>
            <w:r>
              <w:rPr>
                <w:rFonts w:cs="Arial"/>
                <w:color w:val="000000"/>
              </w:rPr>
              <w:t xml:space="preserve">978-1-76131-593-0 </w:t>
            </w:r>
            <w:r>
              <w:rPr>
                <w:rFonts w:cs="Arial"/>
                <w:b/>
                <w:bCs/>
                <w:color w:val="000000"/>
              </w:rPr>
              <w:t>(pdf/online/MS word)</w:t>
            </w:r>
          </w:p>
          <w:p w14:paraId="4C53A38D" w14:textId="39408059" w:rsidR="009F2182" w:rsidRPr="00C63074" w:rsidRDefault="009F2182" w:rsidP="00B10BE6">
            <w:pPr>
              <w:pStyle w:val="Imprint"/>
              <w:rPr>
                <w:color w:val="auto"/>
              </w:rPr>
            </w:pPr>
            <w:r w:rsidRPr="00C63074">
              <w:rPr>
                <w:color w:val="auto"/>
              </w:rPr>
              <w:t>Available at</w:t>
            </w:r>
            <w:r w:rsidR="005B59B5">
              <w:rPr>
                <w:color w:val="auto"/>
              </w:rPr>
              <w:t xml:space="preserve"> the </w:t>
            </w:r>
            <w:hyperlink r:id="rId16" w:history="1">
              <w:r w:rsidR="005B59B5" w:rsidRPr="005B59B5">
                <w:rPr>
                  <w:rStyle w:val="Hyperlink"/>
                </w:rPr>
                <w:t>VPDC website</w:t>
              </w:r>
            </w:hyperlink>
            <w:r w:rsidR="005B59B5">
              <w:rPr>
                <w:color w:val="auto"/>
              </w:rPr>
              <w:t xml:space="preserve"> </w:t>
            </w:r>
            <w:r w:rsidRPr="00C63074">
              <w:rPr>
                <w:color w:val="auto"/>
              </w:rPr>
              <w:t>&lt;</w:t>
            </w:r>
            <w:r w:rsidR="005B59B5" w:rsidRPr="005B59B5">
              <w:rPr>
                <w:color w:val="auto"/>
              </w:rPr>
              <w:t>https://www.health.vic.gov.au/quality-safety-service/victorian-perinatal-data-collection</w:t>
            </w:r>
            <w:r w:rsidR="00B10BE6" w:rsidRPr="00C63074">
              <w:rPr>
                <w:color w:val="auto"/>
              </w:rPr>
              <w:t>&gt;</w:t>
            </w:r>
          </w:p>
          <w:bookmarkEnd w:id="0"/>
          <w:p w14:paraId="3FB635A9" w14:textId="031BD3A3" w:rsidR="009F2182" w:rsidRPr="00C63074" w:rsidRDefault="009F2182" w:rsidP="00B10BE6">
            <w:pPr>
              <w:pStyle w:val="Body"/>
            </w:pPr>
          </w:p>
        </w:tc>
      </w:tr>
      <w:tr w:rsidR="0008204A" w:rsidRPr="00C63074" w14:paraId="0D57BFA6" w14:textId="77777777" w:rsidTr="00B411CB">
        <w:trPr>
          <w:cantSplit/>
        </w:trPr>
        <w:tc>
          <w:tcPr>
            <w:tcW w:w="9781"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FF2395">
        <w:lastRenderedPageBreak/>
        <w:t>Contents</w:t>
      </w:r>
    </w:p>
    <w:p w14:paraId="0FA265C0" w14:textId="2B2474AF" w:rsidR="00CE1919" w:rsidRDefault="00AD784C">
      <w:pPr>
        <w:pStyle w:val="TOC1"/>
        <w:rPr>
          <w:rFonts w:asciiTheme="minorHAnsi" w:eastAsiaTheme="minorEastAsia" w:hAnsiTheme="minorHAnsi" w:cstheme="minorBidi"/>
          <w:b w:val="0"/>
          <w:kern w:val="2"/>
          <w:sz w:val="24"/>
          <w:szCs w:val="24"/>
          <w:lang w:eastAsia="en-AU"/>
          <w14:ligatures w14:val="standardContextual"/>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70222933" w:history="1">
        <w:r w:rsidR="00CE1919" w:rsidRPr="006A188D">
          <w:rPr>
            <w:rStyle w:val="Hyperlink"/>
          </w:rPr>
          <w:t>Introduction</w:t>
        </w:r>
        <w:r w:rsidR="00CE1919">
          <w:rPr>
            <w:webHidden/>
          </w:rPr>
          <w:tab/>
        </w:r>
        <w:r w:rsidR="00CE1919">
          <w:rPr>
            <w:webHidden/>
          </w:rPr>
          <w:fldChar w:fldCharType="begin"/>
        </w:r>
        <w:r w:rsidR="00CE1919">
          <w:rPr>
            <w:webHidden/>
          </w:rPr>
          <w:instrText xml:space="preserve"> PAGEREF _Toc170222933 \h </w:instrText>
        </w:r>
        <w:r w:rsidR="00CE1919">
          <w:rPr>
            <w:webHidden/>
          </w:rPr>
        </w:r>
        <w:r w:rsidR="00CE1919">
          <w:rPr>
            <w:webHidden/>
          </w:rPr>
          <w:fldChar w:fldCharType="separate"/>
        </w:r>
        <w:r w:rsidR="00CE1919">
          <w:rPr>
            <w:webHidden/>
          </w:rPr>
          <w:t>5</w:t>
        </w:r>
        <w:r w:rsidR="00CE1919">
          <w:rPr>
            <w:webHidden/>
          </w:rPr>
          <w:fldChar w:fldCharType="end"/>
        </w:r>
      </w:hyperlink>
    </w:p>
    <w:p w14:paraId="642621E8" w14:textId="58287B08" w:rsidR="00CE1919"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0222934" w:history="1">
        <w:r w:rsidR="00CE1919" w:rsidRPr="006A188D">
          <w:rPr>
            <w:rStyle w:val="Hyperlink"/>
          </w:rPr>
          <w:t>Concept and derived item definitions</w:t>
        </w:r>
        <w:r w:rsidR="00CE1919">
          <w:rPr>
            <w:webHidden/>
          </w:rPr>
          <w:tab/>
        </w:r>
        <w:r w:rsidR="00CE1919">
          <w:rPr>
            <w:webHidden/>
          </w:rPr>
          <w:fldChar w:fldCharType="begin"/>
        </w:r>
        <w:r w:rsidR="00CE1919">
          <w:rPr>
            <w:webHidden/>
          </w:rPr>
          <w:instrText xml:space="preserve"> PAGEREF _Toc170222934 \h </w:instrText>
        </w:r>
        <w:r w:rsidR="00CE1919">
          <w:rPr>
            <w:webHidden/>
          </w:rPr>
        </w:r>
        <w:r w:rsidR="00CE1919">
          <w:rPr>
            <w:webHidden/>
          </w:rPr>
          <w:fldChar w:fldCharType="separate"/>
        </w:r>
        <w:r w:rsidR="00CE1919">
          <w:rPr>
            <w:webHidden/>
          </w:rPr>
          <w:t>6</w:t>
        </w:r>
        <w:r w:rsidR="00CE1919">
          <w:rPr>
            <w:webHidden/>
          </w:rPr>
          <w:fldChar w:fldCharType="end"/>
        </w:r>
      </w:hyperlink>
    </w:p>
    <w:p w14:paraId="25EFB319" w14:textId="06233D7C"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35" w:history="1">
        <w:r w:rsidR="00CE1919" w:rsidRPr="006A188D">
          <w:rPr>
            <w:rStyle w:val="Hyperlink"/>
          </w:rPr>
          <w:t>Anaesthesia</w:t>
        </w:r>
        <w:r w:rsidR="00CE1919">
          <w:rPr>
            <w:webHidden/>
          </w:rPr>
          <w:tab/>
        </w:r>
        <w:r w:rsidR="00CE1919">
          <w:rPr>
            <w:webHidden/>
          </w:rPr>
          <w:fldChar w:fldCharType="begin"/>
        </w:r>
        <w:r w:rsidR="00CE1919">
          <w:rPr>
            <w:webHidden/>
          </w:rPr>
          <w:instrText xml:space="preserve"> PAGEREF _Toc170222935 \h </w:instrText>
        </w:r>
        <w:r w:rsidR="00CE1919">
          <w:rPr>
            <w:webHidden/>
          </w:rPr>
        </w:r>
        <w:r w:rsidR="00CE1919">
          <w:rPr>
            <w:webHidden/>
          </w:rPr>
          <w:fldChar w:fldCharType="separate"/>
        </w:r>
        <w:r w:rsidR="00CE1919">
          <w:rPr>
            <w:webHidden/>
          </w:rPr>
          <w:t>6</w:t>
        </w:r>
        <w:r w:rsidR="00CE1919">
          <w:rPr>
            <w:webHidden/>
          </w:rPr>
          <w:fldChar w:fldCharType="end"/>
        </w:r>
      </w:hyperlink>
    </w:p>
    <w:p w14:paraId="77B69C8C" w14:textId="2602D73F"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36" w:history="1">
        <w:r w:rsidR="00CE1919" w:rsidRPr="006A188D">
          <w:rPr>
            <w:rStyle w:val="Hyperlink"/>
          </w:rPr>
          <w:t>Analgesia</w:t>
        </w:r>
        <w:r w:rsidR="00CE1919">
          <w:rPr>
            <w:webHidden/>
          </w:rPr>
          <w:tab/>
        </w:r>
        <w:r w:rsidR="00CE1919">
          <w:rPr>
            <w:webHidden/>
          </w:rPr>
          <w:fldChar w:fldCharType="begin"/>
        </w:r>
        <w:r w:rsidR="00CE1919">
          <w:rPr>
            <w:webHidden/>
          </w:rPr>
          <w:instrText xml:space="preserve"> PAGEREF _Toc170222936 \h </w:instrText>
        </w:r>
        <w:r w:rsidR="00CE1919">
          <w:rPr>
            <w:webHidden/>
          </w:rPr>
        </w:r>
        <w:r w:rsidR="00CE1919">
          <w:rPr>
            <w:webHidden/>
          </w:rPr>
          <w:fldChar w:fldCharType="separate"/>
        </w:r>
        <w:r w:rsidR="00CE1919">
          <w:rPr>
            <w:webHidden/>
          </w:rPr>
          <w:t>6</w:t>
        </w:r>
        <w:r w:rsidR="00CE1919">
          <w:rPr>
            <w:webHidden/>
          </w:rPr>
          <w:fldChar w:fldCharType="end"/>
        </w:r>
      </w:hyperlink>
    </w:p>
    <w:p w14:paraId="33A0983A" w14:textId="11E36588"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37" w:history="1">
        <w:r w:rsidR="00CE1919" w:rsidRPr="006A188D">
          <w:rPr>
            <w:rStyle w:val="Hyperlink"/>
          </w:rPr>
          <w:t>Antenatal care visit</w:t>
        </w:r>
        <w:r w:rsidR="00CE1919">
          <w:rPr>
            <w:webHidden/>
          </w:rPr>
          <w:tab/>
        </w:r>
        <w:r w:rsidR="00CE1919">
          <w:rPr>
            <w:webHidden/>
          </w:rPr>
          <w:fldChar w:fldCharType="begin"/>
        </w:r>
        <w:r w:rsidR="00CE1919">
          <w:rPr>
            <w:webHidden/>
          </w:rPr>
          <w:instrText xml:space="preserve"> PAGEREF _Toc170222937 \h </w:instrText>
        </w:r>
        <w:r w:rsidR="00CE1919">
          <w:rPr>
            <w:webHidden/>
          </w:rPr>
        </w:r>
        <w:r w:rsidR="00CE1919">
          <w:rPr>
            <w:webHidden/>
          </w:rPr>
          <w:fldChar w:fldCharType="separate"/>
        </w:r>
        <w:r w:rsidR="00CE1919">
          <w:rPr>
            <w:webHidden/>
          </w:rPr>
          <w:t>6</w:t>
        </w:r>
        <w:r w:rsidR="00CE1919">
          <w:rPr>
            <w:webHidden/>
          </w:rPr>
          <w:fldChar w:fldCharType="end"/>
        </w:r>
      </w:hyperlink>
    </w:p>
    <w:p w14:paraId="32FCBC2B" w14:textId="75FA4668"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38" w:history="1">
        <w:r w:rsidR="00CE1919" w:rsidRPr="006A188D">
          <w:rPr>
            <w:rStyle w:val="Hyperlink"/>
          </w:rPr>
          <w:t>Augmentation</w:t>
        </w:r>
        <w:r w:rsidR="00CE1919">
          <w:rPr>
            <w:webHidden/>
          </w:rPr>
          <w:tab/>
        </w:r>
        <w:r w:rsidR="00CE1919">
          <w:rPr>
            <w:webHidden/>
          </w:rPr>
          <w:fldChar w:fldCharType="begin"/>
        </w:r>
        <w:r w:rsidR="00CE1919">
          <w:rPr>
            <w:webHidden/>
          </w:rPr>
          <w:instrText xml:space="preserve"> PAGEREF _Toc170222938 \h </w:instrText>
        </w:r>
        <w:r w:rsidR="00CE1919">
          <w:rPr>
            <w:webHidden/>
          </w:rPr>
        </w:r>
        <w:r w:rsidR="00CE1919">
          <w:rPr>
            <w:webHidden/>
          </w:rPr>
          <w:fldChar w:fldCharType="separate"/>
        </w:r>
        <w:r w:rsidR="00CE1919">
          <w:rPr>
            <w:webHidden/>
          </w:rPr>
          <w:t>6</w:t>
        </w:r>
        <w:r w:rsidR="00CE1919">
          <w:rPr>
            <w:webHidden/>
          </w:rPr>
          <w:fldChar w:fldCharType="end"/>
        </w:r>
      </w:hyperlink>
    </w:p>
    <w:p w14:paraId="24CB81F5" w14:textId="7472A9F0"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39" w:history="1">
        <w:r w:rsidR="00CE1919" w:rsidRPr="006A188D">
          <w:rPr>
            <w:rStyle w:val="Hyperlink"/>
          </w:rPr>
          <w:t>Birth weight</w:t>
        </w:r>
        <w:r w:rsidR="00CE1919">
          <w:rPr>
            <w:webHidden/>
          </w:rPr>
          <w:tab/>
        </w:r>
        <w:r w:rsidR="00CE1919">
          <w:rPr>
            <w:webHidden/>
          </w:rPr>
          <w:fldChar w:fldCharType="begin"/>
        </w:r>
        <w:r w:rsidR="00CE1919">
          <w:rPr>
            <w:webHidden/>
          </w:rPr>
          <w:instrText xml:space="preserve"> PAGEREF _Toc170222939 \h </w:instrText>
        </w:r>
        <w:r w:rsidR="00CE1919">
          <w:rPr>
            <w:webHidden/>
          </w:rPr>
        </w:r>
        <w:r w:rsidR="00CE1919">
          <w:rPr>
            <w:webHidden/>
          </w:rPr>
          <w:fldChar w:fldCharType="separate"/>
        </w:r>
        <w:r w:rsidR="00CE1919">
          <w:rPr>
            <w:webHidden/>
          </w:rPr>
          <w:t>7</w:t>
        </w:r>
        <w:r w:rsidR="00CE1919">
          <w:rPr>
            <w:webHidden/>
          </w:rPr>
          <w:fldChar w:fldCharType="end"/>
        </w:r>
      </w:hyperlink>
    </w:p>
    <w:p w14:paraId="2E4560A8" w14:textId="0AE7D006"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40" w:history="1">
        <w:r w:rsidR="00CE1919" w:rsidRPr="006A188D">
          <w:rPr>
            <w:rStyle w:val="Hyperlink"/>
          </w:rPr>
          <w:t>Campus</w:t>
        </w:r>
        <w:r w:rsidR="00CE1919">
          <w:rPr>
            <w:webHidden/>
          </w:rPr>
          <w:tab/>
        </w:r>
        <w:r w:rsidR="00CE1919">
          <w:rPr>
            <w:webHidden/>
          </w:rPr>
          <w:fldChar w:fldCharType="begin"/>
        </w:r>
        <w:r w:rsidR="00CE1919">
          <w:rPr>
            <w:webHidden/>
          </w:rPr>
          <w:instrText xml:space="preserve"> PAGEREF _Toc170222940 \h </w:instrText>
        </w:r>
        <w:r w:rsidR="00CE1919">
          <w:rPr>
            <w:webHidden/>
          </w:rPr>
        </w:r>
        <w:r w:rsidR="00CE1919">
          <w:rPr>
            <w:webHidden/>
          </w:rPr>
          <w:fldChar w:fldCharType="separate"/>
        </w:r>
        <w:r w:rsidR="00CE1919">
          <w:rPr>
            <w:webHidden/>
          </w:rPr>
          <w:t>7</w:t>
        </w:r>
        <w:r w:rsidR="00CE1919">
          <w:rPr>
            <w:webHidden/>
          </w:rPr>
          <w:fldChar w:fldCharType="end"/>
        </w:r>
      </w:hyperlink>
    </w:p>
    <w:p w14:paraId="3699DFE7" w14:textId="08B62E0D"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41" w:history="1">
        <w:r w:rsidR="00CE1919" w:rsidRPr="006A188D">
          <w:rPr>
            <w:rStyle w:val="Hyperlink"/>
          </w:rPr>
          <w:t>Congenital anomalies</w:t>
        </w:r>
        <w:r w:rsidR="00CE1919">
          <w:rPr>
            <w:webHidden/>
          </w:rPr>
          <w:tab/>
        </w:r>
        <w:r w:rsidR="00CE1919">
          <w:rPr>
            <w:webHidden/>
          </w:rPr>
          <w:fldChar w:fldCharType="begin"/>
        </w:r>
        <w:r w:rsidR="00CE1919">
          <w:rPr>
            <w:webHidden/>
          </w:rPr>
          <w:instrText xml:space="preserve"> PAGEREF _Toc170222941 \h </w:instrText>
        </w:r>
        <w:r w:rsidR="00CE1919">
          <w:rPr>
            <w:webHidden/>
          </w:rPr>
        </w:r>
        <w:r w:rsidR="00CE1919">
          <w:rPr>
            <w:webHidden/>
          </w:rPr>
          <w:fldChar w:fldCharType="separate"/>
        </w:r>
        <w:r w:rsidR="00CE1919">
          <w:rPr>
            <w:webHidden/>
          </w:rPr>
          <w:t>8</w:t>
        </w:r>
        <w:r w:rsidR="00CE1919">
          <w:rPr>
            <w:webHidden/>
          </w:rPr>
          <w:fldChar w:fldCharType="end"/>
        </w:r>
      </w:hyperlink>
    </w:p>
    <w:p w14:paraId="482F76B6" w14:textId="74B66F27"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42" w:history="1">
        <w:r w:rsidR="00CE1919" w:rsidRPr="006A188D">
          <w:rPr>
            <w:rStyle w:val="Hyperlink"/>
          </w:rPr>
          <w:t>Diabetes mellitus</w:t>
        </w:r>
        <w:r w:rsidR="00CE1919">
          <w:rPr>
            <w:webHidden/>
          </w:rPr>
          <w:tab/>
        </w:r>
        <w:r w:rsidR="00CE1919">
          <w:rPr>
            <w:webHidden/>
          </w:rPr>
          <w:fldChar w:fldCharType="begin"/>
        </w:r>
        <w:r w:rsidR="00CE1919">
          <w:rPr>
            <w:webHidden/>
          </w:rPr>
          <w:instrText xml:space="preserve"> PAGEREF _Toc170222942 \h </w:instrText>
        </w:r>
        <w:r w:rsidR="00CE1919">
          <w:rPr>
            <w:webHidden/>
          </w:rPr>
        </w:r>
        <w:r w:rsidR="00CE1919">
          <w:rPr>
            <w:webHidden/>
          </w:rPr>
          <w:fldChar w:fldCharType="separate"/>
        </w:r>
        <w:r w:rsidR="00CE1919">
          <w:rPr>
            <w:webHidden/>
          </w:rPr>
          <w:t>11</w:t>
        </w:r>
        <w:r w:rsidR="00CE1919">
          <w:rPr>
            <w:webHidden/>
          </w:rPr>
          <w:fldChar w:fldCharType="end"/>
        </w:r>
      </w:hyperlink>
    </w:p>
    <w:p w14:paraId="5FE9FD21" w14:textId="08BDEC77"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43" w:history="1">
        <w:r w:rsidR="00CE1919" w:rsidRPr="006A188D">
          <w:rPr>
            <w:rStyle w:val="Hyperlink"/>
          </w:rPr>
          <w:t>Estimated gestational age</w:t>
        </w:r>
        <w:r w:rsidR="00CE1919">
          <w:rPr>
            <w:webHidden/>
          </w:rPr>
          <w:tab/>
        </w:r>
        <w:r w:rsidR="00CE1919">
          <w:rPr>
            <w:webHidden/>
          </w:rPr>
          <w:fldChar w:fldCharType="begin"/>
        </w:r>
        <w:r w:rsidR="00CE1919">
          <w:rPr>
            <w:webHidden/>
          </w:rPr>
          <w:instrText xml:space="preserve"> PAGEREF _Toc170222943 \h </w:instrText>
        </w:r>
        <w:r w:rsidR="00CE1919">
          <w:rPr>
            <w:webHidden/>
          </w:rPr>
        </w:r>
        <w:r w:rsidR="00CE1919">
          <w:rPr>
            <w:webHidden/>
          </w:rPr>
          <w:fldChar w:fldCharType="separate"/>
        </w:r>
        <w:r w:rsidR="00CE1919">
          <w:rPr>
            <w:webHidden/>
          </w:rPr>
          <w:t>13</w:t>
        </w:r>
        <w:r w:rsidR="00CE1919">
          <w:rPr>
            <w:webHidden/>
          </w:rPr>
          <w:fldChar w:fldCharType="end"/>
        </w:r>
      </w:hyperlink>
    </w:p>
    <w:p w14:paraId="2EA0D31A" w14:textId="0919CE94"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44" w:history="1">
        <w:r w:rsidR="00CE1919" w:rsidRPr="006A188D">
          <w:rPr>
            <w:rStyle w:val="Hyperlink"/>
          </w:rPr>
          <w:t>Geographic indicator</w:t>
        </w:r>
        <w:r w:rsidR="00CE1919">
          <w:rPr>
            <w:webHidden/>
          </w:rPr>
          <w:tab/>
        </w:r>
        <w:r w:rsidR="00CE1919">
          <w:rPr>
            <w:webHidden/>
          </w:rPr>
          <w:fldChar w:fldCharType="begin"/>
        </w:r>
        <w:r w:rsidR="00CE1919">
          <w:rPr>
            <w:webHidden/>
          </w:rPr>
          <w:instrText xml:space="preserve"> PAGEREF _Toc170222944 \h </w:instrText>
        </w:r>
        <w:r w:rsidR="00CE1919">
          <w:rPr>
            <w:webHidden/>
          </w:rPr>
        </w:r>
        <w:r w:rsidR="00CE1919">
          <w:rPr>
            <w:webHidden/>
          </w:rPr>
          <w:fldChar w:fldCharType="separate"/>
        </w:r>
        <w:r w:rsidR="00CE1919">
          <w:rPr>
            <w:webHidden/>
          </w:rPr>
          <w:t>13</w:t>
        </w:r>
        <w:r w:rsidR="00CE1919">
          <w:rPr>
            <w:webHidden/>
          </w:rPr>
          <w:fldChar w:fldCharType="end"/>
        </w:r>
      </w:hyperlink>
    </w:p>
    <w:p w14:paraId="6ACF4670" w14:textId="776F0E79"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45" w:history="1">
        <w:r w:rsidR="00CE1919" w:rsidRPr="006A188D">
          <w:rPr>
            <w:rStyle w:val="Hyperlink"/>
          </w:rPr>
          <w:t>Gestational diabetes</w:t>
        </w:r>
        <w:r w:rsidR="00CE1919">
          <w:rPr>
            <w:webHidden/>
          </w:rPr>
          <w:tab/>
        </w:r>
        <w:r w:rsidR="00CE1919">
          <w:rPr>
            <w:webHidden/>
          </w:rPr>
          <w:fldChar w:fldCharType="begin"/>
        </w:r>
        <w:r w:rsidR="00CE1919">
          <w:rPr>
            <w:webHidden/>
          </w:rPr>
          <w:instrText xml:space="preserve"> PAGEREF _Toc170222945 \h </w:instrText>
        </w:r>
        <w:r w:rsidR="00CE1919">
          <w:rPr>
            <w:webHidden/>
          </w:rPr>
        </w:r>
        <w:r w:rsidR="00CE1919">
          <w:rPr>
            <w:webHidden/>
          </w:rPr>
          <w:fldChar w:fldCharType="separate"/>
        </w:r>
        <w:r w:rsidR="00CE1919">
          <w:rPr>
            <w:webHidden/>
          </w:rPr>
          <w:t>14</w:t>
        </w:r>
        <w:r w:rsidR="00CE1919">
          <w:rPr>
            <w:webHidden/>
          </w:rPr>
          <w:fldChar w:fldCharType="end"/>
        </w:r>
      </w:hyperlink>
    </w:p>
    <w:p w14:paraId="2CCE2728" w14:textId="30B2F893"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46" w:history="1">
        <w:r w:rsidR="00CE1919" w:rsidRPr="006A188D">
          <w:rPr>
            <w:rStyle w:val="Hyperlink"/>
          </w:rPr>
          <w:t>High dependency unit (HDU)</w:t>
        </w:r>
        <w:r w:rsidR="00CE1919">
          <w:rPr>
            <w:webHidden/>
          </w:rPr>
          <w:tab/>
        </w:r>
        <w:r w:rsidR="00CE1919">
          <w:rPr>
            <w:webHidden/>
          </w:rPr>
          <w:fldChar w:fldCharType="begin"/>
        </w:r>
        <w:r w:rsidR="00CE1919">
          <w:rPr>
            <w:webHidden/>
          </w:rPr>
          <w:instrText xml:space="preserve"> PAGEREF _Toc170222946 \h </w:instrText>
        </w:r>
        <w:r w:rsidR="00CE1919">
          <w:rPr>
            <w:webHidden/>
          </w:rPr>
        </w:r>
        <w:r w:rsidR="00CE1919">
          <w:rPr>
            <w:webHidden/>
          </w:rPr>
          <w:fldChar w:fldCharType="separate"/>
        </w:r>
        <w:r w:rsidR="00CE1919">
          <w:rPr>
            <w:webHidden/>
          </w:rPr>
          <w:t>14</w:t>
        </w:r>
        <w:r w:rsidR="00CE1919">
          <w:rPr>
            <w:webHidden/>
          </w:rPr>
          <w:fldChar w:fldCharType="end"/>
        </w:r>
      </w:hyperlink>
    </w:p>
    <w:p w14:paraId="7BC0F5BB" w14:textId="34508826"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47" w:history="1">
        <w:r w:rsidR="00CE1919" w:rsidRPr="006A188D">
          <w:rPr>
            <w:rStyle w:val="Hyperlink"/>
          </w:rPr>
          <w:t>Hospital</w:t>
        </w:r>
        <w:r w:rsidR="00CE1919">
          <w:rPr>
            <w:webHidden/>
          </w:rPr>
          <w:tab/>
        </w:r>
        <w:r w:rsidR="00CE1919">
          <w:rPr>
            <w:webHidden/>
          </w:rPr>
          <w:fldChar w:fldCharType="begin"/>
        </w:r>
        <w:r w:rsidR="00CE1919">
          <w:rPr>
            <w:webHidden/>
          </w:rPr>
          <w:instrText xml:space="preserve"> PAGEREF _Toc170222947 \h </w:instrText>
        </w:r>
        <w:r w:rsidR="00CE1919">
          <w:rPr>
            <w:webHidden/>
          </w:rPr>
        </w:r>
        <w:r w:rsidR="00CE1919">
          <w:rPr>
            <w:webHidden/>
          </w:rPr>
          <w:fldChar w:fldCharType="separate"/>
        </w:r>
        <w:r w:rsidR="00CE1919">
          <w:rPr>
            <w:webHidden/>
          </w:rPr>
          <w:t>15</w:t>
        </w:r>
        <w:r w:rsidR="00CE1919">
          <w:rPr>
            <w:webHidden/>
          </w:rPr>
          <w:fldChar w:fldCharType="end"/>
        </w:r>
      </w:hyperlink>
    </w:p>
    <w:p w14:paraId="349FFCB9" w14:textId="049B3F6C"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48" w:history="1">
        <w:r w:rsidR="00CE1919" w:rsidRPr="006A188D">
          <w:rPr>
            <w:rStyle w:val="Hyperlink"/>
          </w:rPr>
          <w:t>Hospital in the home (HITH)</w:t>
        </w:r>
        <w:r w:rsidR="00CE1919">
          <w:rPr>
            <w:webHidden/>
          </w:rPr>
          <w:tab/>
        </w:r>
        <w:r w:rsidR="00CE1919">
          <w:rPr>
            <w:webHidden/>
          </w:rPr>
          <w:fldChar w:fldCharType="begin"/>
        </w:r>
        <w:r w:rsidR="00CE1919">
          <w:rPr>
            <w:webHidden/>
          </w:rPr>
          <w:instrText xml:space="preserve"> PAGEREF _Toc170222948 \h </w:instrText>
        </w:r>
        <w:r w:rsidR="00CE1919">
          <w:rPr>
            <w:webHidden/>
          </w:rPr>
        </w:r>
        <w:r w:rsidR="00CE1919">
          <w:rPr>
            <w:webHidden/>
          </w:rPr>
          <w:fldChar w:fldCharType="separate"/>
        </w:r>
        <w:r w:rsidR="00CE1919">
          <w:rPr>
            <w:webHidden/>
          </w:rPr>
          <w:t>15</w:t>
        </w:r>
        <w:r w:rsidR="00CE1919">
          <w:rPr>
            <w:webHidden/>
          </w:rPr>
          <w:fldChar w:fldCharType="end"/>
        </w:r>
      </w:hyperlink>
    </w:p>
    <w:p w14:paraId="78AF0D5C" w14:textId="40E582B9"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49" w:history="1">
        <w:r w:rsidR="00CE1919" w:rsidRPr="006A188D">
          <w:rPr>
            <w:rStyle w:val="Hyperlink"/>
          </w:rPr>
          <w:t>Hypertensive disorder during pregnancy</w:t>
        </w:r>
        <w:r w:rsidR="00CE1919">
          <w:rPr>
            <w:webHidden/>
          </w:rPr>
          <w:tab/>
        </w:r>
        <w:r w:rsidR="00CE1919">
          <w:rPr>
            <w:webHidden/>
          </w:rPr>
          <w:fldChar w:fldCharType="begin"/>
        </w:r>
        <w:r w:rsidR="00CE1919">
          <w:rPr>
            <w:webHidden/>
          </w:rPr>
          <w:instrText xml:space="preserve"> PAGEREF _Toc170222949 \h </w:instrText>
        </w:r>
        <w:r w:rsidR="00CE1919">
          <w:rPr>
            <w:webHidden/>
          </w:rPr>
        </w:r>
        <w:r w:rsidR="00CE1919">
          <w:rPr>
            <w:webHidden/>
          </w:rPr>
          <w:fldChar w:fldCharType="separate"/>
        </w:r>
        <w:r w:rsidR="00CE1919">
          <w:rPr>
            <w:webHidden/>
          </w:rPr>
          <w:t>16</w:t>
        </w:r>
        <w:r w:rsidR="00CE1919">
          <w:rPr>
            <w:webHidden/>
          </w:rPr>
          <w:fldChar w:fldCharType="end"/>
        </w:r>
      </w:hyperlink>
    </w:p>
    <w:p w14:paraId="6EA07F8D" w14:textId="6CD7B1CA"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50" w:history="1">
        <w:r w:rsidR="00CE1919" w:rsidRPr="006A188D">
          <w:rPr>
            <w:rStyle w:val="Hyperlink"/>
          </w:rPr>
          <w:t>Induction</w:t>
        </w:r>
        <w:r w:rsidR="00CE1919">
          <w:rPr>
            <w:webHidden/>
          </w:rPr>
          <w:tab/>
        </w:r>
        <w:r w:rsidR="00CE1919">
          <w:rPr>
            <w:webHidden/>
          </w:rPr>
          <w:fldChar w:fldCharType="begin"/>
        </w:r>
        <w:r w:rsidR="00CE1919">
          <w:rPr>
            <w:webHidden/>
          </w:rPr>
          <w:instrText xml:space="preserve"> PAGEREF _Toc170222950 \h </w:instrText>
        </w:r>
        <w:r w:rsidR="00CE1919">
          <w:rPr>
            <w:webHidden/>
          </w:rPr>
        </w:r>
        <w:r w:rsidR="00CE1919">
          <w:rPr>
            <w:webHidden/>
          </w:rPr>
          <w:fldChar w:fldCharType="separate"/>
        </w:r>
        <w:r w:rsidR="00CE1919">
          <w:rPr>
            <w:webHidden/>
          </w:rPr>
          <w:t>17</w:t>
        </w:r>
        <w:r w:rsidR="00CE1919">
          <w:rPr>
            <w:webHidden/>
          </w:rPr>
          <w:fldChar w:fldCharType="end"/>
        </w:r>
      </w:hyperlink>
    </w:p>
    <w:p w14:paraId="1E4A2B40" w14:textId="7FC18218"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51" w:history="1">
        <w:r w:rsidR="00CE1919" w:rsidRPr="006A188D">
          <w:rPr>
            <w:rStyle w:val="Hyperlink"/>
          </w:rPr>
          <w:t>Infant death</w:t>
        </w:r>
        <w:r w:rsidR="00CE1919">
          <w:rPr>
            <w:webHidden/>
          </w:rPr>
          <w:tab/>
        </w:r>
        <w:r w:rsidR="00CE1919">
          <w:rPr>
            <w:webHidden/>
          </w:rPr>
          <w:fldChar w:fldCharType="begin"/>
        </w:r>
        <w:r w:rsidR="00CE1919">
          <w:rPr>
            <w:webHidden/>
          </w:rPr>
          <w:instrText xml:space="preserve"> PAGEREF _Toc170222951 \h </w:instrText>
        </w:r>
        <w:r w:rsidR="00CE1919">
          <w:rPr>
            <w:webHidden/>
          </w:rPr>
        </w:r>
        <w:r w:rsidR="00CE1919">
          <w:rPr>
            <w:webHidden/>
          </w:rPr>
          <w:fldChar w:fldCharType="separate"/>
        </w:r>
        <w:r w:rsidR="00CE1919">
          <w:rPr>
            <w:webHidden/>
          </w:rPr>
          <w:t>17</w:t>
        </w:r>
        <w:r w:rsidR="00CE1919">
          <w:rPr>
            <w:webHidden/>
          </w:rPr>
          <w:fldChar w:fldCharType="end"/>
        </w:r>
      </w:hyperlink>
    </w:p>
    <w:p w14:paraId="1E6A06CD" w14:textId="3A3A8C40"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52" w:history="1">
        <w:r w:rsidR="00CE1919" w:rsidRPr="006A188D">
          <w:rPr>
            <w:rStyle w:val="Hyperlink"/>
          </w:rPr>
          <w:t>Intensive care unit (ICU)</w:t>
        </w:r>
        <w:r w:rsidR="00CE1919">
          <w:rPr>
            <w:webHidden/>
          </w:rPr>
          <w:tab/>
        </w:r>
        <w:r w:rsidR="00CE1919">
          <w:rPr>
            <w:webHidden/>
          </w:rPr>
          <w:fldChar w:fldCharType="begin"/>
        </w:r>
        <w:r w:rsidR="00CE1919">
          <w:rPr>
            <w:webHidden/>
          </w:rPr>
          <w:instrText xml:space="preserve"> PAGEREF _Toc170222952 \h </w:instrText>
        </w:r>
        <w:r w:rsidR="00CE1919">
          <w:rPr>
            <w:webHidden/>
          </w:rPr>
        </w:r>
        <w:r w:rsidR="00CE1919">
          <w:rPr>
            <w:webHidden/>
          </w:rPr>
          <w:fldChar w:fldCharType="separate"/>
        </w:r>
        <w:r w:rsidR="00CE1919">
          <w:rPr>
            <w:webHidden/>
          </w:rPr>
          <w:t>17</w:t>
        </w:r>
        <w:r w:rsidR="00CE1919">
          <w:rPr>
            <w:webHidden/>
          </w:rPr>
          <w:fldChar w:fldCharType="end"/>
        </w:r>
      </w:hyperlink>
    </w:p>
    <w:p w14:paraId="6493A410" w14:textId="4585F325"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53" w:history="1">
        <w:r w:rsidR="00CE1919" w:rsidRPr="006A188D">
          <w:rPr>
            <w:rStyle w:val="Hyperlink"/>
          </w:rPr>
          <w:t>Labour type</w:t>
        </w:r>
        <w:r w:rsidR="00CE1919">
          <w:rPr>
            <w:webHidden/>
          </w:rPr>
          <w:tab/>
        </w:r>
        <w:r w:rsidR="00CE1919">
          <w:rPr>
            <w:webHidden/>
          </w:rPr>
          <w:fldChar w:fldCharType="begin"/>
        </w:r>
        <w:r w:rsidR="00CE1919">
          <w:rPr>
            <w:webHidden/>
          </w:rPr>
          <w:instrText xml:space="preserve"> PAGEREF _Toc170222953 \h </w:instrText>
        </w:r>
        <w:r w:rsidR="00CE1919">
          <w:rPr>
            <w:webHidden/>
          </w:rPr>
        </w:r>
        <w:r w:rsidR="00CE1919">
          <w:rPr>
            <w:webHidden/>
          </w:rPr>
          <w:fldChar w:fldCharType="separate"/>
        </w:r>
        <w:r w:rsidR="00CE1919">
          <w:rPr>
            <w:webHidden/>
          </w:rPr>
          <w:t>18</w:t>
        </w:r>
        <w:r w:rsidR="00CE1919">
          <w:rPr>
            <w:webHidden/>
          </w:rPr>
          <w:fldChar w:fldCharType="end"/>
        </w:r>
      </w:hyperlink>
    </w:p>
    <w:p w14:paraId="0F09DF7E" w14:textId="53434056"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54" w:history="1">
        <w:r w:rsidR="00CE1919" w:rsidRPr="006A188D">
          <w:rPr>
            <w:rStyle w:val="Hyperlink"/>
          </w:rPr>
          <w:t>Live birth</w:t>
        </w:r>
        <w:r w:rsidR="00CE1919">
          <w:rPr>
            <w:webHidden/>
          </w:rPr>
          <w:tab/>
        </w:r>
        <w:r w:rsidR="00CE1919">
          <w:rPr>
            <w:webHidden/>
          </w:rPr>
          <w:fldChar w:fldCharType="begin"/>
        </w:r>
        <w:r w:rsidR="00CE1919">
          <w:rPr>
            <w:webHidden/>
          </w:rPr>
          <w:instrText xml:space="preserve"> PAGEREF _Toc170222954 \h </w:instrText>
        </w:r>
        <w:r w:rsidR="00CE1919">
          <w:rPr>
            <w:webHidden/>
          </w:rPr>
        </w:r>
        <w:r w:rsidR="00CE1919">
          <w:rPr>
            <w:webHidden/>
          </w:rPr>
          <w:fldChar w:fldCharType="separate"/>
        </w:r>
        <w:r w:rsidR="00CE1919">
          <w:rPr>
            <w:webHidden/>
          </w:rPr>
          <w:t>19</w:t>
        </w:r>
        <w:r w:rsidR="00CE1919">
          <w:rPr>
            <w:webHidden/>
          </w:rPr>
          <w:fldChar w:fldCharType="end"/>
        </w:r>
      </w:hyperlink>
    </w:p>
    <w:p w14:paraId="08CFAAE9" w14:textId="198278EC"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55" w:history="1">
        <w:r w:rsidR="00CE1919" w:rsidRPr="006A188D">
          <w:rPr>
            <w:rStyle w:val="Hyperlink"/>
          </w:rPr>
          <w:t>Migrant status</w:t>
        </w:r>
        <w:r w:rsidR="00CE1919">
          <w:rPr>
            <w:webHidden/>
          </w:rPr>
          <w:tab/>
        </w:r>
        <w:r w:rsidR="00CE1919">
          <w:rPr>
            <w:webHidden/>
          </w:rPr>
          <w:fldChar w:fldCharType="begin"/>
        </w:r>
        <w:r w:rsidR="00CE1919">
          <w:rPr>
            <w:webHidden/>
          </w:rPr>
          <w:instrText xml:space="preserve"> PAGEREF _Toc170222955 \h </w:instrText>
        </w:r>
        <w:r w:rsidR="00CE1919">
          <w:rPr>
            <w:webHidden/>
          </w:rPr>
        </w:r>
        <w:r w:rsidR="00CE1919">
          <w:rPr>
            <w:webHidden/>
          </w:rPr>
          <w:fldChar w:fldCharType="separate"/>
        </w:r>
        <w:r w:rsidR="00CE1919">
          <w:rPr>
            <w:webHidden/>
          </w:rPr>
          <w:t>19</w:t>
        </w:r>
        <w:r w:rsidR="00CE1919">
          <w:rPr>
            <w:webHidden/>
          </w:rPr>
          <w:fldChar w:fldCharType="end"/>
        </w:r>
      </w:hyperlink>
    </w:p>
    <w:p w14:paraId="21DC60B9" w14:textId="285A450D"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56" w:history="1">
        <w:r w:rsidR="00CE1919" w:rsidRPr="006A188D">
          <w:rPr>
            <w:rStyle w:val="Hyperlink"/>
          </w:rPr>
          <w:t>Neonatal death</w:t>
        </w:r>
        <w:r w:rsidR="00CE1919">
          <w:rPr>
            <w:webHidden/>
          </w:rPr>
          <w:tab/>
        </w:r>
        <w:r w:rsidR="00CE1919">
          <w:rPr>
            <w:webHidden/>
          </w:rPr>
          <w:fldChar w:fldCharType="begin"/>
        </w:r>
        <w:r w:rsidR="00CE1919">
          <w:rPr>
            <w:webHidden/>
          </w:rPr>
          <w:instrText xml:space="preserve"> PAGEREF _Toc170222956 \h </w:instrText>
        </w:r>
        <w:r w:rsidR="00CE1919">
          <w:rPr>
            <w:webHidden/>
          </w:rPr>
        </w:r>
        <w:r w:rsidR="00CE1919">
          <w:rPr>
            <w:webHidden/>
          </w:rPr>
          <w:fldChar w:fldCharType="separate"/>
        </w:r>
        <w:r w:rsidR="00CE1919">
          <w:rPr>
            <w:webHidden/>
          </w:rPr>
          <w:t>19</w:t>
        </w:r>
        <w:r w:rsidR="00CE1919">
          <w:rPr>
            <w:webHidden/>
          </w:rPr>
          <w:fldChar w:fldCharType="end"/>
        </w:r>
      </w:hyperlink>
    </w:p>
    <w:p w14:paraId="1E7755E7" w14:textId="045AD000"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57" w:history="1">
        <w:r w:rsidR="00CE1919" w:rsidRPr="006A188D">
          <w:rPr>
            <w:rStyle w:val="Hyperlink"/>
          </w:rPr>
          <w:t>Operative delivery</w:t>
        </w:r>
        <w:r w:rsidR="00CE1919">
          <w:rPr>
            <w:webHidden/>
          </w:rPr>
          <w:tab/>
        </w:r>
        <w:r w:rsidR="00CE1919">
          <w:rPr>
            <w:webHidden/>
          </w:rPr>
          <w:fldChar w:fldCharType="begin"/>
        </w:r>
        <w:r w:rsidR="00CE1919">
          <w:rPr>
            <w:webHidden/>
          </w:rPr>
          <w:instrText xml:space="preserve"> PAGEREF _Toc170222957 \h </w:instrText>
        </w:r>
        <w:r w:rsidR="00CE1919">
          <w:rPr>
            <w:webHidden/>
          </w:rPr>
        </w:r>
        <w:r w:rsidR="00CE1919">
          <w:rPr>
            <w:webHidden/>
          </w:rPr>
          <w:fldChar w:fldCharType="separate"/>
        </w:r>
        <w:r w:rsidR="00CE1919">
          <w:rPr>
            <w:webHidden/>
          </w:rPr>
          <w:t>20</w:t>
        </w:r>
        <w:r w:rsidR="00CE1919">
          <w:rPr>
            <w:webHidden/>
          </w:rPr>
          <w:fldChar w:fldCharType="end"/>
        </w:r>
      </w:hyperlink>
    </w:p>
    <w:p w14:paraId="63273756" w14:textId="31505D1C"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58" w:history="1">
        <w:r w:rsidR="00CE1919" w:rsidRPr="006A188D">
          <w:rPr>
            <w:rStyle w:val="Hyperlink"/>
          </w:rPr>
          <w:t>Perineum</w:t>
        </w:r>
        <w:r w:rsidR="00CE1919">
          <w:rPr>
            <w:webHidden/>
          </w:rPr>
          <w:tab/>
        </w:r>
        <w:r w:rsidR="00CE1919">
          <w:rPr>
            <w:webHidden/>
          </w:rPr>
          <w:fldChar w:fldCharType="begin"/>
        </w:r>
        <w:r w:rsidR="00CE1919">
          <w:rPr>
            <w:webHidden/>
          </w:rPr>
          <w:instrText xml:space="preserve"> PAGEREF _Toc170222958 \h </w:instrText>
        </w:r>
        <w:r w:rsidR="00CE1919">
          <w:rPr>
            <w:webHidden/>
          </w:rPr>
        </w:r>
        <w:r w:rsidR="00CE1919">
          <w:rPr>
            <w:webHidden/>
          </w:rPr>
          <w:fldChar w:fldCharType="separate"/>
        </w:r>
        <w:r w:rsidR="00CE1919">
          <w:rPr>
            <w:webHidden/>
          </w:rPr>
          <w:t>20</w:t>
        </w:r>
        <w:r w:rsidR="00CE1919">
          <w:rPr>
            <w:webHidden/>
          </w:rPr>
          <w:fldChar w:fldCharType="end"/>
        </w:r>
      </w:hyperlink>
    </w:p>
    <w:p w14:paraId="7282D5D3" w14:textId="12159141"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59" w:history="1">
        <w:r w:rsidR="00CE1919" w:rsidRPr="006A188D">
          <w:rPr>
            <w:rStyle w:val="Hyperlink"/>
          </w:rPr>
          <w:t>Pregnancy</w:t>
        </w:r>
        <w:r w:rsidR="00CE1919">
          <w:rPr>
            <w:webHidden/>
          </w:rPr>
          <w:tab/>
        </w:r>
        <w:r w:rsidR="00CE1919">
          <w:rPr>
            <w:webHidden/>
          </w:rPr>
          <w:fldChar w:fldCharType="begin"/>
        </w:r>
        <w:r w:rsidR="00CE1919">
          <w:rPr>
            <w:webHidden/>
          </w:rPr>
          <w:instrText xml:space="preserve"> PAGEREF _Toc170222959 \h </w:instrText>
        </w:r>
        <w:r w:rsidR="00CE1919">
          <w:rPr>
            <w:webHidden/>
          </w:rPr>
        </w:r>
        <w:r w:rsidR="00CE1919">
          <w:rPr>
            <w:webHidden/>
          </w:rPr>
          <w:fldChar w:fldCharType="separate"/>
        </w:r>
        <w:r w:rsidR="00CE1919">
          <w:rPr>
            <w:webHidden/>
          </w:rPr>
          <w:t>20</w:t>
        </w:r>
        <w:r w:rsidR="00CE1919">
          <w:rPr>
            <w:webHidden/>
          </w:rPr>
          <w:fldChar w:fldCharType="end"/>
        </w:r>
      </w:hyperlink>
    </w:p>
    <w:p w14:paraId="2051FBF6" w14:textId="7C57290C"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60" w:history="1">
        <w:r w:rsidR="00CE1919" w:rsidRPr="006A188D">
          <w:rPr>
            <w:rStyle w:val="Hyperlink"/>
          </w:rPr>
          <w:t>Primary postpartum haemorrhage</w:t>
        </w:r>
        <w:r w:rsidR="00CE1919">
          <w:rPr>
            <w:webHidden/>
          </w:rPr>
          <w:tab/>
        </w:r>
        <w:r w:rsidR="00CE1919">
          <w:rPr>
            <w:webHidden/>
          </w:rPr>
          <w:fldChar w:fldCharType="begin"/>
        </w:r>
        <w:r w:rsidR="00CE1919">
          <w:rPr>
            <w:webHidden/>
          </w:rPr>
          <w:instrText xml:space="preserve"> PAGEREF _Toc170222960 \h </w:instrText>
        </w:r>
        <w:r w:rsidR="00CE1919">
          <w:rPr>
            <w:webHidden/>
          </w:rPr>
        </w:r>
        <w:r w:rsidR="00CE1919">
          <w:rPr>
            <w:webHidden/>
          </w:rPr>
          <w:fldChar w:fldCharType="separate"/>
        </w:r>
        <w:r w:rsidR="00CE1919">
          <w:rPr>
            <w:webHidden/>
          </w:rPr>
          <w:t>21</w:t>
        </w:r>
        <w:r w:rsidR="00CE1919">
          <w:rPr>
            <w:webHidden/>
          </w:rPr>
          <w:fldChar w:fldCharType="end"/>
        </w:r>
      </w:hyperlink>
    </w:p>
    <w:p w14:paraId="043BCD09" w14:textId="440B7F4C"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61" w:history="1">
        <w:r w:rsidR="00CE1919" w:rsidRPr="006A188D">
          <w:rPr>
            <w:rStyle w:val="Hyperlink"/>
          </w:rPr>
          <w:t>Procedure</w:t>
        </w:r>
        <w:r w:rsidR="00CE1919">
          <w:rPr>
            <w:webHidden/>
          </w:rPr>
          <w:tab/>
        </w:r>
        <w:r w:rsidR="00CE1919">
          <w:rPr>
            <w:webHidden/>
          </w:rPr>
          <w:fldChar w:fldCharType="begin"/>
        </w:r>
        <w:r w:rsidR="00CE1919">
          <w:rPr>
            <w:webHidden/>
          </w:rPr>
          <w:instrText xml:space="preserve"> PAGEREF _Toc170222961 \h </w:instrText>
        </w:r>
        <w:r w:rsidR="00CE1919">
          <w:rPr>
            <w:webHidden/>
          </w:rPr>
        </w:r>
        <w:r w:rsidR="00CE1919">
          <w:rPr>
            <w:webHidden/>
          </w:rPr>
          <w:fldChar w:fldCharType="separate"/>
        </w:r>
        <w:r w:rsidR="00CE1919">
          <w:rPr>
            <w:webHidden/>
          </w:rPr>
          <w:t>21</w:t>
        </w:r>
        <w:r w:rsidR="00CE1919">
          <w:rPr>
            <w:webHidden/>
          </w:rPr>
          <w:fldChar w:fldCharType="end"/>
        </w:r>
      </w:hyperlink>
    </w:p>
    <w:p w14:paraId="05357C62" w14:textId="522263A5"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62" w:history="1">
        <w:r w:rsidR="00CE1919" w:rsidRPr="006A188D">
          <w:rPr>
            <w:rStyle w:val="Hyperlink"/>
          </w:rPr>
          <w:t>Registered nurse</w:t>
        </w:r>
        <w:r w:rsidR="00CE1919">
          <w:rPr>
            <w:webHidden/>
          </w:rPr>
          <w:tab/>
        </w:r>
        <w:r w:rsidR="00CE1919">
          <w:rPr>
            <w:webHidden/>
          </w:rPr>
          <w:fldChar w:fldCharType="begin"/>
        </w:r>
        <w:r w:rsidR="00CE1919">
          <w:rPr>
            <w:webHidden/>
          </w:rPr>
          <w:instrText xml:space="preserve"> PAGEREF _Toc170222962 \h </w:instrText>
        </w:r>
        <w:r w:rsidR="00CE1919">
          <w:rPr>
            <w:webHidden/>
          </w:rPr>
        </w:r>
        <w:r w:rsidR="00CE1919">
          <w:rPr>
            <w:webHidden/>
          </w:rPr>
          <w:fldChar w:fldCharType="separate"/>
        </w:r>
        <w:r w:rsidR="00CE1919">
          <w:rPr>
            <w:webHidden/>
          </w:rPr>
          <w:t>21</w:t>
        </w:r>
        <w:r w:rsidR="00CE1919">
          <w:rPr>
            <w:webHidden/>
          </w:rPr>
          <w:fldChar w:fldCharType="end"/>
        </w:r>
      </w:hyperlink>
    </w:p>
    <w:p w14:paraId="6FF17239" w14:textId="70B08A32"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63" w:history="1">
        <w:r w:rsidR="00CE1919" w:rsidRPr="006A188D">
          <w:rPr>
            <w:rStyle w:val="Hyperlink"/>
          </w:rPr>
          <w:t>Separation</w:t>
        </w:r>
        <w:r w:rsidR="00CE1919">
          <w:rPr>
            <w:webHidden/>
          </w:rPr>
          <w:tab/>
        </w:r>
        <w:r w:rsidR="00CE1919">
          <w:rPr>
            <w:webHidden/>
          </w:rPr>
          <w:fldChar w:fldCharType="begin"/>
        </w:r>
        <w:r w:rsidR="00CE1919">
          <w:rPr>
            <w:webHidden/>
          </w:rPr>
          <w:instrText xml:space="preserve"> PAGEREF _Toc170222963 \h </w:instrText>
        </w:r>
        <w:r w:rsidR="00CE1919">
          <w:rPr>
            <w:webHidden/>
          </w:rPr>
        </w:r>
        <w:r w:rsidR="00CE1919">
          <w:rPr>
            <w:webHidden/>
          </w:rPr>
          <w:fldChar w:fldCharType="separate"/>
        </w:r>
        <w:r w:rsidR="00CE1919">
          <w:rPr>
            <w:webHidden/>
          </w:rPr>
          <w:t>22</w:t>
        </w:r>
        <w:r w:rsidR="00CE1919">
          <w:rPr>
            <w:webHidden/>
          </w:rPr>
          <w:fldChar w:fldCharType="end"/>
        </w:r>
      </w:hyperlink>
    </w:p>
    <w:p w14:paraId="1CB7DE82" w14:textId="12E63EFA"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64" w:history="1">
        <w:r w:rsidR="00CE1919" w:rsidRPr="006A188D">
          <w:rPr>
            <w:rStyle w:val="Hyperlink"/>
          </w:rPr>
          <w:t>Stillbirth (fetal death)</w:t>
        </w:r>
        <w:r w:rsidR="00CE1919">
          <w:rPr>
            <w:webHidden/>
          </w:rPr>
          <w:tab/>
        </w:r>
        <w:r w:rsidR="00CE1919">
          <w:rPr>
            <w:webHidden/>
          </w:rPr>
          <w:fldChar w:fldCharType="begin"/>
        </w:r>
        <w:r w:rsidR="00CE1919">
          <w:rPr>
            <w:webHidden/>
          </w:rPr>
          <w:instrText xml:space="preserve"> PAGEREF _Toc170222964 \h </w:instrText>
        </w:r>
        <w:r w:rsidR="00CE1919">
          <w:rPr>
            <w:webHidden/>
          </w:rPr>
        </w:r>
        <w:r w:rsidR="00CE1919">
          <w:rPr>
            <w:webHidden/>
          </w:rPr>
          <w:fldChar w:fldCharType="separate"/>
        </w:r>
        <w:r w:rsidR="00CE1919">
          <w:rPr>
            <w:webHidden/>
          </w:rPr>
          <w:t>22</w:t>
        </w:r>
        <w:r w:rsidR="00CE1919">
          <w:rPr>
            <w:webHidden/>
          </w:rPr>
          <w:fldChar w:fldCharType="end"/>
        </w:r>
      </w:hyperlink>
    </w:p>
    <w:p w14:paraId="54DFE6FC" w14:textId="2D06E3B3" w:rsidR="00CE1919" w:rsidRDefault="00000000">
      <w:pPr>
        <w:pStyle w:val="TOC2"/>
        <w:rPr>
          <w:rFonts w:asciiTheme="minorHAnsi" w:eastAsiaTheme="minorEastAsia" w:hAnsiTheme="minorHAnsi" w:cstheme="minorBidi"/>
          <w:kern w:val="2"/>
          <w:sz w:val="24"/>
          <w:szCs w:val="24"/>
          <w:lang w:eastAsia="en-AU"/>
          <w14:ligatures w14:val="standardContextual"/>
        </w:rPr>
      </w:pPr>
      <w:hyperlink w:anchor="_Toc170222965" w:history="1">
        <w:r w:rsidR="00CE1919" w:rsidRPr="006A188D">
          <w:rPr>
            <w:rStyle w:val="Hyperlink"/>
          </w:rPr>
          <w:t>Transfer</w:t>
        </w:r>
        <w:r w:rsidR="00CE1919">
          <w:rPr>
            <w:webHidden/>
          </w:rPr>
          <w:tab/>
        </w:r>
        <w:r w:rsidR="00CE1919">
          <w:rPr>
            <w:webHidden/>
          </w:rPr>
          <w:fldChar w:fldCharType="begin"/>
        </w:r>
        <w:r w:rsidR="00CE1919">
          <w:rPr>
            <w:webHidden/>
          </w:rPr>
          <w:instrText xml:space="preserve"> PAGEREF _Toc170222965 \h </w:instrText>
        </w:r>
        <w:r w:rsidR="00CE1919">
          <w:rPr>
            <w:webHidden/>
          </w:rPr>
        </w:r>
        <w:r w:rsidR="00CE1919">
          <w:rPr>
            <w:webHidden/>
          </w:rPr>
          <w:fldChar w:fldCharType="separate"/>
        </w:r>
        <w:r w:rsidR="00CE1919">
          <w:rPr>
            <w:webHidden/>
          </w:rPr>
          <w:t>22</w:t>
        </w:r>
        <w:r w:rsidR="00CE1919">
          <w:rPr>
            <w:webHidden/>
          </w:rPr>
          <w:fldChar w:fldCharType="end"/>
        </w:r>
      </w:hyperlink>
    </w:p>
    <w:p w14:paraId="6F274E8A" w14:textId="2CAD2F82"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17"/>
          <w:pgSz w:w="11906" w:h="16838" w:code="9"/>
          <w:pgMar w:top="1701" w:right="1304" w:bottom="1418" w:left="1304" w:header="680" w:footer="851" w:gutter="0"/>
          <w:cols w:space="340"/>
          <w:docGrid w:linePitch="360"/>
        </w:sectPr>
      </w:pPr>
    </w:p>
    <w:p w14:paraId="1B6DAA99" w14:textId="77777777" w:rsidR="007B4D6E" w:rsidRPr="00BA191C" w:rsidRDefault="007B4D6E" w:rsidP="007B4D6E">
      <w:pPr>
        <w:pStyle w:val="Heading1"/>
      </w:pPr>
      <w:bookmarkStart w:id="1" w:name="_Toc31277975"/>
      <w:bookmarkStart w:id="2" w:name="_Toc170222933"/>
      <w:bookmarkStart w:id="3" w:name="_Toc43800451"/>
      <w:bookmarkStart w:id="4" w:name="_Toc354398696"/>
      <w:bookmarkStart w:id="5" w:name="_Toc32942854"/>
      <w:r w:rsidRPr="00BA191C">
        <w:lastRenderedPageBreak/>
        <w:t>Introduction</w:t>
      </w:r>
      <w:bookmarkEnd w:id="1"/>
      <w:bookmarkEnd w:id="2"/>
    </w:p>
    <w:p w14:paraId="5936757D" w14:textId="77777777" w:rsidR="007B4D6E" w:rsidRPr="00C5093D" w:rsidRDefault="007B4D6E" w:rsidP="007B4D6E">
      <w:pPr>
        <w:keepLines/>
        <w:spacing w:after="0" w:line="270" w:lineRule="atLeast"/>
        <w:rPr>
          <w:rFonts w:cs="Arial"/>
          <w:szCs w:val="21"/>
        </w:rPr>
      </w:pPr>
      <w:r w:rsidRPr="00C5093D">
        <w:rPr>
          <w:rFonts w:cs="Arial"/>
          <w:szCs w:val="21"/>
        </w:rPr>
        <w:t>This section lists concept definitions relating to data items collected by the Victorian Perinatal Data Collection (VPDC), and in some cases provides a guide for their use.</w:t>
      </w:r>
    </w:p>
    <w:p w14:paraId="1946284F" w14:textId="77777777" w:rsidR="007B4D6E" w:rsidRPr="00C5093D" w:rsidRDefault="007B4D6E" w:rsidP="007B4D6E">
      <w:pPr>
        <w:keepLines/>
        <w:spacing w:after="0" w:line="270" w:lineRule="atLeast"/>
        <w:rPr>
          <w:rFonts w:cs="Arial"/>
          <w:szCs w:val="21"/>
        </w:rPr>
      </w:pPr>
    </w:p>
    <w:p w14:paraId="338527C1" w14:textId="77777777" w:rsidR="007B4D6E" w:rsidRPr="00C5093D" w:rsidRDefault="007B4D6E" w:rsidP="007B4D6E">
      <w:pPr>
        <w:keepLines/>
        <w:spacing w:after="0" w:line="270" w:lineRule="atLeast"/>
        <w:rPr>
          <w:rFonts w:cs="Arial"/>
          <w:szCs w:val="21"/>
        </w:rPr>
      </w:pPr>
      <w:r w:rsidRPr="00C5093D">
        <w:rPr>
          <w:rFonts w:cs="Arial"/>
          <w:szCs w:val="21"/>
        </w:rPr>
        <w:t>Detailed specifications for reporting data to the VPDC are provided in the following sections of the VPDC manual:</w:t>
      </w:r>
    </w:p>
    <w:p w14:paraId="1652F4C7" w14:textId="77777777" w:rsidR="007B4D6E" w:rsidRPr="00C5093D" w:rsidRDefault="007B4D6E" w:rsidP="007B4D6E">
      <w:pPr>
        <w:keepLines/>
        <w:spacing w:after="0" w:line="270" w:lineRule="atLeast"/>
        <w:rPr>
          <w:rFonts w:cs="Arial"/>
          <w:szCs w:val="21"/>
        </w:rPr>
      </w:pPr>
    </w:p>
    <w:p w14:paraId="07852BB8"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3: Data definitions</w:t>
      </w:r>
    </w:p>
    <w:p w14:paraId="1AEAF8E1" w14:textId="77777777" w:rsidR="007B4D6E" w:rsidRPr="00C5093D"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4: Business rules</w:t>
      </w:r>
    </w:p>
    <w:p w14:paraId="435A8AB5" w14:textId="77777777" w:rsidR="007B4D6E" w:rsidRDefault="007B4D6E" w:rsidP="007B4D6E">
      <w:pPr>
        <w:keepLines/>
        <w:numPr>
          <w:ilvl w:val="0"/>
          <w:numId w:val="33"/>
        </w:numPr>
        <w:tabs>
          <w:tab w:val="left" w:pos="284"/>
        </w:tabs>
        <w:spacing w:after="0" w:line="270" w:lineRule="atLeast"/>
        <w:ind w:left="0" w:firstLine="0"/>
        <w:rPr>
          <w:rFonts w:cs="Arial"/>
          <w:szCs w:val="21"/>
        </w:rPr>
      </w:pPr>
      <w:r w:rsidRPr="00C5093D">
        <w:rPr>
          <w:rFonts w:cs="Arial"/>
          <w:szCs w:val="21"/>
        </w:rPr>
        <w:t>Section 5: Compilation and submission</w:t>
      </w:r>
    </w:p>
    <w:p w14:paraId="7F3187FD" w14:textId="4A8DF465" w:rsidR="005C4EFD" w:rsidRPr="00C5093D" w:rsidRDefault="005C4EFD" w:rsidP="007B4D6E">
      <w:pPr>
        <w:keepLines/>
        <w:numPr>
          <w:ilvl w:val="0"/>
          <w:numId w:val="33"/>
        </w:numPr>
        <w:tabs>
          <w:tab w:val="left" w:pos="284"/>
        </w:tabs>
        <w:spacing w:after="0" w:line="270" w:lineRule="atLeast"/>
        <w:ind w:left="0" w:firstLine="0"/>
        <w:rPr>
          <w:rFonts w:cs="Arial"/>
          <w:szCs w:val="21"/>
        </w:rPr>
      </w:pPr>
      <w:r>
        <w:rPr>
          <w:rFonts w:cs="Arial"/>
          <w:szCs w:val="21"/>
        </w:rPr>
        <w:t xml:space="preserve">Section 5a: </w:t>
      </w:r>
      <w:r w:rsidR="00A634A8">
        <w:rPr>
          <w:rFonts w:cs="Arial"/>
          <w:szCs w:val="21"/>
        </w:rPr>
        <w:t>Perinatal We</w:t>
      </w:r>
      <w:r w:rsidR="00711928">
        <w:rPr>
          <w:rFonts w:cs="Arial"/>
          <w:szCs w:val="21"/>
        </w:rPr>
        <w:t>bform and HealthCollect</w:t>
      </w:r>
    </w:p>
    <w:p w14:paraId="038819B9" w14:textId="77777777" w:rsidR="007B4D6E" w:rsidRPr="00BA191C" w:rsidRDefault="007B4D6E" w:rsidP="007B4D6E">
      <w:pPr>
        <w:spacing w:after="0" w:line="240" w:lineRule="auto"/>
        <w:rPr>
          <w:rFonts w:cs="Arial"/>
          <w:sz w:val="24"/>
          <w:szCs w:val="24"/>
        </w:rPr>
      </w:pPr>
    </w:p>
    <w:p w14:paraId="174F8B20" w14:textId="77777777" w:rsidR="007B4D6E" w:rsidRDefault="007B4D6E" w:rsidP="002A4462">
      <w:pPr>
        <w:pStyle w:val="Body"/>
      </w:pPr>
      <w:r>
        <w:br w:type="page"/>
      </w:r>
    </w:p>
    <w:p w14:paraId="619917F3" w14:textId="77777777" w:rsidR="007B4D6E" w:rsidRPr="00BA191C" w:rsidRDefault="007B4D6E" w:rsidP="007B4D6E">
      <w:pPr>
        <w:pStyle w:val="Heading1"/>
      </w:pPr>
      <w:bookmarkStart w:id="6" w:name="_Toc31277976"/>
      <w:bookmarkStart w:id="7" w:name="_Toc170222934"/>
      <w:r w:rsidRPr="00BA191C">
        <w:lastRenderedPageBreak/>
        <w:t xml:space="preserve">Concept </w:t>
      </w:r>
      <w:r>
        <w:t xml:space="preserve">and derived item </w:t>
      </w:r>
      <w:r w:rsidRPr="00BA191C">
        <w:t>definitions</w:t>
      </w:r>
      <w:bookmarkEnd w:id="6"/>
      <w:bookmarkEnd w:id="7"/>
    </w:p>
    <w:tbl>
      <w:tblPr>
        <w:tblW w:w="9214" w:type="dxa"/>
        <w:tblLayout w:type="fixed"/>
        <w:tblLook w:val="01E0" w:firstRow="1" w:lastRow="1" w:firstColumn="1" w:lastColumn="1" w:noHBand="0" w:noVBand="0"/>
      </w:tblPr>
      <w:tblGrid>
        <w:gridCol w:w="1985"/>
        <w:gridCol w:w="7229"/>
      </w:tblGrid>
      <w:tr w:rsidR="007B4D6E" w:rsidRPr="00BA191C" w14:paraId="1ED7F592" w14:textId="77777777" w:rsidTr="00E067DD">
        <w:tc>
          <w:tcPr>
            <w:tcW w:w="9214" w:type="dxa"/>
            <w:gridSpan w:val="2"/>
            <w:shd w:val="clear" w:color="auto" w:fill="auto"/>
          </w:tcPr>
          <w:p w14:paraId="4938B080" w14:textId="53C387EF" w:rsidR="007B4D6E" w:rsidRPr="00623D4A" w:rsidRDefault="007B4D6E" w:rsidP="00CD69A4">
            <w:pPr>
              <w:pStyle w:val="Heading2"/>
            </w:pPr>
            <w:bookmarkStart w:id="8" w:name="_Toc31277977"/>
            <w:bookmarkStart w:id="9" w:name="_Toc170222935"/>
            <w:r w:rsidRPr="00BA191C">
              <w:t>Anaesthesia</w:t>
            </w:r>
            <w:bookmarkEnd w:id="8"/>
            <w:bookmarkEnd w:id="9"/>
          </w:p>
        </w:tc>
      </w:tr>
      <w:tr w:rsidR="007B4D6E" w:rsidRPr="00BA191C" w14:paraId="1CB1EE13" w14:textId="77777777" w:rsidTr="00E067DD">
        <w:tc>
          <w:tcPr>
            <w:tcW w:w="1985" w:type="dxa"/>
            <w:shd w:val="clear" w:color="auto" w:fill="auto"/>
          </w:tcPr>
          <w:p w14:paraId="5DF49810"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0B7A763B" w14:textId="77777777" w:rsidR="007B4D6E" w:rsidRPr="00C5093D" w:rsidRDefault="007B4D6E" w:rsidP="0087180A">
            <w:pPr>
              <w:spacing w:after="40" w:line="220" w:lineRule="atLeast"/>
              <w:rPr>
                <w:rFonts w:eastAsia="MS Mincho"/>
                <w:szCs w:val="21"/>
              </w:rPr>
            </w:pPr>
            <w:r w:rsidRPr="00C5093D">
              <w:rPr>
                <w:rFonts w:eastAsia="MS Mincho"/>
                <w:szCs w:val="21"/>
              </w:rPr>
              <w:t>A technique used to introduce an agent to produce a state of reduced or absence of sensation to the woman for the operative or instrumental delivery of the baby.</w:t>
            </w:r>
          </w:p>
          <w:p w14:paraId="741675CB" w14:textId="77777777" w:rsidR="007B4D6E" w:rsidRPr="00C5093D" w:rsidRDefault="007B4D6E" w:rsidP="0087180A">
            <w:pPr>
              <w:spacing w:after="40" w:line="220" w:lineRule="atLeast"/>
              <w:rPr>
                <w:rFonts w:eastAsia="MS Mincho"/>
                <w:szCs w:val="21"/>
              </w:rPr>
            </w:pPr>
          </w:p>
        </w:tc>
      </w:tr>
      <w:tr w:rsidR="007B4D6E" w:rsidRPr="00BA191C" w14:paraId="25133B52" w14:textId="77777777" w:rsidTr="00E067DD">
        <w:tc>
          <w:tcPr>
            <w:tcW w:w="1985" w:type="dxa"/>
            <w:shd w:val="clear" w:color="auto" w:fill="auto"/>
          </w:tcPr>
          <w:p w14:paraId="71071628"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37E9F2C5" w14:textId="77777777" w:rsidR="007B4D6E" w:rsidRPr="00C5093D" w:rsidRDefault="007B4D6E" w:rsidP="0087180A">
            <w:pPr>
              <w:spacing w:after="40" w:line="220" w:lineRule="atLeast"/>
              <w:rPr>
                <w:rFonts w:eastAsia="MS Mincho"/>
                <w:szCs w:val="21"/>
              </w:rPr>
            </w:pPr>
            <w:r w:rsidRPr="00C5093D">
              <w:rPr>
                <w:rFonts w:eastAsia="MS Mincho"/>
                <w:noProof/>
                <w:szCs w:val="21"/>
              </w:rPr>
              <w:t>Anaesthesia for operative delivery – indicator; Anaesthesia for operative delivery – type</w:t>
            </w:r>
          </w:p>
        </w:tc>
      </w:tr>
      <w:tr w:rsidR="007B4D6E" w:rsidRPr="00BA191C" w14:paraId="000D3417" w14:textId="77777777" w:rsidTr="00E067DD">
        <w:tc>
          <w:tcPr>
            <w:tcW w:w="9214" w:type="dxa"/>
            <w:gridSpan w:val="2"/>
            <w:shd w:val="clear" w:color="auto" w:fill="auto"/>
          </w:tcPr>
          <w:p w14:paraId="6DD784C4" w14:textId="5D515198" w:rsidR="007B4D6E" w:rsidRPr="00BA191C" w:rsidRDefault="007B4D6E" w:rsidP="0087180A">
            <w:pPr>
              <w:pStyle w:val="Heading2"/>
              <w:rPr>
                <w:i/>
              </w:rPr>
            </w:pPr>
            <w:bookmarkStart w:id="10" w:name="_Toc31277978"/>
            <w:bookmarkStart w:id="11" w:name="_Toc170222936"/>
            <w:r w:rsidRPr="00BA191C">
              <w:t>Analgesia</w:t>
            </w:r>
            <w:bookmarkEnd w:id="10"/>
            <w:bookmarkEnd w:id="11"/>
          </w:p>
        </w:tc>
      </w:tr>
      <w:tr w:rsidR="007B4D6E" w:rsidRPr="00BA191C" w14:paraId="1B7CC6FB" w14:textId="77777777" w:rsidTr="00E067DD">
        <w:tc>
          <w:tcPr>
            <w:tcW w:w="1985" w:type="dxa"/>
            <w:shd w:val="clear" w:color="auto" w:fill="auto"/>
          </w:tcPr>
          <w:p w14:paraId="15940497"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6A80CB1A" w14:textId="77777777" w:rsidR="007B4D6E" w:rsidRPr="00C5093D" w:rsidRDefault="007B4D6E" w:rsidP="0087180A">
            <w:pPr>
              <w:spacing w:after="40" w:line="220" w:lineRule="atLeast"/>
              <w:rPr>
                <w:rFonts w:eastAsia="MS Mincho"/>
                <w:szCs w:val="21"/>
              </w:rPr>
            </w:pPr>
            <w:r w:rsidRPr="00C5093D">
              <w:rPr>
                <w:rFonts w:eastAsia="MS Mincho"/>
                <w:szCs w:val="21"/>
              </w:rPr>
              <w:t xml:space="preserve">An analgesic agent or technique administered to the woman to relieve the pain of labour without causing loss of consciousness. </w:t>
            </w:r>
          </w:p>
          <w:p w14:paraId="69FC9F6B" w14:textId="77777777" w:rsidR="007B4D6E" w:rsidRPr="00C5093D" w:rsidRDefault="007B4D6E" w:rsidP="0087180A">
            <w:pPr>
              <w:spacing w:after="40" w:line="220" w:lineRule="atLeast"/>
              <w:rPr>
                <w:rFonts w:eastAsia="MS Mincho"/>
                <w:szCs w:val="21"/>
              </w:rPr>
            </w:pPr>
          </w:p>
        </w:tc>
      </w:tr>
      <w:tr w:rsidR="007B4D6E" w:rsidRPr="00BA191C" w14:paraId="166FC230" w14:textId="77777777" w:rsidTr="00E067DD">
        <w:tc>
          <w:tcPr>
            <w:tcW w:w="1985" w:type="dxa"/>
            <w:shd w:val="clear" w:color="auto" w:fill="auto"/>
          </w:tcPr>
          <w:p w14:paraId="1CEA4F5F"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63F3AE3A" w14:textId="77777777" w:rsidR="007B4D6E" w:rsidRPr="00C5093D" w:rsidRDefault="007B4D6E" w:rsidP="0087180A">
            <w:pPr>
              <w:spacing w:after="40" w:line="220" w:lineRule="atLeast"/>
              <w:rPr>
                <w:rFonts w:eastAsia="MS Mincho"/>
                <w:szCs w:val="21"/>
              </w:rPr>
            </w:pPr>
            <w:r w:rsidRPr="00C5093D">
              <w:rPr>
                <w:rFonts w:eastAsia="MS Mincho"/>
                <w:szCs w:val="21"/>
              </w:rPr>
              <w:t>Analgesia for labour – indicator; Analgesia for labour – type</w:t>
            </w:r>
          </w:p>
        </w:tc>
      </w:tr>
      <w:tr w:rsidR="007B4D6E" w:rsidRPr="00BA191C" w14:paraId="428310F5" w14:textId="77777777" w:rsidTr="00E067DD">
        <w:tc>
          <w:tcPr>
            <w:tcW w:w="9214" w:type="dxa"/>
            <w:gridSpan w:val="2"/>
            <w:shd w:val="clear" w:color="auto" w:fill="auto"/>
          </w:tcPr>
          <w:p w14:paraId="58795A1E" w14:textId="43B4C2D5" w:rsidR="007B4D6E" w:rsidRPr="00BA191C" w:rsidRDefault="007B4D6E" w:rsidP="0087180A">
            <w:pPr>
              <w:pStyle w:val="Heading2"/>
              <w:rPr>
                <w:i/>
              </w:rPr>
            </w:pPr>
            <w:bookmarkStart w:id="12" w:name="_Toc31277979"/>
            <w:bookmarkStart w:id="13" w:name="_Toc170222937"/>
            <w:r w:rsidRPr="00BA191C">
              <w:t>Antenatal care visit</w:t>
            </w:r>
            <w:bookmarkEnd w:id="12"/>
            <w:bookmarkEnd w:id="13"/>
          </w:p>
        </w:tc>
      </w:tr>
      <w:tr w:rsidR="007B4D6E" w:rsidRPr="00BA191C" w14:paraId="4FEB9E5C" w14:textId="77777777" w:rsidTr="00E067DD">
        <w:tc>
          <w:tcPr>
            <w:tcW w:w="1985" w:type="dxa"/>
            <w:shd w:val="clear" w:color="auto" w:fill="auto"/>
          </w:tcPr>
          <w:p w14:paraId="392E5B99"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427CD932"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An intentional encounter between a pregnant woman and a midwife or doctor to assess and improve maternal and fetal well-being throughout pregnancy and prior to labour.</w:t>
            </w:r>
          </w:p>
          <w:p w14:paraId="4AA51A1F"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An antenatal care visit may occur in the following clinical settings:</w:t>
            </w:r>
          </w:p>
          <w:p w14:paraId="3AE7F1A0"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antenatal outpatients clinic</w:t>
            </w:r>
          </w:p>
          <w:p w14:paraId="6F2D6336"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specialist outpatient clinic</w:t>
            </w:r>
          </w:p>
          <w:p w14:paraId="3B43F186"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general practitioner surgery</w:t>
            </w:r>
          </w:p>
          <w:p w14:paraId="38957287"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obstetrician private room</w:t>
            </w:r>
          </w:p>
          <w:p w14:paraId="58577E82"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community health centre</w:t>
            </w:r>
          </w:p>
          <w:p w14:paraId="2F9D166C"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rural and remote health clinic</w:t>
            </w:r>
          </w:p>
          <w:p w14:paraId="3871F4DE" w14:textId="77777777" w:rsidR="007B4D6E" w:rsidRPr="00C5093D" w:rsidRDefault="007B4D6E" w:rsidP="007B4D6E">
            <w:pPr>
              <w:pStyle w:val="ListParagraph"/>
              <w:numPr>
                <w:ilvl w:val="0"/>
                <w:numId w:val="35"/>
              </w:numPr>
              <w:spacing w:after="40" w:line="220" w:lineRule="atLeast"/>
              <w:rPr>
                <w:rFonts w:ascii="Arial" w:eastAsia="MS Mincho" w:hAnsi="Arial"/>
                <w:noProof/>
                <w:sz w:val="21"/>
                <w:szCs w:val="21"/>
              </w:rPr>
            </w:pPr>
            <w:r w:rsidRPr="00C5093D">
              <w:rPr>
                <w:rFonts w:ascii="Arial" w:eastAsia="MS Mincho" w:hAnsi="Arial"/>
                <w:noProof/>
                <w:sz w:val="21"/>
                <w:szCs w:val="21"/>
              </w:rPr>
              <w:t>independent midwife practice setting including home of pregnant female.</w:t>
            </w:r>
          </w:p>
          <w:p w14:paraId="06CBB501" w14:textId="77777777" w:rsidR="007B4D6E" w:rsidRPr="00C5093D" w:rsidRDefault="007B4D6E" w:rsidP="0087180A">
            <w:pPr>
              <w:spacing w:after="40" w:line="220" w:lineRule="atLeast"/>
              <w:rPr>
                <w:rFonts w:eastAsia="MS Mincho"/>
                <w:noProof/>
                <w:szCs w:val="21"/>
              </w:rPr>
            </w:pPr>
          </w:p>
        </w:tc>
      </w:tr>
      <w:tr w:rsidR="007B4D6E" w:rsidRPr="00BA191C" w14:paraId="44F6F354" w14:textId="77777777" w:rsidTr="00E067DD">
        <w:tc>
          <w:tcPr>
            <w:tcW w:w="1985" w:type="dxa"/>
            <w:shd w:val="clear" w:color="auto" w:fill="auto"/>
          </w:tcPr>
          <w:p w14:paraId="1D2715B4"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7F784B8A" w14:textId="77777777" w:rsidR="007B4D6E" w:rsidRPr="00C5093D" w:rsidRDefault="007B4D6E" w:rsidP="0087180A">
            <w:pPr>
              <w:spacing w:after="40" w:line="220" w:lineRule="atLeast"/>
              <w:rPr>
                <w:rFonts w:eastAsia="MS Mincho"/>
                <w:szCs w:val="21"/>
              </w:rPr>
            </w:pPr>
            <w:r w:rsidRPr="00C5093D">
              <w:rPr>
                <w:rFonts w:eastAsia="MS Mincho"/>
                <w:szCs w:val="21"/>
              </w:rPr>
              <w:t>Discipline of antenatal care provider; Gestational age at first antenatal visit; Number of antenatal care visits</w:t>
            </w:r>
          </w:p>
        </w:tc>
      </w:tr>
      <w:tr w:rsidR="007B4D6E" w:rsidRPr="00BA191C" w14:paraId="001B5A86" w14:textId="77777777" w:rsidTr="00E067DD">
        <w:tc>
          <w:tcPr>
            <w:tcW w:w="9214" w:type="dxa"/>
            <w:gridSpan w:val="2"/>
            <w:shd w:val="clear" w:color="auto" w:fill="auto"/>
          </w:tcPr>
          <w:p w14:paraId="50E1C3A4" w14:textId="6F295486" w:rsidR="007B4D6E" w:rsidRPr="00BA191C" w:rsidRDefault="007B4D6E" w:rsidP="0087180A">
            <w:pPr>
              <w:pStyle w:val="Heading2"/>
              <w:rPr>
                <w:i/>
              </w:rPr>
            </w:pPr>
            <w:bookmarkStart w:id="14" w:name="_Toc31277980"/>
            <w:bookmarkStart w:id="15" w:name="_Toc170222938"/>
            <w:r w:rsidRPr="00BA191C">
              <w:t>Augmentation</w:t>
            </w:r>
            <w:bookmarkEnd w:id="14"/>
            <w:bookmarkEnd w:id="15"/>
          </w:p>
        </w:tc>
      </w:tr>
      <w:tr w:rsidR="007B4D6E" w:rsidRPr="00BA191C" w14:paraId="73D03B30" w14:textId="77777777" w:rsidTr="00E067DD">
        <w:tc>
          <w:tcPr>
            <w:tcW w:w="1985" w:type="dxa"/>
            <w:shd w:val="clear" w:color="auto" w:fill="auto"/>
          </w:tcPr>
          <w:p w14:paraId="346C8865"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229" w:type="dxa"/>
            <w:shd w:val="clear" w:color="auto" w:fill="auto"/>
          </w:tcPr>
          <w:p w14:paraId="42B949A2"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Methods used to assist the progress of labour</w:t>
            </w:r>
          </w:p>
          <w:p w14:paraId="594AA3E4"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Spontaneous onset of labour complemented with the use of drugs and or artificial rupture of membranes (ARM) either by hindwater or forewater rupture. Cannot be used if the woman is induced.</w:t>
            </w:r>
          </w:p>
          <w:p w14:paraId="1F7E4C14"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More than one method of augmentation can be reported.</w:t>
            </w:r>
          </w:p>
          <w:p w14:paraId="4B396478" w14:textId="77777777" w:rsidR="007B4D6E" w:rsidRPr="00C5093D" w:rsidRDefault="007B4D6E" w:rsidP="0087180A">
            <w:pPr>
              <w:spacing w:before="120" w:after="40" w:line="220" w:lineRule="atLeast"/>
              <w:rPr>
                <w:rFonts w:eastAsia="MS Mincho"/>
                <w:szCs w:val="21"/>
              </w:rPr>
            </w:pPr>
          </w:p>
        </w:tc>
      </w:tr>
      <w:tr w:rsidR="007B4D6E" w:rsidRPr="00BA191C" w14:paraId="21C2E2B2" w14:textId="77777777" w:rsidTr="00E067DD">
        <w:tc>
          <w:tcPr>
            <w:tcW w:w="1985" w:type="dxa"/>
            <w:shd w:val="clear" w:color="auto" w:fill="auto"/>
          </w:tcPr>
          <w:p w14:paraId="167B9A59"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1EDD1031" w14:textId="77777777" w:rsidR="007B4D6E" w:rsidRPr="00C5093D" w:rsidRDefault="007B4D6E" w:rsidP="0087180A">
            <w:pPr>
              <w:spacing w:after="40" w:line="220" w:lineRule="atLeast"/>
              <w:rPr>
                <w:rFonts w:eastAsia="MS Mincho"/>
                <w:szCs w:val="21"/>
              </w:rPr>
            </w:pPr>
            <w:r w:rsidRPr="00C5093D">
              <w:rPr>
                <w:rFonts w:eastAsia="MS Mincho"/>
                <w:noProof/>
                <w:szCs w:val="21"/>
              </w:rPr>
              <w:t>Labour induction/augmentation agent; Labour type</w:t>
            </w:r>
          </w:p>
        </w:tc>
      </w:tr>
    </w:tbl>
    <w:p w14:paraId="4C7F97A9" w14:textId="0EBF9572" w:rsidR="007B4D6E" w:rsidRDefault="007B4D6E" w:rsidP="007B4D6E"/>
    <w:tbl>
      <w:tblPr>
        <w:tblW w:w="9214" w:type="dxa"/>
        <w:tblLayout w:type="fixed"/>
        <w:tblLook w:val="01E0" w:firstRow="1" w:lastRow="1" w:firstColumn="1" w:lastColumn="1" w:noHBand="0" w:noVBand="0"/>
      </w:tblPr>
      <w:tblGrid>
        <w:gridCol w:w="1985"/>
        <w:gridCol w:w="7229"/>
      </w:tblGrid>
      <w:tr w:rsidR="00E2519A" w:rsidRPr="00BA191C" w14:paraId="116FCE80" w14:textId="77777777" w:rsidTr="2E62A72C">
        <w:tc>
          <w:tcPr>
            <w:tcW w:w="9214" w:type="dxa"/>
            <w:gridSpan w:val="2"/>
            <w:shd w:val="clear" w:color="auto" w:fill="auto"/>
          </w:tcPr>
          <w:p w14:paraId="1AA6F0C7" w14:textId="08DD3813" w:rsidR="00E2519A" w:rsidRPr="00BA191C" w:rsidRDefault="00E2519A" w:rsidP="00266463">
            <w:pPr>
              <w:pStyle w:val="Heading2"/>
              <w:rPr>
                <w:i/>
              </w:rPr>
            </w:pPr>
            <w:bookmarkStart w:id="16" w:name="_Toc170222939"/>
            <w:r>
              <w:lastRenderedPageBreak/>
              <w:t>Birth weight</w:t>
            </w:r>
            <w:bookmarkEnd w:id="16"/>
          </w:p>
        </w:tc>
      </w:tr>
      <w:tr w:rsidR="00E2519A" w:rsidRPr="00BA191C" w14:paraId="37848B75" w14:textId="77777777" w:rsidTr="2E62A72C">
        <w:tc>
          <w:tcPr>
            <w:tcW w:w="1985" w:type="dxa"/>
            <w:shd w:val="clear" w:color="auto" w:fill="auto"/>
          </w:tcPr>
          <w:p w14:paraId="0951AD90" w14:textId="77777777" w:rsidR="00E2519A" w:rsidRPr="00C5093D" w:rsidRDefault="00E2519A" w:rsidP="00266463">
            <w:pPr>
              <w:keepNext/>
              <w:keepLines/>
              <w:spacing w:after="0" w:line="240" w:lineRule="auto"/>
              <w:rPr>
                <w:b/>
                <w:i/>
                <w:szCs w:val="21"/>
              </w:rPr>
            </w:pPr>
            <w:r w:rsidRPr="00C5093D">
              <w:rPr>
                <w:b/>
                <w:szCs w:val="21"/>
              </w:rPr>
              <w:t>Definition/guide for use</w:t>
            </w:r>
          </w:p>
        </w:tc>
        <w:tc>
          <w:tcPr>
            <w:tcW w:w="7229" w:type="dxa"/>
            <w:shd w:val="clear" w:color="auto" w:fill="auto"/>
          </w:tcPr>
          <w:p w14:paraId="52FEF61F" w14:textId="77777777" w:rsidR="00E2519A" w:rsidRDefault="00E2519A" w:rsidP="2E62A72C">
            <w:pPr>
              <w:spacing w:after="40" w:line="220" w:lineRule="atLeast"/>
              <w:rPr>
                <w:rFonts w:eastAsia="MS Mincho"/>
                <w:noProof/>
              </w:rPr>
            </w:pPr>
            <w:r w:rsidRPr="2E62A72C">
              <w:rPr>
                <w:rFonts w:eastAsia="MS Mincho"/>
                <w:noProof/>
              </w:rPr>
              <w:t>The first weight of the fetus or baby obtained after birth. The World Health Organization further defines the following categories:</w:t>
            </w:r>
          </w:p>
          <w:p w14:paraId="4500DC4C"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extremely low birth weight – less than 1,000 grams (up to and including 999 grams)</w:t>
            </w:r>
          </w:p>
          <w:p w14:paraId="4D10257A"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very low birth weight – less than 1,500 grams (up to and including 1,499 grams)</w:t>
            </w:r>
          </w:p>
          <w:p w14:paraId="7F7A994D" w14:textId="77777777" w:rsidR="00E2519A" w:rsidRPr="00C5093D" w:rsidRDefault="00E2519A" w:rsidP="00E2519A">
            <w:pPr>
              <w:pStyle w:val="ListParagraph"/>
              <w:keepLines/>
              <w:numPr>
                <w:ilvl w:val="0"/>
                <w:numId w:val="36"/>
              </w:numPr>
              <w:spacing w:after="40" w:line="220" w:lineRule="atLeast"/>
              <w:rPr>
                <w:rFonts w:ascii="Arial" w:eastAsia="MS Mincho" w:hAnsi="Arial"/>
                <w:noProof/>
                <w:sz w:val="21"/>
                <w:szCs w:val="21"/>
              </w:rPr>
            </w:pPr>
            <w:r w:rsidRPr="00C5093D">
              <w:rPr>
                <w:rFonts w:ascii="Arial" w:eastAsia="MS Mincho" w:hAnsi="Arial"/>
                <w:noProof/>
                <w:sz w:val="21"/>
                <w:szCs w:val="21"/>
              </w:rPr>
              <w:t>low birth weight – less than 2,500 grams (up to and including 2,499 grams).</w:t>
            </w:r>
          </w:p>
          <w:p w14:paraId="7DCC9649" w14:textId="77777777" w:rsidR="00E2519A" w:rsidRPr="00C5093D" w:rsidRDefault="00E2519A" w:rsidP="00E2519A">
            <w:pPr>
              <w:keepLines/>
              <w:spacing w:before="120" w:after="40" w:line="220" w:lineRule="atLeast"/>
              <w:rPr>
                <w:rFonts w:eastAsia="MS Mincho"/>
                <w:noProof/>
                <w:szCs w:val="21"/>
              </w:rPr>
            </w:pPr>
            <w:r w:rsidRPr="00C5093D">
              <w:rPr>
                <w:rFonts w:eastAsia="MS Mincho"/>
                <w:noProof/>
                <w:szCs w:val="21"/>
              </w:rPr>
              <w:t xml:space="preserve">The definitions of low, very low, and extremely low birth weight do not form mutually exclusive categories. </w:t>
            </w:r>
          </w:p>
          <w:p w14:paraId="2CAE6342" w14:textId="77777777" w:rsidR="00E2519A" w:rsidRPr="00C5093D" w:rsidRDefault="00E2519A" w:rsidP="00E2519A">
            <w:pPr>
              <w:keepLines/>
              <w:spacing w:before="120" w:after="40" w:line="220" w:lineRule="atLeast"/>
              <w:rPr>
                <w:rFonts w:eastAsia="MS Mincho"/>
                <w:noProof/>
                <w:szCs w:val="21"/>
              </w:rPr>
            </w:pPr>
            <w:r w:rsidRPr="00C5093D">
              <w:rPr>
                <w:rFonts w:eastAsia="MS Mincho"/>
                <w:noProof/>
                <w:szCs w:val="21"/>
              </w:rPr>
              <w:t>These definitions are all inclusive and therefore overlap. This means, for example, the ‘low’ birth weight range includes ‘very low’ and ‘extremely low’ birth weights, while the ‘very low’ range includes ‘extremely low’ birth weights.</w:t>
            </w:r>
          </w:p>
          <w:p w14:paraId="6FFC2782" w14:textId="77777777" w:rsidR="00E2519A" w:rsidRPr="00C5093D" w:rsidRDefault="00E2519A" w:rsidP="00E2519A">
            <w:pPr>
              <w:spacing w:before="120" w:after="40" w:line="220" w:lineRule="atLeast"/>
              <w:rPr>
                <w:rFonts w:eastAsia="MS Mincho"/>
                <w:szCs w:val="21"/>
              </w:rPr>
            </w:pPr>
          </w:p>
        </w:tc>
      </w:tr>
      <w:tr w:rsidR="00E2519A" w:rsidRPr="00BA191C" w14:paraId="2D6A0CCB" w14:textId="77777777" w:rsidTr="2E62A72C">
        <w:tc>
          <w:tcPr>
            <w:tcW w:w="1985" w:type="dxa"/>
            <w:shd w:val="clear" w:color="auto" w:fill="auto"/>
          </w:tcPr>
          <w:p w14:paraId="72E6CA43" w14:textId="77777777" w:rsidR="00E2519A" w:rsidRPr="00C5093D" w:rsidRDefault="00E2519A" w:rsidP="00266463">
            <w:pPr>
              <w:keepNext/>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1AEA667A" w14:textId="168DB4C5" w:rsidR="00E2519A" w:rsidRPr="00C5093D" w:rsidRDefault="00E2519A" w:rsidP="00266463">
            <w:pPr>
              <w:spacing w:after="40" w:line="220" w:lineRule="atLeast"/>
              <w:rPr>
                <w:rFonts w:eastAsia="MS Mincho"/>
                <w:szCs w:val="21"/>
              </w:rPr>
            </w:pPr>
            <w:r>
              <w:rPr>
                <w:rFonts w:eastAsia="MS Mincho"/>
                <w:noProof/>
                <w:szCs w:val="21"/>
              </w:rPr>
              <w:t>Birth weight</w:t>
            </w:r>
          </w:p>
        </w:tc>
      </w:tr>
      <w:tr w:rsidR="00E2519A" w:rsidRPr="00BA191C" w14:paraId="4857E115" w14:textId="77777777" w:rsidTr="2E62A72C">
        <w:tc>
          <w:tcPr>
            <w:tcW w:w="9214" w:type="dxa"/>
            <w:gridSpan w:val="2"/>
            <w:shd w:val="clear" w:color="auto" w:fill="auto"/>
          </w:tcPr>
          <w:p w14:paraId="49B538FB" w14:textId="309D3E73" w:rsidR="00E2519A" w:rsidRPr="00BA191C" w:rsidRDefault="00E2519A" w:rsidP="00266463">
            <w:pPr>
              <w:pStyle w:val="Heading2"/>
              <w:rPr>
                <w:i/>
              </w:rPr>
            </w:pPr>
            <w:bookmarkStart w:id="17" w:name="_Toc170222940"/>
            <w:r>
              <w:t>Campus</w:t>
            </w:r>
            <w:bookmarkEnd w:id="17"/>
          </w:p>
        </w:tc>
      </w:tr>
      <w:tr w:rsidR="00E2519A" w:rsidRPr="00C5093D" w14:paraId="4FDAA576" w14:textId="77777777" w:rsidTr="2E62A72C">
        <w:tc>
          <w:tcPr>
            <w:tcW w:w="1985" w:type="dxa"/>
            <w:shd w:val="clear" w:color="auto" w:fill="auto"/>
          </w:tcPr>
          <w:p w14:paraId="6E62ABAE" w14:textId="77777777" w:rsidR="00E2519A" w:rsidRPr="00C5093D" w:rsidRDefault="00E2519A" w:rsidP="00E2519A">
            <w:pPr>
              <w:keepNext/>
              <w:keepLines/>
              <w:spacing w:after="0" w:line="240" w:lineRule="auto"/>
              <w:rPr>
                <w:b/>
                <w:i/>
                <w:szCs w:val="21"/>
              </w:rPr>
            </w:pPr>
            <w:r w:rsidRPr="00C5093D">
              <w:rPr>
                <w:b/>
                <w:szCs w:val="21"/>
              </w:rPr>
              <w:t>Definition/guide for use</w:t>
            </w:r>
          </w:p>
        </w:tc>
        <w:tc>
          <w:tcPr>
            <w:tcW w:w="7229" w:type="dxa"/>
            <w:shd w:val="clear" w:color="auto" w:fill="auto"/>
          </w:tcPr>
          <w:p w14:paraId="44F55966" w14:textId="77777777" w:rsidR="00E2519A" w:rsidRPr="00C5093D" w:rsidRDefault="00E2519A" w:rsidP="00E2519A">
            <w:pPr>
              <w:spacing w:after="40" w:line="220" w:lineRule="atLeast"/>
              <w:rPr>
                <w:rFonts w:eastAsia="MS Mincho"/>
                <w:noProof/>
                <w:szCs w:val="21"/>
              </w:rPr>
            </w:pPr>
            <w:r w:rsidRPr="00C5093D">
              <w:rPr>
                <w:rFonts w:eastAsia="MS Mincho"/>
                <w:noProof/>
                <w:szCs w:val="21"/>
              </w:rPr>
              <w:t>A physically distinct site owned or occupied by a health service/hospital where treatment and/or care is regularly provided to patients.</w:t>
            </w:r>
          </w:p>
          <w:p w14:paraId="13736CBC" w14:textId="77777777" w:rsidR="00E2519A" w:rsidRPr="00C5093D" w:rsidRDefault="00E2519A" w:rsidP="00DD725C">
            <w:pPr>
              <w:spacing w:before="120" w:after="40" w:line="220" w:lineRule="atLeast"/>
              <w:rPr>
                <w:rFonts w:eastAsia="MS Mincho"/>
                <w:noProof/>
                <w:szCs w:val="21"/>
              </w:rPr>
            </w:pPr>
            <w:r w:rsidRPr="00C5093D">
              <w:rPr>
                <w:rFonts w:eastAsia="MS Mincho"/>
                <w:noProof/>
                <w:szCs w:val="21"/>
              </w:rPr>
              <w:t xml:space="preserve">A single-campus hospital provides admitted patient services at one location, offering overnight-stay beds and/or day-stay facilities. Unless designated otherwise by the department, a multi-campus hospital has two or more locations providing admitted patient services, where: </w:t>
            </w:r>
          </w:p>
          <w:p w14:paraId="4E1F1122"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locations are separated by land (other than public road) that is not owned, leased or used by that hospital</w:t>
            </w:r>
          </w:p>
          <w:p w14:paraId="18E11EF8"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they have the same management at the public health service/hospital level</w:t>
            </w:r>
          </w:p>
          <w:p w14:paraId="0F6DCCDD"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each campus has overnight stay facilities. A separate location providing day-only services, such as a satellite dialysis unit, is considered to be part of a campus</w:t>
            </w:r>
          </w:p>
          <w:p w14:paraId="0258F9AE" w14:textId="77777777" w:rsidR="00E2519A" w:rsidRPr="00C5093D" w:rsidRDefault="00E2519A" w:rsidP="00E2519A">
            <w:pPr>
              <w:pStyle w:val="ListParagraph"/>
              <w:numPr>
                <w:ilvl w:val="0"/>
                <w:numId w:val="37"/>
              </w:numPr>
              <w:spacing w:after="40" w:line="220" w:lineRule="atLeast"/>
              <w:rPr>
                <w:rFonts w:ascii="Arial" w:eastAsia="MS Mincho" w:hAnsi="Arial"/>
                <w:noProof/>
                <w:sz w:val="21"/>
                <w:szCs w:val="21"/>
              </w:rPr>
            </w:pPr>
            <w:r w:rsidRPr="00C5093D">
              <w:rPr>
                <w:rFonts w:ascii="Arial" w:eastAsia="MS Mincho" w:hAnsi="Arial"/>
                <w:noProof/>
                <w:sz w:val="21"/>
                <w:szCs w:val="21"/>
              </w:rPr>
              <w:t>are not private homes. Private homes where hospital services are provided are considered to be part of a campus.</w:t>
            </w:r>
          </w:p>
          <w:p w14:paraId="2A6F2EF3" w14:textId="77777777" w:rsidR="00E2519A" w:rsidRPr="00C5093D" w:rsidRDefault="00E2519A" w:rsidP="00E2519A">
            <w:pPr>
              <w:spacing w:before="120" w:after="40" w:line="220" w:lineRule="atLeast"/>
              <w:rPr>
                <w:rFonts w:eastAsia="MS Mincho"/>
                <w:noProof/>
                <w:szCs w:val="21"/>
              </w:rPr>
            </w:pPr>
            <w:r w:rsidRPr="00C5093D">
              <w:rPr>
                <w:rFonts w:eastAsia="MS Mincho"/>
                <w:noProof/>
                <w:szCs w:val="21"/>
              </w:rPr>
              <w:t>As a general principle, reporting should identify activity at each campus. Patient activity must be reported under the campus code at which it occurred. Any multi</w:t>
            </w:r>
            <w:r w:rsidRPr="00C5093D">
              <w:rPr>
                <w:rFonts w:eastAsia="MS Mincho"/>
                <w:noProof/>
                <w:szCs w:val="21"/>
              </w:rPr>
              <w:noBreakHyphen/>
              <w:t>campus hospital not currently reporting on this basis, or intending to change from single to multi</w:t>
            </w:r>
            <w:r w:rsidRPr="00C5093D">
              <w:rPr>
                <w:rFonts w:eastAsia="MS Mincho"/>
                <w:noProof/>
                <w:szCs w:val="21"/>
              </w:rPr>
              <w:noBreakHyphen/>
              <w:t>campus, or vice versa, should discuss this with the department.</w:t>
            </w:r>
          </w:p>
          <w:p w14:paraId="1394D5CC" w14:textId="77777777" w:rsidR="00E2519A" w:rsidRPr="00C5093D" w:rsidRDefault="00E2519A" w:rsidP="00E2519A">
            <w:pPr>
              <w:spacing w:before="120" w:after="40" w:line="220" w:lineRule="atLeast"/>
              <w:rPr>
                <w:rFonts w:eastAsia="MS Mincho"/>
                <w:szCs w:val="21"/>
              </w:rPr>
            </w:pPr>
          </w:p>
        </w:tc>
      </w:tr>
      <w:tr w:rsidR="00E2519A" w:rsidRPr="00C5093D" w14:paraId="5BC0F97D" w14:textId="77777777" w:rsidTr="2E62A72C">
        <w:tc>
          <w:tcPr>
            <w:tcW w:w="1985" w:type="dxa"/>
            <w:shd w:val="clear" w:color="auto" w:fill="auto"/>
          </w:tcPr>
          <w:p w14:paraId="120A7C1B" w14:textId="77777777" w:rsidR="00E2519A" w:rsidRPr="00C5093D" w:rsidRDefault="00E2519A" w:rsidP="00F60E97">
            <w:pPr>
              <w:keepLines/>
              <w:spacing w:after="0" w:line="240" w:lineRule="auto"/>
              <w:rPr>
                <w:b/>
                <w:szCs w:val="21"/>
                <w:lang w:eastAsia="en-AU"/>
              </w:rPr>
            </w:pPr>
            <w:r w:rsidRPr="00C5093D">
              <w:rPr>
                <w:b/>
                <w:noProof/>
                <w:szCs w:val="21"/>
                <w:lang w:eastAsia="en-AU"/>
              </w:rPr>
              <w:t>Related data items (Section 3):</w:t>
            </w:r>
          </w:p>
        </w:tc>
        <w:tc>
          <w:tcPr>
            <w:tcW w:w="7229" w:type="dxa"/>
            <w:shd w:val="clear" w:color="auto" w:fill="auto"/>
          </w:tcPr>
          <w:p w14:paraId="3747E24A" w14:textId="272344DD" w:rsidR="00E2519A" w:rsidRPr="00C5093D" w:rsidRDefault="00E2519A" w:rsidP="00B23828">
            <w:pPr>
              <w:spacing w:before="120" w:after="40" w:line="220" w:lineRule="atLeast"/>
              <w:rPr>
                <w:rFonts w:eastAsia="MS Mincho"/>
                <w:szCs w:val="21"/>
              </w:rPr>
            </w:pPr>
            <w:r w:rsidRPr="00C5093D">
              <w:rPr>
                <w:rFonts w:eastAsia="MS Mincho"/>
                <w:noProof/>
                <w:szCs w:val="21"/>
              </w:rPr>
              <w:t>Admission to high dependency unit (HDU) / intensive care unit (ICU) – mother; Admission to special care nursery (SCN) / neonatal intensive care unit (NICU) – baby; Hospital code (agency identifier); Setting of birth – actual; Setting of birth – intended; Transfer destination – baby; Transfer destination - mother</w:t>
            </w:r>
          </w:p>
        </w:tc>
      </w:tr>
    </w:tbl>
    <w:p w14:paraId="6817B822" w14:textId="77777777" w:rsidR="000363B6" w:rsidRDefault="000363B6">
      <w:r>
        <w:rPr>
          <w:b/>
        </w:rPr>
        <w:br w:type="page"/>
      </w:r>
    </w:p>
    <w:tbl>
      <w:tblPr>
        <w:tblW w:w="9639" w:type="dxa"/>
        <w:tblLayout w:type="fixed"/>
        <w:tblLook w:val="01E0" w:firstRow="1" w:lastRow="1" w:firstColumn="1" w:lastColumn="1" w:noHBand="0" w:noVBand="0"/>
      </w:tblPr>
      <w:tblGrid>
        <w:gridCol w:w="1985"/>
        <w:gridCol w:w="7654"/>
      </w:tblGrid>
      <w:tr w:rsidR="00E2519A" w:rsidRPr="00BA191C" w14:paraId="0E20B337" w14:textId="77777777" w:rsidTr="6B49BDEF">
        <w:tc>
          <w:tcPr>
            <w:tcW w:w="9639" w:type="dxa"/>
            <w:gridSpan w:val="2"/>
            <w:shd w:val="clear" w:color="auto" w:fill="auto"/>
          </w:tcPr>
          <w:p w14:paraId="73D6AFBC" w14:textId="2ADFD5BF" w:rsidR="00E2519A" w:rsidRPr="00BA191C" w:rsidRDefault="00E2519A" w:rsidP="00F60E97">
            <w:pPr>
              <w:pStyle w:val="Heading2"/>
              <w:rPr>
                <w:i/>
              </w:rPr>
            </w:pPr>
            <w:bookmarkStart w:id="18" w:name="_Toc170222941"/>
            <w:r>
              <w:lastRenderedPageBreak/>
              <w:t>Congenital anomalies</w:t>
            </w:r>
            <w:bookmarkEnd w:id="18"/>
          </w:p>
        </w:tc>
      </w:tr>
      <w:tr w:rsidR="007756D5" w:rsidRPr="00C5093D" w14:paraId="1538E553" w14:textId="77777777" w:rsidTr="6B49BDEF">
        <w:tc>
          <w:tcPr>
            <w:tcW w:w="1985" w:type="dxa"/>
            <w:shd w:val="clear" w:color="auto" w:fill="auto"/>
          </w:tcPr>
          <w:p w14:paraId="1787F876" w14:textId="4924D127" w:rsidR="007756D5" w:rsidRPr="00C5093D" w:rsidRDefault="007756D5" w:rsidP="00DD725C">
            <w:pPr>
              <w:widowControl w:val="0"/>
              <w:spacing w:after="0" w:line="240" w:lineRule="auto"/>
              <w:rPr>
                <w:b/>
                <w:i/>
                <w:szCs w:val="21"/>
              </w:rPr>
            </w:pPr>
            <w:r w:rsidRPr="00C5093D">
              <w:rPr>
                <w:b/>
                <w:szCs w:val="21"/>
              </w:rPr>
              <w:t>Definition/guide for use</w:t>
            </w:r>
          </w:p>
        </w:tc>
        <w:tc>
          <w:tcPr>
            <w:tcW w:w="7654" w:type="dxa"/>
            <w:shd w:val="clear" w:color="auto" w:fill="auto"/>
          </w:tcPr>
          <w:p w14:paraId="492CC003" w14:textId="138816D0" w:rsidR="007756D5" w:rsidRDefault="00F60E97" w:rsidP="00B23828">
            <w:pPr>
              <w:widowControl w:val="0"/>
              <w:spacing w:before="40" w:after="240" w:line="210" w:lineRule="atLeast"/>
              <w:rPr>
                <w:szCs w:val="21"/>
              </w:rPr>
            </w:pPr>
            <w:r>
              <w:rPr>
                <w:szCs w:val="21"/>
              </w:rPr>
              <w:t>The following list contains the most common congenital anomalies for reporting in the field ‘Congenital anomalies – ICD-10-AM code’:</w:t>
            </w:r>
          </w:p>
          <w:tbl>
            <w:tblPr>
              <w:tblW w:w="64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5429"/>
            </w:tblGrid>
            <w:tr w:rsidR="007756D5" w:rsidRPr="00C5093D" w14:paraId="617BC5B0" w14:textId="77777777" w:rsidTr="00266463">
              <w:trPr>
                <w:trHeight w:val="300"/>
              </w:trPr>
              <w:tc>
                <w:tcPr>
                  <w:tcW w:w="1035" w:type="dxa"/>
                  <w:shd w:val="clear" w:color="auto" w:fill="auto"/>
                  <w:noWrap/>
                  <w:vAlign w:val="bottom"/>
                  <w:hideMark/>
                </w:tcPr>
                <w:p w14:paraId="54CF061C"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Q069</w:t>
                  </w:r>
                </w:p>
              </w:tc>
              <w:tc>
                <w:tcPr>
                  <w:tcW w:w="5429" w:type="dxa"/>
                  <w:tcBorders>
                    <w:right w:val="double" w:sz="4" w:space="0" w:color="auto"/>
                  </w:tcBorders>
                  <w:shd w:val="clear" w:color="auto" w:fill="auto"/>
                  <w:noWrap/>
                  <w:vAlign w:val="bottom"/>
                  <w:hideMark/>
                </w:tcPr>
                <w:p w14:paraId="252A43E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Congenital malformations of spinal cord</w:t>
                  </w:r>
                </w:p>
              </w:tc>
            </w:tr>
            <w:tr w:rsidR="007756D5" w:rsidRPr="00C5093D" w14:paraId="69F3ECDA" w14:textId="77777777" w:rsidTr="00266463">
              <w:trPr>
                <w:trHeight w:val="300"/>
              </w:trPr>
              <w:tc>
                <w:tcPr>
                  <w:tcW w:w="1035" w:type="dxa"/>
                  <w:shd w:val="clear" w:color="auto" w:fill="auto"/>
                  <w:noWrap/>
                  <w:vAlign w:val="bottom"/>
                  <w:hideMark/>
                </w:tcPr>
                <w:p w14:paraId="645BE9CC" w14:textId="75A06B5B" w:rsidR="007756D5" w:rsidRPr="00C5093D" w:rsidRDefault="007756D5" w:rsidP="00B23828">
                  <w:pPr>
                    <w:widowControl w:val="0"/>
                    <w:spacing w:beforeLines="30" w:before="72" w:afterLines="30" w:after="72" w:line="220" w:lineRule="atLeast"/>
                    <w:rPr>
                      <w:rFonts w:eastAsia="MS Mincho"/>
                      <w:szCs w:val="21"/>
                      <w:lang w:eastAsia="en-AU"/>
                    </w:rPr>
                  </w:pPr>
                  <w:bookmarkStart w:id="19" w:name="_Hlk143618477"/>
                  <w:r w:rsidRPr="00C5093D">
                    <w:rPr>
                      <w:rFonts w:eastAsia="MS Mincho"/>
                      <w:szCs w:val="21"/>
                      <w:lang w:eastAsia="en-AU"/>
                    </w:rPr>
                    <w:t>Q000</w:t>
                  </w:r>
                  <w:r w:rsidR="00BE091C">
                    <w:rPr>
                      <w:rFonts w:eastAsia="MS Mincho"/>
                      <w:szCs w:val="21"/>
                      <w:lang w:eastAsia="en-AU"/>
                    </w:rPr>
                    <w:t>0</w:t>
                  </w:r>
                </w:p>
              </w:tc>
              <w:tc>
                <w:tcPr>
                  <w:tcW w:w="5429" w:type="dxa"/>
                  <w:tcBorders>
                    <w:right w:val="double" w:sz="4" w:space="0" w:color="auto"/>
                  </w:tcBorders>
                  <w:shd w:val="clear" w:color="auto" w:fill="auto"/>
                  <w:noWrap/>
                  <w:vAlign w:val="bottom"/>
                  <w:hideMark/>
                </w:tcPr>
                <w:p w14:paraId="3525106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Anencephaly</w:t>
                  </w:r>
                </w:p>
              </w:tc>
            </w:tr>
            <w:bookmarkEnd w:id="19"/>
            <w:tr w:rsidR="007756D5" w:rsidRPr="00C5093D" w14:paraId="1EE30681" w14:textId="77777777" w:rsidTr="00266463">
              <w:trPr>
                <w:trHeight w:val="300"/>
              </w:trPr>
              <w:tc>
                <w:tcPr>
                  <w:tcW w:w="1035" w:type="dxa"/>
                  <w:shd w:val="clear" w:color="auto" w:fill="auto"/>
                  <w:noWrap/>
                  <w:vAlign w:val="bottom"/>
                  <w:hideMark/>
                </w:tcPr>
                <w:p w14:paraId="4DD25D6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Q421</w:t>
                  </w:r>
                </w:p>
              </w:tc>
              <w:tc>
                <w:tcPr>
                  <w:tcW w:w="5429" w:type="dxa"/>
                  <w:tcBorders>
                    <w:right w:val="double" w:sz="4" w:space="0" w:color="auto"/>
                  </w:tcBorders>
                  <w:shd w:val="clear" w:color="auto" w:fill="auto"/>
                  <w:noWrap/>
                  <w:vAlign w:val="bottom"/>
                  <w:hideMark/>
                </w:tcPr>
                <w:p w14:paraId="1A5736E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Anorectal atresia and/or stenosis</w:t>
                  </w:r>
                </w:p>
              </w:tc>
            </w:tr>
            <w:tr w:rsidR="007756D5" w:rsidRPr="00C5093D" w14:paraId="7D47D3E0" w14:textId="77777777" w:rsidTr="00266463">
              <w:trPr>
                <w:trHeight w:val="300"/>
              </w:trPr>
              <w:tc>
                <w:tcPr>
                  <w:tcW w:w="1035" w:type="dxa"/>
                  <w:shd w:val="clear" w:color="auto" w:fill="auto"/>
                  <w:noWrap/>
                  <w:vAlign w:val="center"/>
                  <w:hideMark/>
                </w:tcPr>
                <w:p w14:paraId="067D45A1" w14:textId="264373E0" w:rsidR="007756D5" w:rsidRPr="00C5093D" w:rsidRDefault="007756D5" w:rsidP="00B23828">
                  <w:pPr>
                    <w:widowControl w:val="0"/>
                    <w:spacing w:beforeLines="30" w:before="72" w:afterLines="30" w:after="72" w:line="220" w:lineRule="atLeast"/>
                    <w:rPr>
                      <w:rFonts w:eastAsia="MS Mincho"/>
                      <w:szCs w:val="21"/>
                      <w:lang w:eastAsia="en-AU"/>
                    </w:rPr>
                  </w:pPr>
                  <w:bookmarkStart w:id="20" w:name="_Hlk143618495"/>
                  <w:r w:rsidRPr="00C5093D">
                    <w:rPr>
                      <w:rFonts w:eastAsia="MS Mincho"/>
                      <w:szCs w:val="21"/>
                      <w:lang w:eastAsia="en-AU"/>
                    </w:rPr>
                    <w:t>Q353</w:t>
                  </w:r>
                  <w:r w:rsidR="00BE091C">
                    <w:rPr>
                      <w:rFonts w:eastAsia="MS Mincho"/>
                      <w:szCs w:val="21"/>
                      <w:lang w:eastAsia="en-AU"/>
                    </w:rPr>
                    <w:t>0</w:t>
                  </w:r>
                </w:p>
              </w:tc>
              <w:tc>
                <w:tcPr>
                  <w:tcW w:w="5429" w:type="dxa"/>
                  <w:tcBorders>
                    <w:right w:val="double" w:sz="4" w:space="0" w:color="auto"/>
                  </w:tcBorders>
                  <w:shd w:val="clear" w:color="auto" w:fill="auto"/>
                  <w:noWrap/>
                  <w:vAlign w:val="bottom"/>
                  <w:hideMark/>
                </w:tcPr>
                <w:p w14:paraId="0EE4DEE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soft palate</w:t>
                  </w:r>
                </w:p>
              </w:tc>
            </w:tr>
            <w:bookmarkEnd w:id="20"/>
            <w:tr w:rsidR="007756D5" w:rsidRPr="00C5093D" w14:paraId="0ACE7877" w14:textId="77777777" w:rsidTr="00266463">
              <w:trPr>
                <w:trHeight w:val="300"/>
              </w:trPr>
              <w:tc>
                <w:tcPr>
                  <w:tcW w:w="1035" w:type="dxa"/>
                  <w:shd w:val="clear" w:color="auto" w:fill="auto"/>
                  <w:noWrap/>
                  <w:vAlign w:val="center"/>
                  <w:hideMark/>
                </w:tcPr>
                <w:p w14:paraId="47982CA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Q369</w:t>
                  </w:r>
                </w:p>
              </w:tc>
              <w:tc>
                <w:tcPr>
                  <w:tcW w:w="5429" w:type="dxa"/>
                  <w:tcBorders>
                    <w:right w:val="double" w:sz="4" w:space="0" w:color="auto"/>
                  </w:tcBorders>
                  <w:shd w:val="clear" w:color="auto" w:fill="auto"/>
                  <w:noWrap/>
                  <w:vAlign w:val="bottom"/>
                  <w:hideMark/>
                </w:tcPr>
                <w:p w14:paraId="33F64C0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Cleft lip </w:t>
                  </w:r>
                </w:p>
              </w:tc>
            </w:tr>
            <w:tr w:rsidR="007756D5" w:rsidRPr="00C5093D" w14:paraId="7FE977E5" w14:textId="77777777" w:rsidTr="00266463">
              <w:trPr>
                <w:trHeight w:val="300"/>
              </w:trPr>
              <w:tc>
                <w:tcPr>
                  <w:tcW w:w="1035" w:type="dxa"/>
                  <w:shd w:val="clear" w:color="auto" w:fill="auto"/>
                  <w:noWrap/>
                  <w:vAlign w:val="center"/>
                  <w:hideMark/>
                </w:tcPr>
                <w:p w14:paraId="2DF0264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Q359</w:t>
                  </w:r>
                </w:p>
              </w:tc>
              <w:tc>
                <w:tcPr>
                  <w:tcW w:w="5429" w:type="dxa"/>
                  <w:tcBorders>
                    <w:right w:val="double" w:sz="4" w:space="0" w:color="auto"/>
                  </w:tcBorders>
                  <w:shd w:val="clear" w:color="auto" w:fill="auto"/>
                  <w:noWrap/>
                  <w:vAlign w:val="bottom"/>
                  <w:hideMark/>
                </w:tcPr>
                <w:p w14:paraId="70F847D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palate</w:t>
                  </w:r>
                </w:p>
              </w:tc>
            </w:tr>
            <w:tr w:rsidR="007756D5" w:rsidRPr="00C5093D" w14:paraId="488DC969" w14:textId="77777777" w:rsidTr="00266463">
              <w:trPr>
                <w:trHeight w:val="300"/>
              </w:trPr>
              <w:tc>
                <w:tcPr>
                  <w:tcW w:w="1035" w:type="dxa"/>
                  <w:shd w:val="clear" w:color="auto" w:fill="auto"/>
                  <w:noWrap/>
                  <w:vAlign w:val="bottom"/>
                  <w:hideMark/>
                </w:tcPr>
                <w:p w14:paraId="3AA9763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Q2510</w:t>
                  </w:r>
                </w:p>
              </w:tc>
              <w:tc>
                <w:tcPr>
                  <w:tcW w:w="5429" w:type="dxa"/>
                  <w:tcBorders>
                    <w:right w:val="double" w:sz="4" w:space="0" w:color="auto"/>
                  </w:tcBorders>
                  <w:shd w:val="clear" w:color="auto" w:fill="auto"/>
                  <w:noWrap/>
                  <w:vAlign w:val="bottom"/>
                  <w:hideMark/>
                </w:tcPr>
                <w:p w14:paraId="1228F6B9"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Coarctation of the aorta</w:t>
                  </w:r>
                </w:p>
              </w:tc>
            </w:tr>
            <w:tr w:rsidR="007756D5" w:rsidRPr="00C5093D" w14:paraId="11769594" w14:textId="77777777" w:rsidTr="00266463">
              <w:trPr>
                <w:trHeight w:val="300"/>
              </w:trPr>
              <w:tc>
                <w:tcPr>
                  <w:tcW w:w="1035" w:type="dxa"/>
                  <w:shd w:val="clear" w:color="auto" w:fill="auto"/>
                  <w:noWrap/>
                  <w:vAlign w:val="bottom"/>
                  <w:hideMark/>
                </w:tcPr>
                <w:p w14:paraId="02748F7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Q650</w:t>
                  </w:r>
                </w:p>
              </w:tc>
              <w:tc>
                <w:tcPr>
                  <w:tcW w:w="5429" w:type="dxa"/>
                  <w:tcBorders>
                    <w:right w:val="double" w:sz="4" w:space="0" w:color="auto"/>
                  </w:tcBorders>
                  <w:shd w:val="clear" w:color="auto" w:fill="auto"/>
                  <w:noWrap/>
                  <w:vAlign w:val="bottom"/>
                  <w:hideMark/>
                </w:tcPr>
                <w:p w14:paraId="4CAFDB2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Congenital Dislocation of Hip – Unilateral </w:t>
                  </w:r>
                </w:p>
              </w:tc>
            </w:tr>
            <w:tr w:rsidR="007756D5" w:rsidRPr="00C5093D" w14:paraId="49553D25" w14:textId="77777777" w:rsidTr="00266463">
              <w:trPr>
                <w:trHeight w:val="300"/>
              </w:trPr>
              <w:tc>
                <w:tcPr>
                  <w:tcW w:w="1035" w:type="dxa"/>
                  <w:shd w:val="clear" w:color="auto" w:fill="auto"/>
                  <w:noWrap/>
                  <w:vAlign w:val="bottom"/>
                  <w:hideMark/>
                </w:tcPr>
                <w:p w14:paraId="0D54FA4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Q619</w:t>
                  </w:r>
                </w:p>
              </w:tc>
              <w:tc>
                <w:tcPr>
                  <w:tcW w:w="5429" w:type="dxa"/>
                  <w:tcBorders>
                    <w:right w:val="double" w:sz="4" w:space="0" w:color="auto"/>
                  </w:tcBorders>
                  <w:shd w:val="clear" w:color="auto" w:fill="auto"/>
                  <w:noWrap/>
                  <w:vAlign w:val="bottom"/>
                  <w:hideMark/>
                </w:tcPr>
                <w:p w14:paraId="101323E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Cystic Kidney Disease</w:t>
                  </w:r>
                </w:p>
              </w:tc>
            </w:tr>
            <w:tr w:rsidR="007756D5" w:rsidRPr="00C5093D" w14:paraId="6C80DC51" w14:textId="77777777" w:rsidTr="00266463">
              <w:trPr>
                <w:trHeight w:val="300"/>
              </w:trPr>
              <w:tc>
                <w:tcPr>
                  <w:tcW w:w="1035" w:type="dxa"/>
                  <w:shd w:val="clear" w:color="auto" w:fill="auto"/>
                  <w:noWrap/>
                  <w:vAlign w:val="center"/>
                  <w:hideMark/>
                </w:tcPr>
                <w:p w14:paraId="6617815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Q790</w:t>
                  </w:r>
                </w:p>
              </w:tc>
              <w:tc>
                <w:tcPr>
                  <w:tcW w:w="5429" w:type="dxa"/>
                  <w:tcBorders>
                    <w:right w:val="double" w:sz="4" w:space="0" w:color="auto"/>
                  </w:tcBorders>
                  <w:shd w:val="clear" w:color="auto" w:fill="auto"/>
                  <w:noWrap/>
                  <w:vAlign w:val="bottom"/>
                  <w:hideMark/>
                </w:tcPr>
                <w:p w14:paraId="2EC8E83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Diaphragmatic Hernia</w:t>
                  </w:r>
                </w:p>
              </w:tc>
            </w:tr>
            <w:tr w:rsidR="007756D5" w:rsidRPr="00C5093D" w14:paraId="3D7F36B8" w14:textId="77777777" w:rsidTr="00266463">
              <w:trPr>
                <w:trHeight w:val="300"/>
              </w:trPr>
              <w:tc>
                <w:tcPr>
                  <w:tcW w:w="1035" w:type="dxa"/>
                  <w:shd w:val="clear" w:color="auto" w:fill="auto"/>
                  <w:noWrap/>
                  <w:vAlign w:val="bottom"/>
                  <w:hideMark/>
                </w:tcPr>
                <w:p w14:paraId="26910FE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Q019</w:t>
                  </w:r>
                </w:p>
              </w:tc>
              <w:tc>
                <w:tcPr>
                  <w:tcW w:w="5429" w:type="dxa"/>
                  <w:tcBorders>
                    <w:right w:val="double" w:sz="4" w:space="0" w:color="auto"/>
                  </w:tcBorders>
                  <w:shd w:val="clear" w:color="auto" w:fill="auto"/>
                  <w:noWrap/>
                  <w:vAlign w:val="bottom"/>
                  <w:hideMark/>
                </w:tcPr>
                <w:p w14:paraId="261CE4B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Encephalocele</w:t>
                  </w:r>
                </w:p>
              </w:tc>
            </w:tr>
            <w:tr w:rsidR="007756D5" w:rsidRPr="00C5093D" w14:paraId="41C98C0D" w14:textId="77777777" w:rsidTr="00266463">
              <w:trPr>
                <w:trHeight w:val="300"/>
              </w:trPr>
              <w:tc>
                <w:tcPr>
                  <w:tcW w:w="1035" w:type="dxa"/>
                  <w:shd w:val="clear" w:color="auto" w:fill="auto"/>
                  <w:noWrap/>
                  <w:vAlign w:val="center"/>
                  <w:hideMark/>
                </w:tcPr>
                <w:p w14:paraId="5462FC7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Q792</w:t>
                  </w:r>
                </w:p>
              </w:tc>
              <w:tc>
                <w:tcPr>
                  <w:tcW w:w="5429" w:type="dxa"/>
                  <w:tcBorders>
                    <w:right w:val="double" w:sz="4" w:space="0" w:color="auto"/>
                  </w:tcBorders>
                  <w:shd w:val="clear" w:color="auto" w:fill="auto"/>
                  <w:noWrap/>
                  <w:vAlign w:val="bottom"/>
                  <w:hideMark/>
                </w:tcPr>
                <w:p w14:paraId="747B85D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Exomphalos</w:t>
                  </w:r>
                </w:p>
              </w:tc>
            </w:tr>
            <w:tr w:rsidR="007756D5" w:rsidRPr="00C5093D" w14:paraId="1D381ED6" w14:textId="77777777" w:rsidTr="00266463">
              <w:trPr>
                <w:trHeight w:val="300"/>
              </w:trPr>
              <w:tc>
                <w:tcPr>
                  <w:tcW w:w="1035" w:type="dxa"/>
                  <w:shd w:val="clear" w:color="auto" w:fill="auto"/>
                  <w:noWrap/>
                  <w:vAlign w:val="center"/>
                  <w:hideMark/>
                </w:tcPr>
                <w:p w14:paraId="6C0EA29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Q793</w:t>
                  </w:r>
                </w:p>
              </w:tc>
              <w:tc>
                <w:tcPr>
                  <w:tcW w:w="5429" w:type="dxa"/>
                  <w:tcBorders>
                    <w:right w:val="double" w:sz="4" w:space="0" w:color="auto"/>
                  </w:tcBorders>
                  <w:shd w:val="clear" w:color="auto" w:fill="auto"/>
                  <w:noWrap/>
                  <w:vAlign w:val="bottom"/>
                  <w:hideMark/>
                </w:tcPr>
                <w:p w14:paraId="087F785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Gastroschisis</w:t>
                  </w:r>
                </w:p>
              </w:tc>
            </w:tr>
            <w:tr w:rsidR="007756D5" w:rsidRPr="00C5093D" w14:paraId="333B7A35" w14:textId="77777777" w:rsidTr="00266463">
              <w:trPr>
                <w:trHeight w:val="300"/>
              </w:trPr>
              <w:tc>
                <w:tcPr>
                  <w:tcW w:w="1035" w:type="dxa"/>
                  <w:shd w:val="clear" w:color="auto" w:fill="auto"/>
                  <w:noWrap/>
                  <w:vAlign w:val="bottom"/>
                  <w:hideMark/>
                </w:tcPr>
                <w:p w14:paraId="0D03B5F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Q0389</w:t>
                  </w:r>
                </w:p>
              </w:tc>
              <w:tc>
                <w:tcPr>
                  <w:tcW w:w="5429" w:type="dxa"/>
                  <w:tcBorders>
                    <w:right w:val="double" w:sz="4" w:space="0" w:color="auto"/>
                  </w:tcBorders>
                  <w:shd w:val="clear" w:color="auto" w:fill="auto"/>
                  <w:noWrap/>
                  <w:vAlign w:val="bottom"/>
                  <w:hideMark/>
                </w:tcPr>
                <w:p w14:paraId="62676285"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Hydrocephalus</w:t>
                  </w:r>
                </w:p>
              </w:tc>
            </w:tr>
            <w:tr w:rsidR="007756D5" w:rsidRPr="00C5093D" w14:paraId="24ADF779" w14:textId="77777777" w:rsidTr="00266463">
              <w:trPr>
                <w:trHeight w:val="300"/>
              </w:trPr>
              <w:tc>
                <w:tcPr>
                  <w:tcW w:w="1035" w:type="dxa"/>
                  <w:shd w:val="clear" w:color="auto" w:fill="auto"/>
                  <w:noWrap/>
                  <w:vAlign w:val="bottom"/>
                </w:tcPr>
                <w:p w14:paraId="0BCC20B1"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Q234</w:t>
                  </w:r>
                </w:p>
              </w:tc>
              <w:tc>
                <w:tcPr>
                  <w:tcW w:w="5429" w:type="dxa"/>
                  <w:tcBorders>
                    <w:right w:val="double" w:sz="4" w:space="0" w:color="auto"/>
                  </w:tcBorders>
                  <w:shd w:val="clear" w:color="auto" w:fill="auto"/>
                  <w:noWrap/>
                  <w:vAlign w:val="bottom"/>
                </w:tcPr>
                <w:p w14:paraId="310EED2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Hypoplastic Left Heart</w:t>
                  </w:r>
                </w:p>
              </w:tc>
            </w:tr>
            <w:tr w:rsidR="007756D5" w:rsidRPr="00C5093D" w14:paraId="202D0FBC" w14:textId="77777777" w:rsidTr="00266463">
              <w:trPr>
                <w:trHeight w:val="300"/>
              </w:trPr>
              <w:tc>
                <w:tcPr>
                  <w:tcW w:w="1035" w:type="dxa"/>
                  <w:shd w:val="clear" w:color="auto" w:fill="auto"/>
                  <w:noWrap/>
                  <w:vAlign w:val="bottom"/>
                </w:tcPr>
                <w:p w14:paraId="40FB96C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Q549</w:t>
                  </w:r>
                </w:p>
              </w:tc>
              <w:tc>
                <w:tcPr>
                  <w:tcW w:w="5429" w:type="dxa"/>
                  <w:tcBorders>
                    <w:right w:val="double" w:sz="4" w:space="0" w:color="auto"/>
                  </w:tcBorders>
                  <w:shd w:val="clear" w:color="auto" w:fill="auto"/>
                  <w:noWrap/>
                  <w:vAlign w:val="bottom"/>
                </w:tcPr>
                <w:p w14:paraId="0ED51902" w14:textId="5D051543" w:rsidR="007756D5" w:rsidRPr="00C5093D" w:rsidRDefault="004426AF"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Hypospadias</w:t>
                  </w:r>
                </w:p>
              </w:tc>
            </w:tr>
            <w:tr w:rsidR="00DE5861" w:rsidRPr="00C5093D" w14:paraId="0C233B4C" w14:textId="77777777" w:rsidTr="00266463">
              <w:trPr>
                <w:trHeight w:val="300"/>
              </w:trPr>
              <w:tc>
                <w:tcPr>
                  <w:tcW w:w="1035" w:type="dxa"/>
                  <w:shd w:val="clear" w:color="auto" w:fill="auto"/>
                  <w:noWrap/>
                  <w:vAlign w:val="bottom"/>
                </w:tcPr>
                <w:p w14:paraId="269F3924" w14:textId="725AA318" w:rsidR="00DE5861" w:rsidRPr="00C5093D" w:rsidRDefault="00DE5861" w:rsidP="00B23828">
                  <w:pPr>
                    <w:widowControl w:val="0"/>
                    <w:spacing w:beforeLines="30" w:before="72" w:afterLines="30" w:after="72" w:line="220" w:lineRule="atLeast"/>
                    <w:rPr>
                      <w:rFonts w:eastAsia="MS Mincho"/>
                      <w:szCs w:val="21"/>
                      <w:lang w:eastAsia="en-AU"/>
                    </w:rPr>
                  </w:pPr>
                  <w:r>
                    <w:rPr>
                      <w:rFonts w:eastAsia="MS Mincho"/>
                      <w:szCs w:val="21"/>
                      <w:lang w:eastAsia="en-AU"/>
                    </w:rPr>
                    <w:t>Q5642</w:t>
                  </w:r>
                </w:p>
              </w:tc>
              <w:tc>
                <w:tcPr>
                  <w:tcW w:w="5429" w:type="dxa"/>
                  <w:tcBorders>
                    <w:right w:val="double" w:sz="4" w:space="0" w:color="auto"/>
                  </w:tcBorders>
                  <w:shd w:val="clear" w:color="auto" w:fill="auto"/>
                  <w:noWrap/>
                  <w:vAlign w:val="bottom"/>
                </w:tcPr>
                <w:p w14:paraId="455FED66" w14:textId="57C17F9A" w:rsidR="00DE5861" w:rsidRPr="00C5093D" w:rsidRDefault="00DE5861" w:rsidP="00B23828">
                  <w:pPr>
                    <w:widowControl w:val="0"/>
                    <w:spacing w:beforeLines="30" w:before="72" w:afterLines="30" w:after="72" w:line="220" w:lineRule="atLeast"/>
                    <w:rPr>
                      <w:rFonts w:eastAsia="MS Mincho"/>
                      <w:szCs w:val="21"/>
                      <w:lang w:eastAsia="en-AU"/>
                    </w:rPr>
                  </w:pPr>
                  <w:r>
                    <w:rPr>
                      <w:rFonts w:eastAsia="MS Mincho"/>
                      <w:szCs w:val="21"/>
                      <w:lang w:eastAsia="en-AU"/>
                    </w:rPr>
                    <w:t xml:space="preserve">Indeterminate </w:t>
                  </w:r>
                  <w:r w:rsidR="00B429DC">
                    <w:rPr>
                      <w:rFonts w:eastAsia="MS Mincho"/>
                      <w:szCs w:val="21"/>
                      <w:lang w:eastAsia="en-AU"/>
                    </w:rPr>
                    <w:t>sex</w:t>
                  </w:r>
                </w:p>
              </w:tc>
            </w:tr>
            <w:tr w:rsidR="007756D5" w:rsidRPr="00C5093D" w14:paraId="28B866D1" w14:textId="77777777" w:rsidTr="00266463">
              <w:trPr>
                <w:trHeight w:val="300"/>
              </w:trPr>
              <w:tc>
                <w:tcPr>
                  <w:tcW w:w="1035" w:type="dxa"/>
                  <w:shd w:val="clear" w:color="auto" w:fill="auto"/>
                  <w:noWrap/>
                  <w:vAlign w:val="bottom"/>
                </w:tcPr>
                <w:p w14:paraId="7BC1670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Q7380</w:t>
                  </w:r>
                </w:p>
              </w:tc>
              <w:tc>
                <w:tcPr>
                  <w:tcW w:w="5429" w:type="dxa"/>
                  <w:tcBorders>
                    <w:right w:val="double" w:sz="4" w:space="0" w:color="auto"/>
                  </w:tcBorders>
                  <w:shd w:val="clear" w:color="auto" w:fill="auto"/>
                  <w:noWrap/>
                  <w:vAlign w:val="bottom"/>
                </w:tcPr>
                <w:p w14:paraId="459964A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Limb reduction defect</w:t>
                  </w:r>
                </w:p>
              </w:tc>
            </w:tr>
            <w:tr w:rsidR="007756D5" w:rsidRPr="00C5093D" w14:paraId="4C8D8F0C" w14:textId="77777777" w:rsidTr="00266463">
              <w:trPr>
                <w:trHeight w:val="300"/>
              </w:trPr>
              <w:tc>
                <w:tcPr>
                  <w:tcW w:w="1035" w:type="dxa"/>
                  <w:shd w:val="clear" w:color="auto" w:fill="auto"/>
                  <w:noWrap/>
                  <w:vAlign w:val="bottom"/>
                </w:tcPr>
                <w:p w14:paraId="454D2037"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Q02</w:t>
                  </w:r>
                </w:p>
              </w:tc>
              <w:tc>
                <w:tcPr>
                  <w:tcW w:w="5429" w:type="dxa"/>
                  <w:tcBorders>
                    <w:right w:val="double" w:sz="4" w:space="0" w:color="auto"/>
                  </w:tcBorders>
                  <w:shd w:val="clear" w:color="auto" w:fill="auto"/>
                  <w:noWrap/>
                  <w:vAlign w:val="bottom"/>
                </w:tcPr>
                <w:p w14:paraId="3AD9B1F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Microcephaly</w:t>
                  </w:r>
                </w:p>
              </w:tc>
            </w:tr>
            <w:tr w:rsidR="007756D5" w:rsidRPr="00C5093D" w14:paraId="53474083" w14:textId="77777777" w:rsidTr="00266463">
              <w:trPr>
                <w:trHeight w:val="300"/>
              </w:trPr>
              <w:tc>
                <w:tcPr>
                  <w:tcW w:w="1035" w:type="dxa"/>
                  <w:shd w:val="clear" w:color="auto" w:fill="auto"/>
                  <w:noWrap/>
                  <w:vAlign w:val="bottom"/>
                </w:tcPr>
                <w:p w14:paraId="6DB5A74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Q6230</w:t>
                  </w:r>
                </w:p>
              </w:tc>
              <w:tc>
                <w:tcPr>
                  <w:tcW w:w="5429" w:type="dxa"/>
                  <w:tcBorders>
                    <w:right w:val="double" w:sz="4" w:space="0" w:color="auto"/>
                  </w:tcBorders>
                  <w:shd w:val="clear" w:color="auto" w:fill="auto"/>
                  <w:noWrap/>
                  <w:vAlign w:val="bottom"/>
                </w:tcPr>
                <w:p w14:paraId="6CDF72E2"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Obstructive defects of the renal pelvis and ureter</w:t>
                  </w:r>
                </w:p>
              </w:tc>
            </w:tr>
            <w:tr w:rsidR="007756D5" w:rsidRPr="00C5093D" w14:paraId="7E9E6A13" w14:textId="77777777" w:rsidTr="00266463">
              <w:trPr>
                <w:trHeight w:val="300"/>
              </w:trPr>
              <w:tc>
                <w:tcPr>
                  <w:tcW w:w="1035" w:type="dxa"/>
                  <w:shd w:val="clear" w:color="auto" w:fill="auto"/>
                  <w:noWrap/>
                </w:tcPr>
                <w:p w14:paraId="6F82B788"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Q390</w:t>
                  </w:r>
                </w:p>
              </w:tc>
              <w:tc>
                <w:tcPr>
                  <w:tcW w:w="5429" w:type="dxa"/>
                  <w:tcBorders>
                    <w:right w:val="double" w:sz="4" w:space="0" w:color="auto"/>
                  </w:tcBorders>
                  <w:shd w:val="clear" w:color="auto" w:fill="auto"/>
                  <w:noWrap/>
                  <w:vAlign w:val="bottom"/>
                </w:tcPr>
                <w:p w14:paraId="04C7C35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Oesophageal Atresia </w:t>
                  </w:r>
                </w:p>
              </w:tc>
            </w:tr>
            <w:tr w:rsidR="007756D5" w:rsidRPr="00C5093D" w14:paraId="3FA50ADA" w14:textId="77777777" w:rsidTr="00266463">
              <w:trPr>
                <w:trHeight w:val="300"/>
              </w:trPr>
              <w:tc>
                <w:tcPr>
                  <w:tcW w:w="1035" w:type="dxa"/>
                  <w:shd w:val="clear" w:color="auto" w:fill="auto"/>
                  <w:noWrap/>
                  <w:vAlign w:val="bottom"/>
                </w:tcPr>
                <w:p w14:paraId="1E5849F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Q602</w:t>
                  </w:r>
                </w:p>
              </w:tc>
              <w:tc>
                <w:tcPr>
                  <w:tcW w:w="5429" w:type="dxa"/>
                  <w:tcBorders>
                    <w:right w:val="double" w:sz="4" w:space="0" w:color="auto"/>
                  </w:tcBorders>
                  <w:shd w:val="clear" w:color="auto" w:fill="auto"/>
                  <w:noWrap/>
                  <w:vAlign w:val="bottom"/>
                </w:tcPr>
                <w:p w14:paraId="3C19AA3F"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Renal agenesis</w:t>
                  </w:r>
                </w:p>
              </w:tc>
            </w:tr>
            <w:tr w:rsidR="007756D5" w:rsidRPr="00C5093D" w14:paraId="6931F629" w14:textId="77777777" w:rsidTr="00266463">
              <w:trPr>
                <w:trHeight w:val="300"/>
              </w:trPr>
              <w:tc>
                <w:tcPr>
                  <w:tcW w:w="1035" w:type="dxa"/>
                  <w:shd w:val="clear" w:color="auto" w:fill="auto"/>
                  <w:noWrap/>
                  <w:vAlign w:val="bottom"/>
                </w:tcPr>
                <w:p w14:paraId="399E307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Q0590</w:t>
                  </w:r>
                </w:p>
              </w:tc>
              <w:tc>
                <w:tcPr>
                  <w:tcW w:w="5429" w:type="dxa"/>
                  <w:tcBorders>
                    <w:right w:val="double" w:sz="4" w:space="0" w:color="auto"/>
                  </w:tcBorders>
                  <w:shd w:val="clear" w:color="auto" w:fill="auto"/>
                  <w:noWrap/>
                  <w:vAlign w:val="bottom"/>
                </w:tcPr>
                <w:p w14:paraId="04B685A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Spina Bifida</w:t>
                  </w:r>
                </w:p>
              </w:tc>
            </w:tr>
            <w:tr w:rsidR="007756D5" w:rsidRPr="00C5093D" w14:paraId="4CE3A28C" w14:textId="77777777" w:rsidTr="00266463">
              <w:trPr>
                <w:trHeight w:val="300"/>
              </w:trPr>
              <w:tc>
                <w:tcPr>
                  <w:tcW w:w="1035" w:type="dxa"/>
                  <w:shd w:val="clear" w:color="auto" w:fill="auto"/>
                  <w:noWrap/>
                </w:tcPr>
                <w:p w14:paraId="3CBD8053"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Q213</w:t>
                  </w:r>
                </w:p>
              </w:tc>
              <w:tc>
                <w:tcPr>
                  <w:tcW w:w="5429" w:type="dxa"/>
                  <w:tcBorders>
                    <w:right w:val="double" w:sz="4" w:space="0" w:color="auto"/>
                  </w:tcBorders>
                  <w:shd w:val="clear" w:color="auto" w:fill="auto"/>
                  <w:noWrap/>
                  <w:vAlign w:val="bottom"/>
                </w:tcPr>
                <w:p w14:paraId="4CF0CC8A"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Tetralogy of Fallot</w:t>
                  </w:r>
                </w:p>
              </w:tc>
            </w:tr>
            <w:tr w:rsidR="007756D5" w:rsidRPr="00C5093D" w14:paraId="424B039C" w14:textId="77777777" w:rsidTr="00266463">
              <w:trPr>
                <w:trHeight w:val="300"/>
              </w:trPr>
              <w:tc>
                <w:tcPr>
                  <w:tcW w:w="1035" w:type="dxa"/>
                  <w:shd w:val="clear" w:color="auto" w:fill="auto"/>
                  <w:noWrap/>
                  <w:vAlign w:val="bottom"/>
                </w:tcPr>
                <w:p w14:paraId="53DFBB96"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Q2031</w:t>
                  </w:r>
                </w:p>
              </w:tc>
              <w:tc>
                <w:tcPr>
                  <w:tcW w:w="5429" w:type="dxa"/>
                  <w:tcBorders>
                    <w:right w:val="double" w:sz="4" w:space="0" w:color="auto"/>
                  </w:tcBorders>
                  <w:shd w:val="clear" w:color="auto" w:fill="auto"/>
                  <w:noWrap/>
                  <w:vAlign w:val="bottom"/>
                </w:tcPr>
                <w:p w14:paraId="492C447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Transposition of Great Vessels</w:t>
                  </w:r>
                </w:p>
              </w:tc>
            </w:tr>
            <w:tr w:rsidR="007756D5" w:rsidRPr="00C5093D" w14:paraId="1D1B18A1" w14:textId="77777777" w:rsidTr="00266463">
              <w:trPr>
                <w:trHeight w:val="300"/>
              </w:trPr>
              <w:tc>
                <w:tcPr>
                  <w:tcW w:w="1035" w:type="dxa"/>
                  <w:shd w:val="clear" w:color="auto" w:fill="auto"/>
                  <w:noWrap/>
                  <w:vAlign w:val="bottom"/>
                </w:tcPr>
                <w:p w14:paraId="52D65FF9" w14:textId="04C12EEC" w:rsidR="007756D5" w:rsidRPr="00C5093D" w:rsidRDefault="007756D5" w:rsidP="00B23828">
                  <w:pPr>
                    <w:widowControl w:val="0"/>
                    <w:spacing w:beforeLines="30" w:before="72" w:afterLines="30" w:after="72" w:line="220" w:lineRule="atLeast"/>
                    <w:rPr>
                      <w:rFonts w:eastAsia="MS Mincho"/>
                      <w:szCs w:val="21"/>
                      <w:lang w:eastAsia="en-AU"/>
                    </w:rPr>
                  </w:pPr>
                  <w:bookmarkStart w:id="21" w:name="_Hlk143618515"/>
                  <w:r w:rsidRPr="00C5093D">
                    <w:rPr>
                      <w:rFonts w:eastAsia="MS Mincho"/>
                      <w:szCs w:val="21"/>
                      <w:lang w:eastAsia="en-AU"/>
                    </w:rPr>
                    <w:t>Q91</w:t>
                  </w:r>
                  <w:r w:rsidR="00BE091C">
                    <w:rPr>
                      <w:rFonts w:eastAsia="MS Mincho"/>
                      <w:szCs w:val="21"/>
                      <w:lang w:eastAsia="en-AU"/>
                    </w:rPr>
                    <w:t>7</w:t>
                  </w:r>
                </w:p>
              </w:tc>
              <w:tc>
                <w:tcPr>
                  <w:tcW w:w="5429" w:type="dxa"/>
                  <w:tcBorders>
                    <w:right w:val="double" w:sz="4" w:space="0" w:color="auto"/>
                  </w:tcBorders>
                  <w:shd w:val="clear" w:color="auto" w:fill="auto"/>
                  <w:noWrap/>
                  <w:vAlign w:val="bottom"/>
                </w:tcPr>
                <w:p w14:paraId="052CA74E"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13</w:t>
                  </w:r>
                </w:p>
              </w:tc>
            </w:tr>
            <w:tr w:rsidR="007756D5" w:rsidRPr="00C5093D" w14:paraId="30C4103A" w14:textId="77777777" w:rsidTr="00266463">
              <w:trPr>
                <w:trHeight w:val="300"/>
              </w:trPr>
              <w:tc>
                <w:tcPr>
                  <w:tcW w:w="1035" w:type="dxa"/>
                  <w:shd w:val="clear" w:color="auto" w:fill="auto"/>
                  <w:noWrap/>
                  <w:vAlign w:val="bottom"/>
                </w:tcPr>
                <w:p w14:paraId="338CA24B" w14:textId="0231BF59"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Q91</w:t>
                  </w:r>
                  <w:r w:rsidR="00BE091C">
                    <w:rPr>
                      <w:rFonts w:eastAsia="MS Mincho"/>
                      <w:szCs w:val="21"/>
                      <w:lang w:eastAsia="en-AU"/>
                    </w:rPr>
                    <w:t>3</w:t>
                  </w:r>
                </w:p>
              </w:tc>
              <w:tc>
                <w:tcPr>
                  <w:tcW w:w="5429" w:type="dxa"/>
                  <w:tcBorders>
                    <w:right w:val="double" w:sz="4" w:space="0" w:color="auto"/>
                  </w:tcBorders>
                  <w:shd w:val="clear" w:color="auto" w:fill="auto"/>
                  <w:noWrap/>
                  <w:vAlign w:val="bottom"/>
                </w:tcPr>
                <w:p w14:paraId="353AEDDD"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18</w:t>
                  </w:r>
                </w:p>
              </w:tc>
            </w:tr>
            <w:bookmarkEnd w:id="21"/>
            <w:tr w:rsidR="007756D5" w:rsidRPr="00C5093D" w14:paraId="6D2ECEDD" w14:textId="77777777" w:rsidTr="00266463">
              <w:trPr>
                <w:trHeight w:val="300"/>
              </w:trPr>
              <w:tc>
                <w:tcPr>
                  <w:tcW w:w="1035" w:type="dxa"/>
                  <w:shd w:val="clear" w:color="auto" w:fill="auto"/>
                  <w:noWrap/>
                  <w:vAlign w:val="center"/>
                </w:tcPr>
                <w:p w14:paraId="6CAF4BD9"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Q909</w:t>
                  </w:r>
                </w:p>
              </w:tc>
              <w:tc>
                <w:tcPr>
                  <w:tcW w:w="5429" w:type="dxa"/>
                  <w:tcBorders>
                    <w:right w:val="double" w:sz="4" w:space="0" w:color="auto"/>
                  </w:tcBorders>
                  <w:shd w:val="clear" w:color="auto" w:fill="auto"/>
                  <w:noWrap/>
                  <w:vAlign w:val="bottom"/>
                </w:tcPr>
                <w:p w14:paraId="1BFDA850"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21 - Downs Syndrome</w:t>
                  </w:r>
                </w:p>
              </w:tc>
            </w:tr>
            <w:tr w:rsidR="007756D5" w:rsidRPr="00C5093D" w14:paraId="60D602B8" w14:textId="77777777" w:rsidTr="00266463">
              <w:trPr>
                <w:trHeight w:val="300"/>
              </w:trPr>
              <w:tc>
                <w:tcPr>
                  <w:tcW w:w="1035" w:type="dxa"/>
                  <w:shd w:val="clear" w:color="auto" w:fill="auto"/>
                  <w:noWrap/>
                  <w:vAlign w:val="bottom"/>
                </w:tcPr>
                <w:p w14:paraId="37C2F14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Q2100</w:t>
                  </w:r>
                </w:p>
              </w:tc>
              <w:tc>
                <w:tcPr>
                  <w:tcW w:w="5429" w:type="dxa"/>
                  <w:tcBorders>
                    <w:right w:val="double" w:sz="4" w:space="0" w:color="auto"/>
                  </w:tcBorders>
                  <w:shd w:val="clear" w:color="auto" w:fill="auto"/>
                  <w:noWrap/>
                  <w:vAlign w:val="bottom"/>
                </w:tcPr>
                <w:p w14:paraId="4CAE96A4" w14:textId="77777777" w:rsidR="007756D5" w:rsidRPr="00C5093D" w:rsidRDefault="007756D5" w:rsidP="00B23828">
                  <w:pPr>
                    <w:widowControl w:val="0"/>
                    <w:spacing w:beforeLines="30" w:before="72" w:afterLines="30" w:after="72" w:line="220" w:lineRule="atLeast"/>
                    <w:rPr>
                      <w:rFonts w:eastAsia="MS Mincho"/>
                      <w:szCs w:val="21"/>
                      <w:lang w:eastAsia="en-AU"/>
                    </w:rPr>
                  </w:pPr>
                  <w:r w:rsidRPr="00C5093D">
                    <w:rPr>
                      <w:rFonts w:eastAsia="MS Mincho"/>
                      <w:szCs w:val="21"/>
                      <w:lang w:eastAsia="en-AU"/>
                    </w:rPr>
                    <w:t>Ventricular Septal Defect (VSD)</w:t>
                  </w:r>
                </w:p>
              </w:tc>
            </w:tr>
          </w:tbl>
          <w:p w14:paraId="0D333153" w14:textId="77777777" w:rsidR="007756D5" w:rsidRPr="00C5093D" w:rsidRDefault="007756D5" w:rsidP="00DD725C">
            <w:pPr>
              <w:widowControl w:val="0"/>
              <w:spacing w:after="40" w:line="220" w:lineRule="atLeast"/>
              <w:rPr>
                <w:rFonts w:eastAsia="MS Mincho"/>
                <w:szCs w:val="21"/>
              </w:rPr>
            </w:pPr>
          </w:p>
          <w:p w14:paraId="7FF806E1" w14:textId="77777777" w:rsidR="007756D5" w:rsidRPr="00C5093D" w:rsidRDefault="007756D5" w:rsidP="00DD725C">
            <w:pPr>
              <w:widowControl w:val="0"/>
              <w:spacing w:before="80" w:after="60" w:line="240" w:lineRule="auto"/>
              <w:rPr>
                <w:color w:val="000000" w:themeColor="text1"/>
                <w:szCs w:val="21"/>
              </w:rPr>
            </w:pPr>
            <w:r w:rsidRPr="00C5093D">
              <w:rPr>
                <w:color w:val="000000" w:themeColor="text1"/>
                <w:szCs w:val="21"/>
              </w:rPr>
              <w:t>The following conditions do not need to be reported as a congenital anomaly:</w:t>
            </w:r>
          </w:p>
          <w:p w14:paraId="692CDBC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Abnormal palmar creases </w:t>
            </w:r>
          </w:p>
          <w:p w14:paraId="78F731E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lastRenderedPageBreak/>
              <w:t xml:space="preserve">Accessory nipples </w:t>
            </w:r>
          </w:p>
          <w:p w14:paraId="3E41A2D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Anal fissure </w:t>
            </w:r>
          </w:p>
          <w:p w14:paraId="7710CFC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Balanced autosomal translocation (unless occurring with structural defects)</w:t>
            </w:r>
          </w:p>
          <w:p w14:paraId="5AFFA53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Birth injuries </w:t>
            </w:r>
          </w:p>
          <w:p w14:paraId="1C71F12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Birth marks (smaller than 4cm, not including giant naevus) </w:t>
            </w:r>
          </w:p>
          <w:p w14:paraId="5A3CDAD4"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Bowing of legs (unless severe) </w:t>
            </w:r>
          </w:p>
          <w:p w14:paraId="6BA3CE4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Blocked tear ducts (dacryostenosis) </w:t>
            </w:r>
          </w:p>
          <w:p w14:paraId="062E77A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Brushfield spots </w:t>
            </w:r>
          </w:p>
          <w:p w14:paraId="3FB0278A"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Cephalhaematoma </w:t>
            </w:r>
          </w:p>
          <w:p w14:paraId="63E9C0F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Cleft gum </w:t>
            </w:r>
          </w:p>
          <w:p w14:paraId="199D53F3"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Clicky hips </w:t>
            </w:r>
          </w:p>
          <w:p w14:paraId="43AA40EF"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Clinodactyly </w:t>
            </w:r>
          </w:p>
          <w:p w14:paraId="7589D861"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Craniotabes (unless severe) </w:t>
            </w:r>
          </w:p>
          <w:p w14:paraId="443EECFC"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Dermatoglyphic abnormalities </w:t>
            </w:r>
          </w:p>
          <w:p w14:paraId="3D16612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Ear abnormalities (minor) </w:t>
            </w:r>
          </w:p>
          <w:p w14:paraId="1E9AEF3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Epicanthic folds</w:t>
            </w:r>
          </w:p>
          <w:p w14:paraId="38D6D73C"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Gastro-oesophageal reflux </w:t>
            </w:r>
          </w:p>
          <w:p w14:paraId="250BE7A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Haemangioma (&lt; 4 cm wide) </w:t>
            </w:r>
          </w:p>
          <w:p w14:paraId="54C19BE6"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Hernia – inguinal, umbilical </w:t>
            </w:r>
          </w:p>
          <w:p w14:paraId="228697EE"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High-arched palate </w:t>
            </w:r>
          </w:p>
          <w:p w14:paraId="207F42F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Hydrocele </w:t>
            </w:r>
          </w:p>
          <w:p w14:paraId="4D394F87"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Hypertelorism </w:t>
            </w:r>
          </w:p>
          <w:p w14:paraId="2AACDEA9"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Imperforate hymen </w:t>
            </w:r>
          </w:p>
          <w:p w14:paraId="44E6D37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 xml:space="preserve">Laryngeal stridor </w:t>
            </w:r>
          </w:p>
          <w:p w14:paraId="664B1614"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Laryngomalacia</w:t>
            </w:r>
          </w:p>
          <w:p w14:paraId="699AF0A7"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Low slung/set ears</w:t>
            </w:r>
          </w:p>
          <w:p w14:paraId="780F2C61"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Macroglossia (large tongue)</w:t>
            </w:r>
          </w:p>
          <w:p w14:paraId="79266CC9"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Meckel’s diverticulum</w:t>
            </w:r>
          </w:p>
          <w:p w14:paraId="52285C6B"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Meconium ileus</w:t>
            </w:r>
          </w:p>
          <w:p w14:paraId="716E6962"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Mental retardations (unless occurring with a syndrome/structural defect)</w:t>
            </w:r>
          </w:p>
          <w:p w14:paraId="33CDBFC0"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Metatarsus varus</w:t>
            </w:r>
          </w:p>
          <w:p w14:paraId="7741F8FF"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Micrognathia (unless severe)</w:t>
            </w:r>
          </w:p>
          <w:p w14:paraId="38FA3D15" w14:textId="77777777" w:rsidR="007756D5" w:rsidRPr="00C5093D" w:rsidRDefault="007756D5" w:rsidP="00DD725C">
            <w:pPr>
              <w:widowControl w:val="0"/>
              <w:numPr>
                <w:ilvl w:val="0"/>
                <w:numId w:val="34"/>
              </w:numPr>
              <w:spacing w:before="80" w:after="60" w:line="240" w:lineRule="auto"/>
              <w:rPr>
                <w:color w:val="000000" w:themeColor="text1"/>
                <w:szCs w:val="21"/>
              </w:rPr>
            </w:pPr>
            <w:r w:rsidRPr="00C5093D">
              <w:rPr>
                <w:color w:val="000000" w:themeColor="text1"/>
                <w:szCs w:val="21"/>
              </w:rPr>
              <w:t>Mongolian spots</w:t>
            </w:r>
          </w:p>
          <w:p w14:paraId="73061E9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Occiput, flat/prominent</w:t>
            </w:r>
          </w:p>
          <w:p w14:paraId="4CCFE65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Patent ductus arteriosus (&lt; 37 weeks)</w:t>
            </w:r>
          </w:p>
          <w:p w14:paraId="5EC451A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Philtrum, long/short</w:t>
            </w:r>
          </w:p>
          <w:p w14:paraId="2C7E2AE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Plagiocephaly</w:t>
            </w:r>
          </w:p>
          <w:p w14:paraId="7F4167BD"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Pre-auricular sinus</w:t>
            </w:r>
          </w:p>
          <w:p w14:paraId="0B35ACDB"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Prominent forehead</w:t>
            </w:r>
          </w:p>
          <w:p w14:paraId="25351651"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Protruding tongue</w:t>
            </w:r>
          </w:p>
          <w:p w14:paraId="00A5E338"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Ptosis</w:t>
            </w:r>
          </w:p>
          <w:p w14:paraId="770A7AE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Retrognathia (unless severe)</w:t>
            </w:r>
          </w:p>
          <w:p w14:paraId="6819425C"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Rocker-bottom feet (prominent heels)</w:t>
            </w:r>
          </w:p>
          <w:p w14:paraId="2C13BE61"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Sacral pits, dimples, sinuses</w:t>
            </w:r>
          </w:p>
          <w:p w14:paraId="0C7B6BDA"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lastRenderedPageBreak/>
              <w:t>Short sternum</w:t>
            </w:r>
          </w:p>
          <w:p w14:paraId="75E5512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Simian creases</w:t>
            </w:r>
          </w:p>
          <w:p w14:paraId="79671F87"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 xml:space="preserve">Single umbilical artery/2 vessels in cord </w:t>
            </w:r>
            <w:r w:rsidRPr="00C5093D">
              <w:rPr>
                <w:rFonts w:eastAsia="MS Mincho"/>
                <w:szCs w:val="21"/>
                <w:vertAlign w:val="superscript"/>
              </w:rPr>
              <w:t>1</w:t>
            </w:r>
          </w:p>
          <w:p w14:paraId="043180A6"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Skin folds/tags</w:t>
            </w:r>
          </w:p>
          <w:p w14:paraId="7A21047E"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Slanting eyes</w:t>
            </w:r>
          </w:p>
          <w:p w14:paraId="5FB64BB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Small mouth</w:t>
            </w:r>
          </w:p>
          <w:p w14:paraId="6F835B5B"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Spina bifida occulta (without evidence of spinal lesion)</w:t>
            </w:r>
          </w:p>
          <w:p w14:paraId="1D54B4E3"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Sternomastoid tumour</w:t>
            </w:r>
          </w:p>
          <w:p w14:paraId="55AC21A2"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Subluxating knee joint</w:t>
            </w:r>
          </w:p>
          <w:p w14:paraId="4793346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Talipes (positional)</w:t>
            </w:r>
          </w:p>
          <w:p w14:paraId="754DD9C9"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Toe anomalies – minor</w:t>
            </w:r>
          </w:p>
          <w:p w14:paraId="46A8DEB8"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Tongue tie</w:t>
            </w:r>
          </w:p>
          <w:p w14:paraId="5775057F"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Torticollis</w:t>
            </w:r>
          </w:p>
          <w:p w14:paraId="3F60AC02"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Ureteric reflux (ultrasound diagnosed)</w:t>
            </w:r>
          </w:p>
          <w:p w14:paraId="7AB39E84"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Webbing of 2</w:t>
            </w:r>
            <w:r w:rsidRPr="00C5093D">
              <w:rPr>
                <w:rFonts w:eastAsia="MS Mincho"/>
                <w:szCs w:val="21"/>
                <w:vertAlign w:val="superscript"/>
              </w:rPr>
              <w:t>nd</w:t>
            </w:r>
            <w:r w:rsidRPr="00C5093D">
              <w:rPr>
                <w:rFonts w:eastAsia="MS Mincho"/>
                <w:szCs w:val="21"/>
              </w:rPr>
              <w:t xml:space="preserve"> and 3</w:t>
            </w:r>
            <w:r w:rsidRPr="00C5093D">
              <w:rPr>
                <w:rFonts w:eastAsia="MS Mincho"/>
                <w:szCs w:val="21"/>
                <w:vertAlign w:val="superscript"/>
              </w:rPr>
              <w:t>rd</w:t>
            </w:r>
            <w:r w:rsidRPr="00C5093D">
              <w:rPr>
                <w:rFonts w:eastAsia="MS Mincho"/>
                <w:szCs w:val="21"/>
              </w:rPr>
              <w:t xml:space="preserve"> toes/fingers</w:t>
            </w:r>
          </w:p>
          <w:p w14:paraId="57D52D55" w14:textId="77777777" w:rsidR="007756D5" w:rsidRPr="00C5093D" w:rsidRDefault="007756D5" w:rsidP="00DD725C">
            <w:pPr>
              <w:widowControl w:val="0"/>
              <w:numPr>
                <w:ilvl w:val="0"/>
                <w:numId w:val="34"/>
              </w:numPr>
              <w:spacing w:after="40" w:line="220" w:lineRule="atLeast"/>
              <w:rPr>
                <w:rFonts w:eastAsia="MS Mincho"/>
                <w:szCs w:val="21"/>
              </w:rPr>
            </w:pPr>
            <w:r w:rsidRPr="00C5093D">
              <w:rPr>
                <w:rFonts w:eastAsia="MS Mincho"/>
                <w:szCs w:val="21"/>
              </w:rPr>
              <w:t>Wide suture lines</w:t>
            </w:r>
          </w:p>
          <w:p w14:paraId="2838E7A1" w14:textId="77777777" w:rsidR="007756D5" w:rsidRDefault="007756D5" w:rsidP="00DD725C">
            <w:pPr>
              <w:widowControl w:val="0"/>
              <w:spacing w:after="40" w:line="220" w:lineRule="atLeast"/>
              <w:ind w:left="357"/>
              <w:rPr>
                <w:rFonts w:eastAsia="MS Mincho"/>
                <w:szCs w:val="21"/>
              </w:rPr>
            </w:pPr>
            <w:r w:rsidRPr="00C5093D">
              <w:rPr>
                <w:rFonts w:eastAsia="MS Mincho"/>
                <w:szCs w:val="21"/>
                <w:vertAlign w:val="superscript"/>
              </w:rPr>
              <w:t>1</w:t>
            </w:r>
            <w:r w:rsidRPr="00C5093D">
              <w:rPr>
                <w:rFonts w:eastAsia="MS Mincho"/>
                <w:szCs w:val="21"/>
              </w:rPr>
              <w:t xml:space="preserve"> Report two vessels in cord in data element ‘Cord complications’</w:t>
            </w:r>
          </w:p>
          <w:p w14:paraId="4C6D3938" w14:textId="69D79852" w:rsidR="007756D5" w:rsidRPr="00C5093D" w:rsidRDefault="007756D5" w:rsidP="00DD725C">
            <w:pPr>
              <w:widowControl w:val="0"/>
              <w:spacing w:before="120" w:after="40" w:line="220" w:lineRule="atLeast"/>
              <w:rPr>
                <w:rFonts w:eastAsia="MS Mincho"/>
                <w:szCs w:val="21"/>
              </w:rPr>
            </w:pPr>
          </w:p>
        </w:tc>
      </w:tr>
      <w:tr w:rsidR="00DD725C" w:rsidRPr="00C5093D" w14:paraId="267EBC62" w14:textId="77777777" w:rsidTr="6B49BDEF">
        <w:tc>
          <w:tcPr>
            <w:tcW w:w="1985" w:type="dxa"/>
            <w:shd w:val="clear" w:color="auto" w:fill="auto"/>
          </w:tcPr>
          <w:p w14:paraId="781D533F" w14:textId="7B2338EE" w:rsidR="00DD725C" w:rsidRPr="00C5093D" w:rsidRDefault="00DD725C" w:rsidP="00DD725C">
            <w:pPr>
              <w:widowControl w:val="0"/>
              <w:spacing w:after="0" w:line="240" w:lineRule="auto"/>
              <w:rPr>
                <w:b/>
                <w:szCs w:val="21"/>
              </w:rPr>
            </w:pPr>
            <w:r w:rsidRPr="00C5093D">
              <w:rPr>
                <w:b/>
                <w:noProof/>
                <w:szCs w:val="21"/>
                <w:lang w:eastAsia="en-AU"/>
              </w:rPr>
              <w:lastRenderedPageBreak/>
              <w:t>Related data items (Section 3):</w:t>
            </w:r>
          </w:p>
        </w:tc>
        <w:tc>
          <w:tcPr>
            <w:tcW w:w="7654" w:type="dxa"/>
            <w:shd w:val="clear" w:color="auto" w:fill="auto"/>
          </w:tcPr>
          <w:p w14:paraId="180F856F" w14:textId="114BED89" w:rsidR="00DD725C" w:rsidRDefault="00DD725C" w:rsidP="00DD725C">
            <w:pPr>
              <w:widowControl w:val="0"/>
              <w:spacing w:after="0" w:line="240" w:lineRule="auto"/>
              <w:rPr>
                <w:szCs w:val="21"/>
              </w:rPr>
            </w:pPr>
            <w:r w:rsidRPr="00C5093D">
              <w:rPr>
                <w:rFonts w:eastAsia="MS Mincho"/>
                <w:noProof/>
                <w:szCs w:val="21"/>
              </w:rPr>
              <w:t>Congenital anomalies – ICD-10-AM code; Congenital anomalies – indicator; Sex – baby; Admission to special care nursery (SCN) / neonatal intensive care unit (NICU) – baby; Neonatal morbidity – free text; Neonatal morbidity – ICD-10-AM code</w:t>
            </w:r>
          </w:p>
        </w:tc>
      </w:tr>
      <w:tr w:rsidR="00DD725C" w:rsidRPr="00BA191C" w14:paraId="6584C16F" w14:textId="77777777" w:rsidTr="6B49BDEF">
        <w:tc>
          <w:tcPr>
            <w:tcW w:w="9639" w:type="dxa"/>
            <w:gridSpan w:val="2"/>
            <w:shd w:val="clear" w:color="auto" w:fill="auto"/>
          </w:tcPr>
          <w:p w14:paraId="779335D2" w14:textId="35DE9631" w:rsidR="00DD725C" w:rsidRPr="00BA191C" w:rsidRDefault="00DD725C" w:rsidP="00DD725C">
            <w:pPr>
              <w:pStyle w:val="Heading2"/>
              <w:rPr>
                <w:i/>
              </w:rPr>
            </w:pPr>
            <w:bookmarkStart w:id="22" w:name="_Toc170222942"/>
            <w:r>
              <w:lastRenderedPageBreak/>
              <w:t>Diabetes mellitus</w:t>
            </w:r>
            <w:bookmarkEnd w:id="22"/>
          </w:p>
        </w:tc>
      </w:tr>
      <w:tr w:rsidR="00DD725C" w:rsidRPr="00C5093D" w14:paraId="71F358D4" w14:textId="77777777" w:rsidTr="6B49BDEF">
        <w:tc>
          <w:tcPr>
            <w:tcW w:w="1985" w:type="dxa"/>
            <w:shd w:val="clear" w:color="auto" w:fill="auto"/>
          </w:tcPr>
          <w:p w14:paraId="30FD9AD0" w14:textId="77777777" w:rsidR="00DD725C" w:rsidRPr="00C5093D" w:rsidRDefault="00DD725C" w:rsidP="00DD725C">
            <w:pPr>
              <w:keepNext/>
              <w:keepLines/>
              <w:spacing w:after="0" w:line="240" w:lineRule="auto"/>
              <w:rPr>
                <w:b/>
                <w:i/>
                <w:szCs w:val="21"/>
              </w:rPr>
            </w:pPr>
            <w:r w:rsidRPr="00C5093D">
              <w:rPr>
                <w:b/>
                <w:szCs w:val="21"/>
              </w:rPr>
              <w:t>Definition/guide for use</w:t>
            </w:r>
          </w:p>
        </w:tc>
        <w:tc>
          <w:tcPr>
            <w:tcW w:w="7654" w:type="dxa"/>
            <w:shd w:val="clear" w:color="auto" w:fill="auto"/>
          </w:tcPr>
          <w:p w14:paraId="4589D5F6" w14:textId="77777777" w:rsidR="00DD725C" w:rsidRPr="00C5093D" w:rsidRDefault="00DD725C" w:rsidP="00B23828">
            <w:pPr>
              <w:spacing w:before="120" w:after="40" w:line="220" w:lineRule="atLeast"/>
              <w:rPr>
                <w:rFonts w:eastAsia="MS Mincho"/>
                <w:noProof/>
                <w:szCs w:val="21"/>
              </w:rPr>
            </w:pPr>
            <w:r w:rsidRPr="00C5093D">
              <w:rPr>
                <w:rFonts w:eastAsia="MS Mincho"/>
                <w:noProof/>
                <w:szCs w:val="21"/>
              </w:rPr>
              <w:t>Diabetes is a chronic condition in which the levels of glucose (sugar) in the blood are too high. Blood glucose levels are normally regulated by the hormone insulin, which is made by the pancreas. Diabetes occurs when there is a problem with this hormone and how it works in the body.</w:t>
            </w:r>
          </w:p>
          <w:p w14:paraId="53E22398" w14:textId="797688A0" w:rsidR="00DD725C" w:rsidRPr="00C5093D" w:rsidRDefault="00DD725C" w:rsidP="00DD725C">
            <w:pPr>
              <w:spacing w:before="120" w:after="40" w:line="220" w:lineRule="atLeast"/>
              <w:rPr>
                <w:rFonts w:eastAsia="MS Mincho"/>
                <w:noProof/>
                <w:szCs w:val="21"/>
              </w:rPr>
            </w:pPr>
            <w:r w:rsidRPr="00C5093D">
              <w:rPr>
                <w:rFonts w:eastAsia="MS Mincho"/>
                <w:noProof/>
                <w:szCs w:val="21"/>
              </w:rPr>
              <w:t xml:space="preserve">The main types of diabetes are Type 1 and Type 2. Other varieties include gestational diabetes, diabetes insipidus and pre-diabetes. Gestational diabetes is diabetes that occurs during pregnancy. After the baby is born, the mother’s glucose levels usually return to normal. Women are at greater risk of developing Type 2 diabetes after experiencing gestational diabetes. Pre-diabetes is a condition in which </w:t>
            </w:r>
            <w:r w:rsidR="00BB5A94">
              <w:rPr>
                <w:rFonts w:eastAsia="MS Mincho"/>
                <w:noProof/>
                <w:szCs w:val="21"/>
              </w:rPr>
              <w:t>b</w:t>
            </w:r>
            <w:r w:rsidRPr="00C5093D">
              <w:rPr>
                <w:rFonts w:eastAsia="MS Mincho"/>
                <w:noProof/>
                <w:szCs w:val="21"/>
              </w:rPr>
              <w:t>lood glucose levels are higher than normal, although not high enough to cause diabetes. (Source: Better Health Channel)</w:t>
            </w:r>
          </w:p>
          <w:p w14:paraId="257C6745"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Intermediate hyperglycaemia is not within the scope of diabetes for the purposes of VPDC diabetes reporting.</w:t>
            </w:r>
          </w:p>
          <w:p w14:paraId="30928EDF"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 xml:space="preserve">Four data elements report details about diabetes to the VPDC: </w:t>
            </w:r>
          </w:p>
          <w:p w14:paraId="017FBB76"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during pregnancy – type</w:t>
            </w:r>
          </w:p>
          <w:p w14:paraId="1C47450F"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 gestational – diagnosis timing</w:t>
            </w:r>
          </w:p>
          <w:p w14:paraId="753103D9"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 pre-existing – diagnosis timing</w:t>
            </w:r>
          </w:p>
          <w:p w14:paraId="746D9866" w14:textId="77777777" w:rsidR="00DD725C" w:rsidRPr="00C5093D" w:rsidRDefault="00DD725C" w:rsidP="00DD725C">
            <w:pPr>
              <w:pStyle w:val="ListParagraph"/>
              <w:numPr>
                <w:ilvl w:val="0"/>
                <w:numId w:val="40"/>
              </w:numPr>
              <w:spacing w:before="120" w:after="40" w:line="220" w:lineRule="atLeast"/>
              <w:rPr>
                <w:rFonts w:ascii="Arial" w:eastAsia="MS Mincho" w:hAnsi="Arial"/>
                <w:noProof/>
                <w:sz w:val="21"/>
                <w:szCs w:val="21"/>
              </w:rPr>
            </w:pPr>
            <w:r w:rsidRPr="00C5093D">
              <w:rPr>
                <w:rFonts w:ascii="Arial" w:eastAsia="MS Mincho" w:hAnsi="Arial"/>
                <w:noProof/>
                <w:sz w:val="21"/>
                <w:szCs w:val="21"/>
              </w:rPr>
              <w:t>Diabetes mellitus therapy during pregnancy</w:t>
            </w:r>
          </w:p>
          <w:p w14:paraId="2B7C6D54"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The following sequence of questions may assist in capturing relevant information.</w:t>
            </w:r>
          </w:p>
          <w:p w14:paraId="5F7AF51F" w14:textId="77777777" w:rsidR="00DD725C" w:rsidRPr="00C5093D" w:rsidRDefault="00DD725C" w:rsidP="00DD725C">
            <w:pPr>
              <w:spacing w:before="120" w:after="40" w:line="220" w:lineRule="atLeast"/>
              <w:rPr>
                <w:rFonts w:eastAsia="MS Mincho"/>
                <w:noProof/>
                <w:szCs w:val="21"/>
              </w:rPr>
            </w:pPr>
            <w:r w:rsidRPr="00C5093D">
              <w:rPr>
                <w:rFonts w:eastAsia="MS Mincho"/>
                <w:noProof/>
                <w:szCs w:val="21"/>
              </w:rPr>
              <w:t>Refer also to the Reporting guides for these data elements in Section 3 of the VPDC manual.</w:t>
            </w:r>
          </w:p>
          <w:p w14:paraId="6410C21A" w14:textId="77777777" w:rsidR="00DD725C" w:rsidRPr="00C5093D" w:rsidRDefault="00DD725C" w:rsidP="00DD725C">
            <w:pPr>
              <w:spacing w:before="120" w:after="40" w:line="220" w:lineRule="atLeast"/>
              <w:rPr>
                <w:rFonts w:eastAsia="MS Mincho"/>
                <w:szCs w:val="21"/>
              </w:rPr>
            </w:pPr>
          </w:p>
        </w:tc>
      </w:tr>
      <w:tr w:rsidR="00DD725C" w:rsidRPr="00C5093D" w14:paraId="245C2743" w14:textId="77777777" w:rsidTr="6B49BDEF">
        <w:tc>
          <w:tcPr>
            <w:tcW w:w="1985" w:type="dxa"/>
            <w:shd w:val="clear" w:color="auto" w:fill="auto"/>
          </w:tcPr>
          <w:p w14:paraId="1FA3A0BF" w14:textId="77777777" w:rsidR="00DD725C" w:rsidRPr="00C5093D" w:rsidRDefault="00DD725C" w:rsidP="00DD725C">
            <w:pPr>
              <w:keepNext/>
              <w:keepLines/>
              <w:spacing w:after="0" w:line="240" w:lineRule="auto"/>
              <w:rPr>
                <w:b/>
                <w:szCs w:val="21"/>
                <w:lang w:eastAsia="en-AU"/>
              </w:rPr>
            </w:pPr>
            <w:r w:rsidRPr="00C5093D">
              <w:rPr>
                <w:b/>
                <w:noProof/>
                <w:szCs w:val="21"/>
                <w:lang w:eastAsia="en-AU"/>
              </w:rPr>
              <w:t>Related data items (Section 3):</w:t>
            </w:r>
          </w:p>
        </w:tc>
        <w:tc>
          <w:tcPr>
            <w:tcW w:w="7654" w:type="dxa"/>
            <w:shd w:val="clear" w:color="auto" w:fill="auto"/>
          </w:tcPr>
          <w:p w14:paraId="635A903C" w14:textId="0A968D81" w:rsidR="00DD725C" w:rsidRPr="00C5093D" w:rsidRDefault="00037E4F" w:rsidP="6B49BDEF">
            <w:pPr>
              <w:spacing w:after="40" w:line="220" w:lineRule="atLeast"/>
              <w:rPr>
                <w:rFonts w:eastAsia="MS Mincho"/>
                <w:szCs w:val="21"/>
              </w:rPr>
            </w:pPr>
            <w:r w:rsidRPr="00C5093D">
              <w:rPr>
                <w:rFonts w:eastAsia="MS Mincho"/>
                <w:szCs w:val="21"/>
              </w:rPr>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w:t>
            </w:r>
            <w:r>
              <w:rPr>
                <w:rFonts w:eastAsia="MS Mincho"/>
                <w:szCs w:val="21"/>
              </w:rPr>
              <w:t xml:space="preserve"> </w:t>
            </w:r>
            <w:r w:rsidRPr="00C5093D">
              <w:rPr>
                <w:rFonts w:eastAsia="MS Mincho"/>
                <w:szCs w:val="21"/>
              </w:rPr>
              <w:t xml:space="preserve">Indications for induction (other) – free text; </w:t>
            </w:r>
            <w:r w:rsidRPr="00B411CB">
              <w:rPr>
                <w:rFonts w:eastAsia="MS Mincho"/>
                <w:szCs w:val="21"/>
              </w:rPr>
              <w:t>Indications for induction (other) – ICD-10-AM code;</w:t>
            </w:r>
            <w:r w:rsidRPr="00C5093D">
              <w:rPr>
                <w:rFonts w:eastAsia="MS Mincho"/>
                <w:szCs w:val="21"/>
              </w:rPr>
              <w:t xml:space="preserve"> Indication</w:t>
            </w:r>
            <w:r w:rsidRPr="00823942">
              <w:rPr>
                <w:rFonts w:eastAsia="MS Mincho"/>
                <w:strike/>
                <w:szCs w:val="21"/>
              </w:rPr>
              <w:t>s</w:t>
            </w:r>
            <w:r w:rsidRPr="00C5093D">
              <w:rPr>
                <w:rFonts w:eastAsia="MS Mincho"/>
                <w:szCs w:val="21"/>
              </w:rPr>
              <w:t xml:space="preserve"> for operative </w:t>
            </w:r>
            <w:r w:rsidRPr="000473B9">
              <w:rPr>
                <w:rFonts w:eastAsia="MS Mincho"/>
                <w:szCs w:val="21"/>
              </w:rPr>
              <w:t xml:space="preserve">delivery </w:t>
            </w:r>
            <w:r w:rsidRPr="00B411CB">
              <w:rPr>
                <w:rFonts w:eastAsia="MS Mincho"/>
                <w:szCs w:val="21"/>
              </w:rPr>
              <w:t>(main reason)</w:t>
            </w:r>
            <w:r w:rsidRPr="00C5093D">
              <w:rPr>
                <w:rFonts w:eastAsia="MS Mincho"/>
                <w:szCs w:val="21"/>
              </w:rPr>
              <w:t xml:space="preserve"> – ICD-10-AM code;</w:t>
            </w:r>
            <w:r>
              <w:rPr>
                <w:rFonts w:eastAsia="MS Mincho"/>
                <w:szCs w:val="21"/>
              </w:rPr>
              <w:t xml:space="preserve"> </w:t>
            </w:r>
            <w:r w:rsidRPr="00C5093D">
              <w:rPr>
                <w:rFonts w:eastAsia="MS Mincho"/>
                <w:szCs w:val="21"/>
              </w:rPr>
              <w:t xml:space="preserve">Indications for operative delivery </w:t>
            </w:r>
            <w:r>
              <w:rPr>
                <w:rFonts w:eastAsia="MS Mincho"/>
                <w:szCs w:val="21"/>
              </w:rPr>
              <w:t xml:space="preserve">(other) </w:t>
            </w:r>
            <w:r w:rsidRPr="00C5093D">
              <w:rPr>
                <w:rFonts w:eastAsia="MS Mincho"/>
                <w:szCs w:val="21"/>
              </w:rPr>
              <w:t xml:space="preserve">– free text; </w:t>
            </w:r>
            <w:r w:rsidRPr="00B411CB">
              <w:rPr>
                <w:rFonts w:eastAsia="MS Mincho"/>
                <w:szCs w:val="21"/>
              </w:rPr>
              <w:t>Indications for operative delivery (other) – ICD-10-AM code;</w:t>
            </w:r>
            <w:r w:rsidRPr="00C5093D">
              <w:rPr>
                <w:rFonts w:eastAsia="MS Mincho"/>
                <w:szCs w:val="21"/>
              </w:rPr>
              <w:t xml:space="preserve"> Maternal medical conditions – free text; Maternal medical conditions – ICD-10-AM code; Obstetric complications – free text; Obstetric complications – ICD-10-AM code; Postpartum complications – free text; Postpartum complications – ICD-10-AM code</w:t>
            </w:r>
            <w:r>
              <w:rPr>
                <w:rFonts w:eastAsia="MS Mincho"/>
                <w:szCs w:val="21"/>
              </w:rPr>
              <w:t>.</w:t>
            </w:r>
          </w:p>
        </w:tc>
      </w:tr>
    </w:tbl>
    <w:p w14:paraId="4568497C" w14:textId="77777777" w:rsidR="007B4D6E" w:rsidRDefault="007B4D6E" w:rsidP="007B4D6E">
      <w:pPr>
        <w:rPr>
          <w:b/>
        </w:rPr>
      </w:pPr>
    </w:p>
    <w:p w14:paraId="4CD7E520" w14:textId="77777777" w:rsidR="007B4D6E" w:rsidRDefault="007B4D6E" w:rsidP="007B4D6E">
      <w:pPr>
        <w:rPr>
          <w:b/>
        </w:rPr>
        <w:sectPr w:rsidR="007B4D6E" w:rsidSect="00C46C65">
          <w:footerReference w:type="even" r:id="rId18"/>
          <w:footerReference w:type="first" r:id="rId19"/>
          <w:pgSz w:w="11906" w:h="16838"/>
          <w:pgMar w:top="1134" w:right="1133" w:bottom="1134" w:left="1304" w:header="567" w:footer="851" w:gutter="0"/>
          <w:pgNumType w:start="5"/>
          <w:cols w:space="720"/>
          <w:titlePg/>
          <w:docGrid w:linePitch="360"/>
        </w:sectPr>
      </w:pPr>
    </w:p>
    <w:p w14:paraId="562FB303" w14:textId="177C4671" w:rsidR="00130F13" w:rsidRPr="005D64B7" w:rsidRDefault="001528DC" w:rsidP="007B4D6E">
      <w:pPr>
        <w:rPr>
          <w:b/>
          <w:bCs/>
          <w:noProof/>
        </w:rPr>
      </w:pPr>
      <w:r w:rsidRPr="001528DC">
        <w:rPr>
          <w:noProof/>
        </w:rPr>
        <w:lastRenderedPageBreak/>
        <w:t xml:space="preserve"> </w:t>
      </w:r>
      <w:r w:rsidR="00D877B6" w:rsidRPr="005D64B7">
        <w:rPr>
          <w:b/>
          <w:bCs/>
          <w:noProof/>
        </w:rPr>
        <w:t xml:space="preserve">Flow diagram to support reporting of </w:t>
      </w:r>
      <w:r w:rsidR="00A05710" w:rsidRPr="005D64B7">
        <w:rPr>
          <w:b/>
          <w:bCs/>
          <w:noProof/>
        </w:rPr>
        <w:t xml:space="preserve">VPDC data items about </w:t>
      </w:r>
      <w:r w:rsidR="00D877B6" w:rsidRPr="005D64B7">
        <w:rPr>
          <w:b/>
          <w:bCs/>
          <w:noProof/>
        </w:rPr>
        <w:t>Diabetes mellitus during this pregnancy</w:t>
      </w:r>
      <w:r w:rsidR="00A05710" w:rsidRPr="005D64B7">
        <w:rPr>
          <w:b/>
          <w:bCs/>
          <w:noProof/>
        </w:rPr>
        <w:t>:</w:t>
      </w:r>
    </w:p>
    <w:p w14:paraId="117DE215" w14:textId="6D4048A4" w:rsidR="007B4D6E" w:rsidRDefault="001528DC" w:rsidP="007B4D6E">
      <w:r w:rsidRPr="001528DC">
        <w:rPr>
          <w:noProof/>
        </w:rPr>
        <w:drawing>
          <wp:inline distT="0" distB="0" distL="0" distR="0" wp14:anchorId="235AF7B5" wp14:editId="0AAA3C4A">
            <wp:extent cx="9627930" cy="5301639"/>
            <wp:effectExtent l="0" t="0" r="0" b="0"/>
            <wp:docPr id="1520177917" name="Picture 1" descr="Flow diagram guiding selection of values to report for data items reporting whether the mother had diabetes mellitus during this pregnancy, and if so, what type, its onset, and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77917" name="Picture 1" descr="Flow diagram guiding selection of values to report for data items reporting whether the mother had diabetes mellitus during this pregnancy, and if so, what type, its onset, and therapy."/>
                    <pic:cNvPicPr/>
                  </pic:nvPicPr>
                  <pic:blipFill>
                    <a:blip r:embed="rId20"/>
                    <a:stretch>
                      <a:fillRect/>
                    </a:stretch>
                  </pic:blipFill>
                  <pic:spPr>
                    <a:xfrm>
                      <a:off x="0" y="0"/>
                      <a:ext cx="9629951" cy="5302752"/>
                    </a:xfrm>
                    <a:prstGeom prst="rect">
                      <a:avLst/>
                    </a:prstGeom>
                  </pic:spPr>
                </pic:pic>
              </a:graphicData>
            </a:graphic>
          </wp:inline>
        </w:drawing>
      </w:r>
    </w:p>
    <w:p w14:paraId="2556F0DC" w14:textId="77777777" w:rsidR="007B4D6E" w:rsidRDefault="007B4D6E" w:rsidP="007B4D6E"/>
    <w:p w14:paraId="1362E85D" w14:textId="77777777" w:rsidR="007B4D6E" w:rsidRDefault="007B4D6E" w:rsidP="007B4D6E">
      <w:pPr>
        <w:rPr>
          <w:b/>
        </w:rPr>
        <w:sectPr w:rsidR="007B4D6E" w:rsidSect="0087180A">
          <w:pgSz w:w="16838" w:h="11906" w:orient="landscape"/>
          <w:pgMar w:top="1304" w:right="1134" w:bottom="1133" w:left="1134" w:header="567" w:footer="567" w:gutter="0"/>
          <w:cols w:space="720"/>
          <w:titlePg/>
          <w:docGrid w:linePitch="360"/>
        </w:sectPr>
      </w:pPr>
    </w:p>
    <w:tbl>
      <w:tblPr>
        <w:tblW w:w="9350" w:type="dxa"/>
        <w:tblLayout w:type="fixed"/>
        <w:tblLook w:val="01E0" w:firstRow="1" w:lastRow="1" w:firstColumn="1" w:lastColumn="1" w:noHBand="0" w:noVBand="0"/>
      </w:tblPr>
      <w:tblGrid>
        <w:gridCol w:w="1984"/>
        <w:gridCol w:w="7230"/>
        <w:gridCol w:w="130"/>
        <w:gridCol w:w="6"/>
      </w:tblGrid>
      <w:tr w:rsidR="007B4D6E" w:rsidRPr="00BA191C" w14:paraId="3F1CAD0B" w14:textId="77777777" w:rsidTr="0087180A">
        <w:trPr>
          <w:gridAfter w:val="1"/>
          <w:wAfter w:w="6" w:type="dxa"/>
        </w:trPr>
        <w:tc>
          <w:tcPr>
            <w:tcW w:w="9344" w:type="dxa"/>
            <w:gridSpan w:val="3"/>
            <w:shd w:val="clear" w:color="auto" w:fill="auto"/>
          </w:tcPr>
          <w:p w14:paraId="5478F35A" w14:textId="77777777" w:rsidR="007B4D6E" w:rsidRPr="00BA191C" w:rsidRDefault="007B4D6E" w:rsidP="0087180A">
            <w:pPr>
              <w:pStyle w:val="Heading2"/>
              <w:rPr>
                <w:i/>
              </w:rPr>
            </w:pPr>
            <w:bookmarkStart w:id="23" w:name="_Toc31277985"/>
            <w:bookmarkStart w:id="24" w:name="_Toc170222943"/>
            <w:r w:rsidRPr="00BA191C">
              <w:lastRenderedPageBreak/>
              <w:t xml:space="preserve">Estimated </w:t>
            </w:r>
            <w:r w:rsidRPr="00F97CC2">
              <w:t>gestational</w:t>
            </w:r>
            <w:r w:rsidRPr="00BA191C">
              <w:t xml:space="preserve"> age</w:t>
            </w:r>
            <w:bookmarkEnd w:id="23"/>
            <w:bookmarkEnd w:id="24"/>
          </w:p>
        </w:tc>
      </w:tr>
      <w:tr w:rsidR="007B4D6E" w:rsidRPr="00BA191C" w14:paraId="13C5EB4D" w14:textId="77777777" w:rsidTr="0087180A">
        <w:tc>
          <w:tcPr>
            <w:tcW w:w="1984" w:type="dxa"/>
            <w:shd w:val="clear" w:color="auto" w:fill="auto"/>
          </w:tcPr>
          <w:p w14:paraId="4A2767AC" w14:textId="77777777" w:rsidR="007B4D6E" w:rsidRPr="00C5093D" w:rsidRDefault="007B4D6E" w:rsidP="0087180A">
            <w:pPr>
              <w:keepNext/>
              <w:spacing w:after="0" w:line="240" w:lineRule="auto"/>
              <w:rPr>
                <w:b/>
                <w:i/>
                <w:szCs w:val="21"/>
              </w:rPr>
            </w:pPr>
            <w:r w:rsidRPr="00C5093D">
              <w:rPr>
                <w:b/>
                <w:szCs w:val="21"/>
              </w:rPr>
              <w:t>Definition/guide for use</w:t>
            </w:r>
          </w:p>
        </w:tc>
        <w:tc>
          <w:tcPr>
            <w:tcW w:w="7366" w:type="dxa"/>
            <w:gridSpan w:val="3"/>
            <w:shd w:val="clear" w:color="auto" w:fill="auto"/>
          </w:tcPr>
          <w:p w14:paraId="64C101CE"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The period of development of the fetus from the time of fertilisation until birth, as determined by clinical assessment.</w:t>
            </w:r>
          </w:p>
          <w:p w14:paraId="5B6F313F"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The World Health Organization identifies the following categories:</w:t>
            </w:r>
          </w:p>
          <w:p w14:paraId="53C12FED"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pre-term – less than 37 completed weeks (259 days) of gestation</w:t>
            </w:r>
          </w:p>
          <w:p w14:paraId="35588279"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term – from 37 completed weeks to less than 42 completed weeks (259 to 293 days) of gestation</w:t>
            </w:r>
          </w:p>
          <w:p w14:paraId="1F921A99" w14:textId="77777777" w:rsidR="007B4D6E" w:rsidRPr="00C5093D" w:rsidRDefault="007B4D6E" w:rsidP="007B4D6E">
            <w:pPr>
              <w:pStyle w:val="ListParagraph"/>
              <w:numPr>
                <w:ilvl w:val="0"/>
                <w:numId w:val="38"/>
              </w:numPr>
              <w:spacing w:after="40" w:line="220" w:lineRule="atLeast"/>
              <w:rPr>
                <w:rFonts w:ascii="Arial" w:eastAsia="MS Mincho" w:hAnsi="Arial"/>
                <w:noProof/>
                <w:sz w:val="21"/>
                <w:szCs w:val="21"/>
              </w:rPr>
            </w:pPr>
            <w:r w:rsidRPr="00C5093D">
              <w:rPr>
                <w:rFonts w:ascii="Arial" w:eastAsia="MS Mincho" w:hAnsi="Arial"/>
                <w:noProof/>
                <w:sz w:val="21"/>
                <w:szCs w:val="21"/>
              </w:rPr>
              <w:t>post-term – 42 completed weeks (294 days) or more of gestation</w:t>
            </w:r>
          </w:p>
          <w:p w14:paraId="431333BA"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Gestational age is frequently a source of confusion when calculations are based on menstrual dates. When calculating the gestational age from the date of the first day of the last menstrual period and the date of delivery, it should be kept in mind that the first day is day zero and not day one.</w:t>
            </w:r>
          </w:p>
          <w:p w14:paraId="52B43FBC"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Where more than one gestational age is estimated, by date, ultrasound or clinical assessment at birth, record the gestational age by dates if they are reliable. If the dates are not reliable, record the gestational age as determined by clinical assessment. If there was no clinical estimate at birth, record an ultrasound estimate.</w:t>
            </w:r>
          </w:p>
          <w:p w14:paraId="67FDEEFA" w14:textId="77777777" w:rsidR="007B4D6E" w:rsidRPr="00C5093D" w:rsidRDefault="007B4D6E" w:rsidP="0087180A">
            <w:pPr>
              <w:spacing w:before="120" w:after="40" w:line="220" w:lineRule="atLeast"/>
              <w:rPr>
                <w:rFonts w:eastAsia="MS Mincho"/>
                <w:szCs w:val="21"/>
              </w:rPr>
            </w:pPr>
          </w:p>
        </w:tc>
      </w:tr>
      <w:tr w:rsidR="007B4D6E" w:rsidRPr="00BA191C" w14:paraId="324E580E" w14:textId="77777777" w:rsidTr="0087180A">
        <w:tc>
          <w:tcPr>
            <w:tcW w:w="1984" w:type="dxa"/>
            <w:shd w:val="clear" w:color="auto" w:fill="auto"/>
          </w:tcPr>
          <w:p w14:paraId="2AE0B3D4"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366" w:type="dxa"/>
            <w:gridSpan w:val="3"/>
            <w:shd w:val="clear" w:color="auto" w:fill="auto"/>
          </w:tcPr>
          <w:p w14:paraId="095F911A" w14:textId="77777777" w:rsidR="007B4D6E" w:rsidRPr="00C5093D" w:rsidRDefault="007B4D6E" w:rsidP="0087180A">
            <w:pPr>
              <w:widowControl w:val="0"/>
              <w:spacing w:after="40" w:line="220" w:lineRule="atLeast"/>
              <w:rPr>
                <w:rFonts w:eastAsia="MS Mincho"/>
                <w:szCs w:val="21"/>
              </w:rPr>
            </w:pPr>
            <w:r w:rsidRPr="00C5093D">
              <w:rPr>
                <w:rFonts w:eastAsia="MS Mincho"/>
                <w:szCs w:val="21"/>
              </w:rPr>
              <w:t>Estimated gestational age; Gestational age at first antenatal visit</w:t>
            </w:r>
          </w:p>
        </w:tc>
      </w:tr>
      <w:tr w:rsidR="007B4D6E" w:rsidRPr="00BA191C" w14:paraId="248CC8B7" w14:textId="77777777" w:rsidTr="0087180A">
        <w:trPr>
          <w:gridAfter w:val="2"/>
          <w:wAfter w:w="136" w:type="dxa"/>
        </w:trPr>
        <w:tc>
          <w:tcPr>
            <w:tcW w:w="9214" w:type="dxa"/>
            <w:gridSpan w:val="2"/>
            <w:shd w:val="clear" w:color="auto" w:fill="auto"/>
          </w:tcPr>
          <w:p w14:paraId="0294E11D" w14:textId="77777777" w:rsidR="007B4D6E" w:rsidRPr="00BA191C" w:rsidRDefault="007B4D6E" w:rsidP="0087180A">
            <w:pPr>
              <w:pStyle w:val="Heading2"/>
            </w:pPr>
            <w:bookmarkStart w:id="25" w:name="_Toc31277986"/>
            <w:bookmarkStart w:id="26" w:name="_Toc170222944"/>
            <w:r w:rsidRPr="00BA191C">
              <w:t xml:space="preserve">Geographic </w:t>
            </w:r>
            <w:r w:rsidRPr="001F3CB0">
              <w:t>indicator</w:t>
            </w:r>
            <w:bookmarkEnd w:id="25"/>
            <w:bookmarkEnd w:id="26"/>
          </w:p>
        </w:tc>
      </w:tr>
      <w:tr w:rsidR="007B4D6E" w:rsidRPr="00BA191C" w14:paraId="62F7948F" w14:textId="77777777" w:rsidTr="0087180A">
        <w:trPr>
          <w:gridAfter w:val="2"/>
          <w:wAfter w:w="136" w:type="dxa"/>
        </w:trPr>
        <w:tc>
          <w:tcPr>
            <w:tcW w:w="1984" w:type="dxa"/>
            <w:shd w:val="clear" w:color="auto" w:fill="auto"/>
          </w:tcPr>
          <w:p w14:paraId="47FCCA48" w14:textId="77777777" w:rsidR="007B4D6E" w:rsidRPr="00C5093D" w:rsidRDefault="007B4D6E" w:rsidP="0087180A">
            <w:pPr>
              <w:keepNext/>
              <w:spacing w:after="0" w:line="240" w:lineRule="auto"/>
              <w:rPr>
                <w:b/>
                <w:i/>
                <w:szCs w:val="21"/>
              </w:rPr>
            </w:pPr>
            <w:r w:rsidRPr="00C5093D">
              <w:rPr>
                <w:b/>
                <w:szCs w:val="21"/>
              </w:rPr>
              <w:t>Definition/guide for use</w:t>
            </w:r>
          </w:p>
        </w:tc>
        <w:tc>
          <w:tcPr>
            <w:tcW w:w="7230" w:type="dxa"/>
            <w:shd w:val="clear" w:color="auto" w:fill="auto"/>
          </w:tcPr>
          <w:p w14:paraId="47E906AB"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 classification scheme that divides an area into mutually exclusive sub-areas based on geographic location. Some geographic indicators are:</w:t>
            </w:r>
          </w:p>
          <w:p w14:paraId="51B1B825" w14:textId="0AAC84FC"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Australian Standard Geographical Classification (ASGC, ABS cat no. 1216.0, effective up until 1 July 2011</w:t>
            </w:r>
            <w:r w:rsidR="00E3110C">
              <w:rPr>
                <w:rFonts w:ascii="Arial" w:eastAsia="MS Mincho" w:hAnsi="Arial"/>
                <w:noProof/>
                <w:sz w:val="21"/>
                <w:szCs w:val="21"/>
              </w:rPr>
              <w:t>)</w:t>
            </w:r>
          </w:p>
          <w:p w14:paraId="29F23E1B" w14:textId="5880DC09"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Australian Statistical Geography Standard (ASGS, ABS cat. Nos. 1270.0.55.001 to 1270.0.55.005 effective from 1 July 2011</w:t>
            </w:r>
            <w:r w:rsidR="00E3110C">
              <w:rPr>
                <w:rFonts w:ascii="Arial" w:eastAsia="MS Mincho" w:hAnsi="Arial"/>
                <w:noProof/>
                <w:sz w:val="21"/>
                <w:szCs w:val="21"/>
              </w:rPr>
              <w:t>)</w:t>
            </w:r>
          </w:p>
          <w:p w14:paraId="4D456368"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Administrative regions</w:t>
            </w:r>
          </w:p>
          <w:p w14:paraId="7A035F33"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Electorates</w:t>
            </w:r>
          </w:p>
          <w:p w14:paraId="6E68203C"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Accessibilty/Remoteness Index of Australia (ARIA)</w:t>
            </w:r>
          </w:p>
          <w:p w14:paraId="2BA98F9D" w14:textId="77777777" w:rsidR="007B4D6E" w:rsidRPr="00C5093D" w:rsidRDefault="007B4D6E" w:rsidP="007B4D6E">
            <w:pPr>
              <w:pStyle w:val="ListParagraph"/>
              <w:numPr>
                <w:ilvl w:val="0"/>
                <w:numId w:val="39"/>
              </w:numPr>
              <w:spacing w:after="40" w:line="220" w:lineRule="atLeast"/>
              <w:rPr>
                <w:rFonts w:ascii="Arial" w:eastAsia="MS Mincho" w:hAnsi="Arial"/>
                <w:noProof/>
                <w:sz w:val="21"/>
                <w:szCs w:val="21"/>
              </w:rPr>
            </w:pPr>
            <w:r w:rsidRPr="00C5093D">
              <w:rPr>
                <w:rFonts w:ascii="Arial" w:eastAsia="MS Mincho" w:hAnsi="Arial"/>
                <w:noProof/>
                <w:sz w:val="21"/>
                <w:szCs w:val="21"/>
              </w:rPr>
              <w:t>Rural, Remoteness and Metropolitan Area Classification (RRMA)</w:t>
            </w:r>
          </w:p>
          <w:p w14:paraId="22F75094" w14:textId="77777777" w:rsidR="007B4D6E" w:rsidRPr="00C5093D" w:rsidRDefault="007B4D6E" w:rsidP="007B4D6E">
            <w:pPr>
              <w:pStyle w:val="ListParagraph"/>
              <w:numPr>
                <w:ilvl w:val="0"/>
                <w:numId w:val="39"/>
              </w:numPr>
              <w:spacing w:after="40" w:line="220" w:lineRule="atLeast"/>
              <w:rPr>
                <w:rFonts w:ascii="Arial" w:eastAsia="MS Mincho" w:hAnsi="Arial"/>
                <w:sz w:val="21"/>
                <w:szCs w:val="21"/>
              </w:rPr>
            </w:pPr>
            <w:r w:rsidRPr="00C5093D">
              <w:rPr>
                <w:rFonts w:ascii="Arial" w:eastAsia="MS Mincho" w:hAnsi="Arial"/>
                <w:noProof/>
                <w:sz w:val="21"/>
                <w:szCs w:val="21"/>
              </w:rPr>
              <w:t>Country</w:t>
            </w:r>
          </w:p>
          <w:p w14:paraId="04DB0FBE" w14:textId="77777777" w:rsidR="007B4D6E" w:rsidRPr="00C5093D" w:rsidRDefault="007B4D6E" w:rsidP="0087180A">
            <w:pPr>
              <w:spacing w:after="40" w:line="220" w:lineRule="atLeast"/>
              <w:rPr>
                <w:rFonts w:eastAsia="MS Mincho"/>
                <w:szCs w:val="21"/>
              </w:rPr>
            </w:pPr>
          </w:p>
        </w:tc>
      </w:tr>
      <w:tr w:rsidR="007B4D6E" w:rsidRPr="00BA191C" w14:paraId="75EF3279" w14:textId="77777777" w:rsidTr="0087180A">
        <w:trPr>
          <w:gridAfter w:val="2"/>
          <w:wAfter w:w="136" w:type="dxa"/>
        </w:trPr>
        <w:tc>
          <w:tcPr>
            <w:tcW w:w="1984" w:type="dxa"/>
            <w:shd w:val="clear" w:color="auto" w:fill="auto"/>
          </w:tcPr>
          <w:p w14:paraId="4F0B160E"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Context:</w:t>
            </w:r>
          </w:p>
        </w:tc>
        <w:tc>
          <w:tcPr>
            <w:tcW w:w="7230" w:type="dxa"/>
            <w:shd w:val="clear" w:color="auto" w:fill="auto"/>
          </w:tcPr>
          <w:p w14:paraId="7759E455" w14:textId="77777777" w:rsidR="007B4D6E" w:rsidRPr="00C5093D" w:rsidRDefault="007B4D6E" w:rsidP="0087180A">
            <w:pPr>
              <w:spacing w:after="40" w:line="220" w:lineRule="atLeast"/>
              <w:rPr>
                <w:rFonts w:eastAsia="MS Mincho"/>
                <w:szCs w:val="21"/>
              </w:rPr>
            </w:pPr>
            <w:r w:rsidRPr="00C5093D">
              <w:rPr>
                <w:rFonts w:eastAsia="MS Mincho"/>
                <w:szCs w:val="21"/>
              </w:rPr>
              <w:t>To enable the analysis of data on a geographical basis. Facilitates analysis of service provision in relation to demographic and other characteristics of the population of a geographical area.</w:t>
            </w:r>
          </w:p>
          <w:p w14:paraId="4E999B7F" w14:textId="77777777" w:rsidR="007B4D6E" w:rsidRPr="00C5093D" w:rsidRDefault="007B4D6E" w:rsidP="0087180A">
            <w:pPr>
              <w:spacing w:after="40" w:line="220" w:lineRule="atLeast"/>
              <w:rPr>
                <w:rFonts w:eastAsia="MS Mincho"/>
                <w:szCs w:val="21"/>
              </w:rPr>
            </w:pPr>
          </w:p>
        </w:tc>
      </w:tr>
      <w:tr w:rsidR="007B4D6E" w:rsidRPr="00BA191C" w14:paraId="5A26845A" w14:textId="77777777" w:rsidTr="0087180A">
        <w:trPr>
          <w:gridAfter w:val="2"/>
          <w:wAfter w:w="136" w:type="dxa"/>
        </w:trPr>
        <w:tc>
          <w:tcPr>
            <w:tcW w:w="1984" w:type="dxa"/>
            <w:shd w:val="clear" w:color="auto" w:fill="auto"/>
          </w:tcPr>
          <w:p w14:paraId="747035E7"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230" w:type="dxa"/>
            <w:shd w:val="clear" w:color="auto" w:fill="auto"/>
          </w:tcPr>
          <w:p w14:paraId="0FD0D921" w14:textId="77777777" w:rsidR="007B4D6E" w:rsidRPr="00C5093D" w:rsidRDefault="007B4D6E" w:rsidP="0087180A">
            <w:pPr>
              <w:spacing w:after="40" w:line="220" w:lineRule="atLeast"/>
              <w:rPr>
                <w:rFonts w:eastAsia="MS Mincho"/>
                <w:szCs w:val="21"/>
              </w:rPr>
            </w:pPr>
            <w:r w:rsidRPr="00C5093D">
              <w:rPr>
                <w:rFonts w:eastAsia="MS Mincho"/>
                <w:noProof/>
                <w:szCs w:val="21"/>
              </w:rPr>
              <w:t>Country of birth; Residential locality; Residential postcode; Residential road name – mother; Residential road number – mother; Residential road suffix – mother; Residential road type – mother</w:t>
            </w:r>
          </w:p>
        </w:tc>
      </w:tr>
    </w:tbl>
    <w:p w14:paraId="12B067D6" w14:textId="77777777" w:rsidR="007B4D6E" w:rsidRDefault="007B4D6E" w:rsidP="007B4D6E">
      <w:bookmarkStart w:id="27" w:name="_Hlk11814431"/>
      <w:r>
        <w:rPr>
          <w:b/>
        </w:rPr>
        <w:br w:type="page"/>
      </w:r>
    </w:p>
    <w:tbl>
      <w:tblPr>
        <w:tblW w:w="9573" w:type="dxa"/>
        <w:tblLayout w:type="fixed"/>
        <w:tblLook w:val="01E0" w:firstRow="1" w:lastRow="1" w:firstColumn="1" w:lastColumn="1" w:noHBand="0" w:noVBand="0"/>
      </w:tblPr>
      <w:tblGrid>
        <w:gridCol w:w="1935"/>
        <w:gridCol w:w="50"/>
        <w:gridCol w:w="89"/>
        <w:gridCol w:w="53"/>
        <w:gridCol w:w="6945"/>
        <w:gridCol w:w="166"/>
        <w:gridCol w:w="18"/>
        <w:gridCol w:w="66"/>
        <w:gridCol w:w="56"/>
        <w:gridCol w:w="195"/>
      </w:tblGrid>
      <w:tr w:rsidR="007B4D6E" w:rsidRPr="00BA191C" w14:paraId="2451378A" w14:textId="77777777" w:rsidTr="00F60E97">
        <w:trPr>
          <w:gridAfter w:val="2"/>
          <w:wAfter w:w="251" w:type="dxa"/>
        </w:trPr>
        <w:tc>
          <w:tcPr>
            <w:tcW w:w="9322" w:type="dxa"/>
            <w:gridSpan w:val="8"/>
            <w:shd w:val="clear" w:color="auto" w:fill="auto"/>
          </w:tcPr>
          <w:tbl>
            <w:tblPr>
              <w:tblW w:w="9813" w:type="dxa"/>
              <w:tblLayout w:type="fixed"/>
              <w:tblLook w:val="01E0" w:firstRow="1" w:lastRow="1" w:firstColumn="1" w:lastColumn="1" w:noHBand="0" w:noVBand="0"/>
            </w:tblPr>
            <w:tblGrid>
              <w:gridCol w:w="1876"/>
              <w:gridCol w:w="7338"/>
              <w:gridCol w:w="599"/>
            </w:tblGrid>
            <w:tr w:rsidR="007B4D6E" w:rsidRPr="00C5093D" w14:paraId="6008F2B0" w14:textId="77777777" w:rsidTr="0087180A">
              <w:tc>
                <w:tcPr>
                  <w:tcW w:w="9813" w:type="dxa"/>
                  <w:gridSpan w:val="3"/>
                  <w:shd w:val="clear" w:color="auto" w:fill="auto"/>
                </w:tcPr>
                <w:p w14:paraId="148C28E1" w14:textId="77777777" w:rsidR="007B4D6E" w:rsidRPr="00C5093D" w:rsidRDefault="007B4D6E" w:rsidP="00751BE7">
                  <w:pPr>
                    <w:pStyle w:val="Heading2"/>
                  </w:pPr>
                  <w:bookmarkStart w:id="28" w:name="_Toc31277987"/>
                  <w:bookmarkStart w:id="29" w:name="_Toc170222945"/>
                  <w:r w:rsidRPr="00751BE7">
                    <w:lastRenderedPageBreak/>
                    <w:t>Gestational</w:t>
                  </w:r>
                  <w:r w:rsidRPr="00C5093D">
                    <w:t xml:space="preserve"> diabetes</w:t>
                  </w:r>
                  <w:bookmarkEnd w:id="28"/>
                  <w:bookmarkEnd w:id="29"/>
                </w:p>
              </w:tc>
            </w:tr>
            <w:tr w:rsidR="007B4D6E" w:rsidRPr="00C5093D" w14:paraId="1D781C05" w14:textId="77777777" w:rsidTr="0087180A">
              <w:trPr>
                <w:gridAfter w:val="1"/>
                <w:wAfter w:w="599" w:type="dxa"/>
              </w:trPr>
              <w:tc>
                <w:tcPr>
                  <w:tcW w:w="1876" w:type="dxa"/>
                  <w:shd w:val="clear" w:color="auto" w:fill="auto"/>
                </w:tcPr>
                <w:p w14:paraId="5253378F"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338" w:type="dxa"/>
                  <w:shd w:val="clear" w:color="auto" w:fill="auto"/>
                </w:tcPr>
                <w:p w14:paraId="5D8738D2" w14:textId="43D5A78C" w:rsidR="007B4D6E" w:rsidRPr="00C5093D" w:rsidRDefault="007B4D6E" w:rsidP="0087180A">
                  <w:pPr>
                    <w:spacing w:after="40" w:line="220" w:lineRule="atLeast"/>
                    <w:rPr>
                      <w:rFonts w:eastAsia="MS Mincho"/>
                      <w:szCs w:val="21"/>
                    </w:rPr>
                  </w:pPr>
                  <w:r w:rsidRPr="00C5093D">
                    <w:rPr>
                      <w:rFonts w:eastAsia="MS Mincho"/>
                      <w:szCs w:val="21"/>
                    </w:rPr>
                    <w:t xml:space="preserve">Gestational diabetes mellitus (GDM) is a carbohydrate intolerance resulting in hyperglycaemia with onset or first recognition during pregnancy. The definition applies irrespective of whether or not insulin is used for </w:t>
                  </w:r>
                  <w:r w:rsidR="00DB7C06" w:rsidRPr="00C5093D">
                    <w:rPr>
                      <w:rFonts w:eastAsia="MS Mincho"/>
                      <w:szCs w:val="21"/>
                    </w:rPr>
                    <w:t>treatment,</w:t>
                  </w:r>
                  <w:r w:rsidRPr="00C5093D">
                    <w:rPr>
                      <w:rFonts w:eastAsia="MS Mincho"/>
                      <w:szCs w:val="21"/>
                    </w:rPr>
                    <w:t xml:space="preserve"> or the condition persists after pregnancy.</w:t>
                  </w:r>
                </w:p>
                <w:p w14:paraId="279BC242" w14:textId="77777777" w:rsidR="007B4D6E" w:rsidRPr="00C5093D" w:rsidRDefault="007B4D6E" w:rsidP="0087180A">
                  <w:pPr>
                    <w:spacing w:after="40" w:line="220" w:lineRule="atLeast"/>
                    <w:rPr>
                      <w:rFonts w:eastAsia="MS Mincho"/>
                      <w:szCs w:val="21"/>
                    </w:rPr>
                  </w:pPr>
                </w:p>
              </w:tc>
            </w:tr>
            <w:bookmarkEnd w:id="27"/>
          </w:tbl>
          <w:p w14:paraId="23D7AE94" w14:textId="77777777" w:rsidR="007B4D6E" w:rsidRPr="00C5093D" w:rsidRDefault="007B4D6E" w:rsidP="0087180A">
            <w:pPr>
              <w:keepLines/>
              <w:spacing w:after="0" w:line="240" w:lineRule="auto"/>
              <w:rPr>
                <w:szCs w:val="21"/>
              </w:rPr>
            </w:pPr>
          </w:p>
        </w:tc>
      </w:tr>
      <w:tr w:rsidR="007B4D6E" w:rsidRPr="00BA191C" w14:paraId="77D185F2" w14:textId="77777777" w:rsidTr="00F60E97">
        <w:trPr>
          <w:gridAfter w:val="2"/>
          <w:wAfter w:w="251" w:type="dxa"/>
        </w:trPr>
        <w:tc>
          <w:tcPr>
            <w:tcW w:w="9322" w:type="dxa"/>
            <w:gridSpan w:val="8"/>
            <w:shd w:val="clear" w:color="auto" w:fill="auto"/>
          </w:tcPr>
          <w:tbl>
            <w:tblPr>
              <w:tblW w:w="9247" w:type="dxa"/>
              <w:tblLayout w:type="fixed"/>
              <w:tblLook w:val="01E0" w:firstRow="1" w:lastRow="1" w:firstColumn="1" w:lastColumn="1" w:noHBand="0" w:noVBand="0"/>
            </w:tblPr>
            <w:tblGrid>
              <w:gridCol w:w="1876"/>
              <w:gridCol w:w="7371"/>
            </w:tblGrid>
            <w:tr w:rsidR="007B4D6E" w:rsidRPr="00C5093D" w14:paraId="03802735" w14:textId="77777777" w:rsidTr="0087180A">
              <w:tc>
                <w:tcPr>
                  <w:tcW w:w="1876" w:type="dxa"/>
                  <w:shd w:val="clear" w:color="auto" w:fill="auto"/>
                </w:tcPr>
                <w:p w14:paraId="5ACC5F74" w14:textId="77777777" w:rsidR="007B4D6E" w:rsidRPr="00C5093D" w:rsidRDefault="007B4D6E" w:rsidP="0087180A">
                  <w:pPr>
                    <w:keepNext/>
                    <w:keepLines/>
                    <w:spacing w:after="0" w:line="240" w:lineRule="auto"/>
                    <w:ind w:right="-110"/>
                    <w:rPr>
                      <w:b/>
                      <w:szCs w:val="21"/>
                      <w:lang w:eastAsia="en-AU"/>
                    </w:rPr>
                  </w:pPr>
                  <w:r w:rsidRPr="00C5093D">
                    <w:rPr>
                      <w:b/>
                      <w:noProof/>
                      <w:szCs w:val="21"/>
                      <w:lang w:eastAsia="en-AU"/>
                    </w:rPr>
                    <w:t>Related data items (Section 3):</w:t>
                  </w:r>
                </w:p>
              </w:tc>
              <w:tc>
                <w:tcPr>
                  <w:tcW w:w="7371" w:type="dxa"/>
                  <w:shd w:val="clear" w:color="auto" w:fill="auto"/>
                </w:tcPr>
                <w:p w14:paraId="6D76D96D" w14:textId="0EACFF0D" w:rsidR="007B4D6E" w:rsidRPr="00C5093D" w:rsidRDefault="005279E9" w:rsidP="0087180A">
                  <w:pPr>
                    <w:spacing w:after="40" w:line="220" w:lineRule="atLeast"/>
                    <w:rPr>
                      <w:rFonts w:eastAsia="MS Mincho"/>
                      <w:szCs w:val="21"/>
                    </w:rPr>
                  </w:pPr>
                  <w:r w:rsidRPr="005279E9">
                    <w:rPr>
                      <w:rFonts w:eastAsia="MS Mincho"/>
                      <w:szCs w:val="21"/>
                    </w:rPr>
                    <w:t>Diabetes mellitus during pregnancy – type; Diabetes mellitus – gestational – diagnosis timing; Diabetes mellitus – pre-existing – diagnosis timing; Diabetes mellitus therapy during pregnancy; Events of labour and birth – free text; Events of labour and birth – ICD-10-AM code; Indication for induction (main reason) – ICD-10-AM code; Indications for induction (other) – free text; Indications for induction (other) – ICD-10-AM code; Indications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 ICD-10-AM code.</w:t>
                  </w:r>
                </w:p>
              </w:tc>
            </w:tr>
          </w:tbl>
          <w:p w14:paraId="666CD26D" w14:textId="77777777" w:rsidR="007B4D6E" w:rsidRPr="00C5093D" w:rsidRDefault="007B4D6E" w:rsidP="0087180A">
            <w:pPr>
              <w:keepNext/>
              <w:keepLines/>
              <w:spacing w:after="0" w:line="240" w:lineRule="auto"/>
              <w:rPr>
                <w:b/>
                <w:szCs w:val="21"/>
                <w:lang w:eastAsia="en-AU"/>
              </w:rPr>
            </w:pPr>
          </w:p>
        </w:tc>
      </w:tr>
      <w:tr w:rsidR="007B4D6E" w:rsidRPr="00BA191C" w14:paraId="4A73A9A0" w14:textId="77777777" w:rsidTr="00F60E97">
        <w:trPr>
          <w:gridAfter w:val="2"/>
          <w:wAfter w:w="251" w:type="dxa"/>
        </w:trPr>
        <w:tc>
          <w:tcPr>
            <w:tcW w:w="9322" w:type="dxa"/>
            <w:gridSpan w:val="8"/>
            <w:shd w:val="clear" w:color="auto" w:fill="auto"/>
          </w:tcPr>
          <w:p w14:paraId="3C0C99C3" w14:textId="1CC6F120" w:rsidR="007B4D6E" w:rsidRPr="00BA191C" w:rsidRDefault="007B4D6E" w:rsidP="0087180A">
            <w:pPr>
              <w:pStyle w:val="Heading2"/>
              <w:rPr>
                <w:i/>
              </w:rPr>
            </w:pPr>
            <w:bookmarkStart w:id="30" w:name="_Toc31277988"/>
            <w:bookmarkStart w:id="31" w:name="_Toc170222946"/>
            <w:r w:rsidRPr="00BA191C">
              <w:t>High dependency unit (HDU)</w:t>
            </w:r>
            <w:bookmarkEnd w:id="30"/>
            <w:bookmarkEnd w:id="31"/>
          </w:p>
        </w:tc>
      </w:tr>
      <w:tr w:rsidR="007B4D6E" w:rsidRPr="00BA191C" w14:paraId="0D734913" w14:textId="77777777" w:rsidTr="00F60E97">
        <w:trPr>
          <w:gridAfter w:val="1"/>
          <w:wAfter w:w="195" w:type="dxa"/>
        </w:trPr>
        <w:tc>
          <w:tcPr>
            <w:tcW w:w="1935" w:type="dxa"/>
            <w:shd w:val="clear" w:color="auto" w:fill="auto"/>
          </w:tcPr>
          <w:p w14:paraId="523F4C85"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443" w:type="dxa"/>
            <w:gridSpan w:val="8"/>
            <w:shd w:val="clear" w:color="auto" w:fill="auto"/>
          </w:tcPr>
          <w:p w14:paraId="61676BA6" w14:textId="77777777" w:rsidR="007B4D6E" w:rsidRPr="00C5093D" w:rsidRDefault="007B4D6E" w:rsidP="0087180A">
            <w:pPr>
              <w:spacing w:after="40" w:line="220" w:lineRule="atLeast"/>
              <w:rPr>
                <w:rFonts w:eastAsia="MS Mincho"/>
                <w:noProof/>
                <w:szCs w:val="21"/>
              </w:rPr>
            </w:pPr>
            <w:r w:rsidRPr="00C5093D">
              <w:rPr>
                <w:rFonts w:eastAsia="MS Mincho"/>
                <w:noProof/>
                <w:szCs w:val="21"/>
              </w:rPr>
              <w:t>A high dependency unit must be an approved unit capable of providing basic multi-system life support for a period of usually less than 24 hours.</w:t>
            </w:r>
          </w:p>
          <w:p w14:paraId="57999745"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High dependency care is delivered in one or more of the following circumstances:</w:t>
            </w:r>
          </w:p>
          <w:p w14:paraId="3A4D1559"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single-organ system monitoring and support, excluding advanced respiratory system support</w:t>
            </w:r>
          </w:p>
          <w:p w14:paraId="3A38C4A9"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general observation and monitoring, more detailed observation, and where use of monitoring equipment cannot safely be provided on a general ward. This may include extended post-operative monitoring for high risk patients</w:t>
            </w:r>
          </w:p>
          <w:p w14:paraId="2EDD4C41" w14:textId="77777777" w:rsidR="007B4D6E" w:rsidRPr="00C5093D" w:rsidRDefault="007B4D6E" w:rsidP="007B4D6E">
            <w:pPr>
              <w:pStyle w:val="ListParagraph"/>
              <w:numPr>
                <w:ilvl w:val="0"/>
                <w:numId w:val="41"/>
              </w:numPr>
              <w:spacing w:after="40" w:line="220" w:lineRule="atLeast"/>
              <w:rPr>
                <w:rFonts w:ascii="Arial" w:eastAsia="MS Mincho" w:hAnsi="Arial"/>
                <w:noProof/>
                <w:sz w:val="21"/>
                <w:szCs w:val="21"/>
              </w:rPr>
            </w:pPr>
            <w:r w:rsidRPr="00C5093D">
              <w:rPr>
                <w:rFonts w:ascii="Arial" w:eastAsia="MS Mincho" w:hAnsi="Arial"/>
                <w:noProof/>
                <w:sz w:val="21"/>
                <w:szCs w:val="21"/>
              </w:rPr>
              <w:t>step-down care – for patients who no longer require intensive care, but are not well enough to be returned to a general ward.</w:t>
            </w:r>
          </w:p>
          <w:p w14:paraId="7AC330AD" w14:textId="77777777" w:rsidR="007B4D6E" w:rsidRPr="00C5093D" w:rsidRDefault="007B4D6E" w:rsidP="0087180A">
            <w:pPr>
              <w:spacing w:before="120" w:after="40" w:line="220" w:lineRule="atLeast"/>
              <w:rPr>
                <w:rFonts w:eastAsia="MS Mincho"/>
                <w:noProof/>
                <w:szCs w:val="21"/>
              </w:rPr>
            </w:pPr>
            <w:r w:rsidRPr="00C5093D">
              <w:rPr>
                <w:rFonts w:eastAsia="MS Mincho"/>
                <w:noProof/>
                <w:szCs w:val="21"/>
              </w:rPr>
              <w:t>Hospitals with a designated ICU may have HDU beds located within them.</w:t>
            </w:r>
          </w:p>
          <w:p w14:paraId="2D2F5F99" w14:textId="77777777" w:rsidR="007B4D6E" w:rsidRPr="00C5093D" w:rsidRDefault="007B4D6E" w:rsidP="0087180A">
            <w:pPr>
              <w:spacing w:before="120" w:after="40" w:line="220" w:lineRule="atLeast"/>
              <w:rPr>
                <w:rFonts w:eastAsia="MS Mincho"/>
                <w:szCs w:val="21"/>
              </w:rPr>
            </w:pPr>
          </w:p>
        </w:tc>
      </w:tr>
      <w:tr w:rsidR="007B4D6E" w:rsidRPr="00BA191C" w14:paraId="57386C0F" w14:textId="77777777" w:rsidTr="00F60E97">
        <w:tc>
          <w:tcPr>
            <w:tcW w:w="1985" w:type="dxa"/>
            <w:gridSpan w:val="2"/>
            <w:shd w:val="clear" w:color="auto" w:fill="auto"/>
          </w:tcPr>
          <w:p w14:paraId="1AC7253D" w14:textId="77777777" w:rsidR="007B4D6E" w:rsidRPr="00C5093D" w:rsidRDefault="007B4D6E" w:rsidP="00E067DD">
            <w:pPr>
              <w:keepLines/>
              <w:spacing w:after="0" w:line="240" w:lineRule="auto"/>
              <w:rPr>
                <w:b/>
                <w:szCs w:val="21"/>
                <w:lang w:eastAsia="en-AU"/>
              </w:rPr>
            </w:pPr>
            <w:r w:rsidRPr="00C5093D">
              <w:rPr>
                <w:b/>
                <w:noProof/>
                <w:szCs w:val="21"/>
                <w:lang w:eastAsia="en-AU"/>
              </w:rPr>
              <w:t>Related data items (Section 3):</w:t>
            </w:r>
          </w:p>
        </w:tc>
        <w:tc>
          <w:tcPr>
            <w:tcW w:w="7588" w:type="dxa"/>
            <w:gridSpan w:val="8"/>
            <w:shd w:val="clear" w:color="auto" w:fill="auto"/>
          </w:tcPr>
          <w:p w14:paraId="64EC45A3" w14:textId="77777777" w:rsidR="007B4D6E" w:rsidRPr="00C5093D" w:rsidRDefault="007B4D6E" w:rsidP="00F60E97">
            <w:pPr>
              <w:keepLines/>
              <w:spacing w:after="40" w:line="220" w:lineRule="atLeast"/>
              <w:rPr>
                <w:rFonts w:eastAsia="MS Mincho"/>
                <w:szCs w:val="21"/>
              </w:rPr>
            </w:pPr>
            <w:r w:rsidRPr="00C5093D">
              <w:rPr>
                <w:rFonts w:eastAsia="MS Mincho"/>
                <w:noProof/>
                <w:szCs w:val="21"/>
              </w:rPr>
              <w:t>Admission to high dependency unit (HDU) / intensive care unit (ICU) – mother</w:t>
            </w:r>
          </w:p>
        </w:tc>
      </w:tr>
      <w:tr w:rsidR="007B4D6E" w:rsidRPr="00BA191C" w14:paraId="3B338A03" w14:textId="77777777" w:rsidTr="00F60E97">
        <w:trPr>
          <w:gridAfter w:val="5"/>
          <w:wAfter w:w="501" w:type="dxa"/>
        </w:trPr>
        <w:tc>
          <w:tcPr>
            <w:tcW w:w="9072" w:type="dxa"/>
            <w:gridSpan w:val="5"/>
            <w:shd w:val="clear" w:color="auto" w:fill="auto"/>
          </w:tcPr>
          <w:p w14:paraId="65F676AC" w14:textId="267D26F3" w:rsidR="007B4D6E" w:rsidRPr="00BA191C" w:rsidRDefault="007B4D6E" w:rsidP="00E067DD">
            <w:pPr>
              <w:pStyle w:val="Heading2"/>
              <w:rPr>
                <w:i/>
              </w:rPr>
            </w:pPr>
            <w:bookmarkStart w:id="32" w:name="_Toc31277989"/>
            <w:bookmarkStart w:id="33" w:name="_Toc170222947"/>
            <w:r w:rsidRPr="00BA191C">
              <w:lastRenderedPageBreak/>
              <w:t>Hospital</w:t>
            </w:r>
            <w:bookmarkEnd w:id="32"/>
            <w:bookmarkEnd w:id="33"/>
          </w:p>
        </w:tc>
      </w:tr>
      <w:tr w:rsidR="007B4D6E" w:rsidRPr="00BA191C" w14:paraId="309E85C6" w14:textId="77777777" w:rsidTr="00F60E97">
        <w:trPr>
          <w:gridAfter w:val="5"/>
          <w:wAfter w:w="501" w:type="dxa"/>
        </w:trPr>
        <w:tc>
          <w:tcPr>
            <w:tcW w:w="1935" w:type="dxa"/>
            <w:shd w:val="clear" w:color="auto" w:fill="auto"/>
          </w:tcPr>
          <w:p w14:paraId="434273A6"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37" w:type="dxa"/>
            <w:gridSpan w:val="4"/>
            <w:shd w:val="clear" w:color="auto" w:fill="auto"/>
          </w:tcPr>
          <w:p w14:paraId="675B89FC" w14:textId="77777777" w:rsidR="007B4D6E" w:rsidRPr="00C5093D" w:rsidRDefault="007B4D6E" w:rsidP="0087180A">
            <w:pPr>
              <w:keepNext/>
              <w:keepLines/>
              <w:spacing w:after="40" w:line="220" w:lineRule="atLeast"/>
              <w:rPr>
                <w:rFonts w:eastAsia="MS Mincho"/>
                <w:noProof/>
                <w:szCs w:val="21"/>
              </w:rPr>
            </w:pPr>
            <w:r w:rsidRPr="00C5093D">
              <w:rPr>
                <w:rFonts w:eastAsia="MS Mincho"/>
                <w:noProof/>
                <w:szCs w:val="21"/>
              </w:rPr>
              <w:t>A healthcare facility established under Commonwealth, state or territory legislation as a hospital or a free-standing day procedure unit, and authorised to provide treatment and/or care to patients.</w:t>
            </w:r>
          </w:p>
          <w:p w14:paraId="3DC96ADA" w14:textId="77777777" w:rsidR="007B4D6E" w:rsidRPr="00C5093D" w:rsidRDefault="007B4D6E" w:rsidP="0087180A">
            <w:pPr>
              <w:keepNext/>
              <w:keepLines/>
              <w:spacing w:before="120" w:after="40" w:line="220" w:lineRule="atLeast"/>
              <w:rPr>
                <w:rFonts w:eastAsia="MS Mincho"/>
                <w:noProof/>
                <w:szCs w:val="21"/>
              </w:rPr>
            </w:pPr>
            <w:r w:rsidRPr="00C5093D">
              <w:rPr>
                <w:rFonts w:eastAsia="MS Mincho"/>
                <w:noProof/>
                <w:szCs w:val="21"/>
              </w:rPr>
              <w:t xml:space="preserve">A hospital may be located at one physical site or may be a multi-campus hospital. For the purposes of these definitions, ‘hospital’ includes satellite units managed and staffed by the hospital, and private homes used for service provision under the Hospital in the Home program. </w:t>
            </w:r>
          </w:p>
          <w:p w14:paraId="73151305" w14:textId="77777777" w:rsidR="007B4D6E" w:rsidRPr="00C5093D" w:rsidRDefault="007B4D6E" w:rsidP="0087180A">
            <w:pPr>
              <w:keepNext/>
              <w:keepLines/>
              <w:spacing w:after="40" w:line="220" w:lineRule="atLeast"/>
              <w:rPr>
                <w:rFonts w:eastAsia="MS Mincho"/>
                <w:noProof/>
                <w:szCs w:val="21"/>
              </w:rPr>
            </w:pPr>
            <w:r w:rsidRPr="00C5093D">
              <w:rPr>
                <w:rFonts w:eastAsia="MS Mincho"/>
                <w:noProof/>
                <w:szCs w:val="21"/>
              </w:rPr>
              <w:t>The definition includes:</w:t>
            </w:r>
          </w:p>
          <w:p w14:paraId="0A87A141" w14:textId="77777777" w:rsidR="007B4D6E" w:rsidRPr="00C5093D" w:rsidRDefault="007B4D6E" w:rsidP="007B4D6E">
            <w:pPr>
              <w:pStyle w:val="ListParagraph"/>
              <w:keepNext/>
              <w:keepLines/>
              <w:numPr>
                <w:ilvl w:val="0"/>
                <w:numId w:val="42"/>
              </w:numPr>
              <w:spacing w:after="40" w:line="220" w:lineRule="atLeast"/>
              <w:rPr>
                <w:rFonts w:ascii="Arial" w:eastAsia="MS Mincho" w:hAnsi="Arial"/>
                <w:noProof/>
                <w:sz w:val="21"/>
                <w:szCs w:val="21"/>
              </w:rPr>
            </w:pPr>
            <w:r w:rsidRPr="00C5093D">
              <w:rPr>
                <w:rFonts w:ascii="Arial" w:eastAsia="MS Mincho" w:hAnsi="Arial"/>
                <w:noProof/>
                <w:sz w:val="21"/>
                <w:szCs w:val="21"/>
              </w:rPr>
              <w:t xml:space="preserve">public hospitals, denominational hospitals, metropolitan health services, and privately operated (public) hospitals as defined in the </w:t>
            </w:r>
            <w:r w:rsidRPr="00C5093D">
              <w:rPr>
                <w:rFonts w:ascii="Arial" w:eastAsia="MS Mincho" w:hAnsi="Arial"/>
                <w:i/>
                <w:noProof/>
                <w:sz w:val="21"/>
                <w:szCs w:val="21"/>
              </w:rPr>
              <w:t>Health Services Act 1988</w:t>
            </w:r>
            <w:r w:rsidRPr="00C5093D">
              <w:rPr>
                <w:rFonts w:ascii="Arial" w:eastAsia="MS Mincho" w:hAnsi="Arial"/>
                <w:noProof/>
                <w:sz w:val="21"/>
                <w:szCs w:val="21"/>
              </w:rPr>
              <w:t xml:space="preserve"> (as amended)</w:t>
            </w:r>
          </w:p>
          <w:p w14:paraId="1041E699" w14:textId="77777777" w:rsidR="007B4D6E" w:rsidRPr="00C5093D" w:rsidRDefault="007B4D6E" w:rsidP="007B4D6E">
            <w:pPr>
              <w:pStyle w:val="ListParagraph"/>
              <w:keepNext/>
              <w:keepLines/>
              <w:numPr>
                <w:ilvl w:val="0"/>
                <w:numId w:val="42"/>
              </w:numPr>
              <w:spacing w:after="40" w:line="220" w:lineRule="atLeast"/>
              <w:rPr>
                <w:rFonts w:ascii="Arial" w:eastAsia="MS Mincho" w:hAnsi="Arial"/>
                <w:noProof/>
                <w:sz w:val="21"/>
                <w:szCs w:val="21"/>
              </w:rPr>
            </w:pPr>
            <w:r w:rsidRPr="00C5093D">
              <w:rPr>
                <w:rFonts w:ascii="Arial" w:eastAsia="MS Mincho" w:hAnsi="Arial"/>
                <w:noProof/>
                <w:sz w:val="21"/>
                <w:szCs w:val="21"/>
              </w:rPr>
              <w:t>private hospitals and day-procedure centres registered under the Health Services Act. Private hospitals are required to maintain separate registrations for each site.</w:t>
            </w:r>
          </w:p>
          <w:p w14:paraId="4B3846F6" w14:textId="77777777" w:rsidR="007B4D6E" w:rsidRPr="00C5093D" w:rsidRDefault="007B4D6E" w:rsidP="0087180A">
            <w:pPr>
              <w:keepNext/>
              <w:keepLines/>
              <w:spacing w:before="120" w:after="40" w:line="220" w:lineRule="atLeast"/>
              <w:rPr>
                <w:rFonts w:eastAsia="MS Mincho"/>
                <w:noProof/>
                <w:szCs w:val="21"/>
              </w:rPr>
            </w:pPr>
            <w:r w:rsidRPr="00C5093D">
              <w:rPr>
                <w:rFonts w:eastAsia="MS Mincho"/>
                <w:noProof/>
                <w:szCs w:val="21"/>
              </w:rPr>
              <w:t xml:space="preserve">Nursing homes and hostels, which are now approved under the </w:t>
            </w:r>
            <w:r w:rsidRPr="00C5093D">
              <w:rPr>
                <w:rFonts w:eastAsia="MS Mincho"/>
                <w:i/>
                <w:noProof/>
                <w:szCs w:val="21"/>
              </w:rPr>
              <w:t>Aged Care Act 1997,</w:t>
            </w:r>
            <w:r w:rsidRPr="00C5093D">
              <w:rPr>
                <w:rFonts w:eastAsia="MS Mincho"/>
                <w:noProof/>
                <w:szCs w:val="21"/>
              </w:rPr>
              <w:t xml:space="preserve"> are excluded from the definition, as are supported residential services registered under the Health Services Act.</w:t>
            </w:r>
          </w:p>
          <w:p w14:paraId="49071ADE" w14:textId="77777777" w:rsidR="007B4D6E" w:rsidRPr="00C5093D" w:rsidRDefault="007B4D6E" w:rsidP="0087180A">
            <w:pPr>
              <w:keepNext/>
              <w:keepLines/>
              <w:spacing w:before="120" w:after="40" w:line="220" w:lineRule="atLeast"/>
              <w:rPr>
                <w:rFonts w:eastAsia="MS Mincho"/>
                <w:szCs w:val="21"/>
              </w:rPr>
            </w:pPr>
          </w:p>
        </w:tc>
      </w:tr>
      <w:tr w:rsidR="007B4D6E" w:rsidRPr="00BA191C" w14:paraId="458DE90C" w14:textId="77777777" w:rsidTr="00F60E97">
        <w:trPr>
          <w:gridAfter w:val="5"/>
          <w:wAfter w:w="501" w:type="dxa"/>
        </w:trPr>
        <w:tc>
          <w:tcPr>
            <w:tcW w:w="2074" w:type="dxa"/>
            <w:gridSpan w:val="3"/>
            <w:shd w:val="clear" w:color="auto" w:fill="auto"/>
          </w:tcPr>
          <w:p w14:paraId="4C7ECF93"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6998" w:type="dxa"/>
            <w:gridSpan w:val="2"/>
            <w:shd w:val="clear" w:color="auto" w:fill="auto"/>
          </w:tcPr>
          <w:p w14:paraId="37EE21A8" w14:textId="77777777" w:rsidR="007B4D6E" w:rsidRPr="00C5093D" w:rsidRDefault="007B4D6E" w:rsidP="0087180A">
            <w:pPr>
              <w:keepNext/>
              <w:keepLines/>
              <w:spacing w:after="0" w:line="240" w:lineRule="auto"/>
              <w:ind w:left="-108"/>
              <w:rPr>
                <w:rFonts w:eastAsia="MS Mincho"/>
                <w:szCs w:val="21"/>
              </w:rPr>
            </w:pPr>
            <w:r w:rsidRPr="00C5093D">
              <w:rPr>
                <w:rFonts w:eastAsia="MS Mincho"/>
                <w:noProof/>
                <w:szCs w:val="21"/>
              </w:rPr>
              <w:t>Hospital code (agency identifier); Setting of birth – actual; Setting of birth – intended; Transfer destination – baby; Transfer destination - mother</w:t>
            </w:r>
          </w:p>
        </w:tc>
      </w:tr>
      <w:tr w:rsidR="007B4D6E" w:rsidRPr="00BA191C" w14:paraId="531A251B" w14:textId="77777777" w:rsidTr="00F60E97">
        <w:trPr>
          <w:gridAfter w:val="5"/>
          <w:wAfter w:w="501" w:type="dxa"/>
        </w:trPr>
        <w:tc>
          <w:tcPr>
            <w:tcW w:w="9072" w:type="dxa"/>
            <w:gridSpan w:val="5"/>
            <w:shd w:val="clear" w:color="auto" w:fill="auto"/>
          </w:tcPr>
          <w:p w14:paraId="703241FB" w14:textId="1E178C9F" w:rsidR="007B4D6E" w:rsidRPr="00BA191C" w:rsidRDefault="007B4D6E" w:rsidP="0087180A">
            <w:pPr>
              <w:pStyle w:val="Heading2"/>
              <w:rPr>
                <w:i/>
              </w:rPr>
            </w:pPr>
            <w:bookmarkStart w:id="34" w:name="_Toc31277990"/>
            <w:bookmarkStart w:id="35" w:name="_Toc170222948"/>
            <w:r w:rsidRPr="00BA191C">
              <w:t>Hospital in the home (HITH)</w:t>
            </w:r>
            <w:bookmarkEnd w:id="34"/>
            <w:bookmarkEnd w:id="35"/>
          </w:p>
        </w:tc>
      </w:tr>
      <w:tr w:rsidR="00AA6D74" w:rsidRPr="00BA191C" w14:paraId="16FD549A" w14:textId="77777777" w:rsidTr="00F60E97">
        <w:trPr>
          <w:gridAfter w:val="5"/>
          <w:wAfter w:w="501" w:type="dxa"/>
        </w:trPr>
        <w:tc>
          <w:tcPr>
            <w:tcW w:w="2074" w:type="dxa"/>
            <w:gridSpan w:val="3"/>
            <w:shd w:val="clear" w:color="auto" w:fill="auto"/>
          </w:tcPr>
          <w:p w14:paraId="2D0E5E71" w14:textId="77777777" w:rsidR="00AA6D74" w:rsidRPr="00C5093D" w:rsidRDefault="00AA6D74" w:rsidP="00D05E02">
            <w:pPr>
              <w:keepLines/>
              <w:spacing w:after="0" w:line="240" w:lineRule="auto"/>
              <w:rPr>
                <w:b/>
                <w:i/>
                <w:szCs w:val="21"/>
              </w:rPr>
            </w:pPr>
            <w:r w:rsidRPr="00C5093D">
              <w:rPr>
                <w:b/>
                <w:szCs w:val="21"/>
              </w:rPr>
              <w:t>Definition/guide for use</w:t>
            </w:r>
          </w:p>
        </w:tc>
        <w:tc>
          <w:tcPr>
            <w:tcW w:w="6998" w:type="dxa"/>
            <w:gridSpan w:val="2"/>
            <w:shd w:val="clear" w:color="auto" w:fill="auto"/>
          </w:tcPr>
          <w:p w14:paraId="5CBE5684" w14:textId="77777777" w:rsidR="00AA6D74" w:rsidRPr="00D05E02" w:rsidRDefault="00AA6D74" w:rsidP="00AA6D74">
            <w:pPr>
              <w:pStyle w:val="Body"/>
              <w:rPr>
                <w:noProof/>
              </w:rPr>
            </w:pPr>
            <w:r w:rsidRPr="00D05E02">
              <w:rPr>
                <w:noProof/>
              </w:rPr>
              <w:t>Hospital in the Home (HITH) is the provision of admitted-level care in the patient’s home or other suitable location as a substitute for care in a ward-based setting during a hospital admission.</w:t>
            </w:r>
          </w:p>
          <w:p w14:paraId="0D09EABC" w14:textId="77777777" w:rsidR="00AA6D74" w:rsidRPr="00D05E02" w:rsidRDefault="00AA6D74" w:rsidP="00AA6D74">
            <w:pPr>
              <w:pStyle w:val="Body"/>
              <w:rPr>
                <w:noProof/>
              </w:rPr>
            </w:pPr>
            <w:r w:rsidRPr="00D05E02">
              <w:rPr>
                <w:noProof/>
              </w:rPr>
              <w:t>That is, HITH is an alternative to an in-hospital stay. Patients receiving care in HITH are hospital inpatients, and remain under the care of their hospital doctor. Care may be provided by nurses, doctors, or allied health professionals, and additional home supports arranged as required.</w:t>
            </w:r>
          </w:p>
          <w:p w14:paraId="507EED89" w14:textId="77777777" w:rsidR="00AA6D74" w:rsidRPr="00D05E02" w:rsidRDefault="00AA6D74" w:rsidP="00AA6D74">
            <w:pPr>
              <w:pStyle w:val="Body"/>
              <w:rPr>
                <w:noProof/>
              </w:rPr>
            </w:pPr>
            <w:r w:rsidRPr="00D05E02">
              <w:rPr>
                <w:noProof/>
              </w:rPr>
              <w:t>Patients can be offered care in HITH as an option if the care they need can be delivered safely in their home or other place of residence. Participation is voluntary and is without additional charge to the patient.</w:t>
            </w:r>
          </w:p>
          <w:p w14:paraId="306B864C" w14:textId="77777777" w:rsidR="00AA6D74" w:rsidRPr="00D05E02" w:rsidRDefault="00AA6D74" w:rsidP="00AA6D74">
            <w:pPr>
              <w:pStyle w:val="Body"/>
              <w:rPr>
                <w:noProof/>
              </w:rPr>
            </w:pPr>
            <w:r w:rsidRPr="00D05E02">
              <w:rPr>
                <w:noProof/>
              </w:rPr>
              <w:t>Place of residence may be permanent or temporary, and includes residential facilities such as nursing homes, hostels or other forms of supported accommodation. Medi-hotels are excluded.</w:t>
            </w:r>
          </w:p>
          <w:p w14:paraId="280BF02C" w14:textId="77777777" w:rsidR="00AA6D74" w:rsidRPr="00D05E02" w:rsidRDefault="00AA6D74" w:rsidP="00AA6D74">
            <w:pPr>
              <w:pStyle w:val="Body"/>
              <w:rPr>
                <w:noProof/>
              </w:rPr>
            </w:pPr>
            <w:r w:rsidRPr="00D05E02">
              <w:rPr>
                <w:noProof/>
              </w:rPr>
              <w:t>Criteria for inclusion as HITH include but are not limited to:</w:t>
            </w:r>
          </w:p>
          <w:p w14:paraId="6D09844D" w14:textId="77777777" w:rsidR="00AA6D74" w:rsidRPr="00D05E02" w:rsidRDefault="00AA6D74" w:rsidP="00AA6D74">
            <w:pPr>
              <w:pStyle w:val="Bullet1"/>
              <w:rPr>
                <w:noProof/>
              </w:rPr>
            </w:pPr>
            <w:r w:rsidRPr="00D05E02">
              <w:rPr>
                <w:noProof/>
              </w:rPr>
              <w:t>without hospital-in-the-home care being available patients would be accommodated in the hospital;</w:t>
            </w:r>
          </w:p>
          <w:p w14:paraId="21256048" w14:textId="77777777" w:rsidR="00AA6D74" w:rsidRPr="00D05E02" w:rsidRDefault="00AA6D74" w:rsidP="00AA6D74">
            <w:pPr>
              <w:pStyle w:val="Bullet1"/>
              <w:rPr>
                <w:noProof/>
              </w:rPr>
            </w:pPr>
            <w:r w:rsidRPr="00D05E02">
              <w:rPr>
                <w:noProof/>
              </w:rPr>
              <w:t>the treatment forms all or part of an episode of care for an admitted patient;</w:t>
            </w:r>
          </w:p>
          <w:p w14:paraId="31EB699F" w14:textId="77777777" w:rsidR="00AA6D74" w:rsidRPr="00D05E02" w:rsidRDefault="00AA6D74" w:rsidP="00AA6D74">
            <w:pPr>
              <w:pStyle w:val="Bullet1"/>
              <w:rPr>
                <w:noProof/>
              </w:rPr>
            </w:pPr>
            <w:r w:rsidRPr="00D05E02">
              <w:rPr>
                <w:noProof/>
              </w:rPr>
              <w:t>the hospital medical record is maintained for the patient;</w:t>
            </w:r>
          </w:p>
          <w:p w14:paraId="2F3FCCD5" w14:textId="77777777" w:rsidR="00AA6D74" w:rsidRPr="00D05E02" w:rsidRDefault="00AA6D74" w:rsidP="00AA6D74">
            <w:pPr>
              <w:pStyle w:val="Bullet1"/>
              <w:rPr>
                <w:noProof/>
              </w:rPr>
            </w:pPr>
            <w:r w:rsidRPr="00D05E02">
              <w:rPr>
                <w:noProof/>
              </w:rPr>
              <w:t>there is adequate provision for crisis care.</w:t>
            </w:r>
          </w:p>
          <w:p w14:paraId="3DA1D993" w14:textId="77777777" w:rsidR="00AA6D74" w:rsidRPr="00D05E02" w:rsidRDefault="00AA6D74" w:rsidP="00AA6D74">
            <w:pPr>
              <w:pStyle w:val="Body"/>
              <w:rPr>
                <w:noProof/>
              </w:rPr>
            </w:pPr>
            <w:r w:rsidRPr="00D05E02">
              <w:rPr>
                <w:noProof/>
              </w:rPr>
              <w:lastRenderedPageBreak/>
              <w:t>The admitted stay might be a combination of ward-based and HITH care or replace care provided in the ward-based setting completely.</w:t>
            </w:r>
          </w:p>
          <w:p w14:paraId="0524C036" w14:textId="77777777" w:rsidR="00AA6D74" w:rsidRPr="00DF138D" w:rsidRDefault="00AA6D74" w:rsidP="00AA6D74">
            <w:pPr>
              <w:pStyle w:val="Body"/>
              <w:rPr>
                <w:noProof/>
              </w:rPr>
            </w:pPr>
            <w:r w:rsidRPr="00D05E02">
              <w:rPr>
                <w:noProof/>
              </w:rPr>
              <w:t xml:space="preserve">Public hospitals should provide HITH services in line with the </w:t>
            </w:r>
            <w:hyperlink r:id="rId21" w:history="1">
              <w:r w:rsidRPr="00FF549D">
                <w:rPr>
                  <w:rStyle w:val="Hyperlink"/>
                  <w:rFonts w:eastAsia="MS Mincho"/>
                  <w:noProof/>
                  <w:szCs w:val="21"/>
                </w:rPr>
                <w:t>Victorian HITH guidelines</w:t>
              </w:r>
            </w:hyperlink>
            <w:r w:rsidRPr="00DF138D">
              <w:rPr>
                <w:noProof/>
              </w:rPr>
              <w:t xml:space="preserve"> &lt; https://www.health.vic.gov.au/patient-care/hospital-in-the-home &gt; </w:t>
            </w:r>
          </w:p>
          <w:p w14:paraId="6DEE88FE" w14:textId="77777777" w:rsidR="00AA6D74" w:rsidRPr="00DF138D" w:rsidRDefault="00AA6D74" w:rsidP="00AA6D74">
            <w:pPr>
              <w:pStyle w:val="Body"/>
              <w:rPr>
                <w:noProof/>
              </w:rPr>
            </w:pPr>
            <w:r w:rsidRPr="00DF138D">
              <w:rPr>
                <w:noProof/>
              </w:rPr>
              <w:t>Movement between ward and HITH accommodation is equivalent to moving between wards in a hospital setting, and is reported within the same admitted episode.</w:t>
            </w:r>
          </w:p>
          <w:p w14:paraId="7204E5ED" w14:textId="77777777" w:rsidR="00AA6D74" w:rsidRDefault="00AA6D74" w:rsidP="00AA6D74">
            <w:pPr>
              <w:pStyle w:val="Body"/>
              <w:rPr>
                <w:noProof/>
              </w:rPr>
            </w:pPr>
            <w:r w:rsidRPr="00BE7B55">
              <w:rPr>
                <w:noProof/>
              </w:rPr>
              <w:t xml:space="preserve">HITH suitability and assessment criteria are documented in the HITH guidelines available at the </w:t>
            </w:r>
            <w:hyperlink r:id="rId22" w:history="1">
              <w:r w:rsidRPr="00272B43">
                <w:rPr>
                  <w:rStyle w:val="Hyperlink"/>
                  <w:rFonts w:eastAsia="MS Mincho"/>
                </w:rPr>
                <w:t>Hospital in the Home</w:t>
              </w:r>
              <w:r w:rsidRPr="00272B43">
                <w:rPr>
                  <w:rStyle w:val="Hyperlink"/>
                  <w:rFonts w:eastAsia="MS Mincho"/>
                  <w:noProof/>
                  <w:szCs w:val="21"/>
                </w:rPr>
                <w:t xml:space="preserve"> webpage</w:t>
              </w:r>
            </w:hyperlink>
            <w:r w:rsidRPr="00BE7B55">
              <w:rPr>
                <w:noProof/>
              </w:rPr>
              <w:t xml:space="preserve"> &lt;https://www.health.vic.gov.au/patient-care/hospital-in-the-home&gt; </w:t>
            </w:r>
          </w:p>
          <w:p w14:paraId="194694B2" w14:textId="22733C9D" w:rsidR="00AA6D74" w:rsidRDefault="00AA6D74" w:rsidP="00E17A45">
            <w:pPr>
              <w:keepNext/>
              <w:keepLines/>
              <w:spacing w:after="40" w:line="220" w:lineRule="atLeast"/>
              <w:ind w:left="-115"/>
              <w:rPr>
                <w:rFonts w:eastAsia="MS Mincho"/>
                <w:color w:val="3366FF"/>
                <w:szCs w:val="21"/>
                <w:u w:val="dotted"/>
              </w:rPr>
            </w:pPr>
            <w:r>
              <w:rPr>
                <w:noProof/>
              </w:rPr>
              <w:t>References: AIHW &lt;</w:t>
            </w:r>
            <w:hyperlink r:id="rId23" w:history="1">
              <w:r w:rsidRPr="002909A1">
                <w:rPr>
                  <w:rStyle w:val="Hyperlink"/>
                </w:rPr>
                <w:t>https://meteor.aihw.gov.au/content/327308</w:t>
              </w:r>
            </w:hyperlink>
            <w:r>
              <w:rPr>
                <w:rStyle w:val="Hyperlink"/>
              </w:rPr>
              <w:t>&gt; , &lt;</w:t>
            </w:r>
            <w:hyperlink r:id="rId24" w:history="1">
              <w:r w:rsidRPr="002909A1">
                <w:rPr>
                  <w:rStyle w:val="Hyperlink"/>
                </w:rPr>
                <w:t>https://meteor.aihw.gov.au/content/756062</w:t>
              </w:r>
            </w:hyperlink>
            <w:r>
              <w:rPr>
                <w:rStyle w:val="Hyperlink"/>
              </w:rPr>
              <w:t xml:space="preserve">&gt; ; </w:t>
            </w:r>
            <w:hyperlink r:id="rId25" w:history="1">
              <w:r w:rsidR="002615A6" w:rsidRPr="006709B4">
                <w:rPr>
                  <w:rStyle w:val="Hyperlink"/>
                </w:rPr>
                <w:t>VAED manual 2024-25</w:t>
              </w:r>
              <w:r w:rsidR="00471849" w:rsidRPr="006709B4">
                <w:rPr>
                  <w:rStyle w:val="Hyperlink"/>
                </w:rPr>
                <w:t>, Section 2</w:t>
              </w:r>
            </w:hyperlink>
            <w:r w:rsidR="00EA7239">
              <w:rPr>
                <w:rStyle w:val="Hyperlink"/>
              </w:rPr>
              <w:t xml:space="preserve"> </w:t>
            </w:r>
            <w:r w:rsidR="0078661E">
              <w:rPr>
                <w:rStyle w:val="Hyperlink"/>
              </w:rPr>
              <w:t xml:space="preserve"> &lt;</w:t>
            </w:r>
            <w:r w:rsidR="00C86B49">
              <w:t xml:space="preserve"> </w:t>
            </w:r>
            <w:r w:rsidR="00C86B49" w:rsidRPr="00C86B49">
              <w:rPr>
                <w:rStyle w:val="Hyperlink"/>
              </w:rPr>
              <w:t>https://www.health.vic.gov.au/data-reporting/victorian-admitted-episodes-dataset</w:t>
            </w:r>
            <w:r w:rsidR="0078661E">
              <w:rPr>
                <w:rStyle w:val="Hyperlink"/>
              </w:rPr>
              <w:t xml:space="preserve">&gt; </w:t>
            </w:r>
          </w:p>
          <w:p w14:paraId="74F931ED" w14:textId="6E5321E5" w:rsidR="00E17A45" w:rsidRPr="00C5093D" w:rsidRDefault="00E17A45" w:rsidP="00E83EF8">
            <w:pPr>
              <w:keepNext/>
              <w:keepLines/>
              <w:spacing w:after="40" w:line="220" w:lineRule="atLeast"/>
              <w:ind w:left="-115"/>
              <w:rPr>
                <w:rFonts w:eastAsia="MS Mincho"/>
                <w:color w:val="3366FF"/>
                <w:szCs w:val="21"/>
                <w:u w:val="dotted"/>
              </w:rPr>
            </w:pPr>
          </w:p>
        </w:tc>
      </w:tr>
      <w:tr w:rsidR="00AA6D74" w:rsidRPr="00BA191C" w14:paraId="4E7F2CEA" w14:textId="77777777" w:rsidTr="00F60E97">
        <w:trPr>
          <w:gridAfter w:val="5"/>
          <w:wAfter w:w="501" w:type="dxa"/>
        </w:trPr>
        <w:tc>
          <w:tcPr>
            <w:tcW w:w="2074" w:type="dxa"/>
            <w:gridSpan w:val="3"/>
            <w:shd w:val="clear" w:color="auto" w:fill="auto"/>
          </w:tcPr>
          <w:p w14:paraId="0FA34308" w14:textId="77777777" w:rsidR="00AA6D74" w:rsidRPr="00C5093D" w:rsidRDefault="00AA6D74" w:rsidP="00AA6D74">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gridSpan w:val="2"/>
            <w:shd w:val="clear" w:color="auto" w:fill="auto"/>
          </w:tcPr>
          <w:p w14:paraId="054F4E65" w14:textId="38B41B8A" w:rsidR="00AA6D74" w:rsidRPr="00C5093D" w:rsidRDefault="00AA6D74" w:rsidP="00AA6D74">
            <w:pPr>
              <w:keepNext/>
              <w:keepLines/>
              <w:spacing w:after="0" w:line="240" w:lineRule="auto"/>
              <w:ind w:hanging="108"/>
              <w:rPr>
                <w:rFonts w:eastAsia="MS Mincho"/>
                <w:szCs w:val="21"/>
              </w:rPr>
            </w:pPr>
            <w:r w:rsidRPr="00C5093D">
              <w:rPr>
                <w:rFonts w:eastAsia="MS Mincho"/>
                <w:szCs w:val="21"/>
              </w:rPr>
              <w:t>Reason for transfer out – baby; Reason for transfer out – mother</w:t>
            </w:r>
            <w:r w:rsidR="00233E57">
              <w:rPr>
                <w:rFonts w:eastAsia="MS Mincho"/>
                <w:szCs w:val="21"/>
              </w:rPr>
              <w:t xml:space="preserve">; </w:t>
            </w:r>
            <w:r w:rsidR="00233E57" w:rsidRPr="00233E57">
              <w:rPr>
                <w:rFonts w:eastAsia="MS Mincho"/>
                <w:szCs w:val="21"/>
              </w:rPr>
              <w:t>Separation status – baby;</w:t>
            </w:r>
            <w:r w:rsidR="00233E57">
              <w:rPr>
                <w:rFonts w:eastAsia="MS Mincho"/>
                <w:szCs w:val="21"/>
              </w:rPr>
              <w:t xml:space="preserve"> </w:t>
            </w:r>
            <w:r w:rsidR="00233E57" w:rsidRPr="00233E57">
              <w:rPr>
                <w:rFonts w:eastAsia="MS Mincho"/>
                <w:szCs w:val="21"/>
              </w:rPr>
              <w:t>Separation status – mother;</w:t>
            </w:r>
            <w:r w:rsidR="00233E57">
              <w:rPr>
                <w:rFonts w:eastAsia="MS Mincho"/>
                <w:szCs w:val="21"/>
              </w:rPr>
              <w:t xml:space="preserve"> </w:t>
            </w:r>
            <w:r w:rsidR="00233E57" w:rsidRPr="00233E57">
              <w:rPr>
                <w:rFonts w:eastAsia="MS Mincho"/>
                <w:szCs w:val="21"/>
              </w:rPr>
              <w:t>Transfer destination – baby; Transfer destination – mother</w:t>
            </w:r>
          </w:p>
        </w:tc>
      </w:tr>
      <w:tr w:rsidR="00AA6D74" w:rsidRPr="00BA191C" w14:paraId="4596D28B" w14:textId="77777777" w:rsidTr="00F60E97">
        <w:trPr>
          <w:gridAfter w:val="5"/>
          <w:wAfter w:w="501" w:type="dxa"/>
        </w:trPr>
        <w:tc>
          <w:tcPr>
            <w:tcW w:w="9072" w:type="dxa"/>
            <w:gridSpan w:val="5"/>
            <w:shd w:val="clear" w:color="auto" w:fill="auto"/>
          </w:tcPr>
          <w:p w14:paraId="751F1C8A" w14:textId="6CC85D8F" w:rsidR="00AA6D74" w:rsidRPr="00BA191C" w:rsidRDefault="00AA6D74" w:rsidP="00AA6D74">
            <w:pPr>
              <w:pStyle w:val="Heading2"/>
            </w:pPr>
            <w:bookmarkStart w:id="36" w:name="_Toc31277991"/>
            <w:bookmarkStart w:id="37" w:name="_Toc170222949"/>
            <w:r w:rsidRPr="00BA191C">
              <w:t>Hypertensive disorder during pregnancy</w:t>
            </w:r>
            <w:bookmarkEnd w:id="36"/>
            <w:bookmarkEnd w:id="37"/>
          </w:p>
        </w:tc>
      </w:tr>
      <w:tr w:rsidR="00AA6D74" w:rsidRPr="00BA191C" w14:paraId="22DACE11" w14:textId="77777777" w:rsidTr="00F60E97">
        <w:trPr>
          <w:gridAfter w:val="5"/>
          <w:wAfter w:w="501" w:type="dxa"/>
        </w:trPr>
        <w:tc>
          <w:tcPr>
            <w:tcW w:w="2074" w:type="dxa"/>
            <w:gridSpan w:val="3"/>
            <w:shd w:val="clear" w:color="auto" w:fill="auto"/>
          </w:tcPr>
          <w:p w14:paraId="4617F470" w14:textId="77777777" w:rsidR="00AA6D74" w:rsidRPr="00C5093D" w:rsidRDefault="00AA6D74" w:rsidP="00AA6D74">
            <w:pPr>
              <w:keepLines/>
              <w:widowControl w:val="0"/>
              <w:spacing w:after="0" w:line="240" w:lineRule="auto"/>
              <w:rPr>
                <w:b/>
                <w:i/>
                <w:szCs w:val="21"/>
              </w:rPr>
            </w:pPr>
            <w:r w:rsidRPr="00C5093D">
              <w:rPr>
                <w:b/>
                <w:szCs w:val="21"/>
              </w:rPr>
              <w:t>Definition/guide for use</w:t>
            </w:r>
          </w:p>
        </w:tc>
        <w:tc>
          <w:tcPr>
            <w:tcW w:w="6998" w:type="dxa"/>
            <w:gridSpan w:val="2"/>
            <w:shd w:val="clear" w:color="auto" w:fill="auto"/>
          </w:tcPr>
          <w:p w14:paraId="200953A4" w14:textId="77777777" w:rsidR="00AA6D74" w:rsidRPr="00C5093D" w:rsidRDefault="00AA6D74" w:rsidP="00AA6D74">
            <w:pPr>
              <w:spacing w:after="40" w:line="220" w:lineRule="atLeast"/>
              <w:ind w:left="-115"/>
              <w:rPr>
                <w:rFonts w:eastAsia="MS Mincho"/>
                <w:noProof/>
                <w:szCs w:val="21"/>
              </w:rPr>
            </w:pPr>
            <w:r w:rsidRPr="00C5093D">
              <w:rPr>
                <w:rFonts w:eastAsia="MS Mincho"/>
                <w:noProof/>
                <w:szCs w:val="21"/>
              </w:rPr>
              <w:t>Hypertensive disorder during pregnancy includes pre-existing hypertensive disorders, hypertension arising in pregnancy and associated disorders such as eclampsia and preeclampsia.</w:t>
            </w:r>
          </w:p>
          <w:p w14:paraId="20DA8416"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Hypertension in pregnancy is defined as:</w:t>
            </w:r>
          </w:p>
          <w:p w14:paraId="7A09FABC" w14:textId="77777777" w:rsidR="00AA6D74" w:rsidRPr="00C5093D" w:rsidRDefault="00AA6D74" w:rsidP="00AA6D74">
            <w:pPr>
              <w:pStyle w:val="ListParagraph"/>
              <w:keepNext/>
              <w:keepLines/>
              <w:numPr>
                <w:ilvl w:val="0"/>
                <w:numId w:val="43"/>
              </w:numPr>
              <w:spacing w:after="40" w:line="220" w:lineRule="atLeast"/>
              <w:rPr>
                <w:rFonts w:ascii="Arial" w:eastAsia="MS Mincho" w:hAnsi="Arial"/>
                <w:noProof/>
                <w:sz w:val="21"/>
                <w:szCs w:val="21"/>
              </w:rPr>
            </w:pPr>
            <w:r w:rsidRPr="00C5093D">
              <w:rPr>
                <w:rFonts w:ascii="Arial" w:eastAsia="MS Mincho" w:hAnsi="Arial"/>
                <w:noProof/>
                <w:sz w:val="21"/>
                <w:szCs w:val="21"/>
              </w:rPr>
              <w:t>Systolic blood pressure greater than or equal to 140 mmHg and/or</w:t>
            </w:r>
          </w:p>
          <w:p w14:paraId="6BE4E7B8" w14:textId="77777777" w:rsidR="00AA6D74" w:rsidRPr="00C5093D" w:rsidRDefault="00AA6D74" w:rsidP="00AA6D74">
            <w:pPr>
              <w:pStyle w:val="ListParagraph"/>
              <w:keepNext/>
              <w:keepLines/>
              <w:numPr>
                <w:ilvl w:val="0"/>
                <w:numId w:val="43"/>
              </w:numPr>
              <w:spacing w:after="40" w:line="220" w:lineRule="atLeast"/>
              <w:rPr>
                <w:rFonts w:ascii="Arial" w:eastAsia="MS Mincho" w:hAnsi="Arial"/>
                <w:noProof/>
                <w:sz w:val="21"/>
                <w:szCs w:val="21"/>
              </w:rPr>
            </w:pPr>
            <w:r w:rsidRPr="00C5093D">
              <w:rPr>
                <w:rFonts w:ascii="Arial" w:eastAsia="MS Mincho" w:hAnsi="Arial"/>
                <w:noProof/>
                <w:sz w:val="21"/>
                <w:szCs w:val="21"/>
              </w:rPr>
              <w:t>Diastolic blood pressure greater than or equal to 90 mmHg.</w:t>
            </w:r>
          </w:p>
          <w:p w14:paraId="479A6D90"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Measurements should be confirmed by repeated readings over several hours. Elevations of both systolic and diastolic blood pressures have been associated with adverse fetal outcome and therefore both are important.</w:t>
            </w:r>
          </w:p>
          <w:p w14:paraId="1834CFAA" w14:textId="2D8A178C" w:rsidR="00AA6D74" w:rsidRDefault="00AA6D74" w:rsidP="00AA6D74">
            <w:pPr>
              <w:spacing w:before="120" w:after="40" w:line="220" w:lineRule="atLeast"/>
              <w:ind w:left="-115"/>
              <w:rPr>
                <w:rFonts w:eastAsia="MS Mincho"/>
                <w:noProof/>
                <w:szCs w:val="21"/>
              </w:rPr>
            </w:pPr>
            <w:r w:rsidRPr="00C5093D">
              <w:rPr>
                <w:rFonts w:eastAsia="MS Mincho"/>
                <w:noProof/>
                <w:szCs w:val="21"/>
              </w:rPr>
              <w:t>Disorders associated with hypertension such as eclampsia and preeclampsia are further characterised by symptoms such as proteinuria, oedema or high body temperature.</w:t>
            </w:r>
          </w:p>
          <w:p w14:paraId="25B62955" w14:textId="2AD4E420" w:rsidR="00AA6D74" w:rsidRDefault="00AA6D74" w:rsidP="00AA6D74">
            <w:pPr>
              <w:spacing w:before="120" w:after="40" w:line="220" w:lineRule="atLeast"/>
              <w:ind w:left="-115"/>
              <w:rPr>
                <w:rFonts w:eastAsia="MS Mincho"/>
                <w:noProof/>
                <w:szCs w:val="21"/>
              </w:rPr>
            </w:pPr>
            <w:r>
              <w:rPr>
                <w:rFonts w:eastAsia="MS Mincho"/>
                <w:noProof/>
                <w:szCs w:val="21"/>
              </w:rPr>
              <w:t>There are several reasons to support the blood pressure readings defined above as diagnostic of hypertension in pregnancy:</w:t>
            </w:r>
          </w:p>
          <w:p w14:paraId="444057AC" w14:textId="3DD9384A" w:rsidR="00AA6D74" w:rsidRDefault="00AA6D74" w:rsidP="00AA6D74">
            <w:pPr>
              <w:pStyle w:val="Bullet1"/>
              <w:rPr>
                <w:noProof/>
              </w:rPr>
            </w:pPr>
            <w:r>
              <w:rPr>
                <w:noProof/>
              </w:rPr>
              <w:t>perinatal mortality rises with diastolic blood pressures above 90 mmHg</w:t>
            </w:r>
          </w:p>
          <w:p w14:paraId="03EAA428" w14:textId="1D7AC0DE" w:rsidR="00AA6D74" w:rsidRDefault="00AA6D74" w:rsidP="00AA6D74">
            <w:pPr>
              <w:pStyle w:val="Bullet1"/>
              <w:rPr>
                <w:noProof/>
              </w:rPr>
            </w:pPr>
            <w:r>
              <w:rPr>
                <w:noProof/>
              </w:rPr>
              <w:t>readings above this level were beyond two standard deviations of mean blood pressure in a New Zealand cohort of normal pregnant women</w:t>
            </w:r>
          </w:p>
          <w:p w14:paraId="2154E577" w14:textId="2FA3A350" w:rsidR="00AA6D74" w:rsidRPr="00C5093D" w:rsidRDefault="00AA6D74" w:rsidP="00AA6D74">
            <w:pPr>
              <w:pStyle w:val="Bullet1"/>
              <w:rPr>
                <w:noProof/>
              </w:rPr>
            </w:pPr>
            <w:r>
              <w:rPr>
                <w:noProof/>
              </w:rPr>
              <w:t>the chosen levels are consistent with international guidelines and correspond with the current diagnoisis of hypertension outside of pregnancy.</w:t>
            </w:r>
          </w:p>
          <w:p w14:paraId="1FA44039"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This definition of hypertensive disorder in pregnancy from the Society of Obstetric Medicine in Australia and New Zealand (SOMANZ) aligns with the definition of the International Society for the Study of Hypertension in Pregnancy (ISSHP).</w:t>
            </w:r>
          </w:p>
          <w:p w14:paraId="7B408F1D"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(Source: METeOR #655620, Australian Institute of Health and Welfare)</w:t>
            </w:r>
          </w:p>
          <w:p w14:paraId="76BF4584" w14:textId="77777777" w:rsidR="00AA6D74" w:rsidRPr="00C5093D" w:rsidRDefault="00AA6D74" w:rsidP="00AA6D74">
            <w:pPr>
              <w:spacing w:after="40" w:line="220" w:lineRule="atLeast"/>
              <w:ind w:left="-115"/>
              <w:rPr>
                <w:rFonts w:eastAsia="MS Mincho"/>
                <w:szCs w:val="21"/>
              </w:rPr>
            </w:pPr>
          </w:p>
        </w:tc>
      </w:tr>
      <w:tr w:rsidR="00AA6D74" w:rsidRPr="00BA191C" w14:paraId="603AC543" w14:textId="77777777" w:rsidTr="00F60E97">
        <w:trPr>
          <w:gridAfter w:val="5"/>
          <w:wAfter w:w="501" w:type="dxa"/>
        </w:trPr>
        <w:tc>
          <w:tcPr>
            <w:tcW w:w="2074" w:type="dxa"/>
            <w:gridSpan w:val="3"/>
            <w:shd w:val="clear" w:color="auto" w:fill="auto"/>
          </w:tcPr>
          <w:p w14:paraId="3F20386B" w14:textId="77777777" w:rsidR="00AA6D74" w:rsidRPr="00C5093D" w:rsidRDefault="00AA6D74" w:rsidP="00AA6D74">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gridSpan w:val="2"/>
            <w:shd w:val="clear" w:color="auto" w:fill="auto"/>
          </w:tcPr>
          <w:p w14:paraId="52213D55" w14:textId="33C96AE3" w:rsidR="00AA6D74" w:rsidRPr="00C5093D" w:rsidRDefault="00AA6D74" w:rsidP="00AA6D74">
            <w:pPr>
              <w:spacing w:after="40" w:line="220" w:lineRule="atLeast"/>
              <w:ind w:left="-115"/>
              <w:rPr>
                <w:rFonts w:eastAsia="MS Mincho"/>
                <w:szCs w:val="21"/>
              </w:rPr>
            </w:pPr>
            <w:r w:rsidRPr="00AD3ED5">
              <w:rPr>
                <w:rFonts w:eastAsia="MS Mincho"/>
                <w:noProof/>
                <w:szCs w:val="21"/>
              </w:rPr>
              <w:t>Events of labour and birth – free text; Events of labour and birth – ICD-10-AM code; Indication for induction (main reason) – ICD-10-AM code; Indications for induction (other) – free text; Indications for induction (other) – ICD-10-AM code; Indication for operative delivery (main reason) – ICD-10-AM code; Indications for operative delivery (other) – free text; Indications for operative delivery (other) – ICD-10-AM code; Maternal medical conditions – free text; Maternal medical conditions – ICD-10-AM code; Obstetric complications – free text; Obstetric complications – ICD-10-AM code; Postpartum complications – free text; Postpartum complications – ICD-10-AM code</w:t>
            </w:r>
          </w:p>
        </w:tc>
      </w:tr>
      <w:tr w:rsidR="00AA6D74" w:rsidRPr="00BA191C" w14:paraId="46228840" w14:textId="77777777" w:rsidTr="00F60E97">
        <w:trPr>
          <w:gridAfter w:val="5"/>
          <w:wAfter w:w="501" w:type="dxa"/>
        </w:trPr>
        <w:tc>
          <w:tcPr>
            <w:tcW w:w="9072" w:type="dxa"/>
            <w:gridSpan w:val="5"/>
            <w:shd w:val="clear" w:color="auto" w:fill="auto"/>
          </w:tcPr>
          <w:p w14:paraId="49AE7DF2" w14:textId="08FDB477" w:rsidR="00AA6D74" w:rsidRPr="00BA191C" w:rsidRDefault="00AA6D74" w:rsidP="00AA6D74">
            <w:pPr>
              <w:pStyle w:val="Heading2"/>
              <w:rPr>
                <w:i/>
              </w:rPr>
            </w:pPr>
            <w:bookmarkStart w:id="38" w:name="_Toc31277992"/>
            <w:bookmarkStart w:id="39" w:name="_Toc170222950"/>
            <w:r w:rsidRPr="00BA191C">
              <w:t>Induction</w:t>
            </w:r>
            <w:bookmarkEnd w:id="38"/>
            <w:bookmarkEnd w:id="39"/>
          </w:p>
        </w:tc>
      </w:tr>
      <w:tr w:rsidR="00AA6D74" w:rsidRPr="00BA191C" w14:paraId="6673ABCF" w14:textId="77777777" w:rsidTr="00F60E97">
        <w:trPr>
          <w:gridAfter w:val="5"/>
          <w:wAfter w:w="501" w:type="dxa"/>
        </w:trPr>
        <w:tc>
          <w:tcPr>
            <w:tcW w:w="2074" w:type="dxa"/>
            <w:gridSpan w:val="3"/>
            <w:shd w:val="clear" w:color="auto" w:fill="auto"/>
          </w:tcPr>
          <w:p w14:paraId="35D1E933" w14:textId="77777777" w:rsidR="00AA6D74" w:rsidRPr="00C5093D" w:rsidRDefault="00AA6D74" w:rsidP="00AA6D74">
            <w:pPr>
              <w:keepLines/>
              <w:widowControl w:val="0"/>
              <w:spacing w:after="0" w:line="240" w:lineRule="auto"/>
              <w:rPr>
                <w:b/>
                <w:i/>
                <w:szCs w:val="21"/>
              </w:rPr>
            </w:pPr>
            <w:r w:rsidRPr="00C5093D">
              <w:rPr>
                <w:b/>
                <w:szCs w:val="21"/>
              </w:rPr>
              <w:t>Definition/guide for use</w:t>
            </w:r>
          </w:p>
        </w:tc>
        <w:tc>
          <w:tcPr>
            <w:tcW w:w="6998" w:type="dxa"/>
            <w:gridSpan w:val="2"/>
            <w:shd w:val="clear" w:color="auto" w:fill="auto"/>
          </w:tcPr>
          <w:p w14:paraId="50EC1D39" w14:textId="77777777" w:rsidR="00AA6D74" w:rsidRPr="00C5093D" w:rsidRDefault="00AA6D74" w:rsidP="00AA6D74">
            <w:pPr>
              <w:spacing w:after="40" w:line="220" w:lineRule="atLeast"/>
              <w:ind w:left="-115"/>
              <w:rPr>
                <w:rFonts w:eastAsia="MS Mincho"/>
                <w:noProof/>
                <w:szCs w:val="21"/>
              </w:rPr>
            </w:pPr>
            <w:r w:rsidRPr="00C5093D">
              <w:rPr>
                <w:rFonts w:eastAsia="MS Mincho"/>
                <w:noProof/>
                <w:szCs w:val="21"/>
              </w:rPr>
              <w:t>Procedure performed to stimulate and establish labour in a woman who has not started labour spontaneously.</w:t>
            </w:r>
          </w:p>
          <w:p w14:paraId="0D29E96E" w14:textId="77777777" w:rsidR="00AA6D74" w:rsidRPr="00C5093D" w:rsidRDefault="00AA6D74" w:rsidP="00AA6D74">
            <w:pPr>
              <w:spacing w:before="120" w:after="40" w:line="220" w:lineRule="atLeast"/>
              <w:ind w:left="-115"/>
              <w:rPr>
                <w:rFonts w:eastAsia="MS Mincho"/>
                <w:noProof/>
                <w:szCs w:val="21"/>
              </w:rPr>
            </w:pPr>
            <w:r w:rsidRPr="00C5093D">
              <w:rPr>
                <w:rFonts w:eastAsia="MS Mincho"/>
                <w:noProof/>
                <w:szCs w:val="21"/>
              </w:rPr>
              <w:t>More than one method of induction can be recorded. The use of medications or forewater ARM to initiate labour following pre-labour rupture of the membranes (PROM) is considered an induction (but not an augmentation as augmentation is possible only after labour has started spontaneously). If labour begins spontaneously following PROM, the use of these techniques should be reported as augmentation.</w:t>
            </w:r>
          </w:p>
          <w:p w14:paraId="1BECCCA6" w14:textId="77777777" w:rsidR="00AA6D74" w:rsidRPr="00C5093D" w:rsidRDefault="00AA6D74" w:rsidP="00AA6D74">
            <w:pPr>
              <w:spacing w:before="120" w:after="40" w:line="220" w:lineRule="atLeast"/>
              <w:rPr>
                <w:rFonts w:eastAsia="MS Mincho"/>
                <w:szCs w:val="21"/>
              </w:rPr>
            </w:pPr>
          </w:p>
        </w:tc>
      </w:tr>
      <w:tr w:rsidR="00AA6D74" w:rsidRPr="00BA191C" w14:paraId="4ACF4FC2" w14:textId="77777777" w:rsidTr="00F60E97">
        <w:trPr>
          <w:gridAfter w:val="5"/>
          <w:wAfter w:w="501" w:type="dxa"/>
        </w:trPr>
        <w:tc>
          <w:tcPr>
            <w:tcW w:w="2074" w:type="dxa"/>
            <w:gridSpan w:val="3"/>
            <w:shd w:val="clear" w:color="auto" w:fill="auto"/>
          </w:tcPr>
          <w:p w14:paraId="7E93042E" w14:textId="77777777" w:rsidR="00AA6D74" w:rsidRPr="00C5093D" w:rsidRDefault="00AA6D74" w:rsidP="00AA6D74">
            <w:pPr>
              <w:keepNext/>
              <w:spacing w:after="0" w:line="240" w:lineRule="auto"/>
              <w:rPr>
                <w:b/>
                <w:szCs w:val="21"/>
                <w:lang w:eastAsia="en-AU"/>
              </w:rPr>
            </w:pPr>
            <w:r w:rsidRPr="00C5093D">
              <w:rPr>
                <w:b/>
                <w:noProof/>
                <w:szCs w:val="21"/>
                <w:lang w:eastAsia="en-AU"/>
              </w:rPr>
              <w:t>Related data items (Section 3):</w:t>
            </w:r>
          </w:p>
        </w:tc>
        <w:tc>
          <w:tcPr>
            <w:tcW w:w="6998" w:type="dxa"/>
            <w:gridSpan w:val="2"/>
            <w:shd w:val="clear" w:color="auto" w:fill="auto"/>
          </w:tcPr>
          <w:p w14:paraId="69144CB3" w14:textId="51165D02" w:rsidR="00AA6D74" w:rsidRPr="00C5093D" w:rsidRDefault="00AA6D74" w:rsidP="00AA6D74">
            <w:pPr>
              <w:spacing w:after="40" w:line="220" w:lineRule="atLeast"/>
              <w:ind w:left="-115"/>
              <w:rPr>
                <w:rFonts w:eastAsia="MS Mincho"/>
                <w:szCs w:val="21"/>
              </w:rPr>
            </w:pPr>
            <w:r w:rsidRPr="00D9495A">
              <w:rPr>
                <w:rFonts w:eastAsia="MS Mincho"/>
                <w:noProof/>
                <w:szCs w:val="21"/>
              </w:rPr>
              <w:t>Indication for induction (main reason) – ICD-10-AM code; Indications for induction (other) – free text; Indication for induction (other) – ICD-10-AM code</w:t>
            </w:r>
          </w:p>
        </w:tc>
      </w:tr>
      <w:tr w:rsidR="00AA6D74" w:rsidRPr="00BA191C" w14:paraId="566D83E3" w14:textId="77777777" w:rsidTr="00F60E97">
        <w:trPr>
          <w:gridAfter w:val="2"/>
          <w:wAfter w:w="251" w:type="dxa"/>
        </w:trPr>
        <w:tc>
          <w:tcPr>
            <w:tcW w:w="9322" w:type="dxa"/>
            <w:gridSpan w:val="8"/>
            <w:shd w:val="clear" w:color="auto" w:fill="auto"/>
          </w:tcPr>
          <w:p w14:paraId="638DEA97" w14:textId="2C1E91AE" w:rsidR="00AA6D74" w:rsidRPr="00BA191C" w:rsidRDefault="00AA6D74" w:rsidP="00AA6D74">
            <w:pPr>
              <w:pStyle w:val="Heading2"/>
              <w:rPr>
                <w:i/>
              </w:rPr>
            </w:pPr>
            <w:bookmarkStart w:id="40" w:name="_Toc31277993"/>
            <w:bookmarkStart w:id="41" w:name="_Toc170222951"/>
            <w:r w:rsidRPr="00BA191C">
              <w:t>Infant death</w:t>
            </w:r>
            <w:bookmarkEnd w:id="40"/>
            <w:bookmarkEnd w:id="41"/>
          </w:p>
        </w:tc>
      </w:tr>
      <w:tr w:rsidR="00AA6D74" w:rsidRPr="00BA191C" w14:paraId="61A034E3" w14:textId="77777777" w:rsidTr="00F60E97">
        <w:trPr>
          <w:gridAfter w:val="3"/>
          <w:wAfter w:w="317" w:type="dxa"/>
        </w:trPr>
        <w:tc>
          <w:tcPr>
            <w:tcW w:w="2074" w:type="dxa"/>
            <w:gridSpan w:val="3"/>
            <w:shd w:val="clear" w:color="auto" w:fill="auto"/>
          </w:tcPr>
          <w:p w14:paraId="42697DEC" w14:textId="77777777" w:rsidR="00AA6D74" w:rsidRPr="00C5093D" w:rsidRDefault="00AA6D74" w:rsidP="00AA6D74">
            <w:pPr>
              <w:spacing w:after="0" w:line="240" w:lineRule="auto"/>
              <w:rPr>
                <w:b/>
                <w:i/>
                <w:szCs w:val="21"/>
              </w:rPr>
            </w:pPr>
            <w:r w:rsidRPr="00C5093D">
              <w:rPr>
                <w:b/>
                <w:szCs w:val="21"/>
              </w:rPr>
              <w:t>Definition/guide for use</w:t>
            </w:r>
          </w:p>
        </w:tc>
        <w:tc>
          <w:tcPr>
            <w:tcW w:w="7182" w:type="dxa"/>
            <w:gridSpan w:val="4"/>
            <w:shd w:val="clear" w:color="auto" w:fill="auto"/>
          </w:tcPr>
          <w:p w14:paraId="6B0FCE8A" w14:textId="2A5F280A" w:rsidR="00AA6D74" w:rsidRDefault="00AA6D74" w:rsidP="00AA6D74">
            <w:pPr>
              <w:spacing w:after="40" w:line="220" w:lineRule="atLeast"/>
              <w:ind w:left="-115"/>
              <w:rPr>
                <w:rFonts w:eastAsia="MS Mincho"/>
                <w:noProof/>
                <w:szCs w:val="21"/>
              </w:rPr>
            </w:pPr>
            <w:r w:rsidRPr="00C5093D">
              <w:rPr>
                <w:rFonts w:eastAsia="MS Mincho"/>
                <w:noProof/>
                <w:szCs w:val="21"/>
              </w:rPr>
              <w:t>The death of an infant occurring within one year of birth.</w:t>
            </w:r>
          </w:p>
          <w:p w14:paraId="797B0B76" w14:textId="77777777" w:rsidR="002B6E64" w:rsidRPr="00C5093D" w:rsidRDefault="002B6E64" w:rsidP="00AA6D74">
            <w:pPr>
              <w:spacing w:after="40" w:line="220" w:lineRule="atLeast"/>
              <w:ind w:left="-115"/>
              <w:rPr>
                <w:rFonts w:eastAsia="MS Mincho"/>
                <w:noProof/>
                <w:szCs w:val="21"/>
              </w:rPr>
            </w:pPr>
          </w:p>
          <w:p w14:paraId="58737D71" w14:textId="77777777" w:rsidR="00AA6D74" w:rsidRPr="00C5093D" w:rsidRDefault="00AA6D74" w:rsidP="00AA6D74">
            <w:pPr>
              <w:spacing w:after="40" w:line="220" w:lineRule="atLeast"/>
              <w:rPr>
                <w:rFonts w:eastAsia="MS Mincho"/>
                <w:szCs w:val="21"/>
              </w:rPr>
            </w:pPr>
          </w:p>
        </w:tc>
      </w:tr>
      <w:tr w:rsidR="00AA6D74" w:rsidRPr="00BA191C" w14:paraId="3820DD2A" w14:textId="77777777" w:rsidTr="00F60E97">
        <w:trPr>
          <w:gridAfter w:val="3"/>
          <w:wAfter w:w="317" w:type="dxa"/>
        </w:trPr>
        <w:tc>
          <w:tcPr>
            <w:tcW w:w="2074" w:type="dxa"/>
            <w:gridSpan w:val="3"/>
            <w:shd w:val="clear" w:color="auto" w:fill="auto"/>
          </w:tcPr>
          <w:p w14:paraId="5A19C453" w14:textId="77777777" w:rsidR="00AA6D74" w:rsidRPr="00C5093D" w:rsidRDefault="00AA6D74" w:rsidP="00AA6D74">
            <w:pPr>
              <w:spacing w:after="0" w:line="240" w:lineRule="auto"/>
              <w:rPr>
                <w:b/>
                <w:szCs w:val="21"/>
                <w:lang w:eastAsia="en-AU"/>
              </w:rPr>
            </w:pPr>
            <w:r w:rsidRPr="00C5093D">
              <w:rPr>
                <w:b/>
                <w:noProof/>
                <w:szCs w:val="21"/>
                <w:lang w:eastAsia="en-AU"/>
              </w:rPr>
              <w:t>Related data items (Section 3):</w:t>
            </w:r>
          </w:p>
        </w:tc>
        <w:tc>
          <w:tcPr>
            <w:tcW w:w="7182" w:type="dxa"/>
            <w:gridSpan w:val="4"/>
            <w:shd w:val="clear" w:color="auto" w:fill="auto"/>
          </w:tcPr>
          <w:p w14:paraId="298D9885" w14:textId="77777777" w:rsidR="00AA6D74" w:rsidRPr="00C5093D" w:rsidRDefault="00AA6D74" w:rsidP="00AA6D74">
            <w:pPr>
              <w:spacing w:after="40" w:line="220" w:lineRule="atLeast"/>
              <w:ind w:left="284" w:hanging="399"/>
              <w:rPr>
                <w:rFonts w:eastAsia="MS Mincho"/>
                <w:szCs w:val="21"/>
              </w:rPr>
            </w:pPr>
            <w:r w:rsidRPr="00C5093D">
              <w:rPr>
                <w:rFonts w:eastAsia="MS Mincho"/>
                <w:noProof/>
                <w:szCs w:val="21"/>
              </w:rPr>
              <w:t>Separation status – baby</w:t>
            </w:r>
          </w:p>
        </w:tc>
      </w:tr>
      <w:tr w:rsidR="00AA6D74" w:rsidRPr="00BA191C" w14:paraId="00400958" w14:textId="77777777" w:rsidTr="00F60E97">
        <w:trPr>
          <w:gridAfter w:val="3"/>
          <w:wAfter w:w="317" w:type="dxa"/>
        </w:trPr>
        <w:tc>
          <w:tcPr>
            <w:tcW w:w="9256" w:type="dxa"/>
            <w:gridSpan w:val="7"/>
            <w:shd w:val="clear" w:color="auto" w:fill="auto"/>
          </w:tcPr>
          <w:p w14:paraId="5FD16C99" w14:textId="4174FEF1" w:rsidR="00AA6D74" w:rsidRPr="00BA191C" w:rsidRDefault="00AA6D74" w:rsidP="00AA6D74">
            <w:pPr>
              <w:pStyle w:val="Heading2"/>
              <w:rPr>
                <w:i/>
              </w:rPr>
            </w:pPr>
            <w:bookmarkStart w:id="42" w:name="_Toc31277994"/>
            <w:bookmarkStart w:id="43" w:name="_Toc170222952"/>
            <w:r w:rsidRPr="00BA191C">
              <w:t>Intensive care unit (ICU)</w:t>
            </w:r>
            <w:bookmarkEnd w:id="42"/>
            <w:bookmarkEnd w:id="43"/>
          </w:p>
        </w:tc>
      </w:tr>
      <w:tr w:rsidR="00AA6D74" w:rsidRPr="00BA191C" w14:paraId="4025CDAE" w14:textId="77777777" w:rsidTr="00F60E97">
        <w:trPr>
          <w:gridAfter w:val="5"/>
          <w:wAfter w:w="501" w:type="dxa"/>
        </w:trPr>
        <w:tc>
          <w:tcPr>
            <w:tcW w:w="2074" w:type="dxa"/>
            <w:gridSpan w:val="3"/>
            <w:shd w:val="clear" w:color="auto" w:fill="auto"/>
          </w:tcPr>
          <w:p w14:paraId="33B32DB1" w14:textId="77777777" w:rsidR="00AA6D74" w:rsidRPr="00C5093D" w:rsidRDefault="00AA6D74" w:rsidP="00AA6D74">
            <w:pPr>
              <w:keepLines/>
              <w:spacing w:after="0" w:line="240" w:lineRule="auto"/>
              <w:rPr>
                <w:b/>
                <w:i/>
                <w:szCs w:val="21"/>
              </w:rPr>
            </w:pPr>
            <w:r w:rsidRPr="00C5093D">
              <w:rPr>
                <w:b/>
                <w:szCs w:val="21"/>
              </w:rPr>
              <w:t>Definition/guide for use</w:t>
            </w:r>
          </w:p>
        </w:tc>
        <w:tc>
          <w:tcPr>
            <w:tcW w:w="6998" w:type="dxa"/>
            <w:gridSpan w:val="2"/>
            <w:shd w:val="clear" w:color="auto" w:fill="auto"/>
          </w:tcPr>
          <w:p w14:paraId="7BECA608"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An intensive care unit (ICU) is a designated hospital ward that is specially staffed and equipped to provide observation, care and treatment to patients with actual or potentially life-threatening illnesses, injuries or complications from which recovery is possible. The ICU provides special expertise and facilities for the support of vital functions. It employs the skills of medical, nursing and other staff trained and experienced in the management of these problems.</w:t>
            </w:r>
          </w:p>
          <w:p w14:paraId="40AA7B1D" w14:textId="77777777" w:rsidR="00AA6D74" w:rsidRPr="00C5093D" w:rsidRDefault="00AA6D74" w:rsidP="00AA6D74">
            <w:pPr>
              <w:keepLines/>
              <w:spacing w:before="120" w:after="40" w:line="220" w:lineRule="atLeast"/>
              <w:ind w:left="-115"/>
              <w:rPr>
                <w:rFonts w:eastAsia="MS Mincho"/>
                <w:noProof/>
                <w:szCs w:val="21"/>
              </w:rPr>
            </w:pPr>
            <w:r w:rsidRPr="00C5093D">
              <w:rPr>
                <w:rFonts w:eastAsia="MS Mincho"/>
                <w:noProof/>
                <w:szCs w:val="21"/>
              </w:rPr>
              <w:t>There are five different levels and types of intensive care associated with perinatal information, details of which are listed below:</w:t>
            </w:r>
          </w:p>
          <w:p w14:paraId="6741EB43" w14:textId="77777777" w:rsidR="00AA6D74" w:rsidRPr="00C5093D" w:rsidRDefault="00AA6D74" w:rsidP="00AA6D74">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adult intensive care – level 3, level 2, level 1</w:t>
            </w:r>
          </w:p>
          <w:p w14:paraId="66EB6079" w14:textId="77777777" w:rsidR="00AA6D74" w:rsidRPr="00C5093D" w:rsidRDefault="00AA6D74" w:rsidP="00AA6D74">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neonatal intensive care – level 3</w:t>
            </w:r>
          </w:p>
          <w:p w14:paraId="6EE0FAD0" w14:textId="77777777" w:rsidR="00AA6D74" w:rsidRPr="00C5093D" w:rsidRDefault="00AA6D74" w:rsidP="00AA6D74">
            <w:pPr>
              <w:pStyle w:val="ListParagraph"/>
              <w:numPr>
                <w:ilvl w:val="0"/>
                <w:numId w:val="44"/>
              </w:numPr>
              <w:spacing w:after="40" w:line="270" w:lineRule="atLeast"/>
              <w:ind w:left="310" w:hanging="425"/>
              <w:rPr>
                <w:rFonts w:ascii="Arial" w:eastAsia="MS Mincho" w:hAnsi="Arial"/>
                <w:noProof/>
                <w:sz w:val="21"/>
                <w:szCs w:val="21"/>
              </w:rPr>
            </w:pPr>
            <w:r w:rsidRPr="00C5093D">
              <w:rPr>
                <w:rFonts w:ascii="Arial" w:eastAsia="MS Mincho" w:hAnsi="Arial"/>
                <w:noProof/>
                <w:sz w:val="21"/>
                <w:szCs w:val="21"/>
              </w:rPr>
              <w:t>paediatric intensive care.</w:t>
            </w:r>
          </w:p>
          <w:p w14:paraId="4802FD3D" w14:textId="77777777" w:rsidR="00AA6D74" w:rsidRPr="00C5093D" w:rsidRDefault="00AA6D74" w:rsidP="00AA6D74">
            <w:pPr>
              <w:keepLines/>
              <w:spacing w:before="120" w:after="40" w:line="220" w:lineRule="atLeast"/>
              <w:ind w:left="-115"/>
              <w:rPr>
                <w:rFonts w:eastAsia="MS Mincho"/>
                <w:noProof/>
                <w:szCs w:val="21"/>
              </w:rPr>
            </w:pPr>
            <w:r w:rsidRPr="00C5093D">
              <w:rPr>
                <w:rFonts w:eastAsia="MS Mincho"/>
                <w:noProof/>
                <w:szCs w:val="21"/>
              </w:rPr>
              <w:lastRenderedPageBreak/>
              <w:t>As defined, ICUs do not include special care nurseries, coronary care units, high dependency units (HDUs), intensive nursing units or step-down units. All levels and types of ICU must be separate and self-contained facilities in hospitals, and must conform to relevant Australian Council on Healthcare Standards (ACHS) guidelines for clinical standards and staffing requirements.</w:t>
            </w:r>
          </w:p>
          <w:p w14:paraId="35B9FAC8" w14:textId="77777777" w:rsidR="00AA6D74" w:rsidRPr="00C5093D" w:rsidRDefault="00AA6D74" w:rsidP="00AA6D74">
            <w:pPr>
              <w:keepLines/>
              <w:spacing w:after="40" w:line="220" w:lineRule="atLeast"/>
              <w:ind w:left="-115"/>
              <w:rPr>
                <w:rFonts w:eastAsia="MS Mincho"/>
                <w:noProof/>
                <w:szCs w:val="21"/>
              </w:rPr>
            </w:pPr>
          </w:p>
          <w:p w14:paraId="3AD69A88" w14:textId="77777777" w:rsidR="00AA6D74" w:rsidRPr="00C5093D" w:rsidRDefault="00AA6D74" w:rsidP="00AA6D74">
            <w:pPr>
              <w:keepLines/>
              <w:spacing w:after="40" w:line="220" w:lineRule="atLeast"/>
              <w:ind w:left="-115"/>
              <w:rPr>
                <w:rFonts w:eastAsia="MS Mincho"/>
                <w:b/>
                <w:noProof/>
                <w:szCs w:val="21"/>
              </w:rPr>
            </w:pPr>
            <w:r w:rsidRPr="00C5093D">
              <w:rPr>
                <w:rFonts w:eastAsia="MS Mincho"/>
                <w:b/>
                <w:noProof/>
                <w:szCs w:val="21"/>
              </w:rPr>
              <w:t>Neonatal intensive care unit</w:t>
            </w:r>
            <w:r w:rsidRPr="00C5093D">
              <w:rPr>
                <w:rFonts w:eastAsia="MS Mincho"/>
                <w:noProof/>
                <w:szCs w:val="21"/>
              </w:rPr>
              <w:t xml:space="preserve"> </w:t>
            </w:r>
            <w:r w:rsidRPr="00C5093D">
              <w:rPr>
                <w:rFonts w:eastAsia="MS Mincho"/>
                <w:b/>
                <w:noProof/>
                <w:szCs w:val="21"/>
              </w:rPr>
              <w:t>– nature of facility</w:t>
            </w:r>
          </w:p>
          <w:p w14:paraId="55F31F02"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 level 3 neonatal ICU must be capable of providing complex, multi</w:t>
            </w:r>
            <w:r w:rsidRPr="00C5093D">
              <w:rPr>
                <w:rFonts w:eastAsia="MS Mincho"/>
                <w:noProof/>
                <w:szCs w:val="21"/>
              </w:rPr>
              <w:noBreakHyphen/>
              <w:t>system life support for an indefinite period.</w:t>
            </w:r>
          </w:p>
          <w:p w14:paraId="6AF97421" w14:textId="77777777" w:rsidR="00AA6D74" w:rsidRPr="00C5093D" w:rsidRDefault="00AA6D74" w:rsidP="00AA6D74">
            <w:pPr>
              <w:keepLines/>
              <w:spacing w:before="120" w:after="40" w:line="220" w:lineRule="atLeast"/>
              <w:ind w:left="-115"/>
              <w:rPr>
                <w:rFonts w:eastAsia="MS Mincho"/>
                <w:b/>
                <w:noProof/>
                <w:szCs w:val="21"/>
              </w:rPr>
            </w:pPr>
            <w:r w:rsidRPr="00C5093D">
              <w:rPr>
                <w:rFonts w:eastAsia="MS Mincho"/>
                <w:b/>
                <w:noProof/>
                <w:szCs w:val="21"/>
              </w:rPr>
              <w:t>Care process</w:t>
            </w:r>
          </w:p>
          <w:p w14:paraId="7EE8FF1C"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 neonatal ICU must be capable of providing mechanical ventilation and invasive cardiovascular monitoring. These types of services are illustrative of the nature of care provided in a neonatal ICU but are not exhaustive of the possibilities.</w:t>
            </w:r>
          </w:p>
          <w:p w14:paraId="4B8FCF61" w14:textId="77777777" w:rsidR="00AA6D74" w:rsidRPr="00C5093D" w:rsidRDefault="00AA6D74" w:rsidP="00AA6D74">
            <w:pPr>
              <w:keepLines/>
              <w:spacing w:before="120" w:after="40" w:line="220" w:lineRule="atLeast"/>
              <w:ind w:left="-115"/>
              <w:rPr>
                <w:rFonts w:eastAsia="MS Mincho"/>
                <w:b/>
                <w:noProof/>
                <w:szCs w:val="21"/>
              </w:rPr>
            </w:pPr>
            <w:r w:rsidRPr="00C5093D">
              <w:rPr>
                <w:rFonts w:eastAsia="MS Mincho"/>
                <w:b/>
                <w:noProof/>
                <w:szCs w:val="21"/>
              </w:rPr>
              <w:t>Paediatric intensive care unit – nature of facility</w:t>
            </w:r>
          </w:p>
          <w:p w14:paraId="67139FF7" w14:textId="77777777" w:rsidR="00AA6D74" w:rsidRPr="00C5093D" w:rsidRDefault="00AA6D74" w:rsidP="00AA6D74">
            <w:pPr>
              <w:keepLines/>
              <w:spacing w:after="40" w:line="220" w:lineRule="atLeast"/>
              <w:ind w:left="-115"/>
              <w:rPr>
                <w:rFonts w:eastAsia="MS Mincho"/>
                <w:noProof/>
                <w:szCs w:val="21"/>
              </w:rPr>
            </w:pPr>
            <w:r w:rsidRPr="00C5093D">
              <w:rPr>
                <w:rFonts w:eastAsia="MS Mincho"/>
                <w:noProof/>
                <w:szCs w:val="21"/>
              </w:rPr>
              <w:t>A paediatric ICU must be a separate and self</w:t>
            </w:r>
            <w:r w:rsidRPr="00C5093D">
              <w:rPr>
                <w:rFonts w:eastAsia="MS Mincho"/>
                <w:noProof/>
                <w:szCs w:val="21"/>
              </w:rPr>
              <w:noBreakHyphen/>
              <w:t>contained facility in the hospital, and must be capable of providing complex, multi-system life support for an indefinite period. It must be a tertiary referral centre for children needing intensive care and have extensive backup laboratory and clinical service facilities to support this tertiary role.</w:t>
            </w:r>
          </w:p>
          <w:p w14:paraId="76ECBDDD" w14:textId="77777777" w:rsidR="00AA6D74" w:rsidRPr="00C5093D" w:rsidRDefault="00AA6D74" w:rsidP="00AA6D74">
            <w:pPr>
              <w:keepLines/>
              <w:spacing w:before="120" w:after="40" w:line="220" w:lineRule="atLeast"/>
              <w:ind w:left="-115"/>
              <w:rPr>
                <w:rFonts w:eastAsia="MS Mincho"/>
                <w:b/>
                <w:noProof/>
                <w:szCs w:val="21"/>
              </w:rPr>
            </w:pPr>
            <w:r w:rsidRPr="00C5093D">
              <w:rPr>
                <w:rFonts w:eastAsia="MS Mincho"/>
                <w:b/>
                <w:noProof/>
                <w:szCs w:val="21"/>
              </w:rPr>
              <w:t>Care process</w:t>
            </w:r>
          </w:p>
          <w:p w14:paraId="733CC024" w14:textId="77777777" w:rsidR="00AA6D74" w:rsidRPr="00C5093D" w:rsidRDefault="00AA6D74" w:rsidP="00AA6D74">
            <w:pPr>
              <w:keepNext/>
              <w:keepLines/>
              <w:spacing w:after="40" w:line="220" w:lineRule="atLeast"/>
              <w:ind w:left="-115"/>
              <w:rPr>
                <w:rFonts w:eastAsia="MS Mincho"/>
                <w:noProof/>
                <w:szCs w:val="21"/>
              </w:rPr>
            </w:pPr>
            <w:r w:rsidRPr="00C5093D">
              <w:rPr>
                <w:rFonts w:eastAsia="MS Mincho"/>
                <w:noProof/>
                <w:szCs w:val="21"/>
              </w:rPr>
              <w:t>A paediatric ICU must be capable of providing mechanical ventilation, extra-corporeal renal support services and invasive cardiovascular monitoring for an indefinite period to infants and children less than 16 years of age. These types of services are illustrative of the nature of care provided in a paediatric ICU but are not exhaustive of the possibilities.</w:t>
            </w:r>
          </w:p>
          <w:p w14:paraId="7CA424D4" w14:textId="77777777" w:rsidR="00AA6D74" w:rsidRPr="00C5093D" w:rsidRDefault="00AA6D74" w:rsidP="00AA6D74">
            <w:pPr>
              <w:keepNext/>
              <w:keepLines/>
              <w:spacing w:after="40" w:line="220" w:lineRule="atLeast"/>
              <w:ind w:left="-115"/>
              <w:rPr>
                <w:rFonts w:eastAsia="MS Mincho"/>
                <w:szCs w:val="21"/>
              </w:rPr>
            </w:pPr>
          </w:p>
        </w:tc>
      </w:tr>
      <w:tr w:rsidR="00AA6D74" w:rsidRPr="00BA191C" w14:paraId="4424645C" w14:textId="77777777" w:rsidTr="00F60E97">
        <w:trPr>
          <w:gridAfter w:val="5"/>
          <w:wAfter w:w="501" w:type="dxa"/>
        </w:trPr>
        <w:tc>
          <w:tcPr>
            <w:tcW w:w="2074" w:type="dxa"/>
            <w:gridSpan w:val="3"/>
            <w:shd w:val="clear" w:color="auto" w:fill="auto"/>
          </w:tcPr>
          <w:p w14:paraId="05505F03" w14:textId="77777777" w:rsidR="00AA6D74" w:rsidRPr="00C5093D" w:rsidRDefault="00AA6D74" w:rsidP="00AA6D74">
            <w:pPr>
              <w:keepNext/>
              <w:keepLines/>
              <w:spacing w:after="0" w:line="240" w:lineRule="auto"/>
              <w:rPr>
                <w:b/>
                <w:szCs w:val="21"/>
                <w:lang w:eastAsia="en-AU"/>
              </w:rPr>
            </w:pPr>
            <w:r w:rsidRPr="00C5093D">
              <w:rPr>
                <w:b/>
                <w:noProof/>
                <w:szCs w:val="21"/>
                <w:lang w:eastAsia="en-AU"/>
              </w:rPr>
              <w:lastRenderedPageBreak/>
              <w:t>Related data items (Section 3):</w:t>
            </w:r>
          </w:p>
        </w:tc>
        <w:tc>
          <w:tcPr>
            <w:tcW w:w="6998" w:type="dxa"/>
            <w:gridSpan w:val="2"/>
            <w:shd w:val="clear" w:color="auto" w:fill="auto"/>
          </w:tcPr>
          <w:p w14:paraId="77599E8C" w14:textId="77777777" w:rsidR="00AA6D74" w:rsidRPr="00C5093D" w:rsidRDefault="00AA6D74" w:rsidP="00AA6D74">
            <w:pPr>
              <w:keepLines/>
              <w:spacing w:after="40" w:line="220" w:lineRule="atLeast"/>
              <w:ind w:left="-115"/>
              <w:rPr>
                <w:rFonts w:eastAsia="MS Mincho"/>
                <w:szCs w:val="21"/>
              </w:rPr>
            </w:pPr>
            <w:r w:rsidRPr="00C5093D">
              <w:rPr>
                <w:rFonts w:eastAsia="MS Mincho"/>
                <w:noProof/>
                <w:szCs w:val="21"/>
              </w:rPr>
              <w:t>Admission to high dependency unit (HDU) / intensive care unit (ICU) – mother; Admission to special care nursery (SCN) / neonatal intensive care unit (NICU) – baby</w:t>
            </w:r>
          </w:p>
        </w:tc>
      </w:tr>
      <w:tr w:rsidR="007B4D6E" w:rsidRPr="00BA191C" w14:paraId="564BD3B9" w14:textId="77777777" w:rsidTr="00E8595B">
        <w:trPr>
          <w:gridAfter w:val="4"/>
          <w:wAfter w:w="335" w:type="dxa"/>
        </w:trPr>
        <w:tc>
          <w:tcPr>
            <w:tcW w:w="9238" w:type="dxa"/>
            <w:gridSpan w:val="6"/>
            <w:shd w:val="clear" w:color="auto" w:fill="auto"/>
          </w:tcPr>
          <w:p w14:paraId="611AA57F" w14:textId="77777777" w:rsidR="007B4D6E" w:rsidRPr="00BA191C" w:rsidRDefault="007B4D6E" w:rsidP="0087180A">
            <w:pPr>
              <w:pStyle w:val="Heading2"/>
              <w:rPr>
                <w:i/>
              </w:rPr>
            </w:pPr>
            <w:bookmarkStart w:id="44" w:name="_Toc31277995"/>
            <w:bookmarkStart w:id="45" w:name="_Toc170222953"/>
            <w:bookmarkStart w:id="46" w:name="_Hlk29819662"/>
            <w:r w:rsidRPr="00BA191C">
              <w:t>Labour type</w:t>
            </w:r>
            <w:bookmarkEnd w:id="44"/>
            <w:bookmarkEnd w:id="45"/>
          </w:p>
        </w:tc>
      </w:tr>
      <w:tr w:rsidR="007B4D6E" w:rsidRPr="00BA191C" w14:paraId="575A2413" w14:textId="77777777" w:rsidTr="00E8595B">
        <w:trPr>
          <w:gridAfter w:val="4"/>
          <w:wAfter w:w="335" w:type="dxa"/>
        </w:trPr>
        <w:tc>
          <w:tcPr>
            <w:tcW w:w="2127" w:type="dxa"/>
            <w:gridSpan w:val="4"/>
            <w:shd w:val="clear" w:color="auto" w:fill="auto"/>
          </w:tcPr>
          <w:p w14:paraId="36065133"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gridSpan w:val="2"/>
            <w:shd w:val="clear" w:color="auto" w:fill="auto"/>
          </w:tcPr>
          <w:p w14:paraId="2B65E81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manner in which labour started in a birth event.</w:t>
            </w:r>
          </w:p>
          <w:p w14:paraId="7F84CC82"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 xml:space="preserve">Labour commences at the onset of regular uterine contractions, which act to produce progressive cervical dilatation, and is distinct from spurious labour or pre-labour rupture of membranes (PROM). </w:t>
            </w:r>
          </w:p>
          <w:p w14:paraId="24A68C7E" w14:textId="07D39F2B"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 xml:space="preserve">If prostaglandins were given to induce labour and there is no resulting labour until after </w:t>
            </w:r>
            <w:r w:rsidR="00DD2D19">
              <w:rPr>
                <w:rFonts w:eastAsia="MS Mincho"/>
                <w:noProof/>
                <w:szCs w:val="21"/>
              </w:rPr>
              <w:t>24</w:t>
            </w:r>
            <w:r w:rsidRPr="00C5093D">
              <w:rPr>
                <w:rFonts w:eastAsia="MS Mincho"/>
                <w:noProof/>
                <w:szCs w:val="21"/>
              </w:rPr>
              <w:t xml:space="preserve"> hours have passed, then </w:t>
            </w:r>
            <w:r w:rsidR="00002EA5">
              <w:rPr>
                <w:rFonts w:eastAsia="MS Mincho"/>
                <w:noProof/>
                <w:szCs w:val="21"/>
              </w:rPr>
              <w:t xml:space="preserve">a later onset of labour without further induction techniques should be coded as a spontaneous onset. </w:t>
            </w:r>
          </w:p>
          <w:p w14:paraId="24687B97" w14:textId="77777777" w:rsidR="007B4D6E" w:rsidRPr="00C5093D" w:rsidRDefault="007B4D6E" w:rsidP="0087180A">
            <w:pPr>
              <w:spacing w:before="120" w:after="40" w:line="220" w:lineRule="atLeast"/>
              <w:rPr>
                <w:rFonts w:eastAsia="MS Mincho"/>
                <w:szCs w:val="21"/>
              </w:rPr>
            </w:pPr>
          </w:p>
        </w:tc>
      </w:tr>
      <w:tr w:rsidR="007B4D6E" w:rsidRPr="00BA191C" w14:paraId="39DD9CDF" w14:textId="77777777" w:rsidTr="00E8595B">
        <w:trPr>
          <w:gridAfter w:val="4"/>
          <w:wAfter w:w="335" w:type="dxa"/>
        </w:trPr>
        <w:tc>
          <w:tcPr>
            <w:tcW w:w="2127" w:type="dxa"/>
            <w:gridSpan w:val="4"/>
            <w:shd w:val="clear" w:color="auto" w:fill="auto"/>
          </w:tcPr>
          <w:p w14:paraId="3826CD09"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7111" w:type="dxa"/>
            <w:gridSpan w:val="2"/>
            <w:shd w:val="clear" w:color="auto" w:fill="auto"/>
          </w:tcPr>
          <w:p w14:paraId="4394ADD5" w14:textId="71978CED" w:rsidR="007B4D6E" w:rsidRPr="00C5093D" w:rsidRDefault="007B4D6E" w:rsidP="0087180A">
            <w:pPr>
              <w:spacing w:after="40" w:line="220" w:lineRule="atLeast"/>
              <w:ind w:left="-115"/>
              <w:rPr>
                <w:rFonts w:eastAsia="MS Mincho"/>
                <w:szCs w:val="21"/>
              </w:rPr>
            </w:pPr>
            <w:r w:rsidRPr="00C5093D">
              <w:rPr>
                <w:rFonts w:eastAsia="MS Mincho"/>
                <w:noProof/>
                <w:szCs w:val="21"/>
              </w:rPr>
              <w:t>Labour induction / augmentation agent; Labour type</w:t>
            </w:r>
          </w:p>
        </w:tc>
      </w:tr>
    </w:tbl>
    <w:p w14:paraId="33F04C3F" w14:textId="77777777" w:rsidR="00645459" w:rsidRDefault="00645459">
      <w:bookmarkStart w:id="47" w:name="_Toc31277996"/>
      <w:bookmarkEnd w:id="46"/>
      <w:r>
        <w:rPr>
          <w:b/>
        </w:rPr>
        <w:br w:type="page"/>
      </w:r>
    </w:p>
    <w:tbl>
      <w:tblPr>
        <w:tblW w:w="9303" w:type="dxa"/>
        <w:tblLook w:val="01E0" w:firstRow="1" w:lastRow="1" w:firstColumn="1" w:lastColumn="1" w:noHBand="0" w:noVBand="0"/>
      </w:tblPr>
      <w:tblGrid>
        <w:gridCol w:w="2127"/>
        <w:gridCol w:w="7111"/>
        <w:gridCol w:w="65"/>
      </w:tblGrid>
      <w:tr w:rsidR="007B4D6E" w:rsidRPr="00BA191C" w14:paraId="4579ACD0" w14:textId="77777777" w:rsidTr="0087180A">
        <w:tc>
          <w:tcPr>
            <w:tcW w:w="9303" w:type="dxa"/>
            <w:gridSpan w:val="3"/>
            <w:shd w:val="clear" w:color="auto" w:fill="auto"/>
          </w:tcPr>
          <w:p w14:paraId="05D7DE59" w14:textId="28E352E8" w:rsidR="007B4D6E" w:rsidRPr="00BA191C" w:rsidRDefault="007B4D6E" w:rsidP="0087180A">
            <w:pPr>
              <w:pStyle w:val="Heading2"/>
              <w:rPr>
                <w:i/>
              </w:rPr>
            </w:pPr>
            <w:bookmarkStart w:id="48" w:name="_Toc170222954"/>
            <w:r w:rsidRPr="00BA191C">
              <w:lastRenderedPageBreak/>
              <w:t>Live birth</w:t>
            </w:r>
            <w:bookmarkEnd w:id="47"/>
            <w:bookmarkEnd w:id="48"/>
          </w:p>
        </w:tc>
      </w:tr>
      <w:tr w:rsidR="007B4D6E" w:rsidRPr="00BA191C" w14:paraId="0EA778F0" w14:textId="77777777" w:rsidTr="0087180A">
        <w:trPr>
          <w:gridAfter w:val="1"/>
          <w:wAfter w:w="65" w:type="dxa"/>
        </w:trPr>
        <w:tc>
          <w:tcPr>
            <w:tcW w:w="2127" w:type="dxa"/>
            <w:shd w:val="clear" w:color="auto" w:fill="auto"/>
          </w:tcPr>
          <w:p w14:paraId="67E76F0B"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349BDDC7"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A live birth is described by the World Health Organisation to be the complete expulsion or extraction from the mother of a baby irrespective of the duration of pregnancy, which, after such separation, breathes or shows any other evidence of life, such as, beating of the heart, pulsation of the umbilical cord, or definite movement of the voluntary muscles, whether or not the umbilical cord has been cut or the placenta is attached. Each product of such a birth is considered live born.</w:t>
            </w:r>
          </w:p>
          <w:p w14:paraId="5A97DA88" w14:textId="77777777" w:rsidR="007B4D6E" w:rsidRPr="00C5093D" w:rsidRDefault="007B4D6E" w:rsidP="0087180A">
            <w:pPr>
              <w:spacing w:after="40" w:line="220" w:lineRule="atLeast"/>
              <w:rPr>
                <w:rFonts w:eastAsia="MS Mincho"/>
                <w:noProof/>
                <w:szCs w:val="21"/>
              </w:rPr>
            </w:pPr>
          </w:p>
        </w:tc>
      </w:tr>
      <w:tr w:rsidR="007B4D6E" w:rsidRPr="00BA191C" w14:paraId="2D5C15B2" w14:textId="77777777" w:rsidTr="0087180A">
        <w:trPr>
          <w:gridAfter w:val="1"/>
          <w:wAfter w:w="65" w:type="dxa"/>
        </w:trPr>
        <w:tc>
          <w:tcPr>
            <w:tcW w:w="2127" w:type="dxa"/>
            <w:shd w:val="clear" w:color="auto" w:fill="auto"/>
          </w:tcPr>
          <w:p w14:paraId="49D74762"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62DA5D48" w14:textId="77777777" w:rsidR="007B4D6E" w:rsidRPr="00C5093D" w:rsidRDefault="007B4D6E" w:rsidP="0087180A">
            <w:pPr>
              <w:tabs>
                <w:tab w:val="right" w:pos="5974"/>
              </w:tabs>
              <w:spacing w:after="40" w:line="220" w:lineRule="atLeast"/>
              <w:ind w:left="-115"/>
              <w:rPr>
                <w:rFonts w:eastAsia="MS Mincho"/>
                <w:noProof/>
                <w:szCs w:val="21"/>
              </w:rPr>
            </w:pPr>
            <w:r w:rsidRPr="00C5093D">
              <w:rPr>
                <w:rFonts w:eastAsia="MS Mincho"/>
                <w:noProof/>
                <w:szCs w:val="21"/>
              </w:rPr>
              <w:t>Birth status; Parity; Total number of previous live births</w:t>
            </w:r>
          </w:p>
          <w:p w14:paraId="6E397576" w14:textId="77777777" w:rsidR="007B4D6E" w:rsidRPr="00C5093D" w:rsidRDefault="007B4D6E" w:rsidP="0087180A">
            <w:pPr>
              <w:tabs>
                <w:tab w:val="right" w:pos="5974"/>
              </w:tabs>
              <w:spacing w:after="40" w:line="220" w:lineRule="atLeast"/>
              <w:rPr>
                <w:rFonts w:eastAsia="MS Mincho"/>
                <w:szCs w:val="21"/>
              </w:rPr>
            </w:pPr>
          </w:p>
        </w:tc>
      </w:tr>
      <w:tr w:rsidR="007B4D6E" w:rsidRPr="00BA191C" w14:paraId="1952DB5E" w14:textId="77777777" w:rsidTr="0087180A">
        <w:tc>
          <w:tcPr>
            <w:tcW w:w="9303" w:type="dxa"/>
            <w:gridSpan w:val="3"/>
            <w:shd w:val="clear" w:color="auto" w:fill="auto"/>
          </w:tcPr>
          <w:p w14:paraId="40B921CF" w14:textId="15267F09" w:rsidR="007B4D6E" w:rsidRPr="00BA191C" w:rsidRDefault="007B4D6E" w:rsidP="0087180A">
            <w:pPr>
              <w:pStyle w:val="Heading2"/>
              <w:rPr>
                <w:i/>
              </w:rPr>
            </w:pPr>
            <w:bookmarkStart w:id="49" w:name="_Toc31277997"/>
            <w:bookmarkStart w:id="50" w:name="_Toc170222955"/>
            <w:r w:rsidRPr="00BA191C">
              <w:t>Migrant status</w:t>
            </w:r>
            <w:bookmarkEnd w:id="49"/>
            <w:bookmarkEnd w:id="50"/>
          </w:p>
        </w:tc>
      </w:tr>
      <w:tr w:rsidR="007B4D6E" w:rsidRPr="00BA191C" w14:paraId="1F05829C" w14:textId="77777777" w:rsidTr="0087180A">
        <w:trPr>
          <w:gridAfter w:val="1"/>
          <w:wAfter w:w="65" w:type="dxa"/>
        </w:trPr>
        <w:tc>
          <w:tcPr>
            <w:tcW w:w="2127" w:type="dxa"/>
            <w:shd w:val="clear" w:color="auto" w:fill="auto"/>
          </w:tcPr>
          <w:p w14:paraId="1AB65E79"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6152F9B5"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 xml:space="preserve">An international migrant (referred to as migrant) is defined as </w:t>
            </w:r>
            <w:r w:rsidRPr="00C5093D">
              <w:rPr>
                <w:rFonts w:eastAsia="MS Mincho"/>
                <w:bCs/>
                <w:noProof/>
                <w:szCs w:val="21"/>
              </w:rPr>
              <w:t xml:space="preserve">"any person who changes his or her country of usual residence" </w:t>
            </w:r>
            <w:r w:rsidRPr="00C5093D">
              <w:rPr>
                <w:rFonts w:eastAsia="MS Mincho"/>
                <w:noProof/>
                <w:szCs w:val="21"/>
              </w:rPr>
              <w:t xml:space="preserve">(United Nations 1998). </w:t>
            </w:r>
          </w:p>
          <w:p w14:paraId="474285F8"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Migrant is defined as a person who was born overseas whose usual residence is Australia. A person is regarded as a usual resident if they have been (or are expected to be) residing in Australia for a period of 12 months or more. As such, it generally refers to all people, regardless of nationality, citizenship or legal status who usually live in Australia, with the exception of foreign diplomatic personnel and their families. Persons may have permanent resident status or temporary resident status (plan to stay in Australia for 12 months or more).</w:t>
            </w:r>
          </w:p>
          <w:p w14:paraId="5E1A668A"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A person who enters Australia on a temporary basis to work, study or holiday may be referred to as a temporary migrant. The main groups contributing to temporary migration are New Zealand citizens, international students, temporary resident visa holders (including working holiday makers and 457 visa holders), and visitors (including tourists and people on short business trips or visiting family).</w:t>
            </w:r>
          </w:p>
          <w:p w14:paraId="35DCA81B" w14:textId="77777777" w:rsidR="007B4D6E" w:rsidRPr="00C5093D" w:rsidRDefault="007B4D6E" w:rsidP="0087180A">
            <w:pPr>
              <w:spacing w:after="40" w:line="220" w:lineRule="atLeast"/>
              <w:rPr>
                <w:rFonts w:eastAsia="MS Mincho"/>
                <w:szCs w:val="21"/>
              </w:rPr>
            </w:pPr>
          </w:p>
          <w:p w14:paraId="6D29E3D4" w14:textId="77777777" w:rsidR="007B4D6E" w:rsidRPr="00C5093D" w:rsidRDefault="007B4D6E" w:rsidP="0087180A">
            <w:pPr>
              <w:spacing w:after="40" w:line="220" w:lineRule="atLeast"/>
              <w:ind w:left="-115"/>
              <w:rPr>
                <w:rFonts w:eastAsia="MS Mincho"/>
                <w:szCs w:val="21"/>
              </w:rPr>
            </w:pPr>
            <w:r w:rsidRPr="00C5093D">
              <w:rPr>
                <w:rFonts w:eastAsia="MS Mincho"/>
                <w:szCs w:val="21"/>
              </w:rPr>
              <w:t>Source: Australian Bureau of Statistics</w:t>
            </w:r>
          </w:p>
          <w:p w14:paraId="7B163BEA" w14:textId="77777777" w:rsidR="007B4D6E" w:rsidRPr="00C5093D" w:rsidRDefault="007B4D6E" w:rsidP="0087180A">
            <w:pPr>
              <w:spacing w:after="40" w:line="220" w:lineRule="atLeast"/>
              <w:rPr>
                <w:rFonts w:eastAsia="MS Mincho"/>
                <w:szCs w:val="21"/>
              </w:rPr>
            </w:pPr>
          </w:p>
        </w:tc>
      </w:tr>
      <w:tr w:rsidR="007B4D6E" w:rsidRPr="00BA191C" w14:paraId="0DB88360" w14:textId="77777777" w:rsidTr="0087180A">
        <w:trPr>
          <w:gridAfter w:val="1"/>
          <w:wAfter w:w="65" w:type="dxa"/>
        </w:trPr>
        <w:tc>
          <w:tcPr>
            <w:tcW w:w="2127" w:type="dxa"/>
            <w:shd w:val="clear" w:color="auto" w:fill="auto"/>
          </w:tcPr>
          <w:p w14:paraId="3170653A"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338EF0CC" w14:textId="614459CF" w:rsidR="007B4D6E" w:rsidRPr="00C5093D" w:rsidRDefault="007B4D6E" w:rsidP="0087180A">
            <w:pPr>
              <w:tabs>
                <w:tab w:val="right" w:pos="5974"/>
              </w:tabs>
              <w:spacing w:after="40" w:line="220" w:lineRule="atLeast"/>
              <w:rPr>
                <w:rFonts w:eastAsia="MS Mincho"/>
                <w:szCs w:val="21"/>
              </w:rPr>
            </w:pPr>
            <w:r w:rsidRPr="00C5093D">
              <w:rPr>
                <w:rFonts w:eastAsia="MS Mincho"/>
                <w:noProof/>
                <w:szCs w:val="21"/>
              </w:rPr>
              <w:t>Country of birth; Spoken English proficiency; Year of arrival in Australia</w:t>
            </w:r>
          </w:p>
        </w:tc>
      </w:tr>
      <w:tr w:rsidR="007B4D6E" w:rsidRPr="00BA191C" w14:paraId="08205CEB" w14:textId="77777777" w:rsidTr="0087180A">
        <w:tc>
          <w:tcPr>
            <w:tcW w:w="9303" w:type="dxa"/>
            <w:gridSpan w:val="3"/>
            <w:shd w:val="clear" w:color="auto" w:fill="auto"/>
          </w:tcPr>
          <w:p w14:paraId="35FEB988" w14:textId="4F16BAD4" w:rsidR="007B4D6E" w:rsidRPr="00BA191C" w:rsidRDefault="007B4D6E" w:rsidP="0087180A">
            <w:pPr>
              <w:pStyle w:val="Heading2"/>
              <w:rPr>
                <w:i/>
              </w:rPr>
            </w:pPr>
            <w:bookmarkStart w:id="51" w:name="_Toc31277998"/>
            <w:bookmarkStart w:id="52" w:name="_Toc170222956"/>
            <w:r w:rsidRPr="00BA191C">
              <w:t>Neonatal death</w:t>
            </w:r>
            <w:bookmarkEnd w:id="51"/>
            <w:bookmarkEnd w:id="52"/>
          </w:p>
        </w:tc>
      </w:tr>
      <w:tr w:rsidR="007B4D6E" w:rsidRPr="00BA191C" w14:paraId="31403DEF" w14:textId="77777777" w:rsidTr="0087180A">
        <w:trPr>
          <w:gridAfter w:val="1"/>
          <w:wAfter w:w="65" w:type="dxa"/>
        </w:trPr>
        <w:tc>
          <w:tcPr>
            <w:tcW w:w="2127" w:type="dxa"/>
            <w:shd w:val="clear" w:color="auto" w:fill="auto"/>
          </w:tcPr>
          <w:p w14:paraId="5C9953EC"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0135798D"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death of a live-born infant, less than 28 days after birth, of any gestation or, if gestation is unknown, weighing at least 400 grams.</w:t>
            </w:r>
          </w:p>
          <w:p w14:paraId="7B84D083" w14:textId="77777777" w:rsidR="007B4D6E" w:rsidRPr="00C5093D" w:rsidRDefault="007B4D6E" w:rsidP="0087180A">
            <w:pPr>
              <w:spacing w:after="40" w:line="220" w:lineRule="atLeast"/>
              <w:rPr>
                <w:rFonts w:eastAsia="MS Mincho"/>
                <w:szCs w:val="21"/>
              </w:rPr>
            </w:pPr>
          </w:p>
        </w:tc>
      </w:tr>
      <w:tr w:rsidR="007B4D6E" w:rsidRPr="00BA191C" w14:paraId="516DDEFA" w14:textId="77777777" w:rsidTr="0087180A">
        <w:trPr>
          <w:gridAfter w:val="1"/>
          <w:wAfter w:w="65" w:type="dxa"/>
        </w:trPr>
        <w:tc>
          <w:tcPr>
            <w:tcW w:w="2127" w:type="dxa"/>
            <w:shd w:val="clear" w:color="auto" w:fill="auto"/>
          </w:tcPr>
          <w:p w14:paraId="0894C116"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5C92AA77" w14:textId="308FBC75" w:rsidR="007B4D6E" w:rsidRPr="00C5093D" w:rsidRDefault="007B4D6E" w:rsidP="00E067DD">
            <w:pPr>
              <w:spacing w:after="40" w:line="220" w:lineRule="atLeast"/>
              <w:ind w:left="-115"/>
              <w:rPr>
                <w:rFonts w:eastAsia="MS Mincho"/>
                <w:noProof/>
                <w:szCs w:val="21"/>
              </w:rPr>
            </w:pPr>
            <w:r w:rsidRPr="00C5093D">
              <w:rPr>
                <w:rFonts w:eastAsia="MS Mincho"/>
                <w:noProof/>
                <w:szCs w:val="21"/>
              </w:rPr>
              <w:t>Birth status; Parity; Total number of previous neonatal deaths</w:t>
            </w:r>
          </w:p>
          <w:p w14:paraId="01A27BA3" w14:textId="77777777" w:rsidR="007B4D6E" w:rsidRPr="00C5093D" w:rsidRDefault="007B4D6E" w:rsidP="0087180A">
            <w:pPr>
              <w:spacing w:after="40" w:line="220" w:lineRule="atLeast"/>
              <w:ind w:left="284" w:hanging="284"/>
              <w:rPr>
                <w:rFonts w:eastAsia="MS Mincho"/>
                <w:szCs w:val="21"/>
              </w:rPr>
            </w:pPr>
          </w:p>
        </w:tc>
      </w:tr>
      <w:tr w:rsidR="007B4D6E" w:rsidRPr="00BA191C" w14:paraId="218DB902" w14:textId="77777777" w:rsidTr="0087180A">
        <w:tc>
          <w:tcPr>
            <w:tcW w:w="9303" w:type="dxa"/>
            <w:gridSpan w:val="3"/>
            <w:shd w:val="clear" w:color="auto" w:fill="auto"/>
          </w:tcPr>
          <w:p w14:paraId="7F0FF096" w14:textId="05731263" w:rsidR="007B4D6E" w:rsidRPr="00BA191C" w:rsidRDefault="007B4D6E" w:rsidP="0087180A">
            <w:pPr>
              <w:pStyle w:val="Heading2"/>
              <w:rPr>
                <w:i/>
              </w:rPr>
            </w:pPr>
            <w:bookmarkStart w:id="53" w:name="_Toc31277999"/>
            <w:bookmarkStart w:id="54" w:name="_Toc170222957"/>
            <w:r w:rsidRPr="00BA191C">
              <w:lastRenderedPageBreak/>
              <w:t>Operative delivery</w:t>
            </w:r>
            <w:bookmarkEnd w:id="53"/>
            <w:bookmarkEnd w:id="54"/>
          </w:p>
        </w:tc>
      </w:tr>
      <w:tr w:rsidR="007B4D6E" w:rsidRPr="00BA191C" w14:paraId="3F674DAA" w14:textId="77777777" w:rsidTr="0087180A">
        <w:trPr>
          <w:gridAfter w:val="1"/>
          <w:wAfter w:w="65" w:type="dxa"/>
        </w:trPr>
        <w:tc>
          <w:tcPr>
            <w:tcW w:w="2127" w:type="dxa"/>
            <w:shd w:val="clear" w:color="auto" w:fill="auto"/>
          </w:tcPr>
          <w:p w14:paraId="54FF47C9"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6071BD7D"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birth of an infant either by operative vaginal birth or caesarean section.</w:t>
            </w:r>
          </w:p>
          <w:p w14:paraId="067F4B97" w14:textId="7D5462FD" w:rsidR="007B4D6E" w:rsidRPr="00C5093D" w:rsidRDefault="007B4D6E" w:rsidP="0087180A">
            <w:pPr>
              <w:spacing w:before="120" w:after="40" w:line="220" w:lineRule="atLeast"/>
              <w:ind w:left="-113"/>
              <w:rPr>
                <w:rFonts w:eastAsia="MS Mincho"/>
                <w:noProof/>
                <w:szCs w:val="21"/>
              </w:rPr>
            </w:pPr>
            <w:r w:rsidRPr="00C5093D">
              <w:rPr>
                <w:rFonts w:eastAsia="MS Mincho"/>
                <w:noProof/>
                <w:szCs w:val="21"/>
              </w:rPr>
              <w:t>Operative vaginal birth refers to a forceps or vacuum</w:t>
            </w:r>
            <w:r w:rsidRPr="00C5093D">
              <w:rPr>
                <w:rFonts w:eastAsia="MS Mincho"/>
                <w:noProof/>
                <w:szCs w:val="21"/>
              </w:rPr>
              <w:noBreakHyphen/>
              <w:t>assisted birth. Operative intervention in the second stage of labour may be indicated by conditions of the fetus or the mother. Maternal indication includes inadequate progress in labour, congestive heart failure and cerebral vascular malformations. Caesarean section is the surgical alternative to operative vaginal birth. This may be an elective or emergency procedure.</w:t>
            </w:r>
          </w:p>
          <w:p w14:paraId="5C8397E7" w14:textId="77777777" w:rsidR="007B4D6E" w:rsidRPr="00C5093D" w:rsidRDefault="007B4D6E" w:rsidP="0087180A">
            <w:pPr>
              <w:spacing w:before="120" w:after="40" w:line="220" w:lineRule="atLeast"/>
              <w:rPr>
                <w:rFonts w:eastAsia="MS Mincho"/>
                <w:szCs w:val="21"/>
              </w:rPr>
            </w:pPr>
          </w:p>
        </w:tc>
      </w:tr>
      <w:tr w:rsidR="007B4D6E" w:rsidRPr="00BA191C" w14:paraId="397A1BAD" w14:textId="77777777" w:rsidTr="0087180A">
        <w:trPr>
          <w:gridAfter w:val="1"/>
          <w:wAfter w:w="65" w:type="dxa"/>
        </w:trPr>
        <w:tc>
          <w:tcPr>
            <w:tcW w:w="2127" w:type="dxa"/>
            <w:shd w:val="clear" w:color="auto" w:fill="auto"/>
          </w:tcPr>
          <w:p w14:paraId="791B36F0"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2417A0A2" w14:textId="12FB7ED5" w:rsidR="007B4D6E" w:rsidRPr="00C5093D" w:rsidRDefault="001636D1" w:rsidP="0087180A">
            <w:pPr>
              <w:spacing w:after="40" w:line="220" w:lineRule="atLeast"/>
              <w:ind w:left="-115"/>
              <w:rPr>
                <w:rFonts w:eastAsia="MS Mincho"/>
                <w:szCs w:val="21"/>
              </w:rPr>
            </w:pPr>
            <w:r w:rsidRPr="001636D1">
              <w:rPr>
                <w:rFonts w:eastAsia="MS Mincho"/>
                <w:szCs w:val="21"/>
              </w:rPr>
              <w:t xml:space="preserve">Anaesthesia for operative delivery – indicator; Anaesthesia for operative delivery – type; </w:t>
            </w:r>
            <w:r w:rsidR="00427AAC">
              <w:rPr>
                <w:rFonts w:eastAsia="MS Mincho"/>
                <w:szCs w:val="21"/>
              </w:rPr>
              <w:t xml:space="preserve">Category of unplanned caesarean section; Date of decision for unplanned caesarean section; </w:t>
            </w:r>
            <w:r w:rsidRPr="001636D1">
              <w:rPr>
                <w:rFonts w:eastAsia="MS Mincho"/>
                <w:szCs w:val="21"/>
              </w:rPr>
              <w:t xml:space="preserve">Indication for operative delivery (main reason) – ICD-10-AM code; Indications for operative delivery (other) – free text; Indications for operative delivery (other) – ICD-10-AM code; Last birth – caesarean section indicator; Method of birth; Plan for vaginal birth after caesarean; Procedure – ACHI code; Procedure – free text; </w:t>
            </w:r>
            <w:r w:rsidR="00427AAC">
              <w:rPr>
                <w:rFonts w:eastAsia="MS Mincho"/>
                <w:szCs w:val="21"/>
              </w:rPr>
              <w:t xml:space="preserve">Time of decision for unplanned caesarean section; </w:t>
            </w:r>
            <w:r w:rsidRPr="001636D1">
              <w:rPr>
                <w:rFonts w:eastAsia="MS Mincho"/>
                <w:szCs w:val="21"/>
              </w:rPr>
              <w:t>Total number of previous caesareans</w:t>
            </w:r>
          </w:p>
        </w:tc>
      </w:tr>
      <w:tr w:rsidR="007B4D6E" w:rsidRPr="00BA191C" w14:paraId="25C2AEDC" w14:textId="77777777" w:rsidTr="0087180A">
        <w:tc>
          <w:tcPr>
            <w:tcW w:w="9303" w:type="dxa"/>
            <w:gridSpan w:val="3"/>
            <w:shd w:val="clear" w:color="auto" w:fill="auto"/>
          </w:tcPr>
          <w:p w14:paraId="1C8497DD" w14:textId="59DC2A85" w:rsidR="007B4D6E" w:rsidRPr="00BA191C" w:rsidRDefault="007B4D6E" w:rsidP="0087180A">
            <w:pPr>
              <w:pStyle w:val="Heading2"/>
              <w:rPr>
                <w:i/>
              </w:rPr>
            </w:pPr>
            <w:bookmarkStart w:id="55" w:name="_Toc31278000"/>
            <w:bookmarkStart w:id="56" w:name="_Toc170222958"/>
            <w:r w:rsidRPr="00BA191C">
              <w:t>Perineum</w:t>
            </w:r>
            <w:bookmarkEnd w:id="55"/>
            <w:bookmarkEnd w:id="56"/>
          </w:p>
        </w:tc>
      </w:tr>
      <w:tr w:rsidR="007B4D6E" w:rsidRPr="00BA191C" w14:paraId="433D5D3B" w14:textId="77777777" w:rsidTr="0087180A">
        <w:trPr>
          <w:gridAfter w:val="1"/>
          <w:wAfter w:w="65" w:type="dxa"/>
        </w:trPr>
        <w:tc>
          <w:tcPr>
            <w:tcW w:w="2127" w:type="dxa"/>
            <w:shd w:val="clear" w:color="auto" w:fill="auto"/>
          </w:tcPr>
          <w:p w14:paraId="38BB02E4"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11" w:type="dxa"/>
            <w:shd w:val="clear" w:color="auto" w:fill="auto"/>
          </w:tcPr>
          <w:p w14:paraId="796ABDEA" w14:textId="77777777" w:rsidR="007B4D6E" w:rsidRPr="00C5093D" w:rsidRDefault="007B4D6E" w:rsidP="0087180A">
            <w:pPr>
              <w:keepNext/>
              <w:keepLines/>
              <w:spacing w:after="40" w:line="220" w:lineRule="atLeast"/>
              <w:ind w:left="-115"/>
              <w:rPr>
                <w:rFonts w:eastAsia="MS Mincho"/>
                <w:noProof/>
                <w:szCs w:val="21"/>
              </w:rPr>
            </w:pPr>
            <w:r w:rsidRPr="00C5093D">
              <w:rPr>
                <w:rFonts w:eastAsia="MS Mincho"/>
                <w:noProof/>
                <w:szCs w:val="21"/>
              </w:rPr>
              <w:t>The region situated between the opening of the bowel behind and of the genital organs in front. During childbirth this area becomes stretched and the vaginal opening may tear or need to be cut to facilitate birth.</w:t>
            </w:r>
          </w:p>
          <w:p w14:paraId="0F04B917" w14:textId="77777777" w:rsidR="007B4D6E" w:rsidRPr="00C5093D" w:rsidRDefault="007B4D6E" w:rsidP="0087180A">
            <w:pPr>
              <w:keepNext/>
              <w:keepLines/>
              <w:spacing w:after="40" w:line="220" w:lineRule="atLeast"/>
              <w:rPr>
                <w:rFonts w:eastAsia="MS Mincho"/>
                <w:szCs w:val="21"/>
              </w:rPr>
            </w:pPr>
          </w:p>
        </w:tc>
      </w:tr>
      <w:tr w:rsidR="007B4D6E" w:rsidRPr="00BA191C" w14:paraId="586F703F" w14:textId="77777777" w:rsidTr="0087180A">
        <w:trPr>
          <w:gridAfter w:val="1"/>
          <w:wAfter w:w="65" w:type="dxa"/>
        </w:trPr>
        <w:tc>
          <w:tcPr>
            <w:tcW w:w="2127" w:type="dxa"/>
            <w:shd w:val="clear" w:color="auto" w:fill="auto"/>
          </w:tcPr>
          <w:p w14:paraId="242E6AEA"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23C85B9E"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Episiotomy – indicator; Perineal / genital laceration – degree / type; Perineal laceration – indicator; Perineal laceration – repair; Procedure – ACHI code; Procedure – free text</w:t>
            </w:r>
          </w:p>
        </w:tc>
      </w:tr>
      <w:tr w:rsidR="007B4D6E" w:rsidRPr="00BA191C" w14:paraId="0A6BD535" w14:textId="77777777" w:rsidTr="0087180A">
        <w:trPr>
          <w:gridAfter w:val="1"/>
          <w:wAfter w:w="65" w:type="dxa"/>
        </w:trPr>
        <w:tc>
          <w:tcPr>
            <w:tcW w:w="9238" w:type="dxa"/>
            <w:gridSpan w:val="2"/>
            <w:shd w:val="clear" w:color="auto" w:fill="auto"/>
          </w:tcPr>
          <w:p w14:paraId="46321566" w14:textId="340E4860" w:rsidR="007B4D6E" w:rsidRPr="00BA191C" w:rsidRDefault="007B4D6E" w:rsidP="0087180A">
            <w:pPr>
              <w:pStyle w:val="Heading2"/>
              <w:rPr>
                <w:i/>
              </w:rPr>
            </w:pPr>
            <w:bookmarkStart w:id="57" w:name="_Toc31278001"/>
            <w:bookmarkStart w:id="58" w:name="_Toc170222959"/>
            <w:r w:rsidRPr="00BA191C">
              <w:t>Pregnancy</w:t>
            </w:r>
            <w:bookmarkEnd w:id="57"/>
            <w:bookmarkEnd w:id="58"/>
          </w:p>
        </w:tc>
      </w:tr>
      <w:tr w:rsidR="007B4D6E" w:rsidRPr="00BA191C" w14:paraId="6062B5E4" w14:textId="77777777" w:rsidTr="0087180A">
        <w:trPr>
          <w:gridAfter w:val="1"/>
          <w:wAfter w:w="65" w:type="dxa"/>
        </w:trPr>
        <w:tc>
          <w:tcPr>
            <w:tcW w:w="2127" w:type="dxa"/>
            <w:shd w:val="clear" w:color="auto" w:fill="auto"/>
          </w:tcPr>
          <w:p w14:paraId="65DEFBFD"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3675F96B"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period during which a woman carries a developing fetus, normally in the uterus. Pregnancy lasts for approximately 266 days from conception until the baby is born, or 280 days from the first day of the last menstrual period.</w:t>
            </w:r>
          </w:p>
          <w:p w14:paraId="66EE55E9" w14:textId="77777777" w:rsidR="007B4D6E" w:rsidRPr="00C5093D" w:rsidRDefault="007B4D6E" w:rsidP="0087180A">
            <w:pPr>
              <w:spacing w:after="40" w:line="220" w:lineRule="atLeast"/>
              <w:rPr>
                <w:rFonts w:eastAsia="MS Mincho"/>
                <w:szCs w:val="21"/>
              </w:rPr>
            </w:pPr>
          </w:p>
        </w:tc>
      </w:tr>
      <w:tr w:rsidR="007B4D6E" w:rsidRPr="00BA191C" w14:paraId="50DFF36D" w14:textId="77777777" w:rsidTr="0087180A">
        <w:trPr>
          <w:gridAfter w:val="1"/>
          <w:wAfter w:w="65" w:type="dxa"/>
        </w:trPr>
        <w:tc>
          <w:tcPr>
            <w:tcW w:w="2127" w:type="dxa"/>
            <w:shd w:val="clear" w:color="auto" w:fill="auto"/>
          </w:tcPr>
          <w:p w14:paraId="45E8DB65"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1359D4B" w14:textId="77777777" w:rsidR="007B4D6E" w:rsidRPr="00C5093D" w:rsidRDefault="007B4D6E" w:rsidP="0087180A">
            <w:pPr>
              <w:spacing w:after="40" w:line="220" w:lineRule="atLeast"/>
              <w:ind w:left="-115"/>
              <w:rPr>
                <w:rFonts w:eastAsia="MS Mincho"/>
                <w:szCs w:val="21"/>
              </w:rPr>
            </w:pPr>
            <w:r w:rsidRPr="00C5093D">
              <w:rPr>
                <w:rFonts w:eastAsia="MS Mincho"/>
                <w:szCs w:val="21"/>
              </w:rPr>
              <w:t>Artificial reproductive technology – indicator; Date of completion of last pregnancy; Estimated gestational age</w:t>
            </w:r>
          </w:p>
        </w:tc>
      </w:tr>
    </w:tbl>
    <w:p w14:paraId="3A8A8ABE" w14:textId="38ADD2D9" w:rsidR="007B4D6E" w:rsidRDefault="007B4D6E" w:rsidP="007B4D6E">
      <w:bookmarkStart w:id="59" w:name="_Hlk11687684"/>
    </w:p>
    <w:tbl>
      <w:tblPr>
        <w:tblW w:w="9238" w:type="dxa"/>
        <w:tblLook w:val="01E0" w:firstRow="1" w:lastRow="1" w:firstColumn="1" w:lastColumn="1" w:noHBand="0" w:noVBand="0"/>
      </w:tblPr>
      <w:tblGrid>
        <w:gridCol w:w="2127"/>
        <w:gridCol w:w="7111"/>
      </w:tblGrid>
      <w:tr w:rsidR="007B4D6E" w:rsidRPr="00BA191C" w14:paraId="5016532E" w14:textId="77777777" w:rsidTr="0087180A">
        <w:tc>
          <w:tcPr>
            <w:tcW w:w="9238" w:type="dxa"/>
            <w:gridSpan w:val="2"/>
            <w:shd w:val="clear" w:color="auto" w:fill="auto"/>
          </w:tcPr>
          <w:p w14:paraId="6FF9754F" w14:textId="77777777" w:rsidR="007B4D6E" w:rsidRPr="00BA191C" w:rsidRDefault="007B4D6E" w:rsidP="0087180A">
            <w:pPr>
              <w:pStyle w:val="Heading2"/>
            </w:pPr>
            <w:bookmarkStart w:id="60" w:name="_Toc31278002"/>
            <w:bookmarkStart w:id="61" w:name="_Toc170222960"/>
            <w:r w:rsidRPr="00BA191C">
              <w:lastRenderedPageBreak/>
              <w:t>Primary postpartum haemorrhage</w:t>
            </w:r>
            <w:bookmarkEnd w:id="60"/>
            <w:bookmarkEnd w:id="61"/>
          </w:p>
        </w:tc>
      </w:tr>
      <w:tr w:rsidR="007B4D6E" w:rsidRPr="00BA191C" w14:paraId="1A550427" w14:textId="77777777" w:rsidTr="0087180A">
        <w:tc>
          <w:tcPr>
            <w:tcW w:w="2127" w:type="dxa"/>
            <w:shd w:val="clear" w:color="auto" w:fill="auto"/>
          </w:tcPr>
          <w:p w14:paraId="0381F2BE" w14:textId="77777777" w:rsidR="007B4D6E" w:rsidRPr="00C5093D" w:rsidRDefault="007B4D6E" w:rsidP="0087180A">
            <w:pPr>
              <w:keepNext/>
              <w:keepLines/>
              <w:spacing w:after="0" w:line="240" w:lineRule="auto"/>
              <w:rPr>
                <w:b/>
                <w:i/>
                <w:szCs w:val="21"/>
              </w:rPr>
            </w:pPr>
            <w:r w:rsidRPr="00C5093D">
              <w:rPr>
                <w:b/>
                <w:szCs w:val="21"/>
              </w:rPr>
              <w:t>Definition</w:t>
            </w:r>
          </w:p>
        </w:tc>
        <w:tc>
          <w:tcPr>
            <w:tcW w:w="7111" w:type="dxa"/>
            <w:shd w:val="clear" w:color="auto" w:fill="auto"/>
          </w:tcPr>
          <w:p w14:paraId="2B4A0D22" w14:textId="77777777" w:rsidR="007B4D6E" w:rsidRPr="00C5093D" w:rsidRDefault="007B4D6E" w:rsidP="0087180A">
            <w:pPr>
              <w:spacing w:after="40" w:line="220" w:lineRule="atLeast"/>
              <w:ind w:left="-115"/>
              <w:rPr>
                <w:rFonts w:eastAsia="MS Mincho"/>
                <w:szCs w:val="21"/>
              </w:rPr>
            </w:pPr>
            <w:r w:rsidRPr="00C5093D">
              <w:rPr>
                <w:rFonts w:eastAsia="MS Mincho"/>
                <w:szCs w:val="21"/>
              </w:rPr>
              <w:t>Primary postpartum haemorrhage, a form of obstetric haemorrhage, is excessive bleeding from the genital tract after childbirth, occurring within 24 hours of birth.</w:t>
            </w:r>
          </w:p>
          <w:p w14:paraId="52E6AE56" w14:textId="77777777" w:rsidR="007B4D6E" w:rsidRPr="00C5093D" w:rsidRDefault="007B4D6E" w:rsidP="0087180A">
            <w:pPr>
              <w:spacing w:before="120" w:after="40" w:line="220" w:lineRule="atLeast"/>
              <w:ind w:left="-115"/>
              <w:rPr>
                <w:rFonts w:eastAsia="MS Mincho"/>
                <w:szCs w:val="21"/>
              </w:rPr>
            </w:pPr>
            <w:r w:rsidRPr="00C5093D">
              <w:rPr>
                <w:rFonts w:eastAsia="MS Mincho"/>
                <w:szCs w:val="21"/>
              </w:rPr>
              <w:t>A blood loss of 500mls is the usual minimum amount for identification of postpartum haemorrhage however a woman’s haemodynamic instability is also taken into account, meaning that a smaller blood loss may be significant in a severely compromised woman.</w:t>
            </w:r>
          </w:p>
          <w:p w14:paraId="76BB030A" w14:textId="77777777" w:rsidR="007B4D6E" w:rsidRPr="00C5093D" w:rsidRDefault="007B4D6E" w:rsidP="0087180A">
            <w:pPr>
              <w:spacing w:before="120" w:after="40" w:line="220" w:lineRule="atLeast"/>
              <w:ind w:left="-115"/>
              <w:rPr>
                <w:rFonts w:eastAsia="MS Mincho"/>
                <w:szCs w:val="21"/>
              </w:rPr>
            </w:pPr>
            <w:r w:rsidRPr="00C5093D">
              <w:rPr>
                <w:rFonts w:eastAsia="MS Mincho"/>
                <w:szCs w:val="21"/>
              </w:rPr>
              <w:t>Secondary postpartum haemorrhage is excessive bleeding from the genital tract after childbirth occurring between 24 hours and 6 weeks postpartum.</w:t>
            </w:r>
          </w:p>
          <w:p w14:paraId="7F7082C0" w14:textId="77777777" w:rsidR="007B4D6E" w:rsidRPr="00C5093D" w:rsidRDefault="007B4D6E" w:rsidP="0087180A">
            <w:pPr>
              <w:spacing w:before="120" w:after="40" w:line="220" w:lineRule="atLeast"/>
              <w:ind w:left="-115"/>
              <w:rPr>
                <w:rFonts w:eastAsia="MS Mincho"/>
                <w:szCs w:val="21"/>
              </w:rPr>
            </w:pPr>
          </w:p>
        </w:tc>
      </w:tr>
      <w:bookmarkEnd w:id="59"/>
      <w:tr w:rsidR="007B4D6E" w:rsidRPr="00BA191C" w14:paraId="4EE0D09C" w14:textId="77777777" w:rsidTr="0087180A">
        <w:tc>
          <w:tcPr>
            <w:tcW w:w="2127" w:type="dxa"/>
            <w:shd w:val="clear" w:color="auto" w:fill="auto"/>
          </w:tcPr>
          <w:p w14:paraId="4A8CFE25"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DFEB134" w14:textId="4E36C911" w:rsidR="007B4D6E" w:rsidRPr="00C5093D" w:rsidRDefault="007B4D6E" w:rsidP="0087180A">
            <w:pPr>
              <w:spacing w:after="40" w:line="220" w:lineRule="atLeast"/>
              <w:ind w:left="-115"/>
              <w:rPr>
                <w:rFonts w:eastAsia="MS Mincho"/>
                <w:szCs w:val="21"/>
              </w:rPr>
            </w:pPr>
            <w:r w:rsidRPr="00C5093D">
              <w:rPr>
                <w:rFonts w:eastAsia="MS Mincho"/>
                <w:szCs w:val="21"/>
              </w:rPr>
              <w:t xml:space="preserve">Blood loss </w:t>
            </w:r>
            <w:r w:rsidR="006D3556">
              <w:rPr>
                <w:rFonts w:eastAsia="MS Mincho"/>
                <w:szCs w:val="21"/>
              </w:rPr>
              <w:t>assessment</w:t>
            </w:r>
            <w:r w:rsidRPr="00C5093D">
              <w:rPr>
                <w:rFonts w:eastAsia="MS Mincho"/>
                <w:szCs w:val="21"/>
              </w:rPr>
              <w:t xml:space="preserve"> – indicator; Blood loss (ml); Main reason for excessive blood loss following childbirth; Prophylactic oxytocin in third stage</w:t>
            </w:r>
          </w:p>
        </w:tc>
      </w:tr>
      <w:tr w:rsidR="007B4D6E" w:rsidRPr="00BA191C" w14:paraId="72DB9406" w14:textId="77777777" w:rsidTr="0087180A">
        <w:tc>
          <w:tcPr>
            <w:tcW w:w="9238" w:type="dxa"/>
            <w:gridSpan w:val="2"/>
            <w:shd w:val="clear" w:color="auto" w:fill="auto"/>
          </w:tcPr>
          <w:p w14:paraId="21AFDDC5" w14:textId="750BF8DF" w:rsidR="007B4D6E" w:rsidRPr="00BA191C" w:rsidRDefault="007B4D6E" w:rsidP="0087180A">
            <w:pPr>
              <w:pStyle w:val="Heading2"/>
              <w:rPr>
                <w:i/>
              </w:rPr>
            </w:pPr>
            <w:bookmarkStart w:id="62" w:name="_Toc31278003"/>
            <w:bookmarkStart w:id="63" w:name="_Toc170222961"/>
            <w:r w:rsidRPr="00BA191C">
              <w:t>Procedure</w:t>
            </w:r>
            <w:bookmarkEnd w:id="62"/>
            <w:bookmarkEnd w:id="63"/>
          </w:p>
        </w:tc>
      </w:tr>
      <w:tr w:rsidR="007B4D6E" w:rsidRPr="00BA191C" w14:paraId="59802825" w14:textId="77777777" w:rsidTr="0087180A">
        <w:tc>
          <w:tcPr>
            <w:tcW w:w="2127" w:type="dxa"/>
            <w:shd w:val="clear" w:color="auto" w:fill="auto"/>
          </w:tcPr>
          <w:p w14:paraId="6CCA92A1" w14:textId="77777777" w:rsidR="007B4D6E" w:rsidRPr="00C5093D" w:rsidRDefault="007B4D6E" w:rsidP="0087180A">
            <w:pPr>
              <w:keepNext/>
              <w:keepLines/>
              <w:spacing w:after="0" w:line="240" w:lineRule="auto"/>
              <w:rPr>
                <w:b/>
                <w:i/>
                <w:szCs w:val="21"/>
              </w:rPr>
            </w:pPr>
            <w:r w:rsidRPr="00C5093D">
              <w:rPr>
                <w:b/>
                <w:szCs w:val="21"/>
              </w:rPr>
              <w:t>Definition/guide for use</w:t>
            </w:r>
          </w:p>
        </w:tc>
        <w:tc>
          <w:tcPr>
            <w:tcW w:w="7111" w:type="dxa"/>
            <w:shd w:val="clear" w:color="auto" w:fill="auto"/>
          </w:tcPr>
          <w:p w14:paraId="32680C6C" w14:textId="77777777" w:rsidR="007B4D6E" w:rsidRPr="00C5093D" w:rsidRDefault="007B4D6E" w:rsidP="0087180A">
            <w:pPr>
              <w:keepNext/>
              <w:keepLines/>
              <w:spacing w:after="40" w:line="220" w:lineRule="atLeast"/>
              <w:ind w:left="-96"/>
              <w:rPr>
                <w:rFonts w:eastAsia="MS Mincho"/>
                <w:noProof/>
                <w:szCs w:val="21"/>
              </w:rPr>
            </w:pPr>
            <w:r w:rsidRPr="00C5093D">
              <w:rPr>
                <w:rFonts w:eastAsia="MS Mincho"/>
                <w:noProof/>
                <w:szCs w:val="21"/>
              </w:rPr>
              <w:t>A clinical intervention that:</w:t>
            </w:r>
          </w:p>
          <w:p w14:paraId="5CB14E4B"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is surgical in nature</w:t>
            </w:r>
          </w:p>
          <w:p w14:paraId="191582E4"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carries a procedural risk</w:t>
            </w:r>
          </w:p>
          <w:p w14:paraId="694B3107"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carries an anaesthetic risk</w:t>
            </w:r>
          </w:p>
          <w:p w14:paraId="04A4CF56"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requires specialised training or</w:t>
            </w:r>
          </w:p>
          <w:p w14:paraId="41B2B809" w14:textId="77777777" w:rsidR="007B4D6E" w:rsidRPr="00C5093D" w:rsidRDefault="007B4D6E" w:rsidP="007B4D6E">
            <w:pPr>
              <w:pStyle w:val="ListParagraph"/>
              <w:keepNext/>
              <w:keepLines/>
              <w:numPr>
                <w:ilvl w:val="0"/>
                <w:numId w:val="45"/>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requires special facilities or equipment only available in an acute care setting.</w:t>
            </w:r>
          </w:p>
          <w:p w14:paraId="004B080A" w14:textId="77777777" w:rsidR="007B4D6E" w:rsidRPr="00C5093D" w:rsidRDefault="007B4D6E" w:rsidP="0087180A">
            <w:pPr>
              <w:keepNext/>
              <w:keepLines/>
              <w:spacing w:after="40" w:line="220" w:lineRule="atLeast"/>
              <w:ind w:left="-96"/>
              <w:rPr>
                <w:rFonts w:eastAsia="MS Mincho"/>
                <w:szCs w:val="21"/>
              </w:rPr>
            </w:pPr>
          </w:p>
        </w:tc>
      </w:tr>
      <w:tr w:rsidR="007B4D6E" w:rsidRPr="00BA191C" w14:paraId="047481C6" w14:textId="77777777" w:rsidTr="0087180A">
        <w:tc>
          <w:tcPr>
            <w:tcW w:w="2127" w:type="dxa"/>
            <w:shd w:val="clear" w:color="auto" w:fill="auto"/>
          </w:tcPr>
          <w:p w14:paraId="692D8938" w14:textId="7F7EA6A5" w:rsidR="007B4D6E" w:rsidRPr="00C5093D" w:rsidRDefault="007B4D6E" w:rsidP="00751BE7">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2F60D9A" w14:textId="77777777" w:rsidR="007B4D6E" w:rsidRPr="00C5093D" w:rsidRDefault="007B4D6E" w:rsidP="0087180A">
            <w:pPr>
              <w:spacing w:after="40" w:line="220" w:lineRule="atLeast"/>
              <w:ind w:left="-96"/>
              <w:rPr>
                <w:rFonts w:eastAsia="MS Mincho"/>
                <w:szCs w:val="21"/>
              </w:rPr>
            </w:pPr>
            <w:r w:rsidRPr="00C5093D">
              <w:rPr>
                <w:rFonts w:eastAsia="MS Mincho"/>
                <w:noProof/>
                <w:szCs w:val="21"/>
              </w:rPr>
              <w:t>Procedure – ACHI code; Procedure – free text</w:t>
            </w:r>
          </w:p>
        </w:tc>
      </w:tr>
      <w:tr w:rsidR="007B4D6E" w:rsidRPr="00BA191C" w14:paraId="05A48FB5" w14:textId="77777777" w:rsidTr="0087180A">
        <w:tc>
          <w:tcPr>
            <w:tcW w:w="9238" w:type="dxa"/>
            <w:gridSpan w:val="2"/>
            <w:shd w:val="clear" w:color="auto" w:fill="auto"/>
          </w:tcPr>
          <w:p w14:paraId="04A33E95" w14:textId="4D221532" w:rsidR="007B4D6E" w:rsidRPr="00BA191C" w:rsidRDefault="007B4D6E" w:rsidP="0087180A">
            <w:pPr>
              <w:pStyle w:val="Heading2"/>
            </w:pPr>
            <w:bookmarkStart w:id="64" w:name="_Toc31278004"/>
            <w:bookmarkStart w:id="65" w:name="_Toc170222962"/>
            <w:r w:rsidRPr="00BA191C">
              <w:t>Registered nurse</w:t>
            </w:r>
            <w:bookmarkEnd w:id="64"/>
            <w:bookmarkEnd w:id="65"/>
          </w:p>
        </w:tc>
      </w:tr>
      <w:tr w:rsidR="007B4D6E" w:rsidRPr="00BA191C" w14:paraId="331CD593" w14:textId="77777777" w:rsidTr="0087180A">
        <w:tc>
          <w:tcPr>
            <w:tcW w:w="2127" w:type="dxa"/>
            <w:shd w:val="clear" w:color="auto" w:fill="auto"/>
          </w:tcPr>
          <w:p w14:paraId="1529C15D"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7DEBBF82"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 xml:space="preserve">Registered nurses include persons with at least a three year training certificate and nurses holding post graduate qualifications. Registered nurses must be registered with the state/territory registration board. This is a comprehensive category and includes community mental health, general nurse, intellectual disability nurse, midwife (including pupil midwife), psychiatric nurse, senior nurse, charge nurse (now unit manager), supervisory nurse and nurse educator. This category also includes nurses engaged in administrative duties no matter what the extent of their engagement, for example, directors of nursing and assistant directors of nursing. </w:t>
            </w:r>
          </w:p>
          <w:p w14:paraId="581EDD4E" w14:textId="77777777" w:rsidR="007B4D6E" w:rsidRPr="00C5093D" w:rsidRDefault="007B4D6E" w:rsidP="0087180A">
            <w:pPr>
              <w:spacing w:after="40" w:line="220" w:lineRule="atLeast"/>
              <w:rPr>
                <w:rFonts w:eastAsia="MS Mincho"/>
                <w:szCs w:val="21"/>
              </w:rPr>
            </w:pPr>
          </w:p>
        </w:tc>
      </w:tr>
      <w:tr w:rsidR="007B4D6E" w:rsidRPr="00BA191C" w14:paraId="6E598A0A" w14:textId="77777777" w:rsidTr="0087180A">
        <w:tc>
          <w:tcPr>
            <w:tcW w:w="2127" w:type="dxa"/>
            <w:shd w:val="clear" w:color="auto" w:fill="auto"/>
          </w:tcPr>
          <w:p w14:paraId="743A32E1" w14:textId="77777777" w:rsidR="007B4D6E" w:rsidRPr="00C5093D" w:rsidRDefault="007B4D6E" w:rsidP="0087180A">
            <w:pPr>
              <w:keepNext/>
              <w:keepLines/>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77BED0B4" w14:textId="77777777" w:rsidR="007B4D6E" w:rsidRPr="00C5093D" w:rsidRDefault="007B4D6E" w:rsidP="0087180A">
            <w:pPr>
              <w:spacing w:after="40" w:line="220" w:lineRule="atLeast"/>
              <w:ind w:left="-115"/>
              <w:rPr>
                <w:rFonts w:eastAsia="MS Mincho"/>
                <w:szCs w:val="21"/>
              </w:rPr>
            </w:pPr>
            <w:r w:rsidRPr="00C5093D">
              <w:rPr>
                <w:rFonts w:eastAsia="MS Mincho"/>
                <w:szCs w:val="21"/>
              </w:rPr>
              <w:t>Discipline of antenatal care provider; Discipline of lead intrapartum care provider</w:t>
            </w:r>
          </w:p>
        </w:tc>
      </w:tr>
    </w:tbl>
    <w:p w14:paraId="7C119D30" w14:textId="38CC03A6" w:rsidR="007B4D6E" w:rsidRDefault="007B4D6E" w:rsidP="007B4D6E"/>
    <w:tbl>
      <w:tblPr>
        <w:tblW w:w="9238" w:type="dxa"/>
        <w:tblInd w:w="21" w:type="dxa"/>
        <w:tblLook w:val="01E0" w:firstRow="1" w:lastRow="1" w:firstColumn="1" w:lastColumn="1" w:noHBand="0" w:noVBand="0"/>
      </w:tblPr>
      <w:tblGrid>
        <w:gridCol w:w="2127"/>
        <w:gridCol w:w="7111"/>
      </w:tblGrid>
      <w:tr w:rsidR="007B4D6E" w:rsidRPr="00BA191C" w14:paraId="7BC6D69E" w14:textId="77777777" w:rsidTr="00E067DD">
        <w:tc>
          <w:tcPr>
            <w:tcW w:w="9238" w:type="dxa"/>
            <w:gridSpan w:val="2"/>
            <w:shd w:val="clear" w:color="auto" w:fill="auto"/>
          </w:tcPr>
          <w:p w14:paraId="4AC82882" w14:textId="77777777" w:rsidR="007B4D6E" w:rsidRPr="00BA191C" w:rsidRDefault="007B4D6E" w:rsidP="0087180A">
            <w:pPr>
              <w:pStyle w:val="Heading2"/>
              <w:rPr>
                <w:i/>
              </w:rPr>
            </w:pPr>
            <w:bookmarkStart w:id="66" w:name="_Toc31278005"/>
            <w:bookmarkStart w:id="67" w:name="_Toc170222963"/>
            <w:r w:rsidRPr="00BA191C">
              <w:lastRenderedPageBreak/>
              <w:t>Separation</w:t>
            </w:r>
            <w:bookmarkEnd w:id="66"/>
            <w:bookmarkEnd w:id="67"/>
          </w:p>
        </w:tc>
      </w:tr>
      <w:tr w:rsidR="007B4D6E" w:rsidRPr="00BA191C" w14:paraId="09C6EDF1" w14:textId="77777777" w:rsidTr="00E067DD">
        <w:tc>
          <w:tcPr>
            <w:tcW w:w="2127" w:type="dxa"/>
            <w:shd w:val="clear" w:color="auto" w:fill="auto"/>
          </w:tcPr>
          <w:p w14:paraId="162471F9" w14:textId="77777777" w:rsidR="007B4D6E" w:rsidRPr="00C5093D" w:rsidRDefault="007B4D6E" w:rsidP="0087180A">
            <w:pPr>
              <w:keepNext/>
              <w:spacing w:after="0" w:line="240" w:lineRule="auto"/>
              <w:rPr>
                <w:b/>
                <w:i/>
                <w:szCs w:val="21"/>
              </w:rPr>
            </w:pPr>
            <w:r w:rsidRPr="00C5093D">
              <w:rPr>
                <w:b/>
                <w:szCs w:val="21"/>
              </w:rPr>
              <w:t>Definition/guide for use</w:t>
            </w:r>
          </w:p>
        </w:tc>
        <w:tc>
          <w:tcPr>
            <w:tcW w:w="7111" w:type="dxa"/>
            <w:shd w:val="clear" w:color="auto" w:fill="auto"/>
          </w:tcPr>
          <w:p w14:paraId="0F3519A1"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Separation is the process by which an episode of care for an admitted patient ceases. A separation may be formal or statistical.</w:t>
            </w:r>
          </w:p>
          <w:p w14:paraId="0324E380"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Formal separation:</w:t>
            </w:r>
          </w:p>
          <w:p w14:paraId="393846D8"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treatment and/or care and/or accommodation of a patient.</w:t>
            </w:r>
          </w:p>
          <w:p w14:paraId="3F029FCB"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Statistical separation:</w:t>
            </w:r>
          </w:p>
          <w:p w14:paraId="62B8F8A0" w14:textId="7021AAB0" w:rsidR="007B4D6E" w:rsidRPr="00C5093D" w:rsidRDefault="007B4D6E" w:rsidP="0087180A">
            <w:pPr>
              <w:spacing w:after="40" w:line="220" w:lineRule="atLeast"/>
              <w:ind w:left="-115"/>
              <w:rPr>
                <w:rFonts w:eastAsia="MS Mincho"/>
                <w:noProof/>
                <w:szCs w:val="21"/>
              </w:rPr>
            </w:pPr>
            <w:r w:rsidRPr="00C5093D">
              <w:rPr>
                <w:rFonts w:eastAsia="MS Mincho"/>
                <w:noProof/>
                <w:szCs w:val="21"/>
              </w:rPr>
              <w:t>The administrative process by which a hospital records the cessation of an episode of care for a patient within the one hospital stay</w:t>
            </w:r>
            <w:r w:rsidR="003C788E">
              <w:rPr>
                <w:rFonts w:eastAsia="MS Mincho"/>
                <w:noProof/>
                <w:szCs w:val="21"/>
              </w:rPr>
              <w:t xml:space="preserve"> </w:t>
            </w:r>
            <w:r w:rsidR="00E55524" w:rsidRPr="00E55524">
              <w:rPr>
                <w:rFonts w:eastAsia="MS Mincho"/>
                <w:noProof/>
                <w:szCs w:val="21"/>
              </w:rPr>
              <w:t>(a change of Care Type eg from acute to rehabilitation)</w:t>
            </w:r>
            <w:r w:rsidRPr="00C5093D">
              <w:rPr>
                <w:rFonts w:eastAsia="MS Mincho"/>
                <w:noProof/>
                <w:szCs w:val="21"/>
              </w:rPr>
              <w:t>.</w:t>
            </w:r>
          </w:p>
          <w:p w14:paraId="6D26EFB5" w14:textId="77777777" w:rsidR="007B4D6E" w:rsidRPr="00C5093D" w:rsidRDefault="007B4D6E" w:rsidP="0087180A">
            <w:pPr>
              <w:spacing w:after="40" w:line="220" w:lineRule="atLeast"/>
              <w:ind w:left="-97"/>
              <w:rPr>
                <w:rFonts w:eastAsia="MS Mincho"/>
                <w:szCs w:val="21"/>
              </w:rPr>
            </w:pPr>
          </w:p>
        </w:tc>
      </w:tr>
      <w:tr w:rsidR="007B4D6E" w:rsidRPr="00BA191C" w14:paraId="53D564CD" w14:textId="77777777" w:rsidTr="00E067DD">
        <w:tc>
          <w:tcPr>
            <w:tcW w:w="2127" w:type="dxa"/>
            <w:shd w:val="clear" w:color="auto" w:fill="auto"/>
          </w:tcPr>
          <w:p w14:paraId="2FA2DB58" w14:textId="77777777" w:rsidR="007B4D6E" w:rsidRPr="00C5093D" w:rsidRDefault="007B4D6E" w:rsidP="0087180A">
            <w:pPr>
              <w:keepNext/>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5C57991"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Separation date – baby; Separation date – mother; Separation status – baby; Separation status – mother</w:t>
            </w:r>
          </w:p>
        </w:tc>
      </w:tr>
      <w:tr w:rsidR="007B4D6E" w:rsidRPr="00BA191C" w14:paraId="69B94B16" w14:textId="77777777" w:rsidTr="00E067DD">
        <w:tc>
          <w:tcPr>
            <w:tcW w:w="9238" w:type="dxa"/>
            <w:gridSpan w:val="2"/>
            <w:shd w:val="clear" w:color="auto" w:fill="auto"/>
          </w:tcPr>
          <w:p w14:paraId="3C88DDFF" w14:textId="3A4092E3" w:rsidR="007B4D6E" w:rsidRPr="00BA191C" w:rsidRDefault="007B4D6E" w:rsidP="0087180A">
            <w:pPr>
              <w:pStyle w:val="Heading2"/>
              <w:rPr>
                <w:i/>
              </w:rPr>
            </w:pPr>
            <w:bookmarkStart w:id="68" w:name="_Toc31278006"/>
            <w:bookmarkStart w:id="69" w:name="_Toc170222964"/>
            <w:r w:rsidRPr="00BA191C">
              <w:t>Stillbirth (fetal death)</w:t>
            </w:r>
            <w:bookmarkEnd w:id="68"/>
            <w:bookmarkEnd w:id="69"/>
          </w:p>
        </w:tc>
      </w:tr>
      <w:tr w:rsidR="007B4D6E" w:rsidRPr="00BA191C" w14:paraId="33FF792E" w14:textId="77777777" w:rsidTr="00E067DD">
        <w:tc>
          <w:tcPr>
            <w:tcW w:w="2127" w:type="dxa"/>
            <w:shd w:val="clear" w:color="auto" w:fill="auto"/>
          </w:tcPr>
          <w:p w14:paraId="048287D4"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1EA174A8"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A fetal death prior to the complete expulsion or extraction from its mother of a product of conception of 20 or more completed weeks of gestation or of 400 grams or more birthweight.</w:t>
            </w:r>
          </w:p>
          <w:p w14:paraId="3305240E"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The death is indicated by the fact that after such separation the fetus does not breathe or show any other evidence of life, such as beating of the heart, pulsation of the umbilical cord, or definite movement of voluntary muscles.</w:t>
            </w:r>
          </w:p>
          <w:p w14:paraId="6744EA73" w14:textId="77777777" w:rsidR="007B4D6E" w:rsidRPr="00C5093D" w:rsidRDefault="007B4D6E" w:rsidP="0087180A">
            <w:pPr>
              <w:spacing w:before="120" w:after="40" w:line="220" w:lineRule="atLeast"/>
              <w:ind w:left="-115"/>
              <w:rPr>
                <w:rFonts w:eastAsia="MS Mincho"/>
                <w:noProof/>
                <w:szCs w:val="21"/>
              </w:rPr>
            </w:pPr>
            <w:r w:rsidRPr="00C5093D">
              <w:rPr>
                <w:rFonts w:eastAsia="MS Mincho"/>
                <w:noProof/>
                <w:szCs w:val="21"/>
              </w:rPr>
              <w:t>Termination of pregnancy performed at gestational ages of 20 or more weeks should be included in perinatal collections and should be recorded as stillborn or, in the unlikely event of showing evidence of life, as live births.</w:t>
            </w:r>
          </w:p>
          <w:p w14:paraId="365D1401" w14:textId="55CE70A6" w:rsidR="008A57BA" w:rsidRPr="00C5093D" w:rsidRDefault="007B4D6E" w:rsidP="008A57BA">
            <w:pPr>
              <w:spacing w:before="120" w:after="40" w:line="220" w:lineRule="atLeast"/>
              <w:ind w:left="-115"/>
              <w:rPr>
                <w:rFonts w:eastAsia="MS Mincho"/>
                <w:szCs w:val="21"/>
              </w:rPr>
            </w:pPr>
            <w:r w:rsidRPr="00C5093D">
              <w:rPr>
                <w:rFonts w:eastAsia="MS Mincho"/>
                <w:szCs w:val="21"/>
              </w:rPr>
              <w:t>Fetus papyraceous and fetus compressus are products of conception recognisable as a deceased fetus. These fetal deaths are likely to have occurred before 20 weeks gestation but should be included as stillbirths in perinatal collections if they are recognisable as a fetus and have been expelled or extracted with other products of conception at 20 or more weeks gestational age.</w:t>
            </w:r>
          </w:p>
          <w:p w14:paraId="7C71C780" w14:textId="77777777" w:rsidR="007B4D6E" w:rsidRPr="00C5093D" w:rsidRDefault="007B4D6E" w:rsidP="008A57BA">
            <w:pPr>
              <w:spacing w:before="120" w:after="40" w:line="220" w:lineRule="atLeast"/>
              <w:ind w:left="-115"/>
              <w:rPr>
                <w:rFonts w:eastAsia="MS Mincho"/>
                <w:szCs w:val="21"/>
              </w:rPr>
            </w:pPr>
          </w:p>
        </w:tc>
      </w:tr>
      <w:tr w:rsidR="007B4D6E" w:rsidRPr="00BA191C" w14:paraId="19850AD9" w14:textId="77777777" w:rsidTr="00E067DD">
        <w:tc>
          <w:tcPr>
            <w:tcW w:w="2127" w:type="dxa"/>
            <w:shd w:val="clear" w:color="auto" w:fill="auto"/>
          </w:tcPr>
          <w:p w14:paraId="6AD8A0F7"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13A419F8" w14:textId="77777777" w:rsidR="007B4D6E" w:rsidRPr="00C5093D" w:rsidRDefault="007B4D6E" w:rsidP="0087180A">
            <w:pPr>
              <w:spacing w:after="40" w:line="220" w:lineRule="atLeast"/>
              <w:ind w:left="-115" w:right="-15"/>
              <w:rPr>
                <w:rFonts w:eastAsia="MS Mincho"/>
                <w:szCs w:val="21"/>
              </w:rPr>
            </w:pPr>
            <w:r w:rsidRPr="00C5093D">
              <w:rPr>
                <w:rFonts w:eastAsia="MS Mincho"/>
                <w:noProof/>
                <w:szCs w:val="21"/>
              </w:rPr>
              <w:t>Birth status; Parity; Total number of previous stillbirths (fetal deaths)</w:t>
            </w:r>
          </w:p>
        </w:tc>
      </w:tr>
      <w:tr w:rsidR="007B4D6E" w:rsidRPr="00BA191C" w14:paraId="6C58D014" w14:textId="77777777" w:rsidTr="00E067DD">
        <w:tc>
          <w:tcPr>
            <w:tcW w:w="9238" w:type="dxa"/>
            <w:gridSpan w:val="2"/>
            <w:shd w:val="clear" w:color="auto" w:fill="auto"/>
          </w:tcPr>
          <w:p w14:paraId="1FFDF2D0" w14:textId="07F43B94" w:rsidR="007B4D6E" w:rsidRPr="00BA191C" w:rsidRDefault="007B4D6E" w:rsidP="0087180A">
            <w:pPr>
              <w:pStyle w:val="Heading2"/>
              <w:rPr>
                <w:i/>
              </w:rPr>
            </w:pPr>
            <w:bookmarkStart w:id="70" w:name="_Toc31278007"/>
            <w:bookmarkStart w:id="71" w:name="_Toc170222965"/>
            <w:r w:rsidRPr="00BA191C">
              <w:t>Transfer</w:t>
            </w:r>
            <w:bookmarkEnd w:id="70"/>
            <w:bookmarkEnd w:id="71"/>
          </w:p>
        </w:tc>
      </w:tr>
      <w:tr w:rsidR="007B4D6E" w:rsidRPr="00C5093D" w14:paraId="7FA758BD" w14:textId="77777777" w:rsidTr="00E067DD">
        <w:tc>
          <w:tcPr>
            <w:tcW w:w="2127" w:type="dxa"/>
            <w:shd w:val="clear" w:color="auto" w:fill="auto"/>
          </w:tcPr>
          <w:p w14:paraId="26338A26" w14:textId="77777777" w:rsidR="007B4D6E" w:rsidRPr="00C5093D" w:rsidRDefault="007B4D6E" w:rsidP="0087180A">
            <w:pPr>
              <w:spacing w:after="0" w:line="240" w:lineRule="auto"/>
              <w:rPr>
                <w:b/>
                <w:i/>
                <w:szCs w:val="21"/>
              </w:rPr>
            </w:pPr>
            <w:r w:rsidRPr="00C5093D">
              <w:rPr>
                <w:b/>
                <w:szCs w:val="21"/>
              </w:rPr>
              <w:t>Definition/guide for use</w:t>
            </w:r>
          </w:p>
        </w:tc>
        <w:tc>
          <w:tcPr>
            <w:tcW w:w="7111" w:type="dxa"/>
            <w:shd w:val="clear" w:color="auto" w:fill="auto"/>
          </w:tcPr>
          <w:p w14:paraId="2247A973" w14:textId="77777777" w:rsidR="007B4D6E" w:rsidRPr="00C5093D" w:rsidRDefault="007B4D6E" w:rsidP="0087180A">
            <w:pPr>
              <w:spacing w:after="40" w:line="220" w:lineRule="atLeast"/>
              <w:ind w:left="-115"/>
              <w:rPr>
                <w:rFonts w:eastAsia="MS Mincho"/>
                <w:noProof/>
                <w:szCs w:val="21"/>
              </w:rPr>
            </w:pPr>
            <w:r w:rsidRPr="00C5093D">
              <w:rPr>
                <w:rFonts w:eastAsia="MS Mincho"/>
                <w:noProof/>
                <w:szCs w:val="21"/>
              </w:rPr>
              <w:t>Transfer refers to patients moving between two different hospitals or hospital campuses where:</w:t>
            </w:r>
          </w:p>
          <w:p w14:paraId="1CAFD3E6" w14:textId="3F456053" w:rsidR="008A57BA" w:rsidRDefault="008A57BA" w:rsidP="008A57BA">
            <w:pPr>
              <w:pStyle w:val="ListParagraph"/>
              <w:numPr>
                <w:ilvl w:val="0"/>
                <w:numId w:val="46"/>
              </w:numPr>
              <w:spacing w:after="40" w:line="220" w:lineRule="atLeast"/>
              <w:ind w:left="310" w:hanging="425"/>
              <w:rPr>
                <w:rFonts w:ascii="Arial" w:eastAsia="MS Mincho" w:hAnsi="Arial"/>
                <w:noProof/>
                <w:sz w:val="21"/>
                <w:szCs w:val="21"/>
              </w:rPr>
            </w:pPr>
            <w:r>
              <w:rPr>
                <w:rFonts w:ascii="Arial" w:eastAsia="MS Mincho" w:hAnsi="Arial"/>
                <w:noProof/>
                <w:sz w:val="21"/>
                <w:szCs w:val="21"/>
              </w:rPr>
              <w:t>they were assessed or received care and treatment in the first hospital</w:t>
            </w:r>
          </w:p>
          <w:p w14:paraId="0950B367" w14:textId="1D771190" w:rsidR="008A57BA" w:rsidRPr="00C5093D" w:rsidRDefault="007B4D6E" w:rsidP="008A57BA">
            <w:pPr>
              <w:pStyle w:val="ListParagraph"/>
              <w:numPr>
                <w:ilvl w:val="0"/>
                <w:numId w:val="46"/>
              </w:numPr>
              <w:spacing w:after="40" w:line="220" w:lineRule="atLeast"/>
              <w:ind w:left="310" w:hanging="425"/>
              <w:rPr>
                <w:rFonts w:ascii="Arial" w:eastAsia="MS Mincho" w:hAnsi="Arial"/>
                <w:noProof/>
                <w:sz w:val="21"/>
                <w:szCs w:val="21"/>
              </w:rPr>
            </w:pPr>
            <w:r w:rsidRPr="00C5093D">
              <w:rPr>
                <w:rFonts w:ascii="Arial" w:eastAsia="MS Mincho" w:hAnsi="Arial"/>
                <w:noProof/>
                <w:sz w:val="21"/>
                <w:szCs w:val="21"/>
              </w:rPr>
              <w:t>it is intended that the patient receives admitted care in the second hospital</w:t>
            </w:r>
          </w:p>
          <w:p w14:paraId="2389FC78" w14:textId="77777777" w:rsidR="007B4D6E" w:rsidRPr="00C5093D" w:rsidRDefault="007B4D6E" w:rsidP="00E067DD">
            <w:pPr>
              <w:pStyle w:val="ListParagraph"/>
              <w:spacing w:after="40" w:line="220" w:lineRule="atLeast"/>
              <w:ind w:left="310"/>
              <w:rPr>
                <w:rFonts w:eastAsia="MS Mincho"/>
                <w:sz w:val="21"/>
                <w:szCs w:val="21"/>
              </w:rPr>
            </w:pPr>
          </w:p>
        </w:tc>
      </w:tr>
      <w:tr w:rsidR="007B4D6E" w:rsidRPr="00C5093D" w14:paraId="1C7F42FE" w14:textId="77777777" w:rsidTr="00E067DD">
        <w:tc>
          <w:tcPr>
            <w:tcW w:w="2127" w:type="dxa"/>
            <w:shd w:val="clear" w:color="auto" w:fill="auto"/>
          </w:tcPr>
          <w:p w14:paraId="52043FFF" w14:textId="77777777" w:rsidR="007B4D6E" w:rsidRPr="00C5093D" w:rsidRDefault="007B4D6E" w:rsidP="0087180A">
            <w:pPr>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081804DD" w14:textId="77777777" w:rsidR="007B4D6E" w:rsidRPr="00C5093D" w:rsidRDefault="007B4D6E" w:rsidP="0087180A">
            <w:pPr>
              <w:spacing w:after="40" w:line="220" w:lineRule="atLeast"/>
              <w:ind w:left="-115"/>
              <w:rPr>
                <w:rFonts w:eastAsia="MS Mincho"/>
                <w:szCs w:val="21"/>
              </w:rPr>
            </w:pPr>
            <w:r w:rsidRPr="00C5093D">
              <w:rPr>
                <w:rFonts w:eastAsia="MS Mincho"/>
                <w:noProof/>
                <w:szCs w:val="21"/>
              </w:rPr>
              <w:t>Reason for transfer out – baby; Reason for transfer out – mother; Separation date – baby; Separation date – mother; Separation status – baby; Separation status – mother; Transfer destination – baby; Transfer destination – mother</w:t>
            </w:r>
          </w:p>
        </w:tc>
      </w:tr>
      <w:bookmarkEnd w:id="3"/>
      <w:bookmarkEnd w:id="4"/>
      <w:bookmarkEnd w:id="5"/>
    </w:tbl>
    <w:p w14:paraId="5DA462F8" w14:textId="2B80BF69" w:rsidR="00454E18" w:rsidRPr="00E067DD" w:rsidRDefault="00454E18" w:rsidP="00C5093D">
      <w:pPr>
        <w:spacing w:after="0" w:line="240" w:lineRule="auto"/>
        <w:rPr>
          <w:rFonts w:eastAsia="MS Gothic" w:cs="Arial"/>
          <w:bCs/>
          <w:color w:val="53565A"/>
          <w:kern w:val="32"/>
          <w:sz w:val="16"/>
          <w:szCs w:val="16"/>
        </w:rPr>
      </w:pPr>
    </w:p>
    <w:sectPr w:rsidR="00454E18" w:rsidRPr="00E067DD" w:rsidSect="00F60E97">
      <w:headerReference w:type="even" r:id="rId26"/>
      <w:headerReference w:type="default" r:id="rId27"/>
      <w:footerReference w:type="even" r:id="rId28"/>
      <w:footerReference w:type="default" r:id="rId29"/>
      <w:pgSz w:w="11906" w:h="16838" w:code="9"/>
      <w:pgMar w:top="1134"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5EBAD" w14:textId="77777777" w:rsidR="005C7BA5" w:rsidRDefault="005C7BA5">
      <w:r>
        <w:separator/>
      </w:r>
    </w:p>
    <w:p w14:paraId="76CEFC9F" w14:textId="77777777" w:rsidR="005C7BA5" w:rsidRDefault="005C7BA5"/>
  </w:endnote>
  <w:endnote w:type="continuationSeparator" w:id="0">
    <w:p w14:paraId="0CE16822" w14:textId="77777777" w:rsidR="005C7BA5" w:rsidRDefault="005C7BA5">
      <w:r>
        <w:continuationSeparator/>
      </w:r>
    </w:p>
    <w:p w14:paraId="3E6488BD" w14:textId="77777777" w:rsidR="005C7BA5" w:rsidRDefault="005C7BA5"/>
  </w:endnote>
  <w:endnote w:type="continuationNotice" w:id="1">
    <w:p w14:paraId="4266EA82" w14:textId="77777777" w:rsidR="005C7BA5" w:rsidRDefault="005C7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5132" w14:textId="0B7E5CC2" w:rsidR="0087180A" w:rsidRDefault="0087180A">
    <w:pPr>
      <w:pStyle w:val="Footer"/>
    </w:pPr>
    <w:r>
      <w:rPr>
        <w:noProof/>
      </w:rPr>
      <mc:AlternateContent>
        <mc:Choice Requires="wps">
          <w:drawing>
            <wp:anchor distT="0" distB="0" distL="114300" distR="114300" simplePos="0" relativeHeight="251658247" behindDoc="0" locked="0" layoutInCell="0" allowOverlap="1" wp14:anchorId="09B931E2" wp14:editId="477E3E13">
              <wp:simplePos x="0" y="0"/>
              <wp:positionH relativeFrom="page">
                <wp:align>center</wp:align>
              </wp:positionH>
              <wp:positionV relativeFrom="page">
                <wp:align>bottom</wp:align>
              </wp:positionV>
              <wp:extent cx="7772400" cy="502285"/>
              <wp:effectExtent l="0" t="0" r="0" b="12065"/>
              <wp:wrapNone/>
              <wp:docPr id="15" name="MSIPCM232f4d50b0efe820cfefb020"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37F90" w14:textId="2621DA0E"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B931E2" id="_x0000_t202" coordsize="21600,21600" o:spt="202" path="m,l,21600r21600,l21600,xe">
              <v:stroke joinstyle="miter"/>
              <v:path gradientshapeok="t" o:connecttype="rect"/>
            </v:shapetype>
            <v:shape id="MSIPCM232f4d50b0efe820cfefb020"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4CE37F90" w14:textId="2621DA0E"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B5A4" w14:textId="0128B349" w:rsidR="0087180A" w:rsidRDefault="0087180A">
    <w:pPr>
      <w:pStyle w:val="Footer"/>
    </w:pPr>
    <w:r>
      <w:rPr>
        <w:noProof/>
      </w:rPr>
      <mc:AlternateContent>
        <mc:Choice Requires="wps">
          <w:drawing>
            <wp:anchor distT="0" distB="0" distL="114300" distR="114300" simplePos="0" relativeHeight="251658242" behindDoc="0" locked="0" layoutInCell="0" allowOverlap="1" wp14:anchorId="1172A348" wp14:editId="51202FF9">
              <wp:simplePos x="0" y="0"/>
              <wp:positionH relativeFrom="page">
                <wp:align>center</wp:align>
              </wp:positionH>
              <wp:positionV relativeFrom="page">
                <wp:align>bottom</wp:align>
              </wp:positionV>
              <wp:extent cx="7772400" cy="502285"/>
              <wp:effectExtent l="0" t="0" r="0" b="12065"/>
              <wp:wrapNone/>
              <wp:docPr id="13" name="MSIPCM87554b00ac284571a4d5f19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782DA" w14:textId="58CAA6EC"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72A348" id="_x0000_t202" coordsize="21600,21600" o:spt="202" path="m,l,21600r21600,l21600,xe">
              <v:stroke joinstyle="miter"/>
              <v:path gradientshapeok="t" o:connecttype="rect"/>
            </v:shapetype>
            <v:shape id="MSIPCM87554b00ac284571a4d5f191"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20782DA" w14:textId="58CAA6EC"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46E6" w14:textId="205AF0F3" w:rsidR="0087180A" w:rsidRDefault="0087180A">
    <w:pPr>
      <w:pStyle w:val="Footer"/>
    </w:pPr>
    <w:r>
      <w:rPr>
        <w:noProof/>
      </w:rPr>
      <mc:AlternateContent>
        <mc:Choice Requires="wps">
          <w:drawing>
            <wp:anchor distT="0" distB="0" distL="114300" distR="114300" simplePos="0" relativeHeight="251658243" behindDoc="0" locked="0" layoutInCell="0" allowOverlap="1" wp14:anchorId="5BDA552B" wp14:editId="5ADD51D3">
              <wp:simplePos x="0" y="9365456"/>
              <wp:positionH relativeFrom="page">
                <wp:align>center</wp:align>
              </wp:positionH>
              <wp:positionV relativeFrom="page">
                <wp:align>bottom</wp:align>
              </wp:positionV>
              <wp:extent cx="7772400" cy="502285"/>
              <wp:effectExtent l="0" t="0" r="0" b="12065"/>
              <wp:wrapNone/>
              <wp:docPr id="14" name="MSIPCM81ec41fead12bdded88faa7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DD0997" w14:textId="56DBCEB9"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DA552B" id="_x0000_t202" coordsize="21600,21600" o:spt="202" path="m,l,21600r21600,l21600,xe">
              <v:stroke joinstyle="miter"/>
              <v:path gradientshapeok="t" o:connecttype="rect"/>
            </v:shapetype>
            <v:shape id="MSIPCM81ec41fead12bdded88faa79"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0CDD0997" w14:textId="56DBCEB9" w:rsidR="0087180A"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F7F4" w14:textId="3C33C19A" w:rsidR="0087180A" w:rsidRDefault="007E7633" w:rsidP="00A50292">
    <w:pPr>
      <w:pStyle w:val="Footer"/>
      <w:tabs>
        <w:tab w:val="left" w:pos="8647"/>
      </w:tabs>
      <w:jc w:val="left"/>
    </w:pPr>
    <w:r>
      <w:rPr>
        <w:noProof/>
        <w:lang w:eastAsia="en-AU"/>
      </w:rPr>
      <mc:AlternateContent>
        <mc:Choice Requires="wps">
          <w:drawing>
            <wp:anchor distT="0" distB="0" distL="114300" distR="114300" simplePos="0" relativeHeight="251658248" behindDoc="0" locked="0" layoutInCell="0" allowOverlap="1" wp14:anchorId="0D4CC4EA" wp14:editId="7798FAD8">
              <wp:simplePos x="0" y="0"/>
              <wp:positionH relativeFrom="page">
                <wp:align>center</wp:align>
              </wp:positionH>
              <wp:positionV relativeFrom="page">
                <wp:align>bottom</wp:align>
              </wp:positionV>
              <wp:extent cx="7772400" cy="502285"/>
              <wp:effectExtent l="0" t="0" r="0" b="12065"/>
              <wp:wrapNone/>
              <wp:docPr id="53" name="MSIPCM995f4e1b81469c4638368ace"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2DF1B" w14:textId="0999865D" w:rsidR="007E7633"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4CC4EA" id="_x0000_t202" coordsize="21600,21600" o:spt="202" path="m,l,21600r21600,l21600,xe">
              <v:stroke joinstyle="miter"/>
              <v:path gradientshapeok="t" o:connecttype="rect"/>
            </v:shapetype>
            <v:shape id="MSIPCM995f4e1b81469c4638368ace" o:spid="_x0000_s1029" type="#_x0000_t202" alt="{&quot;HashCode&quot;:904758361,&quot;Height&quot;:9999999.0,&quot;Width&quot;:9999999.0,&quot;Placement&quot;:&quot;Footer&quot;,&quot;Index&quot;:&quot;Primary&quot;,&quot;Section&quot;:2,&quot;Top&quot;:0.0,&quot;Left&quot;:0.0}"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6C82DF1B" w14:textId="0999865D" w:rsidR="007E7633"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r w:rsidR="003E0733">
      <w:rPr>
        <w:noProof/>
        <w:lang w:eastAsia="en-AU"/>
      </w:rPr>
      <mc:AlternateContent>
        <mc:Choice Requires="wps">
          <w:drawing>
            <wp:anchor distT="0" distB="0" distL="114300" distR="114300" simplePos="0" relativeHeight="251658246" behindDoc="0" locked="0" layoutInCell="0" allowOverlap="1" wp14:anchorId="35DF650A" wp14:editId="42DC1F96">
              <wp:simplePos x="0" y="0"/>
              <wp:positionH relativeFrom="page">
                <wp:posOffset>9525</wp:posOffset>
              </wp:positionH>
              <wp:positionV relativeFrom="page">
                <wp:posOffset>10277476</wp:posOffset>
              </wp:positionV>
              <wp:extent cx="7560310" cy="209550"/>
              <wp:effectExtent l="0" t="0" r="0" b="0"/>
              <wp:wrapNone/>
              <wp:docPr id="44"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09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D1B7E" w14:textId="3920F4B4" w:rsidR="009948CC" w:rsidRPr="00EA4513" w:rsidRDefault="009948CC" w:rsidP="009948CC">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35DF650A" id="MSIPCMebda4491940c4ef18f6529e0" o:spid="_x0000_s1030" type="#_x0000_t202" alt="{&quot;HashCode&quot;:904758361,&quot;Height&quot;:841.0,&quot;Width&quot;:595.0,&quot;Placement&quot;:&quot;Footer&quot;,&quot;Index&quot;:&quot;Primary&quot;,&quot;Section&quot;:8,&quot;Top&quot;:0.0,&quot;Left&quot;:0.0}" style="position:absolute;margin-left:.75pt;margin-top:809.25pt;width:595.3pt;height:16.5pt;z-index:25165824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" o:allowincell="f" filled="f" stroked="f" strokeweight=".5pt">
              <v:textbox inset=",0,,0">
                <w:txbxContent>
                  <w:p w14:paraId="651D1B7E" w14:textId="3920F4B4" w:rsidR="009948CC" w:rsidRPr="00EA4513" w:rsidRDefault="009948CC" w:rsidP="009948CC">
                    <w:pPr>
                      <w:spacing w:after="0"/>
                      <w:jc w:val="center"/>
                      <w:rPr>
                        <w:rFonts w:ascii="Arial Black" w:hAnsi="Arial Black"/>
                        <w:color w:val="000000"/>
                        <w:sz w:val="20"/>
                      </w:rPr>
                    </w:pPr>
                  </w:p>
                </w:txbxContent>
              </v:textbox>
              <w10:wrap anchorx="page" anchory="page"/>
            </v:shape>
          </w:pict>
        </mc:Fallback>
      </mc:AlternateContent>
    </w:r>
    <w:r w:rsidR="009948CC" w:rsidRPr="00934E40">
      <w:rPr>
        <w:sz w:val="18"/>
      </w:rPr>
      <w:t>V</w:t>
    </w:r>
    <w:r w:rsidR="009948CC">
      <w:rPr>
        <w:sz w:val="18"/>
      </w:rPr>
      <w:t>PDC</w:t>
    </w:r>
    <w:r w:rsidR="009948CC" w:rsidRPr="00934E40">
      <w:rPr>
        <w:sz w:val="18"/>
      </w:rPr>
      <w:t xml:space="preserve"> </w:t>
    </w:r>
    <w:r w:rsidR="009948CC">
      <w:rPr>
        <w:sz w:val="18"/>
      </w:rPr>
      <w:t>m</w:t>
    </w:r>
    <w:r w:rsidR="009948CC" w:rsidRPr="00934E40">
      <w:rPr>
        <w:sz w:val="18"/>
      </w:rPr>
      <w:t>anual 202</w:t>
    </w:r>
    <w:r w:rsidR="00656549">
      <w:rPr>
        <w:sz w:val="18"/>
      </w:rPr>
      <w:t>4</w:t>
    </w:r>
    <w:r w:rsidR="009948CC" w:rsidRPr="00934E40">
      <w:rPr>
        <w:sz w:val="18"/>
      </w:rPr>
      <w:t>-2</w:t>
    </w:r>
    <w:r w:rsidR="00656549">
      <w:rPr>
        <w:sz w:val="18"/>
      </w:rPr>
      <w:t>5</w:t>
    </w:r>
    <w:r w:rsidR="009948CC">
      <w:rPr>
        <w:sz w:val="18"/>
      </w:rPr>
      <w:t xml:space="preserve"> (v</w:t>
    </w:r>
    <w:r w:rsidR="00CE02DD">
      <w:rPr>
        <w:sz w:val="18"/>
      </w:rPr>
      <w:t>1</w:t>
    </w:r>
    <w:r w:rsidR="00656549">
      <w:rPr>
        <w:sz w:val="18"/>
      </w:rPr>
      <w:t>2</w:t>
    </w:r>
    <w:r w:rsidR="009948CC">
      <w:rPr>
        <w:sz w:val="18"/>
      </w:rPr>
      <w:t>.0) – Section 2 Concept and derived item definitions</w:t>
    </w:r>
    <w:r w:rsidR="009948CC">
      <w:rPr>
        <w:sz w:val="18"/>
      </w:rPr>
      <w:tab/>
    </w:r>
    <w:r w:rsidR="009948CC" w:rsidRPr="00934E40">
      <w:rPr>
        <w:sz w:val="18"/>
      </w:rPr>
      <w:t xml:space="preserve">Page </w:t>
    </w:r>
    <w:r w:rsidR="009948CC" w:rsidRPr="00934E40">
      <w:rPr>
        <w:sz w:val="18"/>
      </w:rPr>
      <w:fldChar w:fldCharType="begin"/>
    </w:r>
    <w:r w:rsidR="009948CC" w:rsidRPr="00934E40">
      <w:rPr>
        <w:sz w:val="18"/>
      </w:rPr>
      <w:instrText xml:space="preserve"> PAGE   \* MERGEFORMAT </w:instrText>
    </w:r>
    <w:r w:rsidR="009948CC" w:rsidRPr="00934E40">
      <w:rPr>
        <w:sz w:val="18"/>
      </w:rPr>
      <w:fldChar w:fldCharType="separate"/>
    </w:r>
    <w:r w:rsidR="009948CC">
      <w:rPr>
        <w:sz w:val="18"/>
      </w:rPr>
      <w:t>5</w:t>
    </w:r>
    <w:r w:rsidR="009948CC" w:rsidRPr="00934E40">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5C19A" w14:textId="3A22BB3C" w:rsidR="00414848" w:rsidRDefault="009948CC" w:rsidP="00C46C65">
    <w:pPr>
      <w:pStyle w:val="Footer"/>
      <w:tabs>
        <w:tab w:val="left" w:pos="3119"/>
      </w:tabs>
      <w:jc w:val="left"/>
    </w:pPr>
    <w:r>
      <w:rPr>
        <w:noProof/>
        <w:lang w:eastAsia="en-AU"/>
      </w:rPr>
      <mc:AlternateContent>
        <mc:Choice Requires="wps">
          <w:drawing>
            <wp:anchor distT="0" distB="0" distL="114300" distR="114300" simplePos="0" relativeHeight="251658245" behindDoc="0" locked="0" layoutInCell="0" allowOverlap="1" wp14:anchorId="1406BAF6" wp14:editId="120D94AA">
              <wp:simplePos x="0" y="0"/>
              <wp:positionH relativeFrom="page">
                <wp:posOffset>19050</wp:posOffset>
              </wp:positionH>
              <wp:positionV relativeFrom="page">
                <wp:posOffset>10248900</wp:posOffset>
              </wp:positionV>
              <wp:extent cx="7400925" cy="207010"/>
              <wp:effectExtent l="0" t="0" r="0" b="2540"/>
              <wp:wrapNone/>
              <wp:docPr id="43"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400925" cy="2070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225D4" w14:textId="77777777" w:rsidR="009948CC" w:rsidRPr="00EA4513" w:rsidRDefault="009948CC" w:rsidP="009948CC">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6BAF6" id="_x0000_t202" coordsize="21600,21600" o:spt="202" path="m,l,21600r21600,l21600,xe">
              <v:stroke joinstyle="miter"/>
              <v:path gradientshapeok="t" o:connecttype="rect"/>
            </v:shapetype>
            <v:shape id="_x0000_s1031" type="#_x0000_t202" alt="{&quot;HashCode&quot;:904758361,&quot;Height&quot;:841.0,&quot;Width&quot;:595.0,&quot;Placement&quot;:&quot;Footer&quot;,&quot;Index&quot;:&quot;Primary&quot;,&quot;Section&quot;:8,&quot;Top&quot;:0.0,&quot;Left&quot;:0.0}" style="position:absolute;margin-left:1.5pt;margin-top:807pt;width:582.75pt;height:16.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" o:allowincell="f" filled="f" stroked="f" strokeweight=".5pt">
              <v:textbox inset=",0,,0">
                <w:txbxContent>
                  <w:p w14:paraId="206225D4" w14:textId="77777777" w:rsidR="009948CC" w:rsidRPr="00EA4513" w:rsidRDefault="009948CC" w:rsidP="009948CC">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0098241F" w:rsidRPr="008E79FB">
      <w:rPr>
        <w:sz w:val="18"/>
      </w:rPr>
      <w:t xml:space="preserve">Page </w:t>
    </w:r>
    <w:r w:rsidR="0098241F" w:rsidRPr="008E79FB">
      <w:rPr>
        <w:sz w:val="18"/>
      </w:rPr>
      <w:fldChar w:fldCharType="begin"/>
    </w:r>
    <w:r w:rsidR="0098241F" w:rsidRPr="008E79FB">
      <w:rPr>
        <w:sz w:val="18"/>
      </w:rPr>
      <w:instrText xml:space="preserve"> PAGE   \* MERGEFORMAT </w:instrText>
    </w:r>
    <w:r w:rsidR="0098241F" w:rsidRPr="008E79FB">
      <w:rPr>
        <w:sz w:val="18"/>
      </w:rPr>
      <w:fldChar w:fldCharType="separate"/>
    </w:r>
    <w:r w:rsidR="0098241F">
      <w:rPr>
        <w:sz w:val="18"/>
      </w:rPr>
      <w:t>14</w:t>
    </w:r>
    <w:r w:rsidR="0098241F" w:rsidRPr="008E79FB">
      <w:rPr>
        <w:noProof/>
        <w:sz w:val="18"/>
      </w:rPr>
      <w:fldChar w:fldCharType="end"/>
    </w:r>
    <w:r w:rsidR="0098241F">
      <w:rPr>
        <w:sz w:val="18"/>
      </w:rPr>
      <w:tab/>
    </w:r>
    <w:r w:rsidR="0098241F" w:rsidRPr="008E79FB">
      <w:rPr>
        <w:sz w:val="18"/>
      </w:rPr>
      <w:t>V</w:t>
    </w:r>
    <w:r w:rsidR="0098241F">
      <w:rPr>
        <w:sz w:val="18"/>
      </w:rPr>
      <w:t>PDC</w:t>
    </w:r>
    <w:r w:rsidR="0098241F" w:rsidRPr="008E79FB">
      <w:rPr>
        <w:sz w:val="18"/>
      </w:rPr>
      <w:t xml:space="preserve"> </w:t>
    </w:r>
    <w:r w:rsidR="0098241F">
      <w:rPr>
        <w:sz w:val="18"/>
      </w:rPr>
      <w:t>m</w:t>
    </w:r>
    <w:r w:rsidR="0098241F" w:rsidRPr="008E79FB">
      <w:rPr>
        <w:sz w:val="18"/>
      </w:rPr>
      <w:t>anual 202</w:t>
    </w:r>
    <w:r w:rsidR="006E0C3E">
      <w:rPr>
        <w:sz w:val="18"/>
      </w:rPr>
      <w:t>4</w:t>
    </w:r>
    <w:r w:rsidR="0098241F" w:rsidRPr="008E79FB">
      <w:rPr>
        <w:sz w:val="18"/>
      </w:rPr>
      <w:t>-</w:t>
    </w:r>
    <w:r w:rsidR="00760B89" w:rsidRPr="00760B89">
      <w:rPr>
        <w:noProof/>
        <w:sz w:val="18"/>
      </w:rPr>
      <w:t xml:space="preserve"> </w:t>
    </w:r>
    <w:r w:rsidR="0098241F" w:rsidRPr="008E79FB">
      <w:rPr>
        <w:sz w:val="18"/>
      </w:rPr>
      <w:t>2</w:t>
    </w:r>
    <w:r w:rsidR="003B5BD9">
      <w:rPr>
        <w:sz w:val="18"/>
      </w:rPr>
      <w:t>5</w:t>
    </w:r>
    <w:r w:rsidR="0098241F">
      <w:rPr>
        <w:sz w:val="18"/>
      </w:rPr>
      <w:t xml:space="preserve"> (v</w:t>
    </w:r>
    <w:r w:rsidR="00BB5A94">
      <w:rPr>
        <w:sz w:val="18"/>
      </w:rPr>
      <w:t>1</w:t>
    </w:r>
    <w:r w:rsidR="003B5BD9">
      <w:rPr>
        <w:sz w:val="18"/>
      </w:rPr>
      <w:t>2</w:t>
    </w:r>
    <w:r w:rsidR="0098241F">
      <w:rPr>
        <w:sz w:val="18"/>
      </w:rPr>
      <w:t>.0)</w:t>
    </w:r>
    <w:r w:rsidR="00506E3A">
      <w:rPr>
        <w:sz w:val="18"/>
      </w:rPr>
      <w:t xml:space="preserve">: </w:t>
    </w:r>
    <w:r w:rsidR="0098241F">
      <w:rPr>
        <w:sz w:val="18"/>
      </w:rPr>
      <w:t>Section 2 Concept and</w:t>
    </w:r>
    <w:r w:rsidR="00506E3A">
      <w:rPr>
        <w:sz w:val="18"/>
      </w:rPr>
      <w:t xml:space="preserve"> </w:t>
    </w:r>
    <w:r w:rsidR="0098241F">
      <w:rPr>
        <w:sz w:val="18"/>
      </w:rPr>
      <w:t>derived item</w:t>
    </w:r>
    <w:r w:rsidR="00506E3A">
      <w:rPr>
        <w:sz w:val="18"/>
      </w:rPr>
      <w:t xml:space="preserve"> </w:t>
    </w:r>
    <w:r w:rsidR="0098241F">
      <w:rPr>
        <w:sz w:val="18"/>
      </w:rPr>
      <w:t>definitions</w:t>
    </w:r>
    <w:r w:rsidR="0098241F" w:rsidRPr="008E79FB">
      <w:rPr>
        <w:noProof/>
        <w:sz w:val="18"/>
        <w:lang w:eastAsia="en-AU"/>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4D308" w14:textId="44508DBA" w:rsidR="00414848" w:rsidRDefault="0098241F" w:rsidP="002A1E14">
    <w:pPr>
      <w:pStyle w:val="Footer"/>
      <w:tabs>
        <w:tab w:val="left" w:pos="8222"/>
        <w:tab w:val="left" w:pos="13041"/>
      </w:tabs>
      <w:jc w:val="left"/>
    </w:pPr>
    <w:r w:rsidRPr="00934E40">
      <w:rPr>
        <w:sz w:val="18"/>
      </w:rPr>
      <w:t>V</w:t>
    </w:r>
    <w:r>
      <w:rPr>
        <w:sz w:val="18"/>
      </w:rPr>
      <w:t>PDC</w:t>
    </w:r>
    <w:r w:rsidRPr="00934E40">
      <w:rPr>
        <w:sz w:val="18"/>
      </w:rPr>
      <w:t xml:space="preserve"> </w:t>
    </w:r>
    <w:r>
      <w:rPr>
        <w:sz w:val="18"/>
      </w:rPr>
      <w:t>m</w:t>
    </w:r>
    <w:r w:rsidRPr="00934E40">
      <w:rPr>
        <w:sz w:val="18"/>
      </w:rPr>
      <w:t>anual 202</w:t>
    </w:r>
    <w:r w:rsidR="009F08E6">
      <w:rPr>
        <w:sz w:val="18"/>
      </w:rPr>
      <w:t>4</w:t>
    </w:r>
    <w:r w:rsidRPr="00934E40">
      <w:rPr>
        <w:sz w:val="18"/>
      </w:rPr>
      <w:t>-2</w:t>
    </w:r>
    <w:r w:rsidR="009F08E6">
      <w:rPr>
        <w:sz w:val="18"/>
      </w:rPr>
      <w:t>5</w:t>
    </w:r>
    <w:r>
      <w:rPr>
        <w:sz w:val="18"/>
      </w:rPr>
      <w:t xml:space="preserve"> (v</w:t>
    </w:r>
    <w:r w:rsidR="00085CFB">
      <w:rPr>
        <w:sz w:val="18"/>
      </w:rPr>
      <w:t>1</w:t>
    </w:r>
    <w:r w:rsidR="009F08E6">
      <w:rPr>
        <w:sz w:val="18"/>
      </w:rPr>
      <w:t>2</w:t>
    </w:r>
    <w:r>
      <w:rPr>
        <w:sz w:val="18"/>
      </w:rPr>
      <w:t>.0) – Section 2 Concept and derived item definitions</w:t>
    </w:r>
    <w:r>
      <w:rPr>
        <w:sz w:val="18"/>
      </w:rPr>
      <w:tab/>
    </w:r>
    <w:r w:rsidRPr="00934E40">
      <w:rPr>
        <w:sz w:val="18"/>
      </w:rPr>
      <w:t xml:space="preserve">Page </w:t>
    </w:r>
    <w:r w:rsidRPr="00934E40">
      <w:rPr>
        <w:sz w:val="18"/>
      </w:rPr>
      <w:fldChar w:fldCharType="begin"/>
    </w:r>
    <w:r w:rsidRPr="00934E40">
      <w:rPr>
        <w:sz w:val="18"/>
      </w:rPr>
      <w:instrText xml:space="preserve"> PAGE   \* MERGEFORMAT </w:instrText>
    </w:r>
    <w:r w:rsidRPr="00934E40">
      <w:rPr>
        <w:sz w:val="18"/>
      </w:rPr>
      <w:fldChar w:fldCharType="separate"/>
    </w:r>
    <w:r>
      <w:rPr>
        <w:sz w:val="18"/>
      </w:rPr>
      <w:t>13</w:t>
    </w:r>
    <w:r w:rsidRPr="00934E40">
      <w:rPr>
        <w:noProof/>
        <w:sz w:val="18"/>
      </w:rPr>
      <w:fldChar w:fldCharType="end"/>
    </w:r>
    <w:r>
      <w:rPr>
        <w:noProof/>
        <w:lang w:eastAsia="en-AU"/>
      </w:rPr>
      <mc:AlternateContent>
        <mc:Choice Requires="wps">
          <w:drawing>
            <wp:anchor distT="0" distB="0" distL="114300" distR="114300" simplePos="0" relativeHeight="251658244" behindDoc="0" locked="0" layoutInCell="0" allowOverlap="1" wp14:anchorId="08867722" wp14:editId="2994F5AC">
              <wp:simplePos x="0" y="0"/>
              <wp:positionH relativeFrom="page">
                <wp:posOffset>0</wp:posOffset>
              </wp:positionH>
              <wp:positionV relativeFrom="page">
                <wp:posOffset>10189210</wp:posOffset>
              </wp:positionV>
              <wp:extent cx="7560310" cy="311785"/>
              <wp:effectExtent l="0" t="0" r="0" b="12065"/>
              <wp:wrapNone/>
              <wp:docPr id="3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ADEAD" w14:textId="77777777" w:rsidR="0098241F" w:rsidRPr="00EA4513" w:rsidRDefault="0098241F" w:rsidP="0098241F">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867722" id="_x0000_t202" coordsize="21600,21600" o:spt="202" path="m,l,21600r21600,l21600,xe">
              <v:stroke joinstyle="miter"/>
              <v:path gradientshapeok="t" o:connecttype="rect"/>
            </v:shapetype>
            <v:shape id="_x0000_s1032" type="#_x0000_t202" alt="{&quot;HashCode&quot;:904758361,&quot;Height&quot;:841.0,&quot;Width&quot;:595.0,&quot;Placement&quot;:&quot;Footer&quot;,&quot;Index&quot;:&quot;Primary&quot;,&quot;Section&quot;:8,&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88ADEAD" w14:textId="77777777" w:rsidR="0098241F" w:rsidRPr="00EA4513" w:rsidRDefault="0098241F" w:rsidP="0098241F">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D312" w14:textId="0FEBE3E8" w:rsidR="0087180A" w:rsidRPr="008E79FB" w:rsidRDefault="0087180A" w:rsidP="003D4FED">
    <w:pPr>
      <w:pStyle w:val="Footer"/>
      <w:tabs>
        <w:tab w:val="left" w:pos="2835"/>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A804DE">
      <w:rPr>
        <w:sz w:val="18"/>
      </w:rPr>
      <w:t>4</w:t>
    </w:r>
    <w:r w:rsidRPr="008E79FB">
      <w:rPr>
        <w:sz w:val="18"/>
      </w:rPr>
      <w:t>-2</w:t>
    </w:r>
    <w:r w:rsidR="00A804DE">
      <w:rPr>
        <w:sz w:val="18"/>
      </w:rPr>
      <w:t>5</w:t>
    </w:r>
    <w:r>
      <w:rPr>
        <w:sz w:val="18"/>
      </w:rPr>
      <w:t xml:space="preserve"> (v</w:t>
    </w:r>
    <w:r w:rsidR="00085CFB">
      <w:rPr>
        <w:sz w:val="18"/>
      </w:rPr>
      <w:t>1</w:t>
    </w:r>
    <w:r w:rsidR="00A804DE">
      <w:rPr>
        <w:sz w:val="18"/>
      </w:rPr>
      <w:t>2</w:t>
    </w:r>
    <w:r w:rsidR="00DE18C5">
      <w:rPr>
        <w:sz w:val="18"/>
      </w:rPr>
      <w:t>.</w:t>
    </w:r>
    <w:r>
      <w:rPr>
        <w:sz w:val="18"/>
      </w:rPr>
      <w:t>0) – Section 2 Concept and derived item definitions</w:t>
    </w:r>
    <w:r w:rsidRPr="008E79FB">
      <w:rPr>
        <w:noProof/>
        <w:sz w:val="18"/>
        <w:lang w:eastAsia="en-AU"/>
      </w:rPr>
      <w:t xml:space="preserve"> </w:t>
    </w:r>
    <w:r w:rsidRPr="008E79FB">
      <w:rPr>
        <w:noProof/>
        <w:sz w:val="18"/>
        <w:lang w:eastAsia="en-AU"/>
      </w:rPr>
      <mc:AlternateContent>
        <mc:Choice Requires="wps">
          <w:drawing>
            <wp:anchor distT="0" distB="0" distL="114300" distR="114300" simplePos="0" relativeHeight="251658240"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87180A" w:rsidRPr="002C5B7C" w:rsidRDefault="0087180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B6CC20" id="_x0000_t202" coordsize="21600,21600" o:spt="202" path="m,l,21600r21600,l21600,xe">
              <v:stroke joinstyle="miter"/>
              <v:path gradientshapeok="t" o:connecttype="rect"/>
            </v:shapetype>
            <v:shape id="MSIPCMd3f54469bd0204c6fb2f3fa8" o:spid="_x0000_s1033" type="#_x0000_t202" alt="{&quot;HashCode&quot;:904758361,&quot;Height&quot;:841.0,&quot;Width&quot;:595.0,&quot;Placement&quot;:&quot;Footer&quot;,&quot;Index&quot;:&quot;OddAndEven&quot;,&quot;Section&quot;:3,&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3EB211F5" w14:textId="77777777" w:rsidR="0087180A" w:rsidRPr="002C5B7C" w:rsidRDefault="0087180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7931" w14:textId="19EF0264" w:rsidR="0087180A" w:rsidRDefault="00A0156D" w:rsidP="003D4FED">
    <w:pPr>
      <w:pStyle w:val="Footer"/>
      <w:tabs>
        <w:tab w:val="left" w:pos="8222"/>
      </w:tabs>
      <w:jc w:val="left"/>
    </w:pPr>
    <w:r>
      <w:rPr>
        <w:noProof/>
        <w:lang w:eastAsia="en-AU"/>
      </w:rPr>
      <mc:AlternateContent>
        <mc:Choice Requires="wps">
          <w:drawing>
            <wp:anchor distT="0" distB="0" distL="114300" distR="114300" simplePos="0" relativeHeight="251658249" behindDoc="0" locked="0" layoutInCell="0" allowOverlap="1" wp14:anchorId="4C86317C" wp14:editId="64B66EB4">
              <wp:simplePos x="0" y="0"/>
              <wp:positionH relativeFrom="page">
                <wp:align>center</wp:align>
              </wp:positionH>
              <wp:positionV relativeFrom="page">
                <wp:align>bottom</wp:align>
              </wp:positionV>
              <wp:extent cx="7772400" cy="502285"/>
              <wp:effectExtent l="0" t="0" r="0" b="12065"/>
              <wp:wrapNone/>
              <wp:docPr id="52" name="MSIPCM39174fc1b29dec5b7af82e24"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44A4F" w14:textId="20D35245" w:rsidR="00A0156D"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86317C" id="_x0000_t202" coordsize="21600,21600" o:spt="202" path="m,l,21600r21600,l21600,xe">
              <v:stroke joinstyle="miter"/>
              <v:path gradientshapeok="t" o:connecttype="rect"/>
            </v:shapetype>
            <v:shape id="MSIPCM39174fc1b29dec5b7af82e24" o:spid="_x0000_s1034" type="#_x0000_t202" alt="{&quot;HashCode&quot;:904758361,&quot;Height&quot;:9999999.0,&quot;Width&quot;:9999999.0,&quot;Placement&quot;:&quot;Footer&quot;,&quot;Index&quot;:&quot;Primary&quot;,&quot;Section&quot;:6,&quot;Top&quot;:0.0,&quot;Left&quot;:0.0}" style="position:absolute;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56044A4F" w14:textId="20D35245" w:rsidR="00A0156D" w:rsidRPr="00221567" w:rsidRDefault="00221567" w:rsidP="00221567">
                    <w:pPr>
                      <w:spacing w:after="0"/>
                      <w:jc w:val="center"/>
                      <w:rPr>
                        <w:rFonts w:ascii="Arial Black" w:hAnsi="Arial Black"/>
                        <w:color w:val="000000"/>
                        <w:sz w:val="20"/>
                      </w:rPr>
                    </w:pPr>
                    <w:r w:rsidRPr="00221567">
                      <w:rPr>
                        <w:rFonts w:ascii="Arial Black" w:hAnsi="Arial Black"/>
                        <w:color w:val="000000"/>
                        <w:sz w:val="20"/>
                      </w:rPr>
                      <w:t>OFFICIAL</w:t>
                    </w:r>
                  </w:p>
                </w:txbxContent>
              </v:textbox>
              <w10:wrap anchorx="page" anchory="page"/>
            </v:shape>
          </w:pict>
        </mc:Fallback>
      </mc:AlternateContent>
    </w:r>
    <w:r w:rsidR="003E0733">
      <w:rPr>
        <w:noProof/>
        <w:lang w:eastAsia="en-AU"/>
      </w:rPr>
      <mc:AlternateContent>
        <mc:Choice Requires="wps">
          <w:drawing>
            <wp:anchor distT="0" distB="0" distL="114300" distR="114300" simplePos="0" relativeHeight="251658241" behindDoc="0" locked="0" layoutInCell="0" allowOverlap="1" wp14:anchorId="06C90A1F" wp14:editId="0F1ECEF8">
              <wp:simplePos x="0" y="0"/>
              <wp:positionH relativeFrom="page">
                <wp:posOffset>0</wp:posOffset>
              </wp:positionH>
              <wp:positionV relativeFrom="page">
                <wp:posOffset>10191750</wp:posOffset>
              </wp:positionV>
              <wp:extent cx="7560310" cy="219075"/>
              <wp:effectExtent l="0" t="0" r="0" b="952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190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0C5B0C1D" w:rsidR="0087180A" w:rsidRPr="00EA4513" w:rsidRDefault="0087180A" w:rsidP="00EA451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06C90A1F" id="_x0000_s1035" type="#_x0000_t202" alt="{&quot;HashCode&quot;:904758361,&quot;Height&quot;:841.0,&quot;Width&quot;:595.0,&quot;Placement&quot;:&quot;Footer&quot;,&quot;Index&quot;:&quot;Primary&quot;,&quot;Section&quot;:8,&quot;Top&quot;:0.0,&quot;Left&quot;:0.0}" style="position:absolute;margin-left:0;margin-top:802.5pt;width:595.3pt;height:17.25pt;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" o:allowincell="f" filled="f" stroked="f" strokeweight=".5pt">
              <v:textbox inset=",0,,0">
                <w:txbxContent>
                  <w:p w14:paraId="14FF8CAB" w14:textId="0C5B0C1D" w:rsidR="0087180A" w:rsidRPr="00EA4513" w:rsidRDefault="0087180A" w:rsidP="00EA4513">
                    <w:pPr>
                      <w:spacing w:after="0"/>
                      <w:jc w:val="center"/>
                      <w:rPr>
                        <w:rFonts w:ascii="Arial Black" w:hAnsi="Arial Black"/>
                        <w:color w:val="000000"/>
                        <w:sz w:val="20"/>
                      </w:rPr>
                    </w:pPr>
                  </w:p>
                </w:txbxContent>
              </v:textbox>
              <w10:wrap anchorx="page" anchory="page"/>
            </v:shape>
          </w:pict>
        </mc:Fallback>
      </mc:AlternateContent>
    </w:r>
    <w:r w:rsidR="0087180A" w:rsidRPr="00934E40">
      <w:rPr>
        <w:sz w:val="18"/>
      </w:rPr>
      <w:t>V</w:t>
    </w:r>
    <w:r w:rsidR="0087180A">
      <w:rPr>
        <w:sz w:val="18"/>
      </w:rPr>
      <w:t>PDC</w:t>
    </w:r>
    <w:r w:rsidR="0087180A" w:rsidRPr="00934E40">
      <w:rPr>
        <w:sz w:val="18"/>
      </w:rPr>
      <w:t xml:space="preserve"> </w:t>
    </w:r>
    <w:r w:rsidR="0087180A">
      <w:rPr>
        <w:sz w:val="18"/>
      </w:rPr>
      <w:t>m</w:t>
    </w:r>
    <w:r w:rsidR="0087180A" w:rsidRPr="00934E40">
      <w:rPr>
        <w:sz w:val="18"/>
      </w:rPr>
      <w:t>anual 202</w:t>
    </w:r>
    <w:r w:rsidR="00D117B3">
      <w:rPr>
        <w:sz w:val="18"/>
      </w:rPr>
      <w:t>4</w:t>
    </w:r>
    <w:r w:rsidR="0087180A" w:rsidRPr="00934E40">
      <w:rPr>
        <w:sz w:val="18"/>
      </w:rPr>
      <w:t>-2</w:t>
    </w:r>
    <w:r w:rsidR="00D117B3">
      <w:rPr>
        <w:sz w:val="18"/>
      </w:rPr>
      <w:t>5</w:t>
    </w:r>
    <w:r w:rsidR="0087180A">
      <w:rPr>
        <w:sz w:val="18"/>
      </w:rPr>
      <w:t xml:space="preserve"> (v</w:t>
    </w:r>
    <w:r w:rsidR="00085CFB">
      <w:rPr>
        <w:sz w:val="18"/>
      </w:rPr>
      <w:t>1</w:t>
    </w:r>
    <w:r w:rsidR="00D117B3">
      <w:rPr>
        <w:sz w:val="18"/>
      </w:rPr>
      <w:t>2</w:t>
    </w:r>
    <w:r w:rsidR="0087180A">
      <w:rPr>
        <w:sz w:val="18"/>
      </w:rPr>
      <w:t>.0) – Section 2 Concept and derived item definitions</w:t>
    </w:r>
    <w:r w:rsidR="0087180A">
      <w:rPr>
        <w:sz w:val="18"/>
      </w:rPr>
      <w:tab/>
    </w:r>
    <w:r w:rsidR="0087180A" w:rsidRPr="00934E40">
      <w:rPr>
        <w:sz w:val="18"/>
      </w:rPr>
      <w:t xml:space="preserve">Page </w:t>
    </w:r>
    <w:r w:rsidR="0087180A" w:rsidRPr="00934E40">
      <w:rPr>
        <w:sz w:val="18"/>
      </w:rPr>
      <w:fldChar w:fldCharType="begin"/>
    </w:r>
    <w:r w:rsidR="0087180A" w:rsidRPr="00934E40">
      <w:rPr>
        <w:sz w:val="18"/>
      </w:rPr>
      <w:instrText xml:space="preserve"> PAGE   \* MERGEFORMAT </w:instrText>
    </w:r>
    <w:r w:rsidR="0087180A" w:rsidRPr="00934E40">
      <w:rPr>
        <w:sz w:val="18"/>
      </w:rPr>
      <w:fldChar w:fldCharType="separate"/>
    </w:r>
    <w:r w:rsidR="0087180A" w:rsidRPr="00934E40">
      <w:rPr>
        <w:sz w:val="18"/>
      </w:rPr>
      <w:t>173</w:t>
    </w:r>
    <w:r w:rsidR="0087180A" w:rsidRPr="00934E4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5D3B8" w14:textId="77777777" w:rsidR="005C7BA5" w:rsidRDefault="005C7BA5" w:rsidP="00207717">
      <w:pPr>
        <w:spacing w:before="120"/>
      </w:pPr>
      <w:r>
        <w:separator/>
      </w:r>
    </w:p>
  </w:footnote>
  <w:footnote w:type="continuationSeparator" w:id="0">
    <w:p w14:paraId="7D1D20CD" w14:textId="77777777" w:rsidR="005C7BA5" w:rsidRDefault="005C7BA5">
      <w:r>
        <w:continuationSeparator/>
      </w:r>
    </w:p>
    <w:p w14:paraId="61804BC9" w14:textId="77777777" w:rsidR="005C7BA5" w:rsidRDefault="005C7BA5"/>
  </w:footnote>
  <w:footnote w:type="continuationNotice" w:id="1">
    <w:p w14:paraId="17D8A063" w14:textId="77777777" w:rsidR="005C7BA5" w:rsidRDefault="005C7B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ED7B" w14:textId="0FE365AF" w:rsidR="0087180A" w:rsidRPr="00835677" w:rsidRDefault="0087180A" w:rsidP="0083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7516" w14:textId="3B0737DC" w:rsidR="0087180A" w:rsidRPr="0038608F" w:rsidRDefault="0087180A"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0AAE1EBA"/>
    <w:numStyleLink w:val="ZZNumbersloweralpha"/>
  </w:abstractNum>
  <w:abstractNum w:abstractNumId="1"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C872A8"/>
    <w:multiLevelType w:val="hybridMultilevel"/>
    <w:tmpl w:val="B5CAB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1076EC"/>
    <w:multiLevelType w:val="hybridMultilevel"/>
    <w:tmpl w:val="12522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4113D7"/>
    <w:multiLevelType w:val="hybridMultilevel"/>
    <w:tmpl w:val="8098D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716865"/>
    <w:multiLevelType w:val="hybridMultilevel"/>
    <w:tmpl w:val="92A07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046F0B"/>
    <w:multiLevelType w:val="hybridMultilevel"/>
    <w:tmpl w:val="707014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0D45394"/>
    <w:multiLevelType w:val="hybridMultilevel"/>
    <w:tmpl w:val="40800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521DEB"/>
    <w:multiLevelType w:val="hybridMultilevel"/>
    <w:tmpl w:val="E2405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841584"/>
    <w:multiLevelType w:val="hybridMultilevel"/>
    <w:tmpl w:val="499C6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FE6CD8"/>
    <w:multiLevelType w:val="hybridMultilevel"/>
    <w:tmpl w:val="E7009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87724E"/>
    <w:multiLevelType w:val="hybridMultilevel"/>
    <w:tmpl w:val="F58C7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C34568"/>
    <w:multiLevelType w:val="hybridMultilevel"/>
    <w:tmpl w:val="C890E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2A17B5A"/>
    <w:multiLevelType w:val="hybridMultilevel"/>
    <w:tmpl w:val="FEDA8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767181F"/>
    <w:multiLevelType w:val="hybridMultilevel"/>
    <w:tmpl w:val="2878F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D72"/>
    <w:multiLevelType w:val="hybridMultilevel"/>
    <w:tmpl w:val="35F2F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9004662">
    <w:abstractNumId w:val="15"/>
  </w:num>
  <w:num w:numId="2" w16cid:durableId="1493058935">
    <w:abstractNumId w:val="29"/>
  </w:num>
  <w:num w:numId="3" w16cid:durableId="280384287">
    <w:abstractNumId w:val="28"/>
  </w:num>
  <w:num w:numId="4" w16cid:durableId="2028750518">
    <w:abstractNumId w:val="32"/>
  </w:num>
  <w:num w:numId="5" w16cid:durableId="1142389211">
    <w:abstractNumId w:val="16"/>
  </w:num>
  <w:num w:numId="6" w16cid:durableId="312177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273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785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0108496">
    <w:abstractNumId w:val="2"/>
  </w:num>
  <w:num w:numId="10" w16cid:durableId="985016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89339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803587">
    <w:abstractNumId w:val="40"/>
  </w:num>
  <w:num w:numId="13" w16cid:durableId="2128431202">
    <w:abstractNumId w:val="13"/>
  </w:num>
  <w:num w:numId="14" w16cid:durableId="1135221841">
    <w:abstractNumId w:val="14"/>
  </w:num>
  <w:num w:numId="15" w16cid:durableId="478545506">
    <w:abstractNumId w:val="25"/>
  </w:num>
  <w:num w:numId="16" w16cid:durableId="1333726040">
    <w:abstractNumId w:val="30"/>
  </w:num>
  <w:num w:numId="17" w16cid:durableId="2019843340">
    <w:abstractNumId w:val="18"/>
  </w:num>
  <w:num w:numId="18" w16cid:durableId="1102216500">
    <w:abstractNumId w:val="12"/>
  </w:num>
  <w:num w:numId="19" w16cid:durableId="1926183920">
    <w:abstractNumId w:val="33"/>
  </w:num>
  <w:num w:numId="20" w16cid:durableId="1782916471">
    <w:abstractNumId w:val="35"/>
  </w:num>
  <w:num w:numId="21" w16cid:durableId="107818518">
    <w:abstractNumId w:val="7"/>
  </w:num>
  <w:num w:numId="22" w16cid:durableId="775826300">
    <w:abstractNumId w:val="41"/>
  </w:num>
  <w:num w:numId="23" w16cid:durableId="1688942309">
    <w:abstractNumId w:val="24"/>
  </w:num>
  <w:num w:numId="24" w16cid:durableId="1825655637">
    <w:abstractNumId w:val="5"/>
  </w:num>
  <w:num w:numId="25" w16cid:durableId="1896427622">
    <w:abstractNumId w:val="36"/>
  </w:num>
  <w:num w:numId="26" w16cid:durableId="897476425">
    <w:abstractNumId w:val="1"/>
  </w:num>
  <w:num w:numId="27" w16cid:durableId="650251401">
    <w:abstractNumId w:val="37"/>
  </w:num>
  <w:num w:numId="28" w16cid:durableId="2143382475">
    <w:abstractNumId w:val="23"/>
  </w:num>
  <w:num w:numId="29" w16cid:durableId="561452922">
    <w:abstractNumId w:val="38"/>
  </w:num>
  <w:num w:numId="30" w16cid:durableId="693925121">
    <w:abstractNumId w:val="4"/>
  </w:num>
  <w:num w:numId="31" w16cid:durableId="534462666">
    <w:abstractNumId w:val="17"/>
  </w:num>
  <w:num w:numId="32" w16cid:durableId="216864574">
    <w:abstractNumId w:val="11"/>
  </w:num>
  <w:num w:numId="33" w16cid:durableId="387608735">
    <w:abstractNumId w:val="6"/>
  </w:num>
  <w:num w:numId="34" w16cid:durableId="96023423">
    <w:abstractNumId w:val="21"/>
  </w:num>
  <w:num w:numId="35" w16cid:durableId="1066104942">
    <w:abstractNumId w:val="19"/>
  </w:num>
  <w:num w:numId="36" w16cid:durableId="1407848827">
    <w:abstractNumId w:val="22"/>
  </w:num>
  <w:num w:numId="37" w16cid:durableId="1854565951">
    <w:abstractNumId w:val="8"/>
  </w:num>
  <w:num w:numId="38" w16cid:durableId="628097050">
    <w:abstractNumId w:val="10"/>
  </w:num>
  <w:num w:numId="39" w16cid:durableId="1101603577">
    <w:abstractNumId w:val="26"/>
  </w:num>
  <w:num w:numId="40" w16cid:durableId="166555507">
    <w:abstractNumId w:val="27"/>
  </w:num>
  <w:num w:numId="41" w16cid:durableId="374158715">
    <w:abstractNumId w:val="34"/>
  </w:num>
  <w:num w:numId="42" w16cid:durableId="1378433479">
    <w:abstractNumId w:val="9"/>
  </w:num>
  <w:num w:numId="43" w16cid:durableId="85927915">
    <w:abstractNumId w:val="31"/>
  </w:num>
  <w:num w:numId="44" w16cid:durableId="656737163">
    <w:abstractNumId w:val="39"/>
  </w:num>
  <w:num w:numId="45" w16cid:durableId="1744253717">
    <w:abstractNumId w:val="20"/>
  </w:num>
  <w:num w:numId="46" w16cid:durableId="129428977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6A8"/>
    <w:rsid w:val="00000719"/>
    <w:rsid w:val="00002D68"/>
    <w:rsid w:val="00002EA5"/>
    <w:rsid w:val="000033F7"/>
    <w:rsid w:val="00003403"/>
    <w:rsid w:val="0000344C"/>
    <w:rsid w:val="00005347"/>
    <w:rsid w:val="000072B6"/>
    <w:rsid w:val="0001021B"/>
    <w:rsid w:val="00011D89"/>
    <w:rsid w:val="00012128"/>
    <w:rsid w:val="000154FD"/>
    <w:rsid w:val="00016CC2"/>
    <w:rsid w:val="00022271"/>
    <w:rsid w:val="000235E8"/>
    <w:rsid w:val="00024D89"/>
    <w:rsid w:val="000250B6"/>
    <w:rsid w:val="00030CDD"/>
    <w:rsid w:val="00033D81"/>
    <w:rsid w:val="00033DC9"/>
    <w:rsid w:val="000363B6"/>
    <w:rsid w:val="00037366"/>
    <w:rsid w:val="00037E4F"/>
    <w:rsid w:val="00041BF0"/>
    <w:rsid w:val="00042C8A"/>
    <w:rsid w:val="0004536B"/>
    <w:rsid w:val="00046B68"/>
    <w:rsid w:val="000473B9"/>
    <w:rsid w:val="000527DD"/>
    <w:rsid w:val="00056EC4"/>
    <w:rsid w:val="000578B2"/>
    <w:rsid w:val="00060959"/>
    <w:rsid w:val="00060C8F"/>
    <w:rsid w:val="0006298A"/>
    <w:rsid w:val="000639A8"/>
    <w:rsid w:val="000663CD"/>
    <w:rsid w:val="00070D10"/>
    <w:rsid w:val="000733FE"/>
    <w:rsid w:val="00074219"/>
    <w:rsid w:val="00074ED5"/>
    <w:rsid w:val="0007639D"/>
    <w:rsid w:val="0008204A"/>
    <w:rsid w:val="00082F17"/>
    <w:rsid w:val="0008508E"/>
    <w:rsid w:val="00085CFB"/>
    <w:rsid w:val="00087951"/>
    <w:rsid w:val="00090B2F"/>
    <w:rsid w:val="0009113B"/>
    <w:rsid w:val="00093402"/>
    <w:rsid w:val="00094DA3"/>
    <w:rsid w:val="00096CD1"/>
    <w:rsid w:val="000A012C"/>
    <w:rsid w:val="000A0EB9"/>
    <w:rsid w:val="000A186C"/>
    <w:rsid w:val="000A1EA4"/>
    <w:rsid w:val="000A2476"/>
    <w:rsid w:val="000A327F"/>
    <w:rsid w:val="000A641A"/>
    <w:rsid w:val="000B3EDB"/>
    <w:rsid w:val="000B543D"/>
    <w:rsid w:val="000B55F9"/>
    <w:rsid w:val="000B5BF7"/>
    <w:rsid w:val="000B6BC8"/>
    <w:rsid w:val="000C0303"/>
    <w:rsid w:val="000C42EA"/>
    <w:rsid w:val="000C4546"/>
    <w:rsid w:val="000D0DEC"/>
    <w:rsid w:val="000D1242"/>
    <w:rsid w:val="000D2ABA"/>
    <w:rsid w:val="000E0970"/>
    <w:rsid w:val="000E28F9"/>
    <w:rsid w:val="000E3CC7"/>
    <w:rsid w:val="000E6BD4"/>
    <w:rsid w:val="000E6D6D"/>
    <w:rsid w:val="000E75A7"/>
    <w:rsid w:val="000F1F1E"/>
    <w:rsid w:val="000F2259"/>
    <w:rsid w:val="000F2DDA"/>
    <w:rsid w:val="000F2EA0"/>
    <w:rsid w:val="000F5213"/>
    <w:rsid w:val="00101001"/>
    <w:rsid w:val="00103276"/>
    <w:rsid w:val="0010392D"/>
    <w:rsid w:val="0010447F"/>
    <w:rsid w:val="00104FE3"/>
    <w:rsid w:val="0010714F"/>
    <w:rsid w:val="001120C5"/>
    <w:rsid w:val="00120BD3"/>
    <w:rsid w:val="001229B4"/>
    <w:rsid w:val="00122FEA"/>
    <w:rsid w:val="001232BD"/>
    <w:rsid w:val="00124ED5"/>
    <w:rsid w:val="001276FA"/>
    <w:rsid w:val="00130F13"/>
    <w:rsid w:val="001447B3"/>
    <w:rsid w:val="001467C6"/>
    <w:rsid w:val="00152073"/>
    <w:rsid w:val="00152329"/>
    <w:rsid w:val="001528DC"/>
    <w:rsid w:val="00156598"/>
    <w:rsid w:val="00161939"/>
    <w:rsid w:val="00161AA0"/>
    <w:rsid w:val="00161D2E"/>
    <w:rsid w:val="00161F3E"/>
    <w:rsid w:val="00162093"/>
    <w:rsid w:val="00162660"/>
    <w:rsid w:val="00162CA9"/>
    <w:rsid w:val="001636D1"/>
    <w:rsid w:val="00165459"/>
    <w:rsid w:val="00165A57"/>
    <w:rsid w:val="00167FD0"/>
    <w:rsid w:val="001712C2"/>
    <w:rsid w:val="00172BAF"/>
    <w:rsid w:val="0017674D"/>
    <w:rsid w:val="001771DD"/>
    <w:rsid w:val="00177995"/>
    <w:rsid w:val="00177A8C"/>
    <w:rsid w:val="0018244E"/>
    <w:rsid w:val="00186B33"/>
    <w:rsid w:val="001870B0"/>
    <w:rsid w:val="00192F9D"/>
    <w:rsid w:val="00196500"/>
    <w:rsid w:val="00196EB8"/>
    <w:rsid w:val="00196EFB"/>
    <w:rsid w:val="001979FF"/>
    <w:rsid w:val="00197B17"/>
    <w:rsid w:val="00197FA6"/>
    <w:rsid w:val="001A1950"/>
    <w:rsid w:val="001A1C54"/>
    <w:rsid w:val="001A3ACE"/>
    <w:rsid w:val="001A6272"/>
    <w:rsid w:val="001A66E9"/>
    <w:rsid w:val="001B058F"/>
    <w:rsid w:val="001B6B96"/>
    <w:rsid w:val="001B738B"/>
    <w:rsid w:val="001C09DB"/>
    <w:rsid w:val="001C277E"/>
    <w:rsid w:val="001C2A72"/>
    <w:rsid w:val="001C31B7"/>
    <w:rsid w:val="001C5750"/>
    <w:rsid w:val="001D0B75"/>
    <w:rsid w:val="001D249D"/>
    <w:rsid w:val="001D39A5"/>
    <w:rsid w:val="001D3C09"/>
    <w:rsid w:val="001D44E8"/>
    <w:rsid w:val="001D60EC"/>
    <w:rsid w:val="001D6F59"/>
    <w:rsid w:val="001E44DF"/>
    <w:rsid w:val="001E68A5"/>
    <w:rsid w:val="001E6BB0"/>
    <w:rsid w:val="001E7282"/>
    <w:rsid w:val="001E7990"/>
    <w:rsid w:val="001F3826"/>
    <w:rsid w:val="001F6E46"/>
    <w:rsid w:val="001F7C91"/>
    <w:rsid w:val="00201A82"/>
    <w:rsid w:val="002033B7"/>
    <w:rsid w:val="00206463"/>
    <w:rsid w:val="00206F2F"/>
    <w:rsid w:val="00207717"/>
    <w:rsid w:val="0021053D"/>
    <w:rsid w:val="00210A92"/>
    <w:rsid w:val="002115C6"/>
    <w:rsid w:val="00212B95"/>
    <w:rsid w:val="00215CC8"/>
    <w:rsid w:val="00216C03"/>
    <w:rsid w:val="00220A1A"/>
    <w:rsid w:val="00220C04"/>
    <w:rsid w:val="00221567"/>
    <w:rsid w:val="0022278D"/>
    <w:rsid w:val="00222F62"/>
    <w:rsid w:val="00223D74"/>
    <w:rsid w:val="0022701F"/>
    <w:rsid w:val="00227C68"/>
    <w:rsid w:val="002333F5"/>
    <w:rsid w:val="00233724"/>
    <w:rsid w:val="00233E57"/>
    <w:rsid w:val="002365B4"/>
    <w:rsid w:val="002432E1"/>
    <w:rsid w:val="0024454F"/>
    <w:rsid w:val="00246207"/>
    <w:rsid w:val="00246C5E"/>
    <w:rsid w:val="00250960"/>
    <w:rsid w:val="0025124E"/>
    <w:rsid w:val="00251343"/>
    <w:rsid w:val="002536A4"/>
    <w:rsid w:val="00254F58"/>
    <w:rsid w:val="00256756"/>
    <w:rsid w:val="00257BF0"/>
    <w:rsid w:val="002615A6"/>
    <w:rsid w:val="002620BC"/>
    <w:rsid w:val="00262802"/>
    <w:rsid w:val="00263217"/>
    <w:rsid w:val="00263A90"/>
    <w:rsid w:val="0026408B"/>
    <w:rsid w:val="00266001"/>
    <w:rsid w:val="00266463"/>
    <w:rsid w:val="00267C3E"/>
    <w:rsid w:val="002709BB"/>
    <w:rsid w:val="0027131C"/>
    <w:rsid w:val="00273BAC"/>
    <w:rsid w:val="002763B3"/>
    <w:rsid w:val="002771E3"/>
    <w:rsid w:val="002802E3"/>
    <w:rsid w:val="0028213D"/>
    <w:rsid w:val="002851FB"/>
    <w:rsid w:val="002862F1"/>
    <w:rsid w:val="00291373"/>
    <w:rsid w:val="0029597D"/>
    <w:rsid w:val="002962C3"/>
    <w:rsid w:val="0029752B"/>
    <w:rsid w:val="00297953"/>
    <w:rsid w:val="002A0A9C"/>
    <w:rsid w:val="002A1E14"/>
    <w:rsid w:val="002A4462"/>
    <w:rsid w:val="002A483C"/>
    <w:rsid w:val="002B05A5"/>
    <w:rsid w:val="002B0C7C"/>
    <w:rsid w:val="002B1729"/>
    <w:rsid w:val="002B36C7"/>
    <w:rsid w:val="002B4DD4"/>
    <w:rsid w:val="002B5277"/>
    <w:rsid w:val="002B5375"/>
    <w:rsid w:val="002B6E64"/>
    <w:rsid w:val="002B77C1"/>
    <w:rsid w:val="002C0ED7"/>
    <w:rsid w:val="002C2728"/>
    <w:rsid w:val="002C5B7C"/>
    <w:rsid w:val="002D1E0D"/>
    <w:rsid w:val="002D290F"/>
    <w:rsid w:val="002D5006"/>
    <w:rsid w:val="002D7C61"/>
    <w:rsid w:val="002E01D0"/>
    <w:rsid w:val="002E161D"/>
    <w:rsid w:val="002E28A2"/>
    <w:rsid w:val="002E3100"/>
    <w:rsid w:val="002E6C95"/>
    <w:rsid w:val="002E7C36"/>
    <w:rsid w:val="002F3D32"/>
    <w:rsid w:val="002F5F31"/>
    <w:rsid w:val="002F5F46"/>
    <w:rsid w:val="002F7170"/>
    <w:rsid w:val="00302216"/>
    <w:rsid w:val="00303E53"/>
    <w:rsid w:val="00305CC1"/>
    <w:rsid w:val="00306E5F"/>
    <w:rsid w:val="00307935"/>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3767"/>
    <w:rsid w:val="003459BD"/>
    <w:rsid w:val="00350D38"/>
    <w:rsid w:val="00351B36"/>
    <w:rsid w:val="00357B4E"/>
    <w:rsid w:val="003716FD"/>
    <w:rsid w:val="0037204B"/>
    <w:rsid w:val="0037294B"/>
    <w:rsid w:val="003744CF"/>
    <w:rsid w:val="00374717"/>
    <w:rsid w:val="0037676C"/>
    <w:rsid w:val="00381043"/>
    <w:rsid w:val="003829E5"/>
    <w:rsid w:val="00383B41"/>
    <w:rsid w:val="0038608F"/>
    <w:rsid w:val="00386109"/>
    <w:rsid w:val="00386944"/>
    <w:rsid w:val="00392474"/>
    <w:rsid w:val="00394BF2"/>
    <w:rsid w:val="003956CC"/>
    <w:rsid w:val="00395C9A"/>
    <w:rsid w:val="003A0853"/>
    <w:rsid w:val="003A6B67"/>
    <w:rsid w:val="003B13B6"/>
    <w:rsid w:val="003B14C3"/>
    <w:rsid w:val="003B15E6"/>
    <w:rsid w:val="003B22EF"/>
    <w:rsid w:val="003B408A"/>
    <w:rsid w:val="003B465F"/>
    <w:rsid w:val="003B5BD9"/>
    <w:rsid w:val="003C08A2"/>
    <w:rsid w:val="003C2045"/>
    <w:rsid w:val="003C43A1"/>
    <w:rsid w:val="003C4FC0"/>
    <w:rsid w:val="003C55F4"/>
    <w:rsid w:val="003C788E"/>
    <w:rsid w:val="003C7897"/>
    <w:rsid w:val="003C7A3F"/>
    <w:rsid w:val="003D2766"/>
    <w:rsid w:val="003D2A74"/>
    <w:rsid w:val="003D3D88"/>
    <w:rsid w:val="003D3E8F"/>
    <w:rsid w:val="003D4FED"/>
    <w:rsid w:val="003D5928"/>
    <w:rsid w:val="003D6475"/>
    <w:rsid w:val="003D68A9"/>
    <w:rsid w:val="003D6EE6"/>
    <w:rsid w:val="003E0733"/>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68DB"/>
    <w:rsid w:val="0040763F"/>
    <w:rsid w:val="004115A2"/>
    <w:rsid w:val="00411D7E"/>
    <w:rsid w:val="00414848"/>
    <w:rsid w:val="004148F9"/>
    <w:rsid w:val="0042084E"/>
    <w:rsid w:val="00421EEF"/>
    <w:rsid w:val="00424D65"/>
    <w:rsid w:val="00427AAC"/>
    <w:rsid w:val="00430393"/>
    <w:rsid w:val="00431806"/>
    <w:rsid w:val="00431A70"/>
    <w:rsid w:val="00431F42"/>
    <w:rsid w:val="004426AF"/>
    <w:rsid w:val="00442C6C"/>
    <w:rsid w:val="00443CBE"/>
    <w:rsid w:val="00443E8A"/>
    <w:rsid w:val="004441BC"/>
    <w:rsid w:val="00444400"/>
    <w:rsid w:val="004468B4"/>
    <w:rsid w:val="00446D86"/>
    <w:rsid w:val="004474CB"/>
    <w:rsid w:val="004516C7"/>
    <w:rsid w:val="0045230A"/>
    <w:rsid w:val="00454AD0"/>
    <w:rsid w:val="00454E18"/>
    <w:rsid w:val="00455BC6"/>
    <w:rsid w:val="004572E8"/>
    <w:rsid w:val="00457337"/>
    <w:rsid w:val="00460470"/>
    <w:rsid w:val="00462E3D"/>
    <w:rsid w:val="0046397A"/>
    <w:rsid w:val="00466E79"/>
    <w:rsid w:val="00470D7D"/>
    <w:rsid w:val="00471849"/>
    <w:rsid w:val="0047372D"/>
    <w:rsid w:val="00473BA3"/>
    <w:rsid w:val="004743DD"/>
    <w:rsid w:val="00474CEA"/>
    <w:rsid w:val="00481056"/>
    <w:rsid w:val="00483968"/>
    <w:rsid w:val="004841BE"/>
    <w:rsid w:val="00484F86"/>
    <w:rsid w:val="0048787C"/>
    <w:rsid w:val="00490746"/>
    <w:rsid w:val="00490852"/>
    <w:rsid w:val="00491C9C"/>
    <w:rsid w:val="00492F30"/>
    <w:rsid w:val="00493A2E"/>
    <w:rsid w:val="004946F4"/>
    <w:rsid w:val="004947CE"/>
    <w:rsid w:val="0049487E"/>
    <w:rsid w:val="004A160D"/>
    <w:rsid w:val="004A2B54"/>
    <w:rsid w:val="004A3E81"/>
    <w:rsid w:val="004A4195"/>
    <w:rsid w:val="004A5C62"/>
    <w:rsid w:val="004A5CE5"/>
    <w:rsid w:val="004A707D"/>
    <w:rsid w:val="004B0974"/>
    <w:rsid w:val="004B4185"/>
    <w:rsid w:val="004C5541"/>
    <w:rsid w:val="004C5B4C"/>
    <w:rsid w:val="004C6EEE"/>
    <w:rsid w:val="004C702B"/>
    <w:rsid w:val="004D0033"/>
    <w:rsid w:val="004D016B"/>
    <w:rsid w:val="004D14C6"/>
    <w:rsid w:val="004D167A"/>
    <w:rsid w:val="004D1B22"/>
    <w:rsid w:val="004D23CC"/>
    <w:rsid w:val="004D36F2"/>
    <w:rsid w:val="004D5C3B"/>
    <w:rsid w:val="004E1106"/>
    <w:rsid w:val="004E138F"/>
    <w:rsid w:val="004E4649"/>
    <w:rsid w:val="004E5C2B"/>
    <w:rsid w:val="004F00DD"/>
    <w:rsid w:val="004F2133"/>
    <w:rsid w:val="004F5398"/>
    <w:rsid w:val="004F55F1"/>
    <w:rsid w:val="004F6936"/>
    <w:rsid w:val="00500F88"/>
    <w:rsid w:val="00503DC6"/>
    <w:rsid w:val="00506E3A"/>
    <w:rsid w:val="00506F5D"/>
    <w:rsid w:val="00510C37"/>
    <w:rsid w:val="005126D0"/>
    <w:rsid w:val="00514667"/>
    <w:rsid w:val="0051568D"/>
    <w:rsid w:val="005229AD"/>
    <w:rsid w:val="00526AC7"/>
    <w:rsid w:val="00526C15"/>
    <w:rsid w:val="005279E9"/>
    <w:rsid w:val="00536499"/>
    <w:rsid w:val="0054130B"/>
    <w:rsid w:val="00542A03"/>
    <w:rsid w:val="00543903"/>
    <w:rsid w:val="00543BCC"/>
    <w:rsid w:val="00543F11"/>
    <w:rsid w:val="00544135"/>
    <w:rsid w:val="00546305"/>
    <w:rsid w:val="00547A95"/>
    <w:rsid w:val="0055119B"/>
    <w:rsid w:val="00561202"/>
    <w:rsid w:val="00561E7D"/>
    <w:rsid w:val="00562507"/>
    <w:rsid w:val="00562811"/>
    <w:rsid w:val="005714D8"/>
    <w:rsid w:val="00572031"/>
    <w:rsid w:val="00572282"/>
    <w:rsid w:val="00573CE3"/>
    <w:rsid w:val="00576E84"/>
    <w:rsid w:val="00580394"/>
    <w:rsid w:val="005809CD"/>
    <w:rsid w:val="00582B8C"/>
    <w:rsid w:val="005861DE"/>
    <w:rsid w:val="0058757E"/>
    <w:rsid w:val="00593EDB"/>
    <w:rsid w:val="00596A4B"/>
    <w:rsid w:val="00597507"/>
    <w:rsid w:val="005A1209"/>
    <w:rsid w:val="005A15D7"/>
    <w:rsid w:val="005A18B2"/>
    <w:rsid w:val="005A3E4D"/>
    <w:rsid w:val="005A479D"/>
    <w:rsid w:val="005B1C6D"/>
    <w:rsid w:val="005B21B6"/>
    <w:rsid w:val="005B3A08"/>
    <w:rsid w:val="005B59B5"/>
    <w:rsid w:val="005B7A63"/>
    <w:rsid w:val="005C0955"/>
    <w:rsid w:val="005C49DA"/>
    <w:rsid w:val="005C4EFD"/>
    <w:rsid w:val="005C50F3"/>
    <w:rsid w:val="005C54B5"/>
    <w:rsid w:val="005C5D80"/>
    <w:rsid w:val="005C5D91"/>
    <w:rsid w:val="005C6EE5"/>
    <w:rsid w:val="005C7BA5"/>
    <w:rsid w:val="005D07B8"/>
    <w:rsid w:val="005D42E3"/>
    <w:rsid w:val="005D64B7"/>
    <w:rsid w:val="005D6597"/>
    <w:rsid w:val="005E1076"/>
    <w:rsid w:val="005E14E7"/>
    <w:rsid w:val="005E230D"/>
    <w:rsid w:val="005E26A3"/>
    <w:rsid w:val="005E2ECB"/>
    <w:rsid w:val="005E447E"/>
    <w:rsid w:val="005E4FD1"/>
    <w:rsid w:val="005F062D"/>
    <w:rsid w:val="005F0775"/>
    <w:rsid w:val="005F08D5"/>
    <w:rsid w:val="005F0CF5"/>
    <w:rsid w:val="005F21EB"/>
    <w:rsid w:val="005F64CF"/>
    <w:rsid w:val="005F7502"/>
    <w:rsid w:val="006041AD"/>
    <w:rsid w:val="00605908"/>
    <w:rsid w:val="00607850"/>
    <w:rsid w:val="00607EF7"/>
    <w:rsid w:val="00610D7C"/>
    <w:rsid w:val="006133ED"/>
    <w:rsid w:val="00613414"/>
    <w:rsid w:val="00620154"/>
    <w:rsid w:val="0062408D"/>
    <w:rsid w:val="006240CC"/>
    <w:rsid w:val="00624940"/>
    <w:rsid w:val="006254F8"/>
    <w:rsid w:val="00627DA7"/>
    <w:rsid w:val="00630DA4"/>
    <w:rsid w:val="00631CD4"/>
    <w:rsid w:val="006324CA"/>
    <w:rsid w:val="00632597"/>
    <w:rsid w:val="00634D13"/>
    <w:rsid w:val="006358B4"/>
    <w:rsid w:val="00641724"/>
    <w:rsid w:val="006419AA"/>
    <w:rsid w:val="00644B1F"/>
    <w:rsid w:val="00644B7E"/>
    <w:rsid w:val="00645459"/>
    <w:rsid w:val="006454E6"/>
    <w:rsid w:val="00646235"/>
    <w:rsid w:val="00646A68"/>
    <w:rsid w:val="006505BD"/>
    <w:rsid w:val="006508EA"/>
    <w:rsid w:val="0065092E"/>
    <w:rsid w:val="006557A7"/>
    <w:rsid w:val="00656290"/>
    <w:rsid w:val="00656549"/>
    <w:rsid w:val="006601C9"/>
    <w:rsid w:val="006608D8"/>
    <w:rsid w:val="006621D7"/>
    <w:rsid w:val="0066302A"/>
    <w:rsid w:val="00667770"/>
    <w:rsid w:val="00670597"/>
    <w:rsid w:val="006706D0"/>
    <w:rsid w:val="006709B4"/>
    <w:rsid w:val="00677574"/>
    <w:rsid w:val="006812ED"/>
    <w:rsid w:val="00683878"/>
    <w:rsid w:val="00684380"/>
    <w:rsid w:val="0068454C"/>
    <w:rsid w:val="00691915"/>
    <w:rsid w:val="00691A9D"/>
    <w:rsid w:val="00691B62"/>
    <w:rsid w:val="006933B5"/>
    <w:rsid w:val="00693D14"/>
    <w:rsid w:val="00694F5E"/>
    <w:rsid w:val="00696F27"/>
    <w:rsid w:val="006A14C4"/>
    <w:rsid w:val="006A18C2"/>
    <w:rsid w:val="006A3383"/>
    <w:rsid w:val="006B077C"/>
    <w:rsid w:val="006B6803"/>
    <w:rsid w:val="006C1A2F"/>
    <w:rsid w:val="006C57E6"/>
    <w:rsid w:val="006D0C2A"/>
    <w:rsid w:val="006D0F16"/>
    <w:rsid w:val="006D2A3F"/>
    <w:rsid w:val="006D2FBC"/>
    <w:rsid w:val="006D3556"/>
    <w:rsid w:val="006D6E34"/>
    <w:rsid w:val="006E0C3E"/>
    <w:rsid w:val="006E138B"/>
    <w:rsid w:val="006E1867"/>
    <w:rsid w:val="006E3B05"/>
    <w:rsid w:val="006F0330"/>
    <w:rsid w:val="006F1FDC"/>
    <w:rsid w:val="006F6B8C"/>
    <w:rsid w:val="0070105D"/>
    <w:rsid w:val="007013EF"/>
    <w:rsid w:val="00704B84"/>
    <w:rsid w:val="007055BD"/>
    <w:rsid w:val="00711928"/>
    <w:rsid w:val="007173CA"/>
    <w:rsid w:val="007216AA"/>
    <w:rsid w:val="00721AB5"/>
    <w:rsid w:val="00721CFB"/>
    <w:rsid w:val="00721DEF"/>
    <w:rsid w:val="00724A43"/>
    <w:rsid w:val="0072604D"/>
    <w:rsid w:val="007273AC"/>
    <w:rsid w:val="00731AD4"/>
    <w:rsid w:val="007346E4"/>
    <w:rsid w:val="00735564"/>
    <w:rsid w:val="00740F22"/>
    <w:rsid w:val="00741CF0"/>
    <w:rsid w:val="00741F1A"/>
    <w:rsid w:val="0074424D"/>
    <w:rsid w:val="007447DA"/>
    <w:rsid w:val="007450F8"/>
    <w:rsid w:val="0074696E"/>
    <w:rsid w:val="00747E4C"/>
    <w:rsid w:val="00750135"/>
    <w:rsid w:val="00750EC2"/>
    <w:rsid w:val="00751BE7"/>
    <w:rsid w:val="00752B28"/>
    <w:rsid w:val="00752DFE"/>
    <w:rsid w:val="007536BC"/>
    <w:rsid w:val="007541A9"/>
    <w:rsid w:val="00754E36"/>
    <w:rsid w:val="00756269"/>
    <w:rsid w:val="00760B89"/>
    <w:rsid w:val="00763139"/>
    <w:rsid w:val="00763C9C"/>
    <w:rsid w:val="00765417"/>
    <w:rsid w:val="00770F37"/>
    <w:rsid w:val="007711A0"/>
    <w:rsid w:val="00772D5E"/>
    <w:rsid w:val="0077463E"/>
    <w:rsid w:val="007756D5"/>
    <w:rsid w:val="00776928"/>
    <w:rsid w:val="00776D56"/>
    <w:rsid w:val="00776E0F"/>
    <w:rsid w:val="00777086"/>
    <w:rsid w:val="007774B1"/>
    <w:rsid w:val="00777BE1"/>
    <w:rsid w:val="00782222"/>
    <w:rsid w:val="007833D8"/>
    <w:rsid w:val="00785677"/>
    <w:rsid w:val="0078661E"/>
    <w:rsid w:val="00786F16"/>
    <w:rsid w:val="00791BD7"/>
    <w:rsid w:val="007933F7"/>
    <w:rsid w:val="00796A97"/>
    <w:rsid w:val="00796E20"/>
    <w:rsid w:val="00797C32"/>
    <w:rsid w:val="007A11E8"/>
    <w:rsid w:val="007B0914"/>
    <w:rsid w:val="007B1374"/>
    <w:rsid w:val="007B256D"/>
    <w:rsid w:val="007B32E5"/>
    <w:rsid w:val="007B3DB9"/>
    <w:rsid w:val="007B4D6E"/>
    <w:rsid w:val="007B589F"/>
    <w:rsid w:val="007B6186"/>
    <w:rsid w:val="007B6B0A"/>
    <w:rsid w:val="007B73BC"/>
    <w:rsid w:val="007C1838"/>
    <w:rsid w:val="007C20B9"/>
    <w:rsid w:val="007C5B77"/>
    <w:rsid w:val="007C7301"/>
    <w:rsid w:val="007C7859"/>
    <w:rsid w:val="007C7F28"/>
    <w:rsid w:val="007D1466"/>
    <w:rsid w:val="007D2BDE"/>
    <w:rsid w:val="007D2FB6"/>
    <w:rsid w:val="007D49EB"/>
    <w:rsid w:val="007D5E1C"/>
    <w:rsid w:val="007E0DE2"/>
    <w:rsid w:val="007E3667"/>
    <w:rsid w:val="007E3B98"/>
    <w:rsid w:val="007E417A"/>
    <w:rsid w:val="007E7633"/>
    <w:rsid w:val="007F31B6"/>
    <w:rsid w:val="007F546C"/>
    <w:rsid w:val="007F625F"/>
    <w:rsid w:val="007F665E"/>
    <w:rsid w:val="00800412"/>
    <w:rsid w:val="00803AD4"/>
    <w:rsid w:val="0080587B"/>
    <w:rsid w:val="00806468"/>
    <w:rsid w:val="00810387"/>
    <w:rsid w:val="008119CA"/>
    <w:rsid w:val="008130C4"/>
    <w:rsid w:val="008155F0"/>
    <w:rsid w:val="00816735"/>
    <w:rsid w:val="00817A6D"/>
    <w:rsid w:val="00820141"/>
    <w:rsid w:val="00820E0C"/>
    <w:rsid w:val="0082106A"/>
    <w:rsid w:val="00822BFB"/>
    <w:rsid w:val="00823275"/>
    <w:rsid w:val="0082366F"/>
    <w:rsid w:val="008338A2"/>
    <w:rsid w:val="00835677"/>
    <w:rsid w:val="00841AA9"/>
    <w:rsid w:val="008474FE"/>
    <w:rsid w:val="00853EE4"/>
    <w:rsid w:val="008544E0"/>
    <w:rsid w:val="00855535"/>
    <w:rsid w:val="00857C5A"/>
    <w:rsid w:val="0086255E"/>
    <w:rsid w:val="008633F0"/>
    <w:rsid w:val="008678A8"/>
    <w:rsid w:val="00867D9D"/>
    <w:rsid w:val="0087180A"/>
    <w:rsid w:val="00872E0A"/>
    <w:rsid w:val="00873594"/>
    <w:rsid w:val="008738CA"/>
    <w:rsid w:val="00875285"/>
    <w:rsid w:val="00884B62"/>
    <w:rsid w:val="0088529C"/>
    <w:rsid w:val="00887903"/>
    <w:rsid w:val="00891B54"/>
    <w:rsid w:val="0089270A"/>
    <w:rsid w:val="00893AF6"/>
    <w:rsid w:val="00894BC4"/>
    <w:rsid w:val="00896890"/>
    <w:rsid w:val="00896BB0"/>
    <w:rsid w:val="008A28A8"/>
    <w:rsid w:val="008A57BA"/>
    <w:rsid w:val="008A5B32"/>
    <w:rsid w:val="008B2029"/>
    <w:rsid w:val="008B2EE4"/>
    <w:rsid w:val="008B3821"/>
    <w:rsid w:val="008B4D3D"/>
    <w:rsid w:val="008B5370"/>
    <w:rsid w:val="008B57C7"/>
    <w:rsid w:val="008B6F7D"/>
    <w:rsid w:val="008C1240"/>
    <w:rsid w:val="008C2D06"/>
    <w:rsid w:val="008C2F92"/>
    <w:rsid w:val="008C3546"/>
    <w:rsid w:val="008C589D"/>
    <w:rsid w:val="008C6D51"/>
    <w:rsid w:val="008D2846"/>
    <w:rsid w:val="008D4236"/>
    <w:rsid w:val="008D462F"/>
    <w:rsid w:val="008D6DCF"/>
    <w:rsid w:val="008E1562"/>
    <w:rsid w:val="008E3222"/>
    <w:rsid w:val="008E4376"/>
    <w:rsid w:val="008E79FB"/>
    <w:rsid w:val="008E7A0A"/>
    <w:rsid w:val="008E7B49"/>
    <w:rsid w:val="008F59F6"/>
    <w:rsid w:val="00900719"/>
    <w:rsid w:val="009017AC"/>
    <w:rsid w:val="00902A9A"/>
    <w:rsid w:val="00904A1C"/>
    <w:rsid w:val="00905030"/>
    <w:rsid w:val="00906490"/>
    <w:rsid w:val="00906C52"/>
    <w:rsid w:val="009111B2"/>
    <w:rsid w:val="009151F5"/>
    <w:rsid w:val="00924AE1"/>
    <w:rsid w:val="009269B1"/>
    <w:rsid w:val="0092724D"/>
    <w:rsid w:val="009272B3"/>
    <w:rsid w:val="009315BE"/>
    <w:rsid w:val="009326DD"/>
    <w:rsid w:val="00933248"/>
    <w:rsid w:val="0093338F"/>
    <w:rsid w:val="00934E40"/>
    <w:rsid w:val="00937BD9"/>
    <w:rsid w:val="00950E2C"/>
    <w:rsid w:val="00951D50"/>
    <w:rsid w:val="009525EB"/>
    <w:rsid w:val="0095470B"/>
    <w:rsid w:val="00954874"/>
    <w:rsid w:val="00955052"/>
    <w:rsid w:val="0095615A"/>
    <w:rsid w:val="00961400"/>
    <w:rsid w:val="00963646"/>
    <w:rsid w:val="0096632D"/>
    <w:rsid w:val="00967124"/>
    <w:rsid w:val="0097166C"/>
    <w:rsid w:val="009718C7"/>
    <w:rsid w:val="009749DC"/>
    <w:rsid w:val="0097559F"/>
    <w:rsid w:val="009761EA"/>
    <w:rsid w:val="0097761E"/>
    <w:rsid w:val="0098241F"/>
    <w:rsid w:val="00982454"/>
    <w:rsid w:val="00982CF0"/>
    <w:rsid w:val="009853E1"/>
    <w:rsid w:val="00986E6B"/>
    <w:rsid w:val="00990032"/>
    <w:rsid w:val="00990B19"/>
    <w:rsid w:val="0099153B"/>
    <w:rsid w:val="00991769"/>
    <w:rsid w:val="0099232C"/>
    <w:rsid w:val="00994386"/>
    <w:rsid w:val="009948CC"/>
    <w:rsid w:val="00995ED7"/>
    <w:rsid w:val="009A13D8"/>
    <w:rsid w:val="009A279E"/>
    <w:rsid w:val="009A3015"/>
    <w:rsid w:val="009A3490"/>
    <w:rsid w:val="009B0A6F"/>
    <w:rsid w:val="009B0A94"/>
    <w:rsid w:val="009B0C62"/>
    <w:rsid w:val="009B2AE8"/>
    <w:rsid w:val="009B5622"/>
    <w:rsid w:val="009B59E9"/>
    <w:rsid w:val="009B70AA"/>
    <w:rsid w:val="009B758C"/>
    <w:rsid w:val="009C245E"/>
    <w:rsid w:val="009C5E77"/>
    <w:rsid w:val="009C7A7E"/>
    <w:rsid w:val="009D02E8"/>
    <w:rsid w:val="009D085D"/>
    <w:rsid w:val="009D0E83"/>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08E6"/>
    <w:rsid w:val="009F2182"/>
    <w:rsid w:val="009F2F27"/>
    <w:rsid w:val="009F34AA"/>
    <w:rsid w:val="009F6BCB"/>
    <w:rsid w:val="009F7B78"/>
    <w:rsid w:val="00A0057A"/>
    <w:rsid w:val="00A0156D"/>
    <w:rsid w:val="00A02FA1"/>
    <w:rsid w:val="00A04CCE"/>
    <w:rsid w:val="00A05710"/>
    <w:rsid w:val="00A06553"/>
    <w:rsid w:val="00A07421"/>
    <w:rsid w:val="00A0776B"/>
    <w:rsid w:val="00A10FB9"/>
    <w:rsid w:val="00A11421"/>
    <w:rsid w:val="00A1389F"/>
    <w:rsid w:val="00A157B1"/>
    <w:rsid w:val="00A22229"/>
    <w:rsid w:val="00A2278B"/>
    <w:rsid w:val="00A24442"/>
    <w:rsid w:val="00A24ADA"/>
    <w:rsid w:val="00A32577"/>
    <w:rsid w:val="00A330BB"/>
    <w:rsid w:val="00A446F5"/>
    <w:rsid w:val="00A44882"/>
    <w:rsid w:val="00A45125"/>
    <w:rsid w:val="00A45322"/>
    <w:rsid w:val="00A50292"/>
    <w:rsid w:val="00A54715"/>
    <w:rsid w:val="00A6061C"/>
    <w:rsid w:val="00A62D44"/>
    <w:rsid w:val="00A634A8"/>
    <w:rsid w:val="00A639CA"/>
    <w:rsid w:val="00A67263"/>
    <w:rsid w:val="00A7161C"/>
    <w:rsid w:val="00A71CE4"/>
    <w:rsid w:val="00A72A93"/>
    <w:rsid w:val="00A77AA3"/>
    <w:rsid w:val="00A804DE"/>
    <w:rsid w:val="00A8236D"/>
    <w:rsid w:val="00A83D3B"/>
    <w:rsid w:val="00A840F2"/>
    <w:rsid w:val="00A854EB"/>
    <w:rsid w:val="00A872E5"/>
    <w:rsid w:val="00A91406"/>
    <w:rsid w:val="00A96E65"/>
    <w:rsid w:val="00A96ECE"/>
    <w:rsid w:val="00A97BD3"/>
    <w:rsid w:val="00A97C72"/>
    <w:rsid w:val="00AA310B"/>
    <w:rsid w:val="00AA63D4"/>
    <w:rsid w:val="00AA6D74"/>
    <w:rsid w:val="00AB06E8"/>
    <w:rsid w:val="00AB0940"/>
    <w:rsid w:val="00AB1CD3"/>
    <w:rsid w:val="00AB352F"/>
    <w:rsid w:val="00AC1C60"/>
    <w:rsid w:val="00AC274B"/>
    <w:rsid w:val="00AC28C9"/>
    <w:rsid w:val="00AC4764"/>
    <w:rsid w:val="00AC6D36"/>
    <w:rsid w:val="00AD0CBA"/>
    <w:rsid w:val="00AD26E2"/>
    <w:rsid w:val="00AD3ED5"/>
    <w:rsid w:val="00AD784C"/>
    <w:rsid w:val="00AE126A"/>
    <w:rsid w:val="00AE1BAE"/>
    <w:rsid w:val="00AE3005"/>
    <w:rsid w:val="00AE3BD5"/>
    <w:rsid w:val="00AE5765"/>
    <w:rsid w:val="00AE59A0"/>
    <w:rsid w:val="00AF076D"/>
    <w:rsid w:val="00AF0B6D"/>
    <w:rsid w:val="00AF0C57"/>
    <w:rsid w:val="00AF26F3"/>
    <w:rsid w:val="00AF5F04"/>
    <w:rsid w:val="00B00672"/>
    <w:rsid w:val="00B01B4D"/>
    <w:rsid w:val="00B04489"/>
    <w:rsid w:val="00B06571"/>
    <w:rsid w:val="00B068BA"/>
    <w:rsid w:val="00B07217"/>
    <w:rsid w:val="00B07290"/>
    <w:rsid w:val="00B07ECD"/>
    <w:rsid w:val="00B10BE6"/>
    <w:rsid w:val="00B117F5"/>
    <w:rsid w:val="00B13851"/>
    <w:rsid w:val="00B13B1C"/>
    <w:rsid w:val="00B13C7D"/>
    <w:rsid w:val="00B14B5F"/>
    <w:rsid w:val="00B21F90"/>
    <w:rsid w:val="00B22291"/>
    <w:rsid w:val="00B23828"/>
    <w:rsid w:val="00B23F9A"/>
    <w:rsid w:val="00B2417B"/>
    <w:rsid w:val="00B24E6F"/>
    <w:rsid w:val="00B26CB5"/>
    <w:rsid w:val="00B2752E"/>
    <w:rsid w:val="00B307CC"/>
    <w:rsid w:val="00B30F66"/>
    <w:rsid w:val="00B311CE"/>
    <w:rsid w:val="00B326B7"/>
    <w:rsid w:val="00B33852"/>
    <w:rsid w:val="00B3588E"/>
    <w:rsid w:val="00B411CB"/>
    <w:rsid w:val="00B4198F"/>
    <w:rsid w:val="00B41F3D"/>
    <w:rsid w:val="00B429DC"/>
    <w:rsid w:val="00B431E8"/>
    <w:rsid w:val="00B45141"/>
    <w:rsid w:val="00B45F26"/>
    <w:rsid w:val="00B519CD"/>
    <w:rsid w:val="00B5273A"/>
    <w:rsid w:val="00B57329"/>
    <w:rsid w:val="00B60E61"/>
    <w:rsid w:val="00B62B50"/>
    <w:rsid w:val="00B63307"/>
    <w:rsid w:val="00B635B7"/>
    <w:rsid w:val="00B63AE8"/>
    <w:rsid w:val="00B65950"/>
    <w:rsid w:val="00B66D83"/>
    <w:rsid w:val="00B672C0"/>
    <w:rsid w:val="00B676FD"/>
    <w:rsid w:val="00B678B6"/>
    <w:rsid w:val="00B75646"/>
    <w:rsid w:val="00B7629E"/>
    <w:rsid w:val="00B90729"/>
    <w:rsid w:val="00B907DA"/>
    <w:rsid w:val="00B90E41"/>
    <w:rsid w:val="00B94C5E"/>
    <w:rsid w:val="00B950BC"/>
    <w:rsid w:val="00B96EA2"/>
    <w:rsid w:val="00B9714C"/>
    <w:rsid w:val="00BA29AD"/>
    <w:rsid w:val="00BA33CF"/>
    <w:rsid w:val="00BA3F8D"/>
    <w:rsid w:val="00BA5221"/>
    <w:rsid w:val="00BB1B1B"/>
    <w:rsid w:val="00BB52F9"/>
    <w:rsid w:val="00BB5A3B"/>
    <w:rsid w:val="00BB5A94"/>
    <w:rsid w:val="00BB6590"/>
    <w:rsid w:val="00BB7A10"/>
    <w:rsid w:val="00BC03BB"/>
    <w:rsid w:val="00BC4AF4"/>
    <w:rsid w:val="00BC60BE"/>
    <w:rsid w:val="00BC7468"/>
    <w:rsid w:val="00BC7D4F"/>
    <w:rsid w:val="00BC7ED7"/>
    <w:rsid w:val="00BD2850"/>
    <w:rsid w:val="00BD656E"/>
    <w:rsid w:val="00BD66EA"/>
    <w:rsid w:val="00BE01A0"/>
    <w:rsid w:val="00BE091C"/>
    <w:rsid w:val="00BE28D2"/>
    <w:rsid w:val="00BE3CEF"/>
    <w:rsid w:val="00BE4A64"/>
    <w:rsid w:val="00BE5E43"/>
    <w:rsid w:val="00BF557D"/>
    <w:rsid w:val="00BF658D"/>
    <w:rsid w:val="00BF7F58"/>
    <w:rsid w:val="00C01381"/>
    <w:rsid w:val="00C01AB1"/>
    <w:rsid w:val="00C026A0"/>
    <w:rsid w:val="00C0574E"/>
    <w:rsid w:val="00C06137"/>
    <w:rsid w:val="00C06929"/>
    <w:rsid w:val="00C079B8"/>
    <w:rsid w:val="00C10037"/>
    <w:rsid w:val="00C115E1"/>
    <w:rsid w:val="00C123EA"/>
    <w:rsid w:val="00C12A49"/>
    <w:rsid w:val="00C133EE"/>
    <w:rsid w:val="00C149D0"/>
    <w:rsid w:val="00C26588"/>
    <w:rsid w:val="00C269D1"/>
    <w:rsid w:val="00C27DE9"/>
    <w:rsid w:val="00C32989"/>
    <w:rsid w:val="00C33388"/>
    <w:rsid w:val="00C35484"/>
    <w:rsid w:val="00C4173A"/>
    <w:rsid w:val="00C46C65"/>
    <w:rsid w:val="00C5093D"/>
    <w:rsid w:val="00C50DED"/>
    <w:rsid w:val="00C514CC"/>
    <w:rsid w:val="00C52217"/>
    <w:rsid w:val="00C56AC9"/>
    <w:rsid w:val="00C602FF"/>
    <w:rsid w:val="00C60411"/>
    <w:rsid w:val="00C61174"/>
    <w:rsid w:val="00C6148F"/>
    <w:rsid w:val="00C621B1"/>
    <w:rsid w:val="00C62F7A"/>
    <w:rsid w:val="00C63074"/>
    <w:rsid w:val="00C63B9C"/>
    <w:rsid w:val="00C643DF"/>
    <w:rsid w:val="00C6682F"/>
    <w:rsid w:val="00C66E18"/>
    <w:rsid w:val="00C67BF4"/>
    <w:rsid w:val="00C705F0"/>
    <w:rsid w:val="00C70689"/>
    <w:rsid w:val="00C7275E"/>
    <w:rsid w:val="00C731AF"/>
    <w:rsid w:val="00C74C5D"/>
    <w:rsid w:val="00C8110F"/>
    <w:rsid w:val="00C863C4"/>
    <w:rsid w:val="00C86B49"/>
    <w:rsid w:val="00C90DAB"/>
    <w:rsid w:val="00C920EA"/>
    <w:rsid w:val="00C93C3E"/>
    <w:rsid w:val="00C9777F"/>
    <w:rsid w:val="00CA0850"/>
    <w:rsid w:val="00CA12E3"/>
    <w:rsid w:val="00CA1476"/>
    <w:rsid w:val="00CA6611"/>
    <w:rsid w:val="00CA6AE6"/>
    <w:rsid w:val="00CA782F"/>
    <w:rsid w:val="00CB0CF6"/>
    <w:rsid w:val="00CB187B"/>
    <w:rsid w:val="00CB2835"/>
    <w:rsid w:val="00CB3285"/>
    <w:rsid w:val="00CB4500"/>
    <w:rsid w:val="00CB470D"/>
    <w:rsid w:val="00CB68AB"/>
    <w:rsid w:val="00CC0C72"/>
    <w:rsid w:val="00CC1DCC"/>
    <w:rsid w:val="00CC2BFD"/>
    <w:rsid w:val="00CC435D"/>
    <w:rsid w:val="00CC6F40"/>
    <w:rsid w:val="00CD3476"/>
    <w:rsid w:val="00CD3DCA"/>
    <w:rsid w:val="00CD64DF"/>
    <w:rsid w:val="00CD69A4"/>
    <w:rsid w:val="00CE02DD"/>
    <w:rsid w:val="00CE1919"/>
    <w:rsid w:val="00CE225F"/>
    <w:rsid w:val="00CE5A7A"/>
    <w:rsid w:val="00CF2F50"/>
    <w:rsid w:val="00CF6198"/>
    <w:rsid w:val="00D02919"/>
    <w:rsid w:val="00D04C61"/>
    <w:rsid w:val="00D05B8D"/>
    <w:rsid w:val="00D05B9B"/>
    <w:rsid w:val="00D05E02"/>
    <w:rsid w:val="00D065A2"/>
    <w:rsid w:val="00D079AA"/>
    <w:rsid w:val="00D07F00"/>
    <w:rsid w:val="00D1130F"/>
    <w:rsid w:val="00D117B3"/>
    <w:rsid w:val="00D150B1"/>
    <w:rsid w:val="00D17B72"/>
    <w:rsid w:val="00D2228B"/>
    <w:rsid w:val="00D3185C"/>
    <w:rsid w:val="00D3205F"/>
    <w:rsid w:val="00D3318E"/>
    <w:rsid w:val="00D33E72"/>
    <w:rsid w:val="00D34539"/>
    <w:rsid w:val="00D35BD6"/>
    <w:rsid w:val="00D361B5"/>
    <w:rsid w:val="00D37496"/>
    <w:rsid w:val="00D411A2"/>
    <w:rsid w:val="00D4606D"/>
    <w:rsid w:val="00D50B9C"/>
    <w:rsid w:val="00D513AF"/>
    <w:rsid w:val="00D52D73"/>
    <w:rsid w:val="00D52E58"/>
    <w:rsid w:val="00D55052"/>
    <w:rsid w:val="00D56B20"/>
    <w:rsid w:val="00D578B3"/>
    <w:rsid w:val="00D61517"/>
    <w:rsid w:val="00D618F4"/>
    <w:rsid w:val="00D63636"/>
    <w:rsid w:val="00D714CC"/>
    <w:rsid w:val="00D75EA7"/>
    <w:rsid w:val="00D81ADF"/>
    <w:rsid w:val="00D81F21"/>
    <w:rsid w:val="00D864F2"/>
    <w:rsid w:val="00D877B6"/>
    <w:rsid w:val="00D943F8"/>
    <w:rsid w:val="00D9495A"/>
    <w:rsid w:val="00D95470"/>
    <w:rsid w:val="00D96B55"/>
    <w:rsid w:val="00DA2619"/>
    <w:rsid w:val="00DA3ACE"/>
    <w:rsid w:val="00DA4239"/>
    <w:rsid w:val="00DA588C"/>
    <w:rsid w:val="00DA65DE"/>
    <w:rsid w:val="00DB0B61"/>
    <w:rsid w:val="00DB1474"/>
    <w:rsid w:val="00DB2962"/>
    <w:rsid w:val="00DB52FB"/>
    <w:rsid w:val="00DB7C06"/>
    <w:rsid w:val="00DC013B"/>
    <w:rsid w:val="00DC090B"/>
    <w:rsid w:val="00DC1679"/>
    <w:rsid w:val="00DC219B"/>
    <w:rsid w:val="00DC2CF1"/>
    <w:rsid w:val="00DC2DC7"/>
    <w:rsid w:val="00DC2EA0"/>
    <w:rsid w:val="00DC3A7C"/>
    <w:rsid w:val="00DC4FCF"/>
    <w:rsid w:val="00DC50E0"/>
    <w:rsid w:val="00DC6386"/>
    <w:rsid w:val="00DC6D8B"/>
    <w:rsid w:val="00DD1130"/>
    <w:rsid w:val="00DD1951"/>
    <w:rsid w:val="00DD2D19"/>
    <w:rsid w:val="00DD487D"/>
    <w:rsid w:val="00DD4E83"/>
    <w:rsid w:val="00DD6628"/>
    <w:rsid w:val="00DD6945"/>
    <w:rsid w:val="00DD725C"/>
    <w:rsid w:val="00DD73EA"/>
    <w:rsid w:val="00DE18C5"/>
    <w:rsid w:val="00DE193F"/>
    <w:rsid w:val="00DE2D04"/>
    <w:rsid w:val="00DE3250"/>
    <w:rsid w:val="00DE5861"/>
    <w:rsid w:val="00DE6028"/>
    <w:rsid w:val="00DE6C85"/>
    <w:rsid w:val="00DE78A3"/>
    <w:rsid w:val="00DF138D"/>
    <w:rsid w:val="00DF1A71"/>
    <w:rsid w:val="00DF50FC"/>
    <w:rsid w:val="00DF68C7"/>
    <w:rsid w:val="00DF731A"/>
    <w:rsid w:val="00E000B0"/>
    <w:rsid w:val="00E003F4"/>
    <w:rsid w:val="00E04CF1"/>
    <w:rsid w:val="00E067DD"/>
    <w:rsid w:val="00E06B75"/>
    <w:rsid w:val="00E11332"/>
    <w:rsid w:val="00E11352"/>
    <w:rsid w:val="00E170DC"/>
    <w:rsid w:val="00E1730E"/>
    <w:rsid w:val="00E17546"/>
    <w:rsid w:val="00E17A45"/>
    <w:rsid w:val="00E210B5"/>
    <w:rsid w:val="00E2519A"/>
    <w:rsid w:val="00E2588F"/>
    <w:rsid w:val="00E261B3"/>
    <w:rsid w:val="00E26818"/>
    <w:rsid w:val="00E26997"/>
    <w:rsid w:val="00E27FFC"/>
    <w:rsid w:val="00E30B15"/>
    <w:rsid w:val="00E3110C"/>
    <w:rsid w:val="00E33237"/>
    <w:rsid w:val="00E40181"/>
    <w:rsid w:val="00E533A5"/>
    <w:rsid w:val="00E54950"/>
    <w:rsid w:val="00E55524"/>
    <w:rsid w:val="00E55FB3"/>
    <w:rsid w:val="00E56A01"/>
    <w:rsid w:val="00E579C4"/>
    <w:rsid w:val="00E62169"/>
    <w:rsid w:val="00E629A1"/>
    <w:rsid w:val="00E6794C"/>
    <w:rsid w:val="00E71591"/>
    <w:rsid w:val="00E71CEB"/>
    <w:rsid w:val="00E7474F"/>
    <w:rsid w:val="00E80DE3"/>
    <w:rsid w:val="00E82C55"/>
    <w:rsid w:val="00E83EF8"/>
    <w:rsid w:val="00E8595B"/>
    <w:rsid w:val="00E8787E"/>
    <w:rsid w:val="00E92AC3"/>
    <w:rsid w:val="00EA2F6A"/>
    <w:rsid w:val="00EA4513"/>
    <w:rsid w:val="00EA53D8"/>
    <w:rsid w:val="00EA6FB2"/>
    <w:rsid w:val="00EA7239"/>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D5D"/>
    <w:rsid w:val="00EE5131"/>
    <w:rsid w:val="00EF109B"/>
    <w:rsid w:val="00EF201C"/>
    <w:rsid w:val="00EF2C72"/>
    <w:rsid w:val="00EF3650"/>
    <w:rsid w:val="00EF36AF"/>
    <w:rsid w:val="00EF4091"/>
    <w:rsid w:val="00EF59A3"/>
    <w:rsid w:val="00EF6675"/>
    <w:rsid w:val="00F0063D"/>
    <w:rsid w:val="00F00F9C"/>
    <w:rsid w:val="00F01E5F"/>
    <w:rsid w:val="00F024F3"/>
    <w:rsid w:val="00F02ABA"/>
    <w:rsid w:val="00F0437A"/>
    <w:rsid w:val="00F06DDD"/>
    <w:rsid w:val="00F101B8"/>
    <w:rsid w:val="00F11037"/>
    <w:rsid w:val="00F16F1B"/>
    <w:rsid w:val="00F250A9"/>
    <w:rsid w:val="00F2570B"/>
    <w:rsid w:val="00F267AF"/>
    <w:rsid w:val="00F30FF4"/>
    <w:rsid w:val="00F3122E"/>
    <w:rsid w:val="00F32368"/>
    <w:rsid w:val="00F323FF"/>
    <w:rsid w:val="00F331AD"/>
    <w:rsid w:val="00F35287"/>
    <w:rsid w:val="00F40A70"/>
    <w:rsid w:val="00F43A37"/>
    <w:rsid w:val="00F4482B"/>
    <w:rsid w:val="00F449E5"/>
    <w:rsid w:val="00F4641B"/>
    <w:rsid w:val="00F46EB8"/>
    <w:rsid w:val="00F50CD1"/>
    <w:rsid w:val="00F511E4"/>
    <w:rsid w:val="00F52D09"/>
    <w:rsid w:val="00F52E08"/>
    <w:rsid w:val="00F53A66"/>
    <w:rsid w:val="00F5462D"/>
    <w:rsid w:val="00F555C8"/>
    <w:rsid w:val="00F55B21"/>
    <w:rsid w:val="00F56EF6"/>
    <w:rsid w:val="00F57DFB"/>
    <w:rsid w:val="00F60082"/>
    <w:rsid w:val="00F60E97"/>
    <w:rsid w:val="00F61A9F"/>
    <w:rsid w:val="00F61B5F"/>
    <w:rsid w:val="00F64696"/>
    <w:rsid w:val="00F65AA9"/>
    <w:rsid w:val="00F6768F"/>
    <w:rsid w:val="00F72C2C"/>
    <w:rsid w:val="00F741F2"/>
    <w:rsid w:val="00F7565B"/>
    <w:rsid w:val="00F76CAB"/>
    <w:rsid w:val="00F772C6"/>
    <w:rsid w:val="00F808CB"/>
    <w:rsid w:val="00F815B5"/>
    <w:rsid w:val="00F823F9"/>
    <w:rsid w:val="00F846EB"/>
    <w:rsid w:val="00F85195"/>
    <w:rsid w:val="00F8658A"/>
    <w:rsid w:val="00F868E3"/>
    <w:rsid w:val="00F92A9B"/>
    <w:rsid w:val="00F9319B"/>
    <w:rsid w:val="00F938BA"/>
    <w:rsid w:val="00F94FB0"/>
    <w:rsid w:val="00F97919"/>
    <w:rsid w:val="00FA2C46"/>
    <w:rsid w:val="00FA32B3"/>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0AF2"/>
    <w:rsid w:val="00FE0DCC"/>
    <w:rsid w:val="00FE2DCF"/>
    <w:rsid w:val="00FE3FA7"/>
    <w:rsid w:val="00FE4081"/>
    <w:rsid w:val="00FF2395"/>
    <w:rsid w:val="00FF2A4E"/>
    <w:rsid w:val="00FF2FCE"/>
    <w:rsid w:val="00FF4F7D"/>
    <w:rsid w:val="00FF549D"/>
    <w:rsid w:val="00FF6D9D"/>
    <w:rsid w:val="00FF7620"/>
    <w:rsid w:val="00FF7DD5"/>
    <w:rsid w:val="2E62A72C"/>
    <w:rsid w:val="6B49BD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90C40E21-0110-48EA-BF25-E522A158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link w:val="FooterChar"/>
    <w:uiPriority w:val="99"/>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character" w:customStyle="1" w:styleId="FooterChar">
    <w:name w:val="Footer Char"/>
    <w:basedOn w:val="DefaultParagraphFont"/>
    <w:link w:val="Footer"/>
    <w:uiPriority w:val="99"/>
    <w:rsid w:val="007B4D6E"/>
    <w:rPr>
      <w:rFonts w:ascii="Arial" w:hAnsi="Arial" w:cs="Arial"/>
      <w:szCs w:val="18"/>
      <w:lang w:eastAsia="en-US"/>
    </w:rPr>
  </w:style>
  <w:style w:type="paragraph" w:styleId="TOCHeading">
    <w:name w:val="TOC Heading"/>
    <w:basedOn w:val="Heading1"/>
    <w:next w:val="Normal"/>
    <w:uiPriority w:val="39"/>
    <w:unhideWhenUsed/>
    <w:qFormat/>
    <w:rsid w:val="00506E3A"/>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Mention">
    <w:name w:val="Mention"/>
    <w:basedOn w:val="DefaultParagraphFont"/>
    <w:uiPriority w:val="99"/>
    <w:unhideWhenUsed/>
    <w:rsid w:val="009B758C"/>
    <w:rPr>
      <w:color w:val="2B579A"/>
      <w:shd w:val="clear" w:color="auto" w:fill="E1DFDD"/>
    </w:rPr>
  </w:style>
  <w:style w:type="numbering" w:customStyle="1" w:styleId="ZZBullets1">
    <w:name w:val="ZZ Bullets1"/>
    <w:rsid w:val="00BB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ealth.vic.gov.au/patient-care/hospital-in-the-hom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health.vic.gov.au/data-reporting/victorian-admitted-episodes-dataset" TargetMode="Externa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image" Target="media/image2.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teor.aihw.gov.au/content/756062" TargetMode="Externa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https://meteor.aihw.gov.au/content/327308"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patient-care/hospital-in-the-home"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4E6E35F2-CED1-43A2-BFD6-52E5260C96A9}">
  <ds:schemaRefs>
    <ds:schemaRef ds:uri="http://schemas.openxmlformats.org/officeDocument/2006/bibliography"/>
  </ds:schemaRefs>
</ds:datastoreItem>
</file>

<file path=customXml/itemProps4.xml><?xml version="1.0" encoding="utf-8"?>
<ds:datastoreItem xmlns:ds="http://schemas.openxmlformats.org/officeDocument/2006/customXml" ds:itemID="{BEBB5B7C-F39B-4C67-B122-12D41F73A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22</Pages>
  <Words>5462</Words>
  <Characters>31138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VPDC manual 2024-25 Section 2 Concept &amp; derived item definitions</vt:lpstr>
    </vt:vector>
  </TitlesOfParts>
  <Company>Victoria State Government, Department of Health</Company>
  <LinksUpToDate>false</LinksUpToDate>
  <CharactersWithSpaces>36527</CharactersWithSpaces>
  <SharedDoc>false</SharedDoc>
  <HyperlinkBase/>
  <HLinks>
    <vt:vector size="240" baseType="variant">
      <vt:variant>
        <vt:i4>5439506</vt:i4>
      </vt:variant>
      <vt:variant>
        <vt:i4>222</vt:i4>
      </vt:variant>
      <vt:variant>
        <vt:i4>0</vt:i4>
      </vt:variant>
      <vt:variant>
        <vt:i4>5</vt:i4>
      </vt:variant>
      <vt:variant>
        <vt:lpwstr>https://www.health.vic.gov.au/data-reporting/victorian-admitted-episodes-dataset</vt:lpwstr>
      </vt:variant>
      <vt:variant>
        <vt:lpwstr/>
      </vt:variant>
      <vt:variant>
        <vt:i4>5963782</vt:i4>
      </vt:variant>
      <vt:variant>
        <vt:i4>219</vt:i4>
      </vt:variant>
      <vt:variant>
        <vt:i4>0</vt:i4>
      </vt:variant>
      <vt:variant>
        <vt:i4>5</vt:i4>
      </vt:variant>
      <vt:variant>
        <vt:lpwstr>https://meteor.aihw.gov.au/content/756062</vt:lpwstr>
      </vt:variant>
      <vt:variant>
        <vt:lpwstr/>
      </vt:variant>
      <vt:variant>
        <vt:i4>5767170</vt:i4>
      </vt:variant>
      <vt:variant>
        <vt:i4>216</vt:i4>
      </vt:variant>
      <vt:variant>
        <vt:i4>0</vt:i4>
      </vt:variant>
      <vt:variant>
        <vt:i4>5</vt:i4>
      </vt:variant>
      <vt:variant>
        <vt:lpwstr>https://meteor.aihw.gov.au/content/327308</vt:lpwstr>
      </vt:variant>
      <vt:variant>
        <vt:lpwstr/>
      </vt:variant>
      <vt:variant>
        <vt:i4>6815778</vt:i4>
      </vt:variant>
      <vt:variant>
        <vt:i4>213</vt:i4>
      </vt:variant>
      <vt:variant>
        <vt:i4>0</vt:i4>
      </vt:variant>
      <vt:variant>
        <vt:i4>5</vt:i4>
      </vt:variant>
      <vt:variant>
        <vt:lpwstr>https://www.health.vic.gov.au/patient-care/hospital-in-the-home</vt:lpwstr>
      </vt:variant>
      <vt:variant>
        <vt:lpwstr/>
      </vt:variant>
      <vt:variant>
        <vt:i4>6815778</vt:i4>
      </vt:variant>
      <vt:variant>
        <vt:i4>210</vt:i4>
      </vt:variant>
      <vt:variant>
        <vt:i4>0</vt:i4>
      </vt:variant>
      <vt:variant>
        <vt:i4>5</vt:i4>
      </vt:variant>
      <vt:variant>
        <vt:lpwstr>https://www.health.vic.gov.au/patient-care/hospital-in-the-home</vt:lpwstr>
      </vt:variant>
      <vt:variant>
        <vt:lpwstr/>
      </vt:variant>
      <vt:variant>
        <vt:i4>1900606</vt:i4>
      </vt:variant>
      <vt:variant>
        <vt:i4>203</vt:i4>
      </vt:variant>
      <vt:variant>
        <vt:i4>0</vt:i4>
      </vt:variant>
      <vt:variant>
        <vt:i4>5</vt:i4>
      </vt:variant>
      <vt:variant>
        <vt:lpwstr/>
      </vt:variant>
      <vt:variant>
        <vt:lpwstr>_Toc168753287</vt:lpwstr>
      </vt:variant>
      <vt:variant>
        <vt:i4>1900606</vt:i4>
      </vt:variant>
      <vt:variant>
        <vt:i4>197</vt:i4>
      </vt:variant>
      <vt:variant>
        <vt:i4>0</vt:i4>
      </vt:variant>
      <vt:variant>
        <vt:i4>5</vt:i4>
      </vt:variant>
      <vt:variant>
        <vt:lpwstr/>
      </vt:variant>
      <vt:variant>
        <vt:lpwstr>_Toc168753286</vt:lpwstr>
      </vt:variant>
      <vt:variant>
        <vt:i4>1900606</vt:i4>
      </vt:variant>
      <vt:variant>
        <vt:i4>191</vt:i4>
      </vt:variant>
      <vt:variant>
        <vt:i4>0</vt:i4>
      </vt:variant>
      <vt:variant>
        <vt:i4>5</vt:i4>
      </vt:variant>
      <vt:variant>
        <vt:lpwstr/>
      </vt:variant>
      <vt:variant>
        <vt:lpwstr>_Toc168753285</vt:lpwstr>
      </vt:variant>
      <vt:variant>
        <vt:i4>1900606</vt:i4>
      </vt:variant>
      <vt:variant>
        <vt:i4>185</vt:i4>
      </vt:variant>
      <vt:variant>
        <vt:i4>0</vt:i4>
      </vt:variant>
      <vt:variant>
        <vt:i4>5</vt:i4>
      </vt:variant>
      <vt:variant>
        <vt:lpwstr/>
      </vt:variant>
      <vt:variant>
        <vt:lpwstr>_Toc168753284</vt:lpwstr>
      </vt:variant>
      <vt:variant>
        <vt:i4>1900606</vt:i4>
      </vt:variant>
      <vt:variant>
        <vt:i4>179</vt:i4>
      </vt:variant>
      <vt:variant>
        <vt:i4>0</vt:i4>
      </vt:variant>
      <vt:variant>
        <vt:i4>5</vt:i4>
      </vt:variant>
      <vt:variant>
        <vt:lpwstr/>
      </vt:variant>
      <vt:variant>
        <vt:lpwstr>_Toc168753283</vt:lpwstr>
      </vt:variant>
      <vt:variant>
        <vt:i4>1900606</vt:i4>
      </vt:variant>
      <vt:variant>
        <vt:i4>173</vt:i4>
      </vt:variant>
      <vt:variant>
        <vt:i4>0</vt:i4>
      </vt:variant>
      <vt:variant>
        <vt:i4>5</vt:i4>
      </vt:variant>
      <vt:variant>
        <vt:lpwstr/>
      </vt:variant>
      <vt:variant>
        <vt:lpwstr>_Toc168753282</vt:lpwstr>
      </vt:variant>
      <vt:variant>
        <vt:i4>1900606</vt:i4>
      </vt:variant>
      <vt:variant>
        <vt:i4>167</vt:i4>
      </vt:variant>
      <vt:variant>
        <vt:i4>0</vt:i4>
      </vt:variant>
      <vt:variant>
        <vt:i4>5</vt:i4>
      </vt:variant>
      <vt:variant>
        <vt:lpwstr/>
      </vt:variant>
      <vt:variant>
        <vt:lpwstr>_Toc168753281</vt:lpwstr>
      </vt:variant>
      <vt:variant>
        <vt:i4>1900606</vt:i4>
      </vt:variant>
      <vt:variant>
        <vt:i4>161</vt:i4>
      </vt:variant>
      <vt:variant>
        <vt:i4>0</vt:i4>
      </vt:variant>
      <vt:variant>
        <vt:i4>5</vt:i4>
      </vt:variant>
      <vt:variant>
        <vt:lpwstr/>
      </vt:variant>
      <vt:variant>
        <vt:lpwstr>_Toc168753280</vt:lpwstr>
      </vt:variant>
      <vt:variant>
        <vt:i4>1179710</vt:i4>
      </vt:variant>
      <vt:variant>
        <vt:i4>155</vt:i4>
      </vt:variant>
      <vt:variant>
        <vt:i4>0</vt:i4>
      </vt:variant>
      <vt:variant>
        <vt:i4>5</vt:i4>
      </vt:variant>
      <vt:variant>
        <vt:lpwstr/>
      </vt:variant>
      <vt:variant>
        <vt:lpwstr>_Toc168753279</vt:lpwstr>
      </vt:variant>
      <vt:variant>
        <vt:i4>1179710</vt:i4>
      </vt:variant>
      <vt:variant>
        <vt:i4>149</vt:i4>
      </vt:variant>
      <vt:variant>
        <vt:i4>0</vt:i4>
      </vt:variant>
      <vt:variant>
        <vt:i4>5</vt:i4>
      </vt:variant>
      <vt:variant>
        <vt:lpwstr/>
      </vt:variant>
      <vt:variant>
        <vt:lpwstr>_Toc168753278</vt:lpwstr>
      </vt:variant>
      <vt:variant>
        <vt:i4>1179710</vt:i4>
      </vt:variant>
      <vt:variant>
        <vt:i4>143</vt:i4>
      </vt:variant>
      <vt:variant>
        <vt:i4>0</vt:i4>
      </vt:variant>
      <vt:variant>
        <vt:i4>5</vt:i4>
      </vt:variant>
      <vt:variant>
        <vt:lpwstr/>
      </vt:variant>
      <vt:variant>
        <vt:lpwstr>_Toc168753277</vt:lpwstr>
      </vt:variant>
      <vt:variant>
        <vt:i4>1179710</vt:i4>
      </vt:variant>
      <vt:variant>
        <vt:i4>137</vt:i4>
      </vt:variant>
      <vt:variant>
        <vt:i4>0</vt:i4>
      </vt:variant>
      <vt:variant>
        <vt:i4>5</vt:i4>
      </vt:variant>
      <vt:variant>
        <vt:lpwstr/>
      </vt:variant>
      <vt:variant>
        <vt:lpwstr>_Toc168753276</vt:lpwstr>
      </vt:variant>
      <vt:variant>
        <vt:i4>1179710</vt:i4>
      </vt:variant>
      <vt:variant>
        <vt:i4>131</vt:i4>
      </vt:variant>
      <vt:variant>
        <vt:i4>0</vt:i4>
      </vt:variant>
      <vt:variant>
        <vt:i4>5</vt:i4>
      </vt:variant>
      <vt:variant>
        <vt:lpwstr/>
      </vt:variant>
      <vt:variant>
        <vt:lpwstr>_Toc168753275</vt:lpwstr>
      </vt:variant>
      <vt:variant>
        <vt:i4>1179710</vt:i4>
      </vt:variant>
      <vt:variant>
        <vt:i4>125</vt:i4>
      </vt:variant>
      <vt:variant>
        <vt:i4>0</vt:i4>
      </vt:variant>
      <vt:variant>
        <vt:i4>5</vt:i4>
      </vt:variant>
      <vt:variant>
        <vt:lpwstr/>
      </vt:variant>
      <vt:variant>
        <vt:lpwstr>_Toc168753274</vt:lpwstr>
      </vt:variant>
      <vt:variant>
        <vt:i4>1179710</vt:i4>
      </vt:variant>
      <vt:variant>
        <vt:i4>119</vt:i4>
      </vt:variant>
      <vt:variant>
        <vt:i4>0</vt:i4>
      </vt:variant>
      <vt:variant>
        <vt:i4>5</vt:i4>
      </vt:variant>
      <vt:variant>
        <vt:lpwstr/>
      </vt:variant>
      <vt:variant>
        <vt:lpwstr>_Toc168753273</vt:lpwstr>
      </vt:variant>
      <vt:variant>
        <vt:i4>1179710</vt:i4>
      </vt:variant>
      <vt:variant>
        <vt:i4>113</vt:i4>
      </vt:variant>
      <vt:variant>
        <vt:i4>0</vt:i4>
      </vt:variant>
      <vt:variant>
        <vt:i4>5</vt:i4>
      </vt:variant>
      <vt:variant>
        <vt:lpwstr/>
      </vt:variant>
      <vt:variant>
        <vt:lpwstr>_Toc168753272</vt:lpwstr>
      </vt:variant>
      <vt:variant>
        <vt:i4>1179710</vt:i4>
      </vt:variant>
      <vt:variant>
        <vt:i4>107</vt:i4>
      </vt:variant>
      <vt:variant>
        <vt:i4>0</vt:i4>
      </vt:variant>
      <vt:variant>
        <vt:i4>5</vt:i4>
      </vt:variant>
      <vt:variant>
        <vt:lpwstr/>
      </vt:variant>
      <vt:variant>
        <vt:lpwstr>_Toc168753271</vt:lpwstr>
      </vt:variant>
      <vt:variant>
        <vt:i4>1179710</vt:i4>
      </vt:variant>
      <vt:variant>
        <vt:i4>101</vt:i4>
      </vt:variant>
      <vt:variant>
        <vt:i4>0</vt:i4>
      </vt:variant>
      <vt:variant>
        <vt:i4>5</vt:i4>
      </vt:variant>
      <vt:variant>
        <vt:lpwstr/>
      </vt:variant>
      <vt:variant>
        <vt:lpwstr>_Toc168753270</vt:lpwstr>
      </vt:variant>
      <vt:variant>
        <vt:i4>1245246</vt:i4>
      </vt:variant>
      <vt:variant>
        <vt:i4>95</vt:i4>
      </vt:variant>
      <vt:variant>
        <vt:i4>0</vt:i4>
      </vt:variant>
      <vt:variant>
        <vt:i4>5</vt:i4>
      </vt:variant>
      <vt:variant>
        <vt:lpwstr/>
      </vt:variant>
      <vt:variant>
        <vt:lpwstr>_Toc168753269</vt:lpwstr>
      </vt:variant>
      <vt:variant>
        <vt:i4>1245246</vt:i4>
      </vt:variant>
      <vt:variant>
        <vt:i4>89</vt:i4>
      </vt:variant>
      <vt:variant>
        <vt:i4>0</vt:i4>
      </vt:variant>
      <vt:variant>
        <vt:i4>5</vt:i4>
      </vt:variant>
      <vt:variant>
        <vt:lpwstr/>
      </vt:variant>
      <vt:variant>
        <vt:lpwstr>_Toc168753268</vt:lpwstr>
      </vt:variant>
      <vt:variant>
        <vt:i4>1245246</vt:i4>
      </vt:variant>
      <vt:variant>
        <vt:i4>83</vt:i4>
      </vt:variant>
      <vt:variant>
        <vt:i4>0</vt:i4>
      </vt:variant>
      <vt:variant>
        <vt:i4>5</vt:i4>
      </vt:variant>
      <vt:variant>
        <vt:lpwstr/>
      </vt:variant>
      <vt:variant>
        <vt:lpwstr>_Toc168753267</vt:lpwstr>
      </vt:variant>
      <vt:variant>
        <vt:i4>1245246</vt:i4>
      </vt:variant>
      <vt:variant>
        <vt:i4>77</vt:i4>
      </vt:variant>
      <vt:variant>
        <vt:i4>0</vt:i4>
      </vt:variant>
      <vt:variant>
        <vt:i4>5</vt:i4>
      </vt:variant>
      <vt:variant>
        <vt:lpwstr/>
      </vt:variant>
      <vt:variant>
        <vt:lpwstr>_Toc168753266</vt:lpwstr>
      </vt:variant>
      <vt:variant>
        <vt:i4>1245246</vt:i4>
      </vt:variant>
      <vt:variant>
        <vt:i4>71</vt:i4>
      </vt:variant>
      <vt:variant>
        <vt:i4>0</vt:i4>
      </vt:variant>
      <vt:variant>
        <vt:i4>5</vt:i4>
      </vt:variant>
      <vt:variant>
        <vt:lpwstr/>
      </vt:variant>
      <vt:variant>
        <vt:lpwstr>_Toc168753265</vt:lpwstr>
      </vt:variant>
      <vt:variant>
        <vt:i4>1245246</vt:i4>
      </vt:variant>
      <vt:variant>
        <vt:i4>65</vt:i4>
      </vt:variant>
      <vt:variant>
        <vt:i4>0</vt:i4>
      </vt:variant>
      <vt:variant>
        <vt:i4>5</vt:i4>
      </vt:variant>
      <vt:variant>
        <vt:lpwstr/>
      </vt:variant>
      <vt:variant>
        <vt:lpwstr>_Toc168753264</vt:lpwstr>
      </vt:variant>
      <vt:variant>
        <vt:i4>1245246</vt:i4>
      </vt:variant>
      <vt:variant>
        <vt:i4>59</vt:i4>
      </vt:variant>
      <vt:variant>
        <vt:i4>0</vt:i4>
      </vt:variant>
      <vt:variant>
        <vt:i4>5</vt:i4>
      </vt:variant>
      <vt:variant>
        <vt:lpwstr/>
      </vt:variant>
      <vt:variant>
        <vt:lpwstr>_Toc168753263</vt:lpwstr>
      </vt:variant>
      <vt:variant>
        <vt:i4>1245246</vt:i4>
      </vt:variant>
      <vt:variant>
        <vt:i4>53</vt:i4>
      </vt:variant>
      <vt:variant>
        <vt:i4>0</vt:i4>
      </vt:variant>
      <vt:variant>
        <vt:i4>5</vt:i4>
      </vt:variant>
      <vt:variant>
        <vt:lpwstr/>
      </vt:variant>
      <vt:variant>
        <vt:lpwstr>_Toc168753262</vt:lpwstr>
      </vt:variant>
      <vt:variant>
        <vt:i4>1245246</vt:i4>
      </vt:variant>
      <vt:variant>
        <vt:i4>47</vt:i4>
      </vt:variant>
      <vt:variant>
        <vt:i4>0</vt:i4>
      </vt:variant>
      <vt:variant>
        <vt:i4>5</vt:i4>
      </vt:variant>
      <vt:variant>
        <vt:lpwstr/>
      </vt:variant>
      <vt:variant>
        <vt:lpwstr>_Toc168753261</vt:lpwstr>
      </vt:variant>
      <vt:variant>
        <vt:i4>1245246</vt:i4>
      </vt:variant>
      <vt:variant>
        <vt:i4>41</vt:i4>
      </vt:variant>
      <vt:variant>
        <vt:i4>0</vt:i4>
      </vt:variant>
      <vt:variant>
        <vt:i4>5</vt:i4>
      </vt:variant>
      <vt:variant>
        <vt:lpwstr/>
      </vt:variant>
      <vt:variant>
        <vt:lpwstr>_Toc168753260</vt:lpwstr>
      </vt:variant>
      <vt:variant>
        <vt:i4>1048638</vt:i4>
      </vt:variant>
      <vt:variant>
        <vt:i4>35</vt:i4>
      </vt:variant>
      <vt:variant>
        <vt:i4>0</vt:i4>
      </vt:variant>
      <vt:variant>
        <vt:i4>5</vt:i4>
      </vt:variant>
      <vt:variant>
        <vt:lpwstr/>
      </vt:variant>
      <vt:variant>
        <vt:lpwstr>_Toc168753259</vt:lpwstr>
      </vt:variant>
      <vt:variant>
        <vt:i4>1048638</vt:i4>
      </vt:variant>
      <vt:variant>
        <vt:i4>29</vt:i4>
      </vt:variant>
      <vt:variant>
        <vt:i4>0</vt:i4>
      </vt:variant>
      <vt:variant>
        <vt:i4>5</vt:i4>
      </vt:variant>
      <vt:variant>
        <vt:lpwstr/>
      </vt:variant>
      <vt:variant>
        <vt:lpwstr>_Toc168753258</vt:lpwstr>
      </vt:variant>
      <vt:variant>
        <vt:i4>1048638</vt:i4>
      </vt:variant>
      <vt:variant>
        <vt:i4>23</vt:i4>
      </vt:variant>
      <vt:variant>
        <vt:i4>0</vt:i4>
      </vt:variant>
      <vt:variant>
        <vt:i4>5</vt:i4>
      </vt:variant>
      <vt:variant>
        <vt:lpwstr/>
      </vt:variant>
      <vt:variant>
        <vt:lpwstr>_Toc168753257</vt:lpwstr>
      </vt:variant>
      <vt:variant>
        <vt:i4>1048638</vt:i4>
      </vt:variant>
      <vt:variant>
        <vt:i4>17</vt:i4>
      </vt:variant>
      <vt:variant>
        <vt:i4>0</vt:i4>
      </vt:variant>
      <vt:variant>
        <vt:i4>5</vt:i4>
      </vt:variant>
      <vt:variant>
        <vt:lpwstr/>
      </vt:variant>
      <vt:variant>
        <vt:lpwstr>_Toc168753256</vt:lpwstr>
      </vt:variant>
      <vt:variant>
        <vt:i4>1048638</vt:i4>
      </vt:variant>
      <vt:variant>
        <vt:i4>11</vt:i4>
      </vt:variant>
      <vt:variant>
        <vt:i4>0</vt:i4>
      </vt:variant>
      <vt:variant>
        <vt:i4>5</vt:i4>
      </vt:variant>
      <vt:variant>
        <vt:lpwstr/>
      </vt:variant>
      <vt:variant>
        <vt:lpwstr>_Toc168753255</vt:lpwstr>
      </vt:variant>
      <vt:variant>
        <vt:i4>0</vt:i4>
      </vt:variant>
      <vt:variant>
        <vt:i4>6</vt:i4>
      </vt:variant>
      <vt:variant>
        <vt:i4>0</vt:i4>
      </vt:variant>
      <vt:variant>
        <vt:i4>5</vt:i4>
      </vt:variant>
      <vt:variant>
        <vt:lpwstr>https://www.health.vic.gov.au/quality-safety-service/victorian-perinatal-data-collection</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2 Concept &amp; derived item definitions</dc:title>
  <dc:subject/>
  <dc:creator>eHealth</dc:creator>
  <cp:keywords>Victorian Perinatal Data Collection</cp:keywords>
  <cp:lastModifiedBy>Rae Torr (Health)</cp:lastModifiedBy>
  <cp:revision>88</cp:revision>
  <cp:lastPrinted>2021-01-29T05:27:00Z</cp:lastPrinted>
  <dcterms:created xsi:type="dcterms:W3CDTF">2024-03-17T22:48:00Z</dcterms:created>
  <dcterms:modified xsi:type="dcterms:W3CDTF">2024-06-25T05:58:00Z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2023-08-25T03:48:17Z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fbeb6d02-5584-4ab3-be76-ac2bb58eedba</vt:lpwstr>
  </property>
  <property fmtid="{D5CDD505-2E9C-101B-9397-08002B2CF9AE}" pid="11" name="MSIP_Label_43e64453-338c-4f93-8a4d-0039a0a41f2a_ContentBits">
    <vt:lpwstr>2</vt:lpwstr>
  </property>
  <property fmtid="{D5CDD505-2E9C-101B-9397-08002B2CF9AE}" pid="12" name="MediaServiceImageTags">
    <vt:lpwstr/>
  </property>
</Properties>
</file>