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EA892"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76197431" wp14:editId="498B6F44">
            <wp:simplePos x="0" y="0"/>
            <wp:positionH relativeFrom="page">
              <wp:posOffset>0</wp:posOffset>
            </wp:positionH>
            <wp:positionV relativeFrom="page">
              <wp:posOffset>0</wp:posOffset>
            </wp:positionV>
            <wp:extent cx="10681200" cy="13608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12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4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4865"/>
      </w:tblGrid>
      <w:tr w:rsidR="00AD784C" w14:paraId="45E211DA" w14:textId="77777777" w:rsidTr="003F6677">
        <w:trPr>
          <w:trHeight w:val="713"/>
        </w:trPr>
        <w:tc>
          <w:tcPr>
            <w:tcW w:w="14865" w:type="dxa"/>
          </w:tcPr>
          <w:p w14:paraId="17918D2F" w14:textId="58D7BD73" w:rsidR="00AD784C" w:rsidRPr="00161AA0" w:rsidRDefault="00ED3820" w:rsidP="00CE12AF">
            <w:pPr>
              <w:pStyle w:val="Documenttitle"/>
            </w:pPr>
            <w:r w:rsidRPr="00ED3820">
              <w:t xml:space="preserve">Proposed Health Services </w:t>
            </w:r>
            <w:r w:rsidR="003F6677">
              <w:br/>
            </w:r>
            <w:r w:rsidRPr="00ED3820">
              <w:t>(Health Service Establishments) Regulations 2024</w:t>
            </w:r>
          </w:p>
        </w:tc>
      </w:tr>
      <w:tr w:rsidR="00CE12AF" w14:paraId="2DC13334" w14:textId="77777777" w:rsidTr="003F6677">
        <w:trPr>
          <w:trHeight w:val="461"/>
        </w:trPr>
        <w:tc>
          <w:tcPr>
            <w:tcW w:w="14865" w:type="dxa"/>
          </w:tcPr>
          <w:p w14:paraId="0CD3A081" w14:textId="10C7E7B9" w:rsidR="00CE12AF" w:rsidRPr="00A1389F" w:rsidRDefault="00ED3820" w:rsidP="00CE12AF">
            <w:pPr>
              <w:pStyle w:val="Documentsubtitle"/>
            </w:pPr>
            <w:r>
              <w:t>Statement of Reasons</w:t>
            </w:r>
          </w:p>
        </w:tc>
      </w:tr>
      <w:tr w:rsidR="00CE12AF" w14:paraId="1F106E55" w14:textId="77777777" w:rsidTr="003F6677">
        <w:trPr>
          <w:trHeight w:val="312"/>
        </w:trPr>
        <w:tc>
          <w:tcPr>
            <w:tcW w:w="14865" w:type="dxa"/>
          </w:tcPr>
          <w:p w14:paraId="67D63086" w14:textId="77777777" w:rsidR="00CE12AF" w:rsidRPr="00250DC4" w:rsidRDefault="00000000" w:rsidP="00CE12AF">
            <w:pPr>
              <w:pStyle w:val="Bannermarking"/>
            </w:pPr>
            <w:fldSimple w:instr="FILLIN  &quot;Type the protective marking&quot; \d OFFICIAL \o  \* MERGEFORMAT">
              <w:r w:rsidR="00ED3820">
                <w:t>OFFICIAL</w:t>
              </w:r>
            </w:fldSimple>
          </w:p>
        </w:tc>
      </w:tr>
    </w:tbl>
    <w:p w14:paraId="20BDC979" w14:textId="0B1EB7C8" w:rsidR="00ED3820" w:rsidRDefault="00ED3820" w:rsidP="00ED3820">
      <w:pPr>
        <w:pStyle w:val="Heading1"/>
      </w:pPr>
      <w:bookmarkStart w:id="0" w:name="_Hlk37240926"/>
      <w:r>
        <w:t>Introduction</w:t>
      </w:r>
    </w:p>
    <w:p w14:paraId="66077833" w14:textId="0FFBFE51" w:rsidR="00ED3820" w:rsidRDefault="00ED3820" w:rsidP="00ED3820">
      <w:pPr>
        <w:pStyle w:val="Tablecaption"/>
        <w:rPr>
          <w:b w:val="0"/>
          <w:bCs/>
        </w:rPr>
      </w:pPr>
      <w:r>
        <w:rPr>
          <w:b w:val="0"/>
          <w:bCs/>
        </w:rPr>
        <w:t xml:space="preserve">On 29 April 2024 the Department of Health (the </w:t>
      </w:r>
      <w:r w:rsidR="00C87601">
        <w:rPr>
          <w:b w:val="0"/>
          <w:bCs/>
        </w:rPr>
        <w:t>department</w:t>
      </w:r>
      <w:r>
        <w:rPr>
          <w:b w:val="0"/>
          <w:bCs/>
        </w:rPr>
        <w:t xml:space="preserve">) released a Regulatory Impact Statement (RIS) to facilitate public consultation on the proposed </w:t>
      </w:r>
      <w:r w:rsidRPr="006709FB">
        <w:rPr>
          <w:b w:val="0"/>
          <w:bCs/>
        </w:rPr>
        <w:t>Health Services (Health Service Establishments) Regulations 2024</w:t>
      </w:r>
      <w:r>
        <w:rPr>
          <w:b w:val="0"/>
          <w:bCs/>
        </w:rPr>
        <w:t xml:space="preserve"> (the Regulations</w:t>
      </w:r>
      <w:r w:rsidR="00EA3245">
        <w:rPr>
          <w:b w:val="0"/>
          <w:bCs/>
        </w:rPr>
        <w:t>)</w:t>
      </w:r>
      <w:r>
        <w:rPr>
          <w:b w:val="0"/>
          <w:bCs/>
        </w:rPr>
        <w:t>. The public submission period closed on 29 May 2024.</w:t>
      </w:r>
    </w:p>
    <w:p w14:paraId="21198C6F" w14:textId="77777777" w:rsidR="008A334B" w:rsidRDefault="008A334B" w:rsidP="008A334B">
      <w:pPr>
        <w:pStyle w:val="Body"/>
      </w:pPr>
      <w:r>
        <w:t>The RIS considered options, costs and benefits of reform under six broad categories:</w:t>
      </w:r>
    </w:p>
    <w:p w14:paraId="6C2D4B33" w14:textId="77777777" w:rsidR="008A334B" w:rsidRPr="00BA01BC" w:rsidRDefault="008A334B" w:rsidP="00225E0F">
      <w:pPr>
        <w:pStyle w:val="Body"/>
        <w:numPr>
          <w:ilvl w:val="0"/>
          <w:numId w:val="9"/>
        </w:numPr>
        <w:spacing w:after="0" w:line="240" w:lineRule="auto"/>
        <w:ind w:left="714" w:hanging="357"/>
      </w:pPr>
      <w:r w:rsidRPr="00BA01BC">
        <w:t>Clinical Governance</w:t>
      </w:r>
    </w:p>
    <w:p w14:paraId="20AACB4E" w14:textId="77777777" w:rsidR="008A334B" w:rsidRPr="00BA01BC" w:rsidRDefault="008A334B" w:rsidP="00225E0F">
      <w:pPr>
        <w:pStyle w:val="Body"/>
        <w:numPr>
          <w:ilvl w:val="0"/>
          <w:numId w:val="9"/>
        </w:numPr>
        <w:spacing w:after="0" w:line="240" w:lineRule="auto"/>
        <w:ind w:left="714" w:hanging="357"/>
      </w:pPr>
      <w:r>
        <w:t>R</w:t>
      </w:r>
      <w:r w:rsidRPr="00BA01BC">
        <w:t xml:space="preserve">eporting and review </w:t>
      </w:r>
      <w:r>
        <w:t>of s</w:t>
      </w:r>
      <w:r w:rsidRPr="00BA01BC">
        <w:t xml:space="preserve">entinel events </w:t>
      </w:r>
    </w:p>
    <w:p w14:paraId="534638D7" w14:textId="77777777" w:rsidR="008A334B" w:rsidRPr="00BA01BC" w:rsidRDefault="008A334B" w:rsidP="00225E0F">
      <w:pPr>
        <w:pStyle w:val="Body"/>
        <w:numPr>
          <w:ilvl w:val="0"/>
          <w:numId w:val="9"/>
        </w:numPr>
        <w:spacing w:after="0" w:line="240" w:lineRule="auto"/>
        <w:ind w:left="714" w:hanging="357"/>
      </w:pPr>
      <w:r w:rsidRPr="00BA01BC">
        <w:t xml:space="preserve">Admissions </w:t>
      </w:r>
      <w:r>
        <w:t xml:space="preserve">information and </w:t>
      </w:r>
      <w:r w:rsidRPr="00BA01BC">
        <w:t>assessment</w:t>
      </w:r>
    </w:p>
    <w:p w14:paraId="47FF7136" w14:textId="77777777" w:rsidR="008A334B" w:rsidRPr="00BA01BC" w:rsidRDefault="008A334B" w:rsidP="00225E0F">
      <w:pPr>
        <w:pStyle w:val="Body"/>
        <w:numPr>
          <w:ilvl w:val="0"/>
          <w:numId w:val="9"/>
        </w:numPr>
        <w:spacing w:after="0" w:line="240" w:lineRule="auto"/>
        <w:ind w:left="714" w:hanging="357"/>
      </w:pPr>
      <w:r w:rsidRPr="00BA01BC">
        <w:t>Infringements</w:t>
      </w:r>
    </w:p>
    <w:p w14:paraId="2DA70E0B" w14:textId="77777777" w:rsidR="008A334B" w:rsidRPr="00BA01BC" w:rsidRDefault="008A334B" w:rsidP="00225E0F">
      <w:pPr>
        <w:pStyle w:val="Body"/>
        <w:numPr>
          <w:ilvl w:val="0"/>
          <w:numId w:val="9"/>
        </w:numPr>
        <w:spacing w:after="0" w:line="240" w:lineRule="auto"/>
        <w:ind w:left="714" w:hanging="357"/>
      </w:pPr>
      <w:r w:rsidRPr="00BA01BC">
        <w:t>Administrative changes and clarifications</w:t>
      </w:r>
    </w:p>
    <w:p w14:paraId="7CD28546" w14:textId="77777777" w:rsidR="008A334B" w:rsidRPr="00BA01BC" w:rsidRDefault="008A334B" w:rsidP="00225E0F">
      <w:pPr>
        <w:pStyle w:val="Body"/>
        <w:numPr>
          <w:ilvl w:val="0"/>
          <w:numId w:val="9"/>
        </w:numPr>
        <w:spacing w:line="240" w:lineRule="auto"/>
        <w:ind w:left="714" w:hanging="357"/>
      </w:pPr>
      <w:r w:rsidRPr="00BA01BC">
        <w:t>Fees</w:t>
      </w:r>
    </w:p>
    <w:p w14:paraId="431C99AB" w14:textId="3AC72DB2" w:rsidR="002A7FD9" w:rsidRDefault="00ED3820" w:rsidP="00ED3820">
      <w:pPr>
        <w:pStyle w:val="Body"/>
      </w:pPr>
      <w:r>
        <w:t xml:space="preserve">The </w:t>
      </w:r>
      <w:r w:rsidR="00C87601">
        <w:t>department</w:t>
      </w:r>
      <w:r>
        <w:t xml:space="preserve"> received </w:t>
      </w:r>
      <w:r w:rsidR="006A337B">
        <w:t>23</w:t>
      </w:r>
      <w:r>
        <w:t xml:space="preserve"> </w:t>
      </w:r>
      <w:r w:rsidR="00051637">
        <w:t xml:space="preserve">stakeholder </w:t>
      </w:r>
      <w:r>
        <w:t>submissions on the proposed Regulations and the RIS</w:t>
      </w:r>
      <w:r w:rsidR="007C44D6">
        <w:t xml:space="preserve">, </w:t>
      </w:r>
      <w:r w:rsidR="00B06569">
        <w:t xml:space="preserve">as summarised in </w:t>
      </w:r>
      <w:r w:rsidR="00EA3923" w:rsidRPr="00EA3923">
        <w:rPr>
          <w:b/>
          <w:bCs/>
        </w:rPr>
        <w:t>T</w:t>
      </w:r>
      <w:r w:rsidR="00B06569" w:rsidRPr="00EA3923">
        <w:rPr>
          <w:b/>
          <w:bCs/>
        </w:rPr>
        <w:t xml:space="preserve">able </w:t>
      </w:r>
      <w:r w:rsidR="00EA3923" w:rsidRPr="00EA3923">
        <w:rPr>
          <w:b/>
          <w:bCs/>
        </w:rPr>
        <w:t>1</w:t>
      </w:r>
      <w:r w:rsidR="00B06569">
        <w:t xml:space="preserve"> below.</w:t>
      </w:r>
    </w:p>
    <w:p w14:paraId="10AE36C7" w14:textId="5BE9A7EC" w:rsidR="00C77FA3" w:rsidRPr="00E44FFC" w:rsidRDefault="002A7FD9" w:rsidP="0099024C">
      <w:pPr>
        <w:pStyle w:val="Tablecaption"/>
        <w:rPr>
          <w:sz w:val="20"/>
        </w:rPr>
      </w:pPr>
      <w:r w:rsidRPr="00E44FFC">
        <w:rPr>
          <w:sz w:val="20"/>
        </w:rPr>
        <w:t>Table 1</w:t>
      </w:r>
      <w:r w:rsidR="00436AC8">
        <w:rPr>
          <w:sz w:val="20"/>
        </w:rPr>
        <w:t>:</w:t>
      </w:r>
      <w:r w:rsidRPr="00E44FFC">
        <w:rPr>
          <w:sz w:val="20"/>
        </w:rPr>
        <w:t xml:space="preserve"> </w:t>
      </w:r>
      <w:r w:rsidR="00436AC8">
        <w:rPr>
          <w:sz w:val="20"/>
        </w:rPr>
        <w:t>S</w:t>
      </w:r>
      <w:r w:rsidRPr="00E44FFC">
        <w:rPr>
          <w:sz w:val="20"/>
        </w:rPr>
        <w:t>u</w:t>
      </w:r>
      <w:r w:rsidR="008E7856" w:rsidRPr="00E44FFC">
        <w:rPr>
          <w:sz w:val="20"/>
        </w:rPr>
        <w:t>bmitters by sector</w:t>
      </w:r>
      <w:r w:rsidR="007C44D6" w:rsidRPr="00E44FFC">
        <w:rPr>
          <w:sz w:val="20"/>
        </w:rPr>
        <w:t xml:space="preserve"> </w:t>
      </w:r>
    </w:p>
    <w:tbl>
      <w:tblPr>
        <w:tblStyle w:val="TableGrid"/>
        <w:tblW w:w="5000" w:type="pct"/>
        <w:tblLook w:val="04A0" w:firstRow="1" w:lastRow="0" w:firstColumn="1" w:lastColumn="0" w:noHBand="0" w:noVBand="1"/>
      </w:tblPr>
      <w:tblGrid>
        <w:gridCol w:w="2062"/>
        <w:gridCol w:w="11930"/>
      </w:tblGrid>
      <w:tr w:rsidR="00CA739B" w:rsidRPr="00CA739B" w14:paraId="024BC335" w14:textId="77777777" w:rsidTr="009C7147">
        <w:tc>
          <w:tcPr>
            <w:tcW w:w="737" w:type="pct"/>
            <w:shd w:val="clear" w:color="auto" w:fill="E36C0A" w:themeFill="accent6" w:themeFillShade="BF"/>
          </w:tcPr>
          <w:p w14:paraId="2E2F3987" w14:textId="36812169" w:rsidR="00C77FA3" w:rsidRPr="0099024C" w:rsidRDefault="00B8568E" w:rsidP="00ED3820">
            <w:pPr>
              <w:pStyle w:val="Body"/>
              <w:rPr>
                <w:b/>
                <w:bCs/>
                <w:color w:val="FFFFFF" w:themeColor="background1"/>
              </w:rPr>
            </w:pPr>
            <w:r w:rsidRPr="0099024C">
              <w:rPr>
                <w:b/>
                <w:bCs/>
                <w:color w:val="FFFFFF" w:themeColor="background1"/>
              </w:rPr>
              <w:t>Sector</w:t>
            </w:r>
          </w:p>
        </w:tc>
        <w:tc>
          <w:tcPr>
            <w:tcW w:w="4263" w:type="pct"/>
            <w:shd w:val="clear" w:color="auto" w:fill="E36C0A" w:themeFill="accent6" w:themeFillShade="BF"/>
          </w:tcPr>
          <w:p w14:paraId="64BEAEFB" w14:textId="38A3CBCE" w:rsidR="00C77FA3" w:rsidRPr="0099024C" w:rsidRDefault="00F10C02" w:rsidP="00ED3820">
            <w:pPr>
              <w:pStyle w:val="Body"/>
              <w:rPr>
                <w:b/>
                <w:bCs/>
                <w:color w:val="FFFFFF" w:themeColor="background1"/>
              </w:rPr>
            </w:pPr>
            <w:r w:rsidRPr="0099024C">
              <w:rPr>
                <w:b/>
                <w:bCs/>
                <w:color w:val="FFFFFF" w:themeColor="background1"/>
              </w:rPr>
              <w:t>Details</w:t>
            </w:r>
          </w:p>
        </w:tc>
      </w:tr>
      <w:tr w:rsidR="00C77FA3" w14:paraId="35031FBD" w14:textId="77777777" w:rsidTr="009C7147">
        <w:tc>
          <w:tcPr>
            <w:tcW w:w="737" w:type="pct"/>
          </w:tcPr>
          <w:p w14:paraId="2F8C6A93" w14:textId="07FE0C0C" w:rsidR="00C77FA3" w:rsidRDefault="002C2032" w:rsidP="005E041E">
            <w:pPr>
              <w:pStyle w:val="Body"/>
              <w:spacing w:before="60" w:after="60" w:line="240" w:lineRule="auto"/>
            </w:pPr>
            <w:r>
              <w:t>P</w:t>
            </w:r>
            <w:r w:rsidR="00B8568E">
              <w:t>eak bodies</w:t>
            </w:r>
          </w:p>
        </w:tc>
        <w:tc>
          <w:tcPr>
            <w:tcW w:w="4263" w:type="pct"/>
          </w:tcPr>
          <w:p w14:paraId="0EA5DA42" w14:textId="77777777" w:rsidR="00C77FA3" w:rsidRDefault="00712B73" w:rsidP="005E041E">
            <w:pPr>
              <w:pStyle w:val="Body"/>
              <w:numPr>
                <w:ilvl w:val="0"/>
                <w:numId w:val="10"/>
              </w:numPr>
              <w:spacing w:before="60" w:after="60" w:line="276" w:lineRule="auto"/>
            </w:pPr>
            <w:r>
              <w:t>Australian Nursing and Midwifery Foundation</w:t>
            </w:r>
            <w:r w:rsidR="00F10C02">
              <w:t xml:space="preserve"> </w:t>
            </w:r>
            <w:r w:rsidR="00031A1F">
              <w:t xml:space="preserve">Victorian Branch </w:t>
            </w:r>
            <w:r w:rsidR="00F10C02">
              <w:t>(AN</w:t>
            </w:r>
            <w:r w:rsidR="00031A1F">
              <w:t>MF)</w:t>
            </w:r>
          </w:p>
          <w:p w14:paraId="256FF67F" w14:textId="5D0A66B5" w:rsidR="00031A1F" w:rsidRDefault="00031A1F" w:rsidP="005E041E">
            <w:pPr>
              <w:pStyle w:val="Body"/>
              <w:numPr>
                <w:ilvl w:val="0"/>
                <w:numId w:val="10"/>
              </w:numPr>
              <w:spacing w:before="60" w:after="60" w:line="276" w:lineRule="auto"/>
            </w:pPr>
            <w:r>
              <w:t xml:space="preserve">Australian Society of </w:t>
            </w:r>
            <w:r w:rsidR="34E96F80">
              <w:t>M</w:t>
            </w:r>
            <w:r>
              <w:t>edical Imaging and Radiation Therapy (ASMIRT)</w:t>
            </w:r>
          </w:p>
          <w:p w14:paraId="7029934A" w14:textId="5523E361" w:rsidR="001402CE" w:rsidRDefault="009E44C8" w:rsidP="005E041E">
            <w:pPr>
              <w:pStyle w:val="Body"/>
              <w:numPr>
                <w:ilvl w:val="0"/>
                <w:numId w:val="10"/>
              </w:numPr>
              <w:spacing w:before="60" w:after="60" w:line="276" w:lineRule="auto"/>
            </w:pPr>
            <w:r>
              <w:t>Catholic Health Australia</w:t>
            </w:r>
            <w:r w:rsidR="00C43C18">
              <w:t xml:space="preserve"> (CHA)</w:t>
            </w:r>
          </w:p>
          <w:p w14:paraId="38E14439" w14:textId="1B45130B" w:rsidR="00031A1F" w:rsidRDefault="001402CE" w:rsidP="005E041E">
            <w:pPr>
              <w:pStyle w:val="Body"/>
              <w:numPr>
                <w:ilvl w:val="0"/>
                <w:numId w:val="10"/>
              </w:numPr>
              <w:spacing w:before="60" w:after="60" w:line="276" w:lineRule="auto"/>
            </w:pPr>
            <w:r>
              <w:t>1</w:t>
            </w:r>
            <w:r w:rsidR="002149C4">
              <w:t xml:space="preserve"> </w:t>
            </w:r>
            <w:r w:rsidR="00CA739B">
              <w:t xml:space="preserve">x </w:t>
            </w:r>
            <w:r w:rsidR="002149C4">
              <w:t>peak bod</w:t>
            </w:r>
            <w:r w:rsidR="00C43C18">
              <w:t>y</w:t>
            </w:r>
            <w:r w:rsidR="002149C4">
              <w:t xml:space="preserve"> that chose to remain anonymous in this Statement of Reasons</w:t>
            </w:r>
          </w:p>
        </w:tc>
      </w:tr>
      <w:tr w:rsidR="00C77FA3" w14:paraId="526C29CD" w14:textId="77777777" w:rsidTr="009C7147">
        <w:tc>
          <w:tcPr>
            <w:tcW w:w="737" w:type="pct"/>
          </w:tcPr>
          <w:p w14:paraId="53E5781D" w14:textId="10207E9B" w:rsidR="00C77FA3" w:rsidRDefault="002C2032" w:rsidP="005E041E">
            <w:pPr>
              <w:pStyle w:val="Body"/>
              <w:spacing w:before="60" w:after="60" w:line="240" w:lineRule="auto"/>
            </w:pPr>
            <w:r>
              <w:t>P</w:t>
            </w:r>
            <w:r w:rsidR="00270EE6">
              <w:t>rivate hospitals</w:t>
            </w:r>
          </w:p>
        </w:tc>
        <w:tc>
          <w:tcPr>
            <w:tcW w:w="4263" w:type="pct"/>
          </w:tcPr>
          <w:p w14:paraId="7EE8EA03" w14:textId="77777777" w:rsidR="00C77FA3" w:rsidRDefault="009D7F21" w:rsidP="005E041E">
            <w:pPr>
              <w:pStyle w:val="Body"/>
              <w:numPr>
                <w:ilvl w:val="0"/>
                <w:numId w:val="10"/>
              </w:numPr>
              <w:spacing w:before="60" w:after="60" w:line="276" w:lineRule="auto"/>
            </w:pPr>
            <w:r>
              <w:t>Healthscope</w:t>
            </w:r>
          </w:p>
          <w:p w14:paraId="253DE44D" w14:textId="4E62D8FB" w:rsidR="009D7F21" w:rsidRDefault="009D7F21" w:rsidP="005E041E">
            <w:pPr>
              <w:pStyle w:val="Body"/>
              <w:numPr>
                <w:ilvl w:val="0"/>
                <w:numId w:val="10"/>
              </w:numPr>
              <w:spacing w:before="60" w:after="60" w:line="276" w:lineRule="auto"/>
            </w:pPr>
            <w:r>
              <w:t>1</w:t>
            </w:r>
            <w:r w:rsidR="006E3168">
              <w:t>6</w:t>
            </w:r>
            <w:r>
              <w:t xml:space="preserve"> </w:t>
            </w:r>
            <w:r w:rsidR="00CA739B">
              <w:t xml:space="preserve">x </w:t>
            </w:r>
            <w:r>
              <w:t>private hospitals that chose to remain anonymous in this Statement of Reasons</w:t>
            </w:r>
            <w:r w:rsidR="00803011">
              <w:t xml:space="preserve"> </w:t>
            </w:r>
          </w:p>
        </w:tc>
      </w:tr>
      <w:tr w:rsidR="00C77FA3" w14:paraId="55963CBF" w14:textId="77777777" w:rsidTr="009C7147">
        <w:tc>
          <w:tcPr>
            <w:tcW w:w="737" w:type="pct"/>
          </w:tcPr>
          <w:p w14:paraId="1A8C706C" w14:textId="5A821E20" w:rsidR="00C77FA3" w:rsidRDefault="00ED5027" w:rsidP="005E041E">
            <w:pPr>
              <w:pStyle w:val="Body"/>
              <w:spacing w:before="60" w:after="60" w:line="240" w:lineRule="auto"/>
            </w:pPr>
            <w:r>
              <w:t>D</w:t>
            </w:r>
            <w:r w:rsidR="009D7F21">
              <w:t>ay procedure centre</w:t>
            </w:r>
            <w:r w:rsidR="006B7741">
              <w:t>s</w:t>
            </w:r>
          </w:p>
        </w:tc>
        <w:tc>
          <w:tcPr>
            <w:tcW w:w="4263" w:type="pct"/>
          </w:tcPr>
          <w:p w14:paraId="7B759B41" w14:textId="17C73CFD" w:rsidR="00543D8D" w:rsidRDefault="00543D8D" w:rsidP="005E041E">
            <w:pPr>
              <w:pStyle w:val="Body"/>
              <w:numPr>
                <w:ilvl w:val="0"/>
                <w:numId w:val="11"/>
              </w:numPr>
              <w:spacing w:before="60" w:after="60" w:line="276" w:lineRule="auto"/>
            </w:pPr>
            <w:r>
              <w:t>1</w:t>
            </w:r>
            <w:r w:rsidR="006B7741">
              <w:t xml:space="preserve"> </w:t>
            </w:r>
            <w:r w:rsidR="00CA739B">
              <w:t xml:space="preserve">x </w:t>
            </w:r>
            <w:r w:rsidR="006B7741">
              <w:t>day procedure centre group that chose to remain anonymous in this Statement of Reasons</w:t>
            </w:r>
            <w:r w:rsidR="00434371">
              <w:t xml:space="preserve"> (</w:t>
            </w:r>
            <w:r w:rsidR="00AC4476">
              <w:t xml:space="preserve">submission from </w:t>
            </w:r>
            <w:r w:rsidR="00434371">
              <w:t xml:space="preserve">national </w:t>
            </w:r>
            <w:r w:rsidR="00A863ED">
              <w:t>head office)</w:t>
            </w:r>
          </w:p>
          <w:p w14:paraId="18C195A3" w14:textId="28373B7A" w:rsidR="00C4557F" w:rsidRDefault="00A863ED" w:rsidP="005E041E">
            <w:pPr>
              <w:pStyle w:val="Body"/>
              <w:numPr>
                <w:ilvl w:val="0"/>
                <w:numId w:val="11"/>
              </w:numPr>
              <w:spacing w:before="60" w:after="60" w:line="276" w:lineRule="auto"/>
            </w:pPr>
            <w:r>
              <w:t>1 x day procedure centre group that chose to remain anonymous in this Statement of Reasons (</w:t>
            </w:r>
            <w:r w:rsidR="00AC4476">
              <w:t xml:space="preserve">submission from the </w:t>
            </w:r>
            <w:r>
              <w:t>Victorian branch)</w:t>
            </w:r>
            <w:r w:rsidR="00C4557F">
              <w:t xml:space="preserve"> </w:t>
            </w:r>
          </w:p>
        </w:tc>
      </w:tr>
      <w:tr w:rsidR="00A43495" w14:paraId="33EC6C57" w14:textId="77777777" w:rsidTr="009C7147">
        <w:tc>
          <w:tcPr>
            <w:tcW w:w="737" w:type="pct"/>
          </w:tcPr>
          <w:p w14:paraId="090B46E9" w14:textId="22FC2B91" w:rsidR="00A43495" w:rsidRDefault="00A43495" w:rsidP="005E041E">
            <w:pPr>
              <w:pStyle w:val="Body"/>
              <w:spacing w:before="60" w:after="60" w:line="240" w:lineRule="auto"/>
            </w:pPr>
            <w:r>
              <w:t>Consumers</w:t>
            </w:r>
          </w:p>
        </w:tc>
        <w:tc>
          <w:tcPr>
            <w:tcW w:w="4263" w:type="pct"/>
          </w:tcPr>
          <w:p w14:paraId="10AC0FF2" w14:textId="7D1F5324" w:rsidR="00A43495" w:rsidRDefault="007A6309" w:rsidP="005E041E">
            <w:pPr>
              <w:pStyle w:val="Body"/>
              <w:numPr>
                <w:ilvl w:val="0"/>
                <w:numId w:val="11"/>
              </w:numPr>
              <w:spacing w:before="60" w:after="60" w:line="276" w:lineRule="auto"/>
            </w:pPr>
            <w:r>
              <w:t>1 x consumer</w:t>
            </w:r>
          </w:p>
        </w:tc>
      </w:tr>
    </w:tbl>
    <w:p w14:paraId="575F6465" w14:textId="77777777" w:rsidR="00ED3820" w:rsidRPr="00403537" w:rsidRDefault="00ED3820" w:rsidP="00ED3820">
      <w:pPr>
        <w:pStyle w:val="Tablebullet1"/>
        <w:numPr>
          <w:ilvl w:val="0"/>
          <w:numId w:val="0"/>
        </w:numPr>
        <w:rPr>
          <w:highlight w:val="yellow"/>
        </w:rPr>
      </w:pPr>
    </w:p>
    <w:p w14:paraId="2AAB58B5" w14:textId="6495AA61" w:rsidR="007C49AD" w:rsidRDefault="007C49AD" w:rsidP="00ED3820">
      <w:pPr>
        <w:pStyle w:val="Body"/>
      </w:pPr>
      <w:r>
        <w:t xml:space="preserve">NOTE: </w:t>
      </w:r>
      <w:r w:rsidR="000B061B">
        <w:t xml:space="preserve">The anonymous </w:t>
      </w:r>
      <w:r w:rsidR="006734C3">
        <w:t xml:space="preserve">submissions </w:t>
      </w:r>
      <w:r w:rsidR="008178C5">
        <w:t xml:space="preserve">from one peak body, </w:t>
      </w:r>
      <w:r w:rsidR="008214DF">
        <w:t>1</w:t>
      </w:r>
      <w:r w:rsidR="00101997">
        <w:t>6</w:t>
      </w:r>
      <w:r w:rsidR="008214DF">
        <w:t xml:space="preserve"> private hospitals and </w:t>
      </w:r>
      <w:r w:rsidR="0095671B">
        <w:t>two</w:t>
      </w:r>
      <w:r w:rsidR="008214DF">
        <w:t xml:space="preserve"> day procedure centre groups </w:t>
      </w:r>
      <w:r w:rsidR="006734C3">
        <w:t>were substantively the same</w:t>
      </w:r>
      <w:r w:rsidR="009F0832">
        <w:t xml:space="preserve"> as the non-anonymous submission made by</w:t>
      </w:r>
      <w:r w:rsidR="008178C5">
        <w:t xml:space="preserve"> Catholic Health </w:t>
      </w:r>
      <w:r w:rsidR="009F0832">
        <w:t>Australia</w:t>
      </w:r>
      <w:r w:rsidR="00EA58C5">
        <w:t xml:space="preserve"> (CHA)</w:t>
      </w:r>
      <w:r w:rsidR="009F0832">
        <w:t xml:space="preserve">. </w:t>
      </w:r>
      <w:r w:rsidR="00BC585E">
        <w:t>Throughout this Statement, where direct reference</w:t>
      </w:r>
      <w:r w:rsidR="00EA58C5">
        <w:t xml:space="preserve"> is made </w:t>
      </w:r>
      <w:r w:rsidR="00BC585E">
        <w:t xml:space="preserve">to comments </w:t>
      </w:r>
      <w:r w:rsidR="00EA58C5">
        <w:t>in the</w:t>
      </w:r>
      <w:r w:rsidR="00C5624B">
        <w:t xml:space="preserve"> CHA submission, these comments reflect identical or similar </w:t>
      </w:r>
      <w:r w:rsidR="009E44C8">
        <w:t>comments made in the anonymous submissions (except where indicated).</w:t>
      </w:r>
      <w:r w:rsidR="00EA58C5">
        <w:t xml:space="preserve"> </w:t>
      </w:r>
      <w:r w:rsidR="000B061B">
        <w:t xml:space="preserve"> </w:t>
      </w:r>
    </w:p>
    <w:p w14:paraId="634FA255" w14:textId="6655E0C9" w:rsidR="00DE241C" w:rsidRDefault="00DE241C" w:rsidP="00DE241C">
      <w:pPr>
        <w:pStyle w:val="Heading1"/>
      </w:pPr>
      <w:r>
        <w:t>T</w:t>
      </w:r>
      <w:r w:rsidR="00673C45">
        <w:t>he Department</w:t>
      </w:r>
      <w:r>
        <w:t>’s response</w:t>
      </w:r>
    </w:p>
    <w:p w14:paraId="052B6F5D" w14:textId="1C2367BA" w:rsidR="00F15EF2" w:rsidRDefault="00B21DC4" w:rsidP="00B21DC4">
      <w:pPr>
        <w:pStyle w:val="Body"/>
      </w:pPr>
      <w:r>
        <w:t xml:space="preserve">The </w:t>
      </w:r>
      <w:r w:rsidR="00C87601">
        <w:t>department</w:t>
      </w:r>
      <w:r>
        <w:t xml:space="preserve"> has considered all feedback and suggestions </w:t>
      </w:r>
      <w:r w:rsidR="000A5179">
        <w:t xml:space="preserve">from stakeholders </w:t>
      </w:r>
      <w:r w:rsidR="00D534A6">
        <w:t>in res</w:t>
      </w:r>
      <w:r w:rsidR="00A32B50">
        <w:t xml:space="preserve">ponse </w:t>
      </w:r>
      <w:r w:rsidR="009C70A6">
        <w:t xml:space="preserve">to </w:t>
      </w:r>
      <w:r w:rsidR="00A32B50">
        <w:t>the RIS and draft Regulations</w:t>
      </w:r>
      <w:r w:rsidR="004052E4">
        <w:t xml:space="preserve">. Where </w:t>
      </w:r>
      <w:r w:rsidR="00E640F1">
        <w:t xml:space="preserve">necessary </w:t>
      </w:r>
      <w:r w:rsidR="004052E4">
        <w:t xml:space="preserve">further information has been obtained from </w:t>
      </w:r>
      <w:r w:rsidR="00231E23">
        <w:t xml:space="preserve">the </w:t>
      </w:r>
      <w:r w:rsidR="00E8766E">
        <w:t>Australian Commission on Safety and Quality in Health Care (the Commission)</w:t>
      </w:r>
      <w:r>
        <w:t>, the Health Regulator’s operations team (referred to in this document as the Regulator)</w:t>
      </w:r>
      <w:r w:rsidR="00D56A95">
        <w:t>,</w:t>
      </w:r>
      <w:r>
        <w:t xml:space="preserve"> Safer Care Victoria (SCV)</w:t>
      </w:r>
      <w:r w:rsidR="00D56A95">
        <w:t xml:space="preserve"> and eHealth Victoria</w:t>
      </w:r>
      <w:r>
        <w:t xml:space="preserve">. </w:t>
      </w:r>
    </w:p>
    <w:p w14:paraId="48BE48DF" w14:textId="153DC3F6" w:rsidR="00B21DC4" w:rsidRDefault="007415E5" w:rsidP="00B21DC4">
      <w:pPr>
        <w:pStyle w:val="Body"/>
      </w:pPr>
      <w:r>
        <w:t xml:space="preserve">The </w:t>
      </w:r>
      <w:r w:rsidR="00C87601">
        <w:t>department</w:t>
      </w:r>
      <w:r>
        <w:t xml:space="preserve"> has three key approache</w:t>
      </w:r>
      <w:r w:rsidR="00490F98">
        <w:t xml:space="preserve">s </w:t>
      </w:r>
      <w:r w:rsidR="00340CE6">
        <w:t xml:space="preserve">for </w:t>
      </w:r>
      <w:r w:rsidR="0000447F">
        <w:t xml:space="preserve">responding to </w:t>
      </w:r>
      <w:r w:rsidR="00007BA9">
        <w:t>stakeholder feedback:</w:t>
      </w:r>
    </w:p>
    <w:p w14:paraId="7D14EA44" w14:textId="1D03441F" w:rsidR="00D708B9" w:rsidRDefault="00D708B9" w:rsidP="00225E0F">
      <w:pPr>
        <w:pStyle w:val="Body"/>
        <w:numPr>
          <w:ilvl w:val="0"/>
          <w:numId w:val="69"/>
        </w:numPr>
        <w:ind w:left="284" w:hanging="284"/>
      </w:pPr>
      <w:r>
        <w:t xml:space="preserve">In some instances, the </w:t>
      </w:r>
      <w:r w:rsidR="00C87601">
        <w:t>department</w:t>
      </w:r>
      <w:r>
        <w:t xml:space="preserve"> </w:t>
      </w:r>
      <w:r w:rsidR="00056BAF">
        <w:t>has acc</w:t>
      </w:r>
      <w:r w:rsidR="002B08A4">
        <w:t>epted stakeholder</w:t>
      </w:r>
      <w:r w:rsidR="006F6E30">
        <w:t xml:space="preserve">s’ </w:t>
      </w:r>
      <w:r w:rsidR="009854DC">
        <w:t xml:space="preserve">suggestions and made </w:t>
      </w:r>
      <w:r w:rsidR="0036180A">
        <w:t>changes to</w:t>
      </w:r>
      <w:r w:rsidR="009854DC">
        <w:t xml:space="preserve"> the </w:t>
      </w:r>
      <w:r w:rsidR="0036180A">
        <w:t>proposed</w:t>
      </w:r>
      <w:r w:rsidR="009854DC">
        <w:t xml:space="preserve"> Regulations</w:t>
      </w:r>
      <w:r w:rsidR="002D266C">
        <w:t>. These changes</w:t>
      </w:r>
      <w:r w:rsidR="00C41AFD">
        <w:t xml:space="preserve">, </w:t>
      </w:r>
      <w:r w:rsidR="002D266C">
        <w:t>in direct response to stakeholder feed</w:t>
      </w:r>
      <w:r w:rsidR="00BA4C0D">
        <w:t>back</w:t>
      </w:r>
      <w:r w:rsidR="00C41AFD">
        <w:t>,</w:t>
      </w:r>
      <w:r w:rsidR="00BA4C0D">
        <w:t xml:space="preserve"> are summarised in </w:t>
      </w:r>
      <w:r w:rsidR="00BA4C0D">
        <w:rPr>
          <w:b/>
          <w:bCs/>
        </w:rPr>
        <w:t>Table 2.</w:t>
      </w:r>
      <w:r w:rsidR="006B7DB9">
        <w:rPr>
          <w:b/>
          <w:bCs/>
        </w:rPr>
        <w:t xml:space="preserve"> </w:t>
      </w:r>
      <w:r w:rsidR="006B7DB9">
        <w:t>It is proposed to ma</w:t>
      </w:r>
      <w:r w:rsidR="004E2874">
        <w:t>k</w:t>
      </w:r>
      <w:r w:rsidR="006B7DB9">
        <w:t>e the Regulations in this updated form before 1 September 2024.</w:t>
      </w:r>
    </w:p>
    <w:p w14:paraId="17219765" w14:textId="1722BB80" w:rsidR="004E16AA" w:rsidRDefault="00E803ED" w:rsidP="00225E0F">
      <w:pPr>
        <w:pStyle w:val="Body"/>
        <w:numPr>
          <w:ilvl w:val="0"/>
          <w:numId w:val="69"/>
        </w:numPr>
        <w:ind w:left="284" w:hanging="284"/>
      </w:pPr>
      <w:r>
        <w:t xml:space="preserve">In some instances, the </w:t>
      </w:r>
      <w:r w:rsidR="00C87601">
        <w:t>department</w:t>
      </w:r>
      <w:r>
        <w:t xml:space="preserve"> has considered stakeholders’ feedback and concerns but has decided to </w:t>
      </w:r>
      <w:r w:rsidR="00A271EC">
        <w:t>propose the relevant provisions in the form published in the</w:t>
      </w:r>
      <w:r w:rsidR="00A86646">
        <w:t xml:space="preserve"> draft Regulations</w:t>
      </w:r>
      <w:r w:rsidR="00787414">
        <w:t xml:space="preserve">. </w:t>
      </w:r>
      <w:r w:rsidR="00C105BD">
        <w:t>S</w:t>
      </w:r>
      <w:r w:rsidR="002969AE">
        <w:t>takeholder</w:t>
      </w:r>
      <w:r w:rsidR="00251EF8">
        <w:t>s’</w:t>
      </w:r>
      <w:r w:rsidR="002969AE">
        <w:t xml:space="preserve"> comments and the </w:t>
      </w:r>
      <w:r w:rsidR="00C87601">
        <w:t>department</w:t>
      </w:r>
      <w:r w:rsidR="002969AE">
        <w:t>’s</w:t>
      </w:r>
      <w:r w:rsidR="00787414">
        <w:t xml:space="preserve"> </w:t>
      </w:r>
      <w:r w:rsidR="001750BA">
        <w:t>rationale</w:t>
      </w:r>
      <w:r w:rsidR="00852558">
        <w:t xml:space="preserve"> </w:t>
      </w:r>
      <w:r w:rsidR="00D857D3">
        <w:t xml:space="preserve">are summarised in </w:t>
      </w:r>
      <w:r w:rsidR="00D708B9">
        <w:rPr>
          <w:b/>
          <w:bCs/>
        </w:rPr>
        <w:t>Table 3</w:t>
      </w:r>
      <w:r w:rsidR="00C105BD">
        <w:rPr>
          <w:b/>
          <w:bCs/>
        </w:rPr>
        <w:t xml:space="preserve">, </w:t>
      </w:r>
      <w:r w:rsidR="00C105BD">
        <w:t>grouped in the categories and order they appeared in the RIS.</w:t>
      </w:r>
      <w:r w:rsidR="00C71B96">
        <w:t xml:space="preserve"> </w:t>
      </w:r>
      <w:r w:rsidR="002404BE">
        <w:t xml:space="preserve">A more detailed breakdown of </w:t>
      </w:r>
      <w:r w:rsidR="00445EAC">
        <w:t xml:space="preserve">the proposed amendments, stakeholder </w:t>
      </w:r>
      <w:r w:rsidR="001E0531">
        <w:t>feedback</w:t>
      </w:r>
      <w:r w:rsidR="008C636D">
        <w:t xml:space="preserve"> and </w:t>
      </w:r>
      <w:r w:rsidR="00D06718">
        <w:t xml:space="preserve">the </w:t>
      </w:r>
      <w:r w:rsidR="00C87601">
        <w:t>department</w:t>
      </w:r>
      <w:r w:rsidR="00D06718">
        <w:t xml:space="preserve">’s response is provided in </w:t>
      </w:r>
      <w:hyperlink w:anchor="_Appendix_A:_Detailed">
        <w:r w:rsidR="00D06718" w:rsidRPr="02B86DA6">
          <w:rPr>
            <w:rStyle w:val="Hyperlink"/>
          </w:rPr>
          <w:t>Appendix A</w:t>
        </w:r>
      </w:hyperlink>
      <w:r w:rsidR="00AC6416">
        <w:rPr>
          <w:rStyle w:val="Hyperlink"/>
        </w:rPr>
        <w:t>,</w:t>
      </w:r>
      <w:r w:rsidR="004E16AA" w:rsidRPr="004E16AA">
        <w:t xml:space="preserve"> </w:t>
      </w:r>
      <w:r w:rsidR="004E16AA">
        <w:t>and presented in the order of the Regulations.</w:t>
      </w:r>
    </w:p>
    <w:p w14:paraId="4BBB6584" w14:textId="7FD07D89" w:rsidR="0088762B" w:rsidRDefault="000A4F25" w:rsidP="00225E0F">
      <w:pPr>
        <w:pStyle w:val="Body"/>
        <w:numPr>
          <w:ilvl w:val="0"/>
          <w:numId w:val="69"/>
        </w:numPr>
        <w:ind w:left="284" w:hanging="284"/>
      </w:pPr>
      <w:r>
        <w:t xml:space="preserve">Some stakeholder feedback will be further considered </w:t>
      </w:r>
      <w:r w:rsidR="005F5843">
        <w:t>as part of the Phase 2 reforms that were discussed in the RIS</w:t>
      </w:r>
      <w:r w:rsidR="00C97FAE">
        <w:t xml:space="preserve"> or at</w:t>
      </w:r>
      <w:r w:rsidR="004D400A">
        <w:t xml:space="preserve"> </w:t>
      </w:r>
      <w:r w:rsidR="00AD5245">
        <w:t>a later date</w:t>
      </w:r>
      <w:r w:rsidR="005A1F49">
        <w:t xml:space="preserve">. This will </w:t>
      </w:r>
      <w:r w:rsidR="00117B5E">
        <w:t xml:space="preserve">allow for </w:t>
      </w:r>
      <w:r w:rsidR="00BF3444">
        <w:t>broader consultation</w:t>
      </w:r>
      <w:r w:rsidR="00766423">
        <w:t xml:space="preserve"> with the sector, </w:t>
      </w:r>
      <w:r w:rsidR="008063B6">
        <w:t xml:space="preserve">peak bodies, </w:t>
      </w:r>
      <w:r w:rsidR="00766423">
        <w:t>consumers</w:t>
      </w:r>
      <w:r w:rsidR="00803A3A">
        <w:t>,</w:t>
      </w:r>
      <w:r w:rsidR="00766423">
        <w:t xml:space="preserve"> </w:t>
      </w:r>
      <w:r w:rsidR="00911552">
        <w:t xml:space="preserve">internal </w:t>
      </w:r>
      <w:r w:rsidR="001375E7">
        <w:t xml:space="preserve">stakeholders and other </w:t>
      </w:r>
      <w:r w:rsidR="00911552">
        <w:t>external</w:t>
      </w:r>
      <w:r w:rsidR="00467A8F">
        <w:t xml:space="preserve"> agencies</w:t>
      </w:r>
      <w:r w:rsidR="00ED0F95">
        <w:t>.</w:t>
      </w:r>
      <w:r w:rsidR="00BC48AF">
        <w:t xml:space="preserve"> These </w:t>
      </w:r>
      <w:r w:rsidR="00DE224D">
        <w:t xml:space="preserve">reform areas are outlined </w:t>
      </w:r>
      <w:r w:rsidR="00CD3E87">
        <w:t>below.</w:t>
      </w:r>
    </w:p>
    <w:p w14:paraId="706CCCD6" w14:textId="340127CB" w:rsidR="00176266" w:rsidRDefault="0036180A" w:rsidP="00277682">
      <w:pPr>
        <w:pStyle w:val="Heading1"/>
      </w:pPr>
      <w:r>
        <w:t>Changes</w:t>
      </w:r>
      <w:r w:rsidR="00B71AAA">
        <w:t xml:space="preserve"> </w:t>
      </w:r>
      <w:r w:rsidR="00321190">
        <w:t xml:space="preserve">to the </w:t>
      </w:r>
      <w:r>
        <w:t xml:space="preserve">proposed </w:t>
      </w:r>
      <w:r w:rsidR="00321190">
        <w:t>Regulations</w:t>
      </w:r>
    </w:p>
    <w:p w14:paraId="779CE8F8" w14:textId="6A7D4D22" w:rsidR="00176266" w:rsidRDefault="008814A2" w:rsidP="00ED3820">
      <w:pPr>
        <w:pStyle w:val="Body"/>
      </w:pPr>
      <w:r>
        <w:t>In their s</w:t>
      </w:r>
      <w:r w:rsidR="00212CD8">
        <w:t>ubmissions</w:t>
      </w:r>
      <w:r>
        <w:t>,</w:t>
      </w:r>
      <w:r w:rsidR="00212CD8">
        <w:t xml:space="preserve"> stakeholders </w:t>
      </w:r>
      <w:r w:rsidR="000978F8">
        <w:t>commented on</w:t>
      </w:r>
      <w:r w:rsidR="009F2A87">
        <w:t xml:space="preserve"> </w:t>
      </w:r>
      <w:r w:rsidR="00212CD8">
        <w:t xml:space="preserve">the </w:t>
      </w:r>
      <w:r w:rsidR="0032374D">
        <w:t xml:space="preserve">proposed </w:t>
      </w:r>
      <w:r w:rsidR="009F2A87">
        <w:t>reforms</w:t>
      </w:r>
      <w:r w:rsidR="004D5D46">
        <w:t>,</w:t>
      </w:r>
      <w:r w:rsidR="00216CAE">
        <w:t xml:space="preserve"> </w:t>
      </w:r>
      <w:r w:rsidR="009B7953">
        <w:t>indicat</w:t>
      </w:r>
      <w:r w:rsidR="00847BDF">
        <w:t>ing</w:t>
      </w:r>
      <w:r w:rsidR="00216CAE">
        <w:t xml:space="preserve"> their</w:t>
      </w:r>
      <w:r w:rsidR="009B7953">
        <w:t xml:space="preserve"> support or opposition</w:t>
      </w:r>
      <w:r w:rsidR="004D5D46">
        <w:t xml:space="preserve">, and </w:t>
      </w:r>
      <w:r w:rsidR="00847BDF">
        <w:t xml:space="preserve">in some cases </w:t>
      </w:r>
      <w:r w:rsidR="00216CAE">
        <w:t>made suggestions for alternative amendments</w:t>
      </w:r>
      <w:r w:rsidR="00E22C57">
        <w:t xml:space="preserve">. </w:t>
      </w:r>
      <w:r w:rsidR="00BF00D0">
        <w:t xml:space="preserve">The </w:t>
      </w:r>
      <w:r w:rsidR="00C87601">
        <w:t>department</w:t>
      </w:r>
      <w:r w:rsidR="00BF00D0">
        <w:t xml:space="preserve"> </w:t>
      </w:r>
      <w:r w:rsidR="00184234">
        <w:t xml:space="preserve">acknowledges </w:t>
      </w:r>
      <w:r w:rsidR="00B65261">
        <w:t xml:space="preserve">the </w:t>
      </w:r>
      <w:r w:rsidR="00184234">
        <w:t>concerns expressed by stakeholder</w:t>
      </w:r>
      <w:r w:rsidR="00235F40">
        <w:t xml:space="preserve">s and has </w:t>
      </w:r>
      <w:r w:rsidR="00402B7E">
        <w:t xml:space="preserve">addressed </w:t>
      </w:r>
      <w:r w:rsidR="00410B72">
        <w:t xml:space="preserve">some of </w:t>
      </w:r>
      <w:r w:rsidR="00402B7E">
        <w:t xml:space="preserve">these </w:t>
      </w:r>
      <w:r w:rsidR="0036180A">
        <w:t>th</w:t>
      </w:r>
      <w:r w:rsidR="00B04318">
        <w:t>r</w:t>
      </w:r>
      <w:r w:rsidR="0036180A">
        <w:t>ough making changes to</w:t>
      </w:r>
      <w:r w:rsidR="00402B7E">
        <w:t xml:space="preserve"> the </w:t>
      </w:r>
      <w:r w:rsidR="0036180A">
        <w:t>drafting of</w:t>
      </w:r>
      <w:r w:rsidR="00402B7E">
        <w:t xml:space="preserve"> the </w:t>
      </w:r>
      <w:r w:rsidR="0036180A">
        <w:t xml:space="preserve">proposed </w:t>
      </w:r>
      <w:r w:rsidR="00B65261">
        <w:t>Regulations.</w:t>
      </w:r>
      <w:r w:rsidR="00FA39AC">
        <w:t xml:space="preserve"> The </w:t>
      </w:r>
      <w:r w:rsidR="00115081">
        <w:t xml:space="preserve">changes made in response to stakeholder feedback </w:t>
      </w:r>
      <w:r w:rsidR="00FA39AC">
        <w:t xml:space="preserve">are summarised in </w:t>
      </w:r>
      <w:r w:rsidR="00FA39AC">
        <w:rPr>
          <w:b/>
          <w:bCs/>
        </w:rPr>
        <w:t>Table 2</w:t>
      </w:r>
      <w:r w:rsidR="00FA39AC">
        <w:t xml:space="preserve"> below.</w:t>
      </w:r>
      <w:r w:rsidR="00B65261">
        <w:t xml:space="preserve"> </w:t>
      </w:r>
    </w:p>
    <w:p w14:paraId="231757F0" w14:textId="257C6804" w:rsidR="00E314C7" w:rsidRPr="00E314C7" w:rsidRDefault="00E314C7" w:rsidP="00E314C7">
      <w:pPr>
        <w:pStyle w:val="Tablecaption"/>
        <w:rPr>
          <w:sz w:val="20"/>
        </w:rPr>
      </w:pPr>
      <w:r w:rsidRPr="00E44FFC">
        <w:rPr>
          <w:sz w:val="20"/>
        </w:rPr>
        <w:lastRenderedPageBreak/>
        <w:t xml:space="preserve">Table </w:t>
      </w:r>
      <w:r>
        <w:rPr>
          <w:sz w:val="20"/>
        </w:rPr>
        <w:t>2:</w:t>
      </w:r>
      <w:r w:rsidRPr="00E44FFC">
        <w:rPr>
          <w:sz w:val="20"/>
        </w:rPr>
        <w:t xml:space="preserve"> </w:t>
      </w:r>
      <w:r>
        <w:rPr>
          <w:sz w:val="20"/>
        </w:rPr>
        <w:t>Changes based on stakeholder feedback</w:t>
      </w:r>
      <w:r w:rsidRPr="00E44FFC">
        <w:rPr>
          <w:sz w:val="20"/>
        </w:rPr>
        <w:t xml:space="preserve"> </w:t>
      </w:r>
    </w:p>
    <w:tbl>
      <w:tblPr>
        <w:tblStyle w:val="TableGrid"/>
        <w:tblW w:w="0" w:type="auto"/>
        <w:tblLook w:val="04A0" w:firstRow="1" w:lastRow="0" w:firstColumn="1" w:lastColumn="0" w:noHBand="0" w:noVBand="1"/>
      </w:tblPr>
      <w:tblGrid>
        <w:gridCol w:w="5218"/>
        <w:gridCol w:w="8774"/>
      </w:tblGrid>
      <w:tr w:rsidR="00486774" w:rsidRPr="00DB0677" w14:paraId="229EE50E" w14:textId="77777777" w:rsidTr="00DD169E">
        <w:trPr>
          <w:tblHeader/>
        </w:trPr>
        <w:tc>
          <w:tcPr>
            <w:tcW w:w="8075" w:type="dxa"/>
            <w:shd w:val="clear" w:color="auto" w:fill="E36C0A" w:themeFill="accent6" w:themeFillShade="BF"/>
          </w:tcPr>
          <w:p w14:paraId="67C479B1" w14:textId="18D6665E" w:rsidR="00486774" w:rsidRPr="00DB0677" w:rsidRDefault="002C44FD" w:rsidP="00ED3820">
            <w:pPr>
              <w:pStyle w:val="Body"/>
              <w:rPr>
                <w:b/>
                <w:color w:val="FFFFFF" w:themeColor="background1"/>
              </w:rPr>
            </w:pPr>
            <w:r w:rsidRPr="00DB0677">
              <w:rPr>
                <w:b/>
                <w:color w:val="FFFFFF" w:themeColor="background1"/>
              </w:rPr>
              <w:t>Re</w:t>
            </w:r>
            <w:r w:rsidR="0032244E" w:rsidRPr="00DB0677">
              <w:rPr>
                <w:b/>
                <w:color w:val="FFFFFF" w:themeColor="background1"/>
              </w:rPr>
              <w:t>gulation</w:t>
            </w:r>
            <w:r w:rsidR="00DB0677">
              <w:rPr>
                <w:b/>
                <w:bCs/>
                <w:color w:val="FFFFFF" w:themeColor="background1"/>
              </w:rPr>
              <w:t xml:space="preserve"> number</w:t>
            </w:r>
            <w:r w:rsidR="00831688">
              <w:rPr>
                <w:rStyle w:val="FootnoteReference"/>
                <w:b/>
                <w:bCs/>
                <w:color w:val="FFFFFF" w:themeColor="background1"/>
              </w:rPr>
              <w:footnoteReference w:id="2"/>
            </w:r>
          </w:p>
        </w:tc>
        <w:tc>
          <w:tcPr>
            <w:tcW w:w="14024" w:type="dxa"/>
            <w:shd w:val="clear" w:color="auto" w:fill="E36C0A" w:themeFill="accent6" w:themeFillShade="BF"/>
          </w:tcPr>
          <w:p w14:paraId="777D7282" w14:textId="405248C7" w:rsidR="00486774" w:rsidRPr="00DB0677" w:rsidRDefault="00BE2146" w:rsidP="00ED3820">
            <w:pPr>
              <w:pStyle w:val="Body"/>
              <w:rPr>
                <w:b/>
                <w:color w:val="FFFFFF" w:themeColor="background1"/>
              </w:rPr>
            </w:pPr>
            <w:r w:rsidRPr="00DB0677">
              <w:rPr>
                <w:b/>
                <w:bCs/>
                <w:color w:val="FFFFFF" w:themeColor="background1"/>
              </w:rPr>
              <w:t>Change</w:t>
            </w:r>
            <w:r w:rsidR="00DB0677">
              <w:rPr>
                <w:b/>
                <w:bCs/>
                <w:color w:val="FFFFFF" w:themeColor="background1"/>
              </w:rPr>
              <w:t>s made based on stakeholder feedback</w:t>
            </w:r>
          </w:p>
        </w:tc>
      </w:tr>
      <w:tr w:rsidR="00486774" w14:paraId="343EE984" w14:textId="77777777" w:rsidTr="00B437A1">
        <w:tc>
          <w:tcPr>
            <w:tcW w:w="8075" w:type="dxa"/>
          </w:tcPr>
          <w:p w14:paraId="44C61F6E" w14:textId="18ED77CA" w:rsidR="00486774" w:rsidRDefault="000C6743" w:rsidP="005E041E">
            <w:pPr>
              <w:pStyle w:val="Body"/>
              <w:spacing w:before="60"/>
            </w:pPr>
            <w:r w:rsidRPr="00702712">
              <w:t>r.1(a) Objectives</w:t>
            </w:r>
          </w:p>
        </w:tc>
        <w:tc>
          <w:tcPr>
            <w:tcW w:w="14024" w:type="dxa"/>
          </w:tcPr>
          <w:p w14:paraId="7FB09487" w14:textId="6572641F" w:rsidR="00486774" w:rsidRDefault="000C6743" w:rsidP="005E041E">
            <w:pPr>
              <w:pStyle w:val="Body"/>
              <w:spacing w:before="60"/>
            </w:pPr>
            <w:r>
              <w:t xml:space="preserve">Added </w:t>
            </w:r>
            <w:r w:rsidRPr="00216B14">
              <w:rPr>
                <w:i/>
                <w:iCs/>
              </w:rPr>
              <w:t>Requirements for health service establishment protocols for quality and safety</w:t>
            </w:r>
            <w:r>
              <w:t xml:space="preserve">, as proposed by </w:t>
            </w:r>
            <w:r w:rsidRPr="00216B14">
              <w:rPr>
                <w:b/>
                <w:bCs/>
              </w:rPr>
              <w:t>ANMF</w:t>
            </w:r>
            <w:r>
              <w:t>.</w:t>
            </w:r>
            <w:r>
              <w:rPr>
                <w:rStyle w:val="FootnoteReference"/>
              </w:rPr>
              <w:footnoteReference w:id="3"/>
            </w:r>
          </w:p>
        </w:tc>
      </w:tr>
      <w:tr w:rsidR="00486774" w14:paraId="1991FEEC" w14:textId="77777777" w:rsidTr="00B437A1">
        <w:tc>
          <w:tcPr>
            <w:tcW w:w="8075" w:type="dxa"/>
          </w:tcPr>
          <w:p w14:paraId="6C914B23" w14:textId="70EEBBE1" w:rsidR="00486774" w:rsidRDefault="000C6743" w:rsidP="005E041E">
            <w:pPr>
              <w:pStyle w:val="Body"/>
              <w:spacing w:before="60"/>
            </w:pPr>
            <w:r w:rsidRPr="00702712">
              <w:t>r.8(2) Health service establishment protocols for quality and safety</w:t>
            </w:r>
          </w:p>
        </w:tc>
        <w:tc>
          <w:tcPr>
            <w:tcW w:w="14024" w:type="dxa"/>
          </w:tcPr>
          <w:p w14:paraId="1CFC63EB" w14:textId="7AC20331" w:rsidR="00486774" w:rsidRDefault="000C6743" w:rsidP="005E041E">
            <w:pPr>
              <w:pStyle w:val="Body"/>
              <w:spacing w:before="60"/>
            </w:pPr>
            <w:r w:rsidRPr="001B43BC">
              <w:t>Added an option for</w:t>
            </w:r>
            <w:r w:rsidRPr="001B43BC">
              <w:rPr>
                <w:b/>
                <w:bCs/>
              </w:rPr>
              <w:t xml:space="preserve"> </w:t>
            </w:r>
            <w:r w:rsidRPr="001B43BC">
              <w:t>the Secretary to determine how a</w:t>
            </w:r>
            <w:r w:rsidR="00F26C34" w:rsidRPr="001B43BC">
              <w:t xml:space="preserve"> health service establishment</w:t>
            </w:r>
            <w:r w:rsidRPr="001B43BC">
              <w:t xml:space="preserve"> </w:t>
            </w:r>
            <w:r w:rsidR="00F26C34" w:rsidRPr="001B43BC">
              <w:t>(</w:t>
            </w:r>
            <w:r w:rsidRPr="001B43BC">
              <w:t>HSE</w:t>
            </w:r>
            <w:r w:rsidR="00F26C34" w:rsidRPr="001B43BC">
              <w:t>)</w:t>
            </w:r>
            <w:r w:rsidRPr="001B43BC">
              <w:t xml:space="preserve"> should make </w:t>
            </w:r>
            <w:r w:rsidR="00E95094" w:rsidRPr="001B43BC">
              <w:t xml:space="preserve">its </w:t>
            </w:r>
            <w:r w:rsidRPr="001B43BC">
              <w:t xml:space="preserve">protocols available as an alternative to the current requirement for HSEs to publish their protocols on their website. This change was prompted by general feedback from external and internal stakeholders about </w:t>
            </w:r>
            <w:r w:rsidR="00A14C7F" w:rsidRPr="001B43BC">
              <w:t xml:space="preserve">existing and proposed new elements of the quality and safety protocols </w:t>
            </w:r>
            <w:r w:rsidR="00C24602" w:rsidRPr="001B43BC">
              <w:t xml:space="preserve">that </w:t>
            </w:r>
            <w:r w:rsidR="003C0E5C" w:rsidRPr="001B43BC">
              <w:t xml:space="preserve">are </w:t>
            </w:r>
            <w:r w:rsidR="00207042" w:rsidRPr="001B43BC">
              <w:t xml:space="preserve">most </w:t>
            </w:r>
            <w:r w:rsidR="003C0E5C" w:rsidRPr="001B43BC">
              <w:t>relevant</w:t>
            </w:r>
            <w:r w:rsidR="00A43670" w:rsidRPr="001B43BC">
              <w:t xml:space="preserve"> to</w:t>
            </w:r>
            <w:r w:rsidR="000B5538" w:rsidRPr="001B43BC">
              <w:t xml:space="preserve"> </w:t>
            </w:r>
            <w:r w:rsidR="00605C89" w:rsidRPr="001B43BC">
              <w:t>different stakeholder</w:t>
            </w:r>
            <w:r w:rsidR="00E323D3" w:rsidRPr="001B43BC">
              <w:t xml:space="preserve"> cohorts. </w:t>
            </w:r>
            <w:r w:rsidR="003C72D7" w:rsidRPr="001B43BC">
              <w:t xml:space="preserve">The amended Regulation will </w:t>
            </w:r>
            <w:r w:rsidR="001B378A" w:rsidRPr="001B43BC">
              <w:t>ensure continuing transparency for consumers</w:t>
            </w:r>
            <w:r w:rsidR="004468E4" w:rsidRPr="001B43BC">
              <w:t>,</w:t>
            </w:r>
            <w:r w:rsidR="001B378A" w:rsidRPr="001B43BC">
              <w:t xml:space="preserve"> </w:t>
            </w:r>
            <w:r w:rsidR="007A3AA4" w:rsidRPr="001B43BC">
              <w:t>w</w:t>
            </w:r>
            <w:r w:rsidR="003C72D7" w:rsidRPr="001B43BC">
              <w:t>hile a</w:t>
            </w:r>
            <w:r w:rsidR="007A3AA4" w:rsidRPr="001B43BC">
              <w:t>llow</w:t>
            </w:r>
            <w:r w:rsidR="003C72D7" w:rsidRPr="001B43BC">
              <w:t>ing</w:t>
            </w:r>
            <w:r w:rsidR="007A3AA4" w:rsidRPr="001B43BC">
              <w:t xml:space="preserve"> the </w:t>
            </w:r>
            <w:r w:rsidR="00F71828" w:rsidRPr="001B43BC">
              <w:t xml:space="preserve">Secretary </w:t>
            </w:r>
            <w:r w:rsidR="007A3AA4" w:rsidRPr="001B43BC">
              <w:t xml:space="preserve">to </w:t>
            </w:r>
            <w:r w:rsidR="00F71828" w:rsidRPr="001B43BC">
              <w:t xml:space="preserve">determine </w:t>
            </w:r>
            <w:r w:rsidR="006C20B6" w:rsidRPr="001B43BC">
              <w:t>a</w:t>
            </w:r>
            <w:r w:rsidR="00F71828" w:rsidRPr="001B43BC">
              <w:t xml:space="preserve"> form and manner for making information available </w:t>
            </w:r>
            <w:r w:rsidR="00EB46EC" w:rsidRPr="001B43BC">
              <w:t xml:space="preserve">that aligns with </w:t>
            </w:r>
            <w:r w:rsidR="00081203" w:rsidRPr="001B43BC">
              <w:t>the</w:t>
            </w:r>
            <w:r w:rsidR="002206C8" w:rsidRPr="001B43BC">
              <w:t xml:space="preserve"> </w:t>
            </w:r>
            <w:r w:rsidR="00ED6245" w:rsidRPr="001B43BC">
              <w:t xml:space="preserve">proposed </w:t>
            </w:r>
            <w:r w:rsidR="000526D2" w:rsidRPr="001B43BC">
              <w:t xml:space="preserve">guidelines for </w:t>
            </w:r>
            <w:r w:rsidR="00ED6245" w:rsidRPr="001B43BC">
              <w:t xml:space="preserve">quality and safety </w:t>
            </w:r>
            <w:r w:rsidR="000526D2" w:rsidRPr="001B43BC">
              <w:t xml:space="preserve">protocols </w:t>
            </w:r>
            <w:r w:rsidR="00ED6245" w:rsidRPr="001B43BC">
              <w:t xml:space="preserve">(under </w:t>
            </w:r>
            <w:r w:rsidR="007B6CD4" w:rsidRPr="001B43BC">
              <w:t xml:space="preserve">new </w:t>
            </w:r>
            <w:r w:rsidR="00ED6245" w:rsidRPr="001B43BC">
              <w:t>r.9)</w:t>
            </w:r>
            <w:r w:rsidR="00CE4FD1" w:rsidRPr="001B43BC">
              <w:t>.</w:t>
            </w:r>
          </w:p>
        </w:tc>
      </w:tr>
      <w:tr w:rsidR="00486774" w14:paraId="1FFCBB84" w14:textId="77777777" w:rsidTr="00B437A1">
        <w:tc>
          <w:tcPr>
            <w:tcW w:w="8075" w:type="dxa"/>
          </w:tcPr>
          <w:p w14:paraId="10ED6154" w14:textId="7E93D184" w:rsidR="00486774" w:rsidRDefault="000C6743" w:rsidP="005E041E">
            <w:pPr>
              <w:pStyle w:val="Body"/>
              <w:spacing w:before="60"/>
            </w:pPr>
            <w:r w:rsidRPr="00702712">
              <w:t>r.8(3) Health service establishment protocols for quality and safety</w:t>
            </w:r>
          </w:p>
        </w:tc>
        <w:tc>
          <w:tcPr>
            <w:tcW w:w="14024" w:type="dxa"/>
          </w:tcPr>
          <w:p w14:paraId="7DBB92D4" w14:textId="360A1B1D" w:rsidR="00486774" w:rsidRDefault="000C6743" w:rsidP="005E041E">
            <w:pPr>
              <w:pStyle w:val="Body"/>
              <w:spacing w:before="60"/>
            </w:pPr>
            <w:r>
              <w:t>Changed the commencement date for the new quality and safety protocols requirements from 6 months to 12 months</w:t>
            </w:r>
            <w:r>
              <w:rPr>
                <w:rStyle w:val="FootnoteReference"/>
              </w:rPr>
              <w:footnoteReference w:id="4"/>
            </w:r>
            <w:r>
              <w:t xml:space="preserve">, as proposed by </w:t>
            </w:r>
            <w:r>
              <w:rPr>
                <w:b/>
                <w:bCs/>
              </w:rPr>
              <w:t>CHA/anonymous</w:t>
            </w:r>
            <w:r>
              <w:t>.</w:t>
            </w:r>
            <w:r w:rsidRPr="001F2618">
              <w:rPr>
                <w:b/>
                <w:bCs/>
              </w:rPr>
              <w:t xml:space="preserve">  </w:t>
            </w:r>
          </w:p>
        </w:tc>
      </w:tr>
      <w:tr w:rsidR="00486774" w14:paraId="7FC2A25D" w14:textId="77777777" w:rsidTr="00B437A1">
        <w:tc>
          <w:tcPr>
            <w:tcW w:w="8075" w:type="dxa"/>
          </w:tcPr>
          <w:p w14:paraId="3DB26B07" w14:textId="4141E6B5" w:rsidR="00486774" w:rsidRDefault="000C6743" w:rsidP="005E041E">
            <w:pPr>
              <w:pStyle w:val="Body"/>
              <w:spacing w:before="60"/>
            </w:pPr>
            <w:r w:rsidRPr="00702712">
              <w:t>r.10 Review of health service establishment protocols for quality and safety</w:t>
            </w:r>
          </w:p>
        </w:tc>
        <w:tc>
          <w:tcPr>
            <w:tcW w:w="14024" w:type="dxa"/>
          </w:tcPr>
          <w:p w14:paraId="00C0CE9A" w14:textId="446E5CFD" w:rsidR="00486774" w:rsidRDefault="00C10B2C" w:rsidP="005E041E">
            <w:pPr>
              <w:pStyle w:val="Body"/>
              <w:spacing w:before="60"/>
            </w:pPr>
            <w:r>
              <w:t xml:space="preserve">Changed the commencement date for the new power for the Secretary </w:t>
            </w:r>
            <w:r w:rsidR="003E7426">
              <w:t xml:space="preserve">to </w:t>
            </w:r>
            <w:r>
              <w:t>review HSEs’ quality and safety protocols and issue directions to update the protocols from 12 months to 18 months</w:t>
            </w:r>
            <w:r>
              <w:rPr>
                <w:rStyle w:val="FootnoteReference"/>
              </w:rPr>
              <w:footnoteReference w:id="5"/>
            </w:r>
            <w:r>
              <w:t xml:space="preserve">, as proposed by </w:t>
            </w:r>
            <w:r>
              <w:rPr>
                <w:b/>
                <w:bCs/>
              </w:rPr>
              <w:t>CHA/anonymous</w:t>
            </w:r>
            <w:r>
              <w:t>.</w:t>
            </w:r>
            <w:r w:rsidRPr="001F2618">
              <w:rPr>
                <w:b/>
                <w:bCs/>
              </w:rPr>
              <w:t xml:space="preserve">  </w:t>
            </w:r>
          </w:p>
        </w:tc>
      </w:tr>
      <w:tr w:rsidR="000C6743" w14:paraId="0A6FA24A" w14:textId="77777777" w:rsidTr="00B437A1">
        <w:tc>
          <w:tcPr>
            <w:tcW w:w="8075" w:type="dxa"/>
          </w:tcPr>
          <w:p w14:paraId="4E6BA972" w14:textId="768DA7F5" w:rsidR="000C6743" w:rsidRPr="00702712" w:rsidRDefault="000C6743" w:rsidP="005E041E">
            <w:pPr>
              <w:pStyle w:val="Body"/>
              <w:spacing w:before="60"/>
            </w:pPr>
            <w:r w:rsidRPr="00702712">
              <w:t>r.24 Information about fees and services</w:t>
            </w:r>
          </w:p>
        </w:tc>
        <w:tc>
          <w:tcPr>
            <w:tcW w:w="14024" w:type="dxa"/>
          </w:tcPr>
          <w:p w14:paraId="13504B91" w14:textId="0E4ADF2D" w:rsidR="000C6743" w:rsidRDefault="00BF3177" w:rsidP="005E041E">
            <w:pPr>
              <w:pStyle w:val="Body"/>
              <w:spacing w:before="60"/>
            </w:pPr>
            <w:r w:rsidRPr="00165C39">
              <w:t>Redrafted the Regulation to</w:t>
            </w:r>
            <w:r>
              <w:rPr>
                <w:b/>
                <w:bCs/>
              </w:rPr>
              <w:t xml:space="preserve"> </w:t>
            </w:r>
            <w:r w:rsidRPr="0046078B">
              <w:t>clarify</w:t>
            </w:r>
            <w:r>
              <w:t xml:space="preserve"> that HSEs must provide information about </w:t>
            </w:r>
            <w:r>
              <w:rPr>
                <w:i/>
                <w:iCs/>
              </w:rPr>
              <w:t>likely</w:t>
            </w:r>
            <w:r>
              <w:t xml:space="preserve"> third party fees and out of pocket expenses, in response to </w:t>
            </w:r>
            <w:r>
              <w:rPr>
                <w:b/>
                <w:bCs/>
              </w:rPr>
              <w:t xml:space="preserve">Healthscope’s </w:t>
            </w:r>
            <w:r>
              <w:t xml:space="preserve">concerns about </w:t>
            </w:r>
            <w:r w:rsidR="004053E2">
              <w:t xml:space="preserve">an obligation to </w:t>
            </w:r>
            <w:r w:rsidR="00FA0B50">
              <w:t xml:space="preserve">make representations about </w:t>
            </w:r>
            <w:r>
              <w:t>precise fees for third party providers.</w:t>
            </w:r>
          </w:p>
        </w:tc>
      </w:tr>
      <w:tr w:rsidR="000C6743" w14:paraId="04E895A6" w14:textId="77777777" w:rsidTr="00B437A1">
        <w:tc>
          <w:tcPr>
            <w:tcW w:w="8075" w:type="dxa"/>
          </w:tcPr>
          <w:p w14:paraId="78E6A9D8" w14:textId="2E36146C" w:rsidR="000C6743" w:rsidRPr="00702712" w:rsidRDefault="000C6743" w:rsidP="005E041E">
            <w:pPr>
              <w:pStyle w:val="Body"/>
              <w:spacing w:before="60"/>
            </w:pPr>
            <w:r w:rsidRPr="00702712">
              <w:t>r.44 Discharge information</w:t>
            </w:r>
          </w:p>
        </w:tc>
        <w:tc>
          <w:tcPr>
            <w:tcW w:w="14024" w:type="dxa"/>
          </w:tcPr>
          <w:p w14:paraId="440EC000" w14:textId="35AB3B01" w:rsidR="000C6743" w:rsidRDefault="00BF3177" w:rsidP="005E041E">
            <w:pPr>
              <w:pStyle w:val="Body"/>
              <w:spacing w:before="60"/>
            </w:pPr>
            <w:r w:rsidRPr="00165C39">
              <w:t>Redrafted the Regulation to</w:t>
            </w:r>
            <w:r>
              <w:rPr>
                <w:b/>
                <w:bCs/>
              </w:rPr>
              <w:t xml:space="preserve"> </w:t>
            </w:r>
            <w:r w:rsidRPr="00193926">
              <w:t>clarify</w:t>
            </w:r>
            <w:r>
              <w:t xml:space="preserve"> that </w:t>
            </w:r>
            <w:r w:rsidR="007F22FE">
              <w:t xml:space="preserve">- as per the policy proposal in the RIS - </w:t>
            </w:r>
            <w:r>
              <w:t xml:space="preserve">HSEs are only required to detail cessations, variations and additions to a patient’s regular prescribed medications and, for overnight patients, provide a summary or statement about other unchanged medications, with the level of detail to be determined by the HSEs with regard to the clinical profile of the patient. This change was prompted by feedback from </w:t>
            </w:r>
            <w:r>
              <w:rPr>
                <w:b/>
                <w:bCs/>
              </w:rPr>
              <w:t>CHA/anonymous</w:t>
            </w:r>
            <w:r>
              <w:t xml:space="preserve"> and </w:t>
            </w:r>
            <w:r w:rsidRPr="00196AF5">
              <w:rPr>
                <w:b/>
                <w:bCs/>
              </w:rPr>
              <w:t>H</w:t>
            </w:r>
            <w:r>
              <w:rPr>
                <w:b/>
                <w:bCs/>
              </w:rPr>
              <w:t>ealthscope.</w:t>
            </w:r>
          </w:p>
        </w:tc>
      </w:tr>
    </w:tbl>
    <w:p w14:paraId="15CD45F7" w14:textId="77777777" w:rsidR="003B2A63" w:rsidRDefault="003B2A63" w:rsidP="00ED3820">
      <w:pPr>
        <w:pStyle w:val="Body"/>
      </w:pPr>
    </w:p>
    <w:p w14:paraId="4DE3E16A" w14:textId="2E2631CC" w:rsidR="008D1887" w:rsidRDefault="000300B4" w:rsidP="008D1887">
      <w:pPr>
        <w:pStyle w:val="Heading1"/>
      </w:pPr>
      <w:r>
        <w:t>Possible future amendments</w:t>
      </w:r>
    </w:p>
    <w:p w14:paraId="65E982C6" w14:textId="27617B72" w:rsidR="00434771" w:rsidRDefault="0077285F" w:rsidP="00A23288">
      <w:pPr>
        <w:pStyle w:val="Body"/>
      </w:pPr>
      <w:r>
        <w:t xml:space="preserve">Other feedback and suggestions </w:t>
      </w:r>
      <w:r w:rsidR="00256DA0">
        <w:t xml:space="preserve">received </w:t>
      </w:r>
      <w:r>
        <w:t xml:space="preserve">from stakeholders </w:t>
      </w:r>
      <w:r w:rsidR="00256DA0">
        <w:t xml:space="preserve">in response to the RIS and the </w:t>
      </w:r>
      <w:r w:rsidR="00021C61">
        <w:t xml:space="preserve">August 2023 Discussion paper </w:t>
      </w:r>
      <w:r w:rsidR="006B0673">
        <w:t xml:space="preserve">will </w:t>
      </w:r>
      <w:r w:rsidR="00C46B2E">
        <w:t xml:space="preserve">be considered during Phase 2 reforms </w:t>
      </w:r>
      <w:r w:rsidR="003E2A4E">
        <w:t>(</w:t>
      </w:r>
      <w:r w:rsidR="00491E70">
        <w:t>as foreshadowed in the RIS</w:t>
      </w:r>
      <w:r w:rsidR="003E2A4E">
        <w:t>)</w:t>
      </w:r>
      <w:r w:rsidR="007E50D5">
        <w:t xml:space="preserve"> to </w:t>
      </w:r>
      <w:r w:rsidR="00F46E54">
        <w:t xml:space="preserve">allow for </w:t>
      </w:r>
      <w:r w:rsidR="003906A8">
        <w:t>broader consultation</w:t>
      </w:r>
      <w:r w:rsidR="006B0673">
        <w:t xml:space="preserve"> and </w:t>
      </w:r>
      <w:r w:rsidR="00491E70">
        <w:t>appropriate</w:t>
      </w:r>
      <w:r w:rsidR="006B0673">
        <w:t xml:space="preserve"> impact assessment</w:t>
      </w:r>
      <w:r w:rsidR="003906A8">
        <w:t xml:space="preserve">. </w:t>
      </w:r>
    </w:p>
    <w:p w14:paraId="38A0CB21" w14:textId="072D0A1C" w:rsidR="006C1240" w:rsidRDefault="00DA03C9" w:rsidP="00A23288">
      <w:pPr>
        <w:pStyle w:val="Body"/>
      </w:pPr>
      <w:r>
        <w:t>These</w:t>
      </w:r>
      <w:r w:rsidR="006128B0">
        <w:t xml:space="preserve"> </w:t>
      </w:r>
      <w:r w:rsidR="00F81E42">
        <w:t>include:</w:t>
      </w:r>
    </w:p>
    <w:p w14:paraId="77A33D73" w14:textId="2E012A6A" w:rsidR="00F81E42" w:rsidRPr="0007443D" w:rsidRDefault="00AA1C53" w:rsidP="00AB4E0F">
      <w:pPr>
        <w:pStyle w:val="Body"/>
        <w:numPr>
          <w:ilvl w:val="0"/>
          <w:numId w:val="68"/>
        </w:numPr>
        <w:ind w:left="284" w:hanging="284"/>
      </w:pPr>
      <w:r>
        <w:t xml:space="preserve">Possible amendments to several Regulations (e.g. </w:t>
      </w:r>
      <w:r w:rsidR="00866929">
        <w:t xml:space="preserve">rr.27, 28. 44 and 47) </w:t>
      </w:r>
      <w:r w:rsidR="000F6C58">
        <w:t>to include</w:t>
      </w:r>
      <w:r w:rsidR="00BE688E">
        <w:t xml:space="preserve"> additional </w:t>
      </w:r>
      <w:r w:rsidR="00696162">
        <w:t>gender-related terms, such as</w:t>
      </w:r>
      <w:r w:rsidR="000F6C58">
        <w:t xml:space="preserve"> </w:t>
      </w:r>
      <w:r w:rsidR="005864E2" w:rsidRPr="005864E2">
        <w:rPr>
          <w:i/>
          <w:iCs/>
        </w:rPr>
        <w:t>sex assigned at birth, gender identity</w:t>
      </w:r>
      <w:r w:rsidR="00BE688E">
        <w:rPr>
          <w:i/>
          <w:iCs/>
        </w:rPr>
        <w:t xml:space="preserve"> </w:t>
      </w:r>
      <w:r w:rsidR="00BE688E" w:rsidRPr="00BE688E">
        <w:t>and</w:t>
      </w:r>
      <w:r w:rsidR="00BE688E">
        <w:rPr>
          <w:b/>
          <w:bCs/>
        </w:rPr>
        <w:t xml:space="preserve"> </w:t>
      </w:r>
      <w:r w:rsidR="00BE688E" w:rsidRPr="00BE688E">
        <w:rPr>
          <w:i/>
          <w:iCs/>
        </w:rPr>
        <w:t>sexual orientation</w:t>
      </w:r>
      <w:r w:rsidR="008E614E">
        <w:rPr>
          <w:i/>
          <w:iCs/>
        </w:rPr>
        <w:t xml:space="preserve">. </w:t>
      </w:r>
      <w:r w:rsidR="008E614E">
        <w:t xml:space="preserve">These </w:t>
      </w:r>
      <w:r w:rsidR="001C4357">
        <w:t xml:space="preserve">suggestions came from </w:t>
      </w:r>
      <w:r w:rsidR="001C4357">
        <w:rPr>
          <w:b/>
          <w:bCs/>
        </w:rPr>
        <w:t xml:space="preserve">ANMF </w:t>
      </w:r>
      <w:r w:rsidR="001C4357">
        <w:t xml:space="preserve">and </w:t>
      </w:r>
      <w:r w:rsidR="00403C3E">
        <w:rPr>
          <w:b/>
          <w:bCs/>
        </w:rPr>
        <w:t>ASMIRT.</w:t>
      </w:r>
    </w:p>
    <w:p w14:paraId="672BD63A" w14:textId="69EF0E98" w:rsidR="0007443D" w:rsidRDefault="0007443D" w:rsidP="00AB4E0F">
      <w:pPr>
        <w:pStyle w:val="Body"/>
        <w:numPr>
          <w:ilvl w:val="0"/>
          <w:numId w:val="68"/>
        </w:numPr>
        <w:ind w:left="284" w:hanging="284"/>
      </w:pPr>
      <w:r>
        <w:t xml:space="preserve">Possible </w:t>
      </w:r>
      <w:r w:rsidR="00D005A1">
        <w:t>amendment</w:t>
      </w:r>
      <w:r w:rsidR="007A5668">
        <w:t>s</w:t>
      </w:r>
      <w:r w:rsidR="00823960">
        <w:t xml:space="preserve"> to the Surgical Procedure Register </w:t>
      </w:r>
      <w:r w:rsidR="00761148">
        <w:t xml:space="preserve">(r.47) </w:t>
      </w:r>
      <w:r w:rsidR="00823960">
        <w:t>to include a requirement to record information about implants</w:t>
      </w:r>
      <w:r w:rsidR="00984F60">
        <w:t xml:space="preserve">, as suggested by </w:t>
      </w:r>
      <w:r w:rsidR="00984F60">
        <w:rPr>
          <w:b/>
          <w:bCs/>
        </w:rPr>
        <w:t>ASMIRT</w:t>
      </w:r>
      <w:r w:rsidR="007F6B7F">
        <w:rPr>
          <w:b/>
          <w:bCs/>
        </w:rPr>
        <w:t>.</w:t>
      </w:r>
      <w:r w:rsidR="002D4A3C">
        <w:rPr>
          <w:b/>
          <w:bCs/>
        </w:rPr>
        <w:t xml:space="preserve"> </w:t>
      </w:r>
      <w:r w:rsidR="007F6B7F" w:rsidRPr="00C11658">
        <w:t>This</w:t>
      </w:r>
      <w:r w:rsidR="007F6B7F">
        <w:rPr>
          <w:b/>
          <w:bCs/>
        </w:rPr>
        <w:t xml:space="preserve"> </w:t>
      </w:r>
      <w:r w:rsidR="009D3E92">
        <w:t xml:space="preserve">proposal </w:t>
      </w:r>
      <w:r w:rsidR="002D4A3C">
        <w:t xml:space="preserve">may be considered </w:t>
      </w:r>
      <w:r w:rsidR="00E14E63">
        <w:t>in context</w:t>
      </w:r>
      <w:r w:rsidR="00C40E11">
        <w:t xml:space="preserve"> with </w:t>
      </w:r>
      <w:r w:rsidR="00CE1D48">
        <w:t xml:space="preserve">new </w:t>
      </w:r>
      <w:r w:rsidR="00B43607">
        <w:t>requirements for</w:t>
      </w:r>
      <w:r w:rsidR="00BF78F5">
        <w:t xml:space="preserve"> relevant </w:t>
      </w:r>
      <w:r w:rsidR="00E916DC">
        <w:t xml:space="preserve">HSEs </w:t>
      </w:r>
      <w:r w:rsidR="006C5AA3">
        <w:t xml:space="preserve">to keep </w:t>
      </w:r>
      <w:r w:rsidR="00B43607">
        <w:t>a Cosmetic Surgery Register</w:t>
      </w:r>
      <w:r w:rsidR="00EF778A">
        <w:t xml:space="preserve"> </w:t>
      </w:r>
      <w:r w:rsidR="00A21408">
        <w:t>under</w:t>
      </w:r>
      <w:r w:rsidR="00EF778A">
        <w:t xml:space="preserve"> </w:t>
      </w:r>
      <w:r w:rsidR="00B43607">
        <w:t xml:space="preserve">the </w:t>
      </w:r>
      <w:hyperlink r:id="rId12" w:history="1">
        <w:r w:rsidR="00B43607" w:rsidRPr="00B22A17">
          <w:rPr>
            <w:rStyle w:val="Hyperlink"/>
          </w:rPr>
          <w:t>National Cosmetic Surgery Licensing Framework</w:t>
        </w:r>
      </w:hyperlink>
      <w:r w:rsidR="00F77E2D">
        <w:t>.</w:t>
      </w:r>
      <w:r w:rsidR="00872EDE">
        <w:rPr>
          <w:rStyle w:val="FootnoteReference"/>
        </w:rPr>
        <w:footnoteReference w:id="6"/>
      </w:r>
    </w:p>
    <w:p w14:paraId="15461DFD" w14:textId="1D26039C" w:rsidR="000D117D" w:rsidRDefault="00F5568F" w:rsidP="00AB4E0F">
      <w:pPr>
        <w:pStyle w:val="Body"/>
        <w:numPr>
          <w:ilvl w:val="0"/>
          <w:numId w:val="68"/>
        </w:numPr>
        <w:ind w:left="284" w:hanging="284"/>
      </w:pPr>
      <w:r>
        <w:t>Possible amendments to senior appointments and staffing arrangements</w:t>
      </w:r>
      <w:r w:rsidR="00694276">
        <w:t>.</w:t>
      </w:r>
    </w:p>
    <w:p w14:paraId="6442E386" w14:textId="77777777" w:rsidR="00C137A3" w:rsidRDefault="00F93FB5" w:rsidP="00491E70">
      <w:pPr>
        <w:pStyle w:val="Body"/>
        <w:numPr>
          <w:ilvl w:val="0"/>
          <w:numId w:val="68"/>
        </w:numPr>
        <w:ind w:left="284" w:hanging="284"/>
      </w:pPr>
      <w:r>
        <w:t>Possible changes or clarification</w:t>
      </w:r>
      <w:r w:rsidR="00BB6506">
        <w:t>s</w:t>
      </w:r>
      <w:r w:rsidR="00D537EA">
        <w:t xml:space="preserve"> of the scope of the registration scheme</w:t>
      </w:r>
      <w:r w:rsidR="00E34C91">
        <w:t xml:space="preserve"> (the </w:t>
      </w:r>
      <w:r w:rsidR="0095204A">
        <w:t xml:space="preserve">provisions of the Regulations that prescribe or define services provided </w:t>
      </w:r>
      <w:r w:rsidR="0038242D">
        <w:t>by a health service establishment, for</w:t>
      </w:r>
      <w:r w:rsidR="0095204A">
        <w:t xml:space="preserve"> the purposes of the registration requirements in the Act)</w:t>
      </w:r>
      <w:r w:rsidR="0022050D">
        <w:t>.</w:t>
      </w:r>
    </w:p>
    <w:p w14:paraId="716F9697" w14:textId="0DAB4A3C" w:rsidR="0022050D" w:rsidRPr="003902AE" w:rsidRDefault="00491E70" w:rsidP="00DB15EF">
      <w:pPr>
        <w:pStyle w:val="Body"/>
        <w:spacing w:before="240"/>
      </w:pPr>
      <w:r>
        <w:t xml:space="preserve">The department </w:t>
      </w:r>
      <w:r w:rsidR="004D60EE">
        <w:t xml:space="preserve">also </w:t>
      </w:r>
      <w:r>
        <w:t xml:space="preserve">notes stakeholder feedback </w:t>
      </w:r>
      <w:r w:rsidR="006B5BF1">
        <w:t xml:space="preserve">during this review on the </w:t>
      </w:r>
      <w:r w:rsidR="00636B4C">
        <w:t>R</w:t>
      </w:r>
      <w:r w:rsidR="006B5BF1">
        <w:t xml:space="preserve">egulations about </w:t>
      </w:r>
      <w:r w:rsidR="00C137A3">
        <w:t>potential updates to</w:t>
      </w:r>
      <w:r w:rsidR="000E5FF2">
        <w:t xml:space="preserve"> </w:t>
      </w:r>
      <w:r w:rsidR="00496AAA">
        <w:t>data reporting requirements and proce</w:t>
      </w:r>
      <w:r w:rsidR="008B45D4">
        <w:t>sses</w:t>
      </w:r>
      <w:r w:rsidR="007C3787">
        <w:t xml:space="preserve">. </w:t>
      </w:r>
      <w:r w:rsidR="00A27371">
        <w:t xml:space="preserve">For example, </w:t>
      </w:r>
      <w:r w:rsidR="00A27371">
        <w:rPr>
          <w:b/>
          <w:bCs/>
        </w:rPr>
        <w:t xml:space="preserve">CHA/anonymous </w:t>
      </w:r>
      <w:r w:rsidR="00725A4A">
        <w:t xml:space="preserve">have </w:t>
      </w:r>
      <w:r w:rsidR="009F45B5">
        <w:t xml:space="preserve">expressed </w:t>
      </w:r>
      <w:r w:rsidR="003260DB">
        <w:t>concerns about</w:t>
      </w:r>
      <w:r w:rsidR="00725A4A">
        <w:t xml:space="preserve"> </w:t>
      </w:r>
      <w:r w:rsidR="00092957">
        <w:t xml:space="preserve">VICNISS reporting requirements, and </w:t>
      </w:r>
      <w:r w:rsidR="00D3306D">
        <w:rPr>
          <w:b/>
          <w:bCs/>
        </w:rPr>
        <w:t xml:space="preserve">ANMF </w:t>
      </w:r>
      <w:r w:rsidR="00D3306D">
        <w:t xml:space="preserve">have proposed broader </w:t>
      </w:r>
      <w:r w:rsidR="004A3E97">
        <w:t xml:space="preserve">adverse </w:t>
      </w:r>
      <w:r w:rsidR="00D3306D">
        <w:t>incident</w:t>
      </w:r>
      <w:r w:rsidR="00A27371">
        <w:t xml:space="preserve"> </w:t>
      </w:r>
      <w:r w:rsidR="004A3E97">
        <w:t>reporting</w:t>
      </w:r>
      <w:r w:rsidR="005A48B7">
        <w:t xml:space="preserve"> requirements</w:t>
      </w:r>
      <w:r w:rsidR="00C11F41">
        <w:t xml:space="preserve"> (e.g. VHIMS)</w:t>
      </w:r>
      <w:r w:rsidR="003260DB">
        <w:t>.</w:t>
      </w:r>
      <w:r w:rsidR="00C137A3">
        <w:t xml:space="preserve"> These </w:t>
      </w:r>
      <w:r w:rsidR="00A07856">
        <w:t xml:space="preserve">are noted by the department for future consideration. </w:t>
      </w:r>
    </w:p>
    <w:p w14:paraId="74E06113" w14:textId="77777777" w:rsidR="00176266" w:rsidRDefault="00176266" w:rsidP="00ED3820">
      <w:pPr>
        <w:pStyle w:val="Body"/>
      </w:pPr>
    </w:p>
    <w:p w14:paraId="60E6CF3B" w14:textId="0FB62928" w:rsidR="00E02C12" w:rsidRDefault="00E02C12" w:rsidP="00ED3820">
      <w:pPr>
        <w:pStyle w:val="Body"/>
      </w:pPr>
    </w:p>
    <w:p w14:paraId="2B3B0164" w14:textId="77777777" w:rsidR="003F6677" w:rsidRDefault="003F6677" w:rsidP="00ED3820">
      <w:pPr>
        <w:pStyle w:val="Body"/>
        <w:rPr>
          <w:b/>
          <w:bCs/>
        </w:rPr>
        <w:sectPr w:rsidR="003F6677" w:rsidSect="003F6677">
          <w:headerReference w:type="default" r:id="rId13"/>
          <w:footerReference w:type="even" r:id="rId14"/>
          <w:footerReference w:type="default" r:id="rId15"/>
          <w:headerReference w:type="first" r:id="rId16"/>
          <w:footerReference w:type="first" r:id="rId17"/>
          <w:pgSz w:w="16838" w:h="23811" w:code="8"/>
          <w:pgMar w:top="851" w:right="1418" w:bottom="851" w:left="1418" w:header="680" w:footer="851" w:gutter="0"/>
          <w:cols w:space="340"/>
          <w:titlePg/>
          <w:docGrid w:linePitch="360"/>
        </w:sectPr>
      </w:pPr>
    </w:p>
    <w:p w14:paraId="5D467BA2" w14:textId="40F905BC" w:rsidR="00276968" w:rsidRDefault="00537EB6" w:rsidP="009B569F">
      <w:pPr>
        <w:pStyle w:val="Heading1"/>
      </w:pPr>
      <w:r>
        <w:lastRenderedPageBreak/>
        <w:t>S</w:t>
      </w:r>
      <w:r w:rsidR="0017749B">
        <w:t>ummary of s</w:t>
      </w:r>
      <w:r>
        <w:t>takeholder f</w:t>
      </w:r>
      <w:r w:rsidR="009B569F">
        <w:t>eedback</w:t>
      </w:r>
      <w:r>
        <w:t xml:space="preserve"> </w:t>
      </w:r>
    </w:p>
    <w:p w14:paraId="1F47BC86" w14:textId="31DB2089" w:rsidR="00E44FFC" w:rsidRPr="00E44FFC" w:rsidRDefault="00E44FFC" w:rsidP="00E44FFC">
      <w:pPr>
        <w:pStyle w:val="Tablecaption"/>
        <w:rPr>
          <w:sz w:val="20"/>
        </w:rPr>
      </w:pPr>
      <w:r w:rsidRPr="00E44FFC">
        <w:rPr>
          <w:sz w:val="20"/>
        </w:rPr>
        <w:t>Table 2</w:t>
      </w:r>
      <w:r w:rsidR="00436AC8">
        <w:rPr>
          <w:sz w:val="20"/>
        </w:rPr>
        <w:t>:</w:t>
      </w:r>
      <w:r w:rsidRPr="00E44FFC">
        <w:rPr>
          <w:sz w:val="20"/>
        </w:rPr>
        <w:t xml:space="preserve"> </w:t>
      </w:r>
      <w:r w:rsidR="00436AC8">
        <w:rPr>
          <w:sz w:val="20"/>
        </w:rPr>
        <w:t>S</w:t>
      </w:r>
      <w:r w:rsidRPr="00E44FFC">
        <w:rPr>
          <w:sz w:val="20"/>
        </w:rPr>
        <w:t xml:space="preserve">ummary </w:t>
      </w:r>
      <w:r w:rsidR="00590A5F">
        <w:rPr>
          <w:sz w:val="20"/>
        </w:rPr>
        <w:t xml:space="preserve">of feedback and the </w:t>
      </w:r>
      <w:r w:rsidR="00C87601">
        <w:rPr>
          <w:sz w:val="20"/>
        </w:rPr>
        <w:t>department</w:t>
      </w:r>
      <w:r w:rsidR="00590A5F">
        <w:rPr>
          <w:sz w:val="20"/>
        </w:rPr>
        <w:t>’s response by RIS category</w:t>
      </w:r>
    </w:p>
    <w:tbl>
      <w:tblPr>
        <w:tblStyle w:val="TableGrid"/>
        <w:tblW w:w="0" w:type="auto"/>
        <w:tblLook w:val="04A0" w:firstRow="1" w:lastRow="0" w:firstColumn="1" w:lastColumn="0" w:noHBand="0" w:noVBand="1"/>
      </w:tblPr>
      <w:tblGrid>
        <w:gridCol w:w="7366"/>
        <w:gridCol w:w="7366"/>
        <w:gridCol w:w="7367"/>
      </w:tblGrid>
      <w:tr w:rsidR="0048136C" w:rsidRPr="0048136C" w14:paraId="1360B8D0" w14:textId="77777777" w:rsidTr="4B858DAC">
        <w:trPr>
          <w:tblHeader/>
        </w:trPr>
        <w:tc>
          <w:tcPr>
            <w:tcW w:w="7366" w:type="dxa"/>
            <w:shd w:val="clear" w:color="auto" w:fill="E36C0A" w:themeFill="accent6" w:themeFillShade="BF"/>
          </w:tcPr>
          <w:p w14:paraId="6502B6F4" w14:textId="743DE889" w:rsidR="0048136C" w:rsidRPr="0048136C" w:rsidRDefault="00980A7C" w:rsidP="0048136C">
            <w:pPr>
              <w:rPr>
                <w:b/>
                <w:bCs/>
                <w:color w:val="FFFFFF" w:themeColor="background1"/>
                <w:sz w:val="24"/>
                <w:szCs w:val="24"/>
              </w:rPr>
            </w:pPr>
            <w:r>
              <w:rPr>
                <w:b/>
                <w:bCs/>
                <w:color w:val="FFFFFF" w:themeColor="background1"/>
                <w:sz w:val="24"/>
                <w:szCs w:val="24"/>
              </w:rPr>
              <w:t>Category</w:t>
            </w:r>
            <w:r w:rsidR="003F17E2">
              <w:rPr>
                <w:b/>
                <w:bCs/>
                <w:color w:val="FFFFFF" w:themeColor="background1"/>
                <w:sz w:val="24"/>
                <w:szCs w:val="24"/>
              </w:rPr>
              <w:t xml:space="preserve"> and </w:t>
            </w:r>
            <w:r w:rsidR="00A83835">
              <w:rPr>
                <w:b/>
                <w:bCs/>
                <w:color w:val="FFFFFF" w:themeColor="background1"/>
                <w:sz w:val="24"/>
                <w:szCs w:val="24"/>
              </w:rPr>
              <w:t xml:space="preserve">summary of </w:t>
            </w:r>
            <w:r w:rsidR="003F17E2">
              <w:rPr>
                <w:b/>
                <w:bCs/>
                <w:color w:val="FFFFFF" w:themeColor="background1"/>
                <w:sz w:val="24"/>
                <w:szCs w:val="24"/>
              </w:rPr>
              <w:t>proposed reforms</w:t>
            </w:r>
          </w:p>
        </w:tc>
        <w:tc>
          <w:tcPr>
            <w:tcW w:w="7366" w:type="dxa"/>
            <w:shd w:val="clear" w:color="auto" w:fill="E36C0A" w:themeFill="accent6" w:themeFillShade="BF"/>
          </w:tcPr>
          <w:p w14:paraId="3431899B" w14:textId="35EA931A" w:rsidR="0048136C" w:rsidRPr="0048136C" w:rsidRDefault="00980A7C" w:rsidP="0048136C">
            <w:pPr>
              <w:rPr>
                <w:b/>
                <w:bCs/>
                <w:color w:val="FFFFFF" w:themeColor="background1"/>
                <w:sz w:val="24"/>
                <w:szCs w:val="24"/>
              </w:rPr>
            </w:pPr>
            <w:r>
              <w:rPr>
                <w:b/>
                <w:bCs/>
                <w:color w:val="FFFFFF" w:themeColor="background1"/>
                <w:sz w:val="24"/>
                <w:szCs w:val="24"/>
              </w:rPr>
              <w:t xml:space="preserve">Summary of stakeholder </w:t>
            </w:r>
            <w:r w:rsidR="00EA206B">
              <w:rPr>
                <w:b/>
                <w:bCs/>
                <w:color w:val="FFFFFF" w:themeColor="background1"/>
                <w:sz w:val="24"/>
                <w:szCs w:val="24"/>
              </w:rPr>
              <w:t>feedback</w:t>
            </w:r>
          </w:p>
        </w:tc>
        <w:tc>
          <w:tcPr>
            <w:tcW w:w="7367" w:type="dxa"/>
            <w:shd w:val="clear" w:color="auto" w:fill="E36C0A" w:themeFill="accent6" w:themeFillShade="BF"/>
          </w:tcPr>
          <w:p w14:paraId="6B78C66A" w14:textId="7B28EAC7" w:rsidR="0048136C" w:rsidRPr="0048136C" w:rsidRDefault="00EA206B" w:rsidP="0048136C">
            <w:pPr>
              <w:rPr>
                <w:b/>
                <w:bCs/>
                <w:color w:val="FFFFFF" w:themeColor="background1"/>
                <w:sz w:val="24"/>
                <w:szCs w:val="24"/>
              </w:rPr>
            </w:pPr>
            <w:r>
              <w:rPr>
                <w:b/>
                <w:bCs/>
                <w:color w:val="FFFFFF" w:themeColor="background1"/>
                <w:sz w:val="24"/>
                <w:szCs w:val="24"/>
              </w:rPr>
              <w:t>Department response</w:t>
            </w:r>
          </w:p>
        </w:tc>
      </w:tr>
      <w:tr w:rsidR="0048136C" w:rsidRPr="007A5AE5" w14:paraId="25AB9A0A" w14:textId="77777777" w:rsidTr="4B858DAC">
        <w:tc>
          <w:tcPr>
            <w:tcW w:w="7366" w:type="dxa"/>
          </w:tcPr>
          <w:p w14:paraId="601CEDDA" w14:textId="77777777" w:rsidR="0048136C" w:rsidRPr="007A5AE5" w:rsidRDefault="00EA206B" w:rsidP="00ED3820">
            <w:pPr>
              <w:pStyle w:val="Body"/>
              <w:rPr>
                <w:b/>
                <w:bCs/>
                <w:sz w:val="20"/>
              </w:rPr>
            </w:pPr>
            <w:r w:rsidRPr="007A5AE5">
              <w:rPr>
                <w:b/>
                <w:bCs/>
                <w:sz w:val="20"/>
              </w:rPr>
              <w:t>Clinical Governance</w:t>
            </w:r>
          </w:p>
          <w:p w14:paraId="5A8525EE" w14:textId="06D9C4A7" w:rsidR="00631BC1" w:rsidRPr="007A5AE5" w:rsidRDefault="00AF3716" w:rsidP="00AF3716">
            <w:pPr>
              <w:pStyle w:val="Body"/>
              <w:numPr>
                <w:ilvl w:val="0"/>
                <w:numId w:val="11"/>
              </w:numPr>
              <w:rPr>
                <w:sz w:val="20"/>
              </w:rPr>
            </w:pPr>
            <w:r w:rsidRPr="007A5AE5">
              <w:rPr>
                <w:sz w:val="20"/>
              </w:rPr>
              <w:t xml:space="preserve">Include additional matters that must be addressed in the </w:t>
            </w:r>
            <w:r w:rsidR="00631BC1" w:rsidRPr="007A5AE5">
              <w:rPr>
                <w:sz w:val="20"/>
              </w:rPr>
              <w:t xml:space="preserve">quality and safety </w:t>
            </w:r>
            <w:r w:rsidRPr="007A5AE5">
              <w:rPr>
                <w:sz w:val="20"/>
              </w:rPr>
              <w:t>protocols</w:t>
            </w:r>
            <w:r w:rsidR="00681C91" w:rsidRPr="007A5AE5">
              <w:rPr>
                <w:sz w:val="20"/>
              </w:rPr>
              <w:t xml:space="preserve"> (current r.7A, new r.8)</w:t>
            </w:r>
            <w:r w:rsidR="00A05B3A" w:rsidRPr="007A5AE5">
              <w:rPr>
                <w:sz w:val="20"/>
              </w:rPr>
              <w:t xml:space="preserve">, including the description and allocation of safety and quality roles; processes for </w:t>
            </w:r>
            <w:r w:rsidR="009A2EC5" w:rsidRPr="007A5AE5">
              <w:rPr>
                <w:sz w:val="20"/>
              </w:rPr>
              <w:t xml:space="preserve">the availability of appropriate adjunct diagnostic services; </w:t>
            </w:r>
            <w:r w:rsidR="00480FD3" w:rsidRPr="007A5AE5">
              <w:rPr>
                <w:sz w:val="20"/>
              </w:rPr>
              <w:t>review of adverse patient safety events; addressing the specific needs of Aboriginal person</w:t>
            </w:r>
            <w:r w:rsidR="0061442C" w:rsidRPr="007A5AE5">
              <w:rPr>
                <w:sz w:val="20"/>
              </w:rPr>
              <w:t>s</w:t>
            </w:r>
            <w:r w:rsidR="00A83835" w:rsidRPr="007A5AE5">
              <w:rPr>
                <w:sz w:val="20"/>
              </w:rPr>
              <w:t>; and recognising and responding to patient deterioration</w:t>
            </w:r>
            <w:r w:rsidR="00FC14B9" w:rsidRPr="007A5AE5">
              <w:rPr>
                <w:sz w:val="20"/>
              </w:rPr>
              <w:t>.</w:t>
            </w:r>
          </w:p>
          <w:p w14:paraId="20D46F32" w14:textId="3FD19E92" w:rsidR="00A8151D" w:rsidRPr="007A5AE5" w:rsidRDefault="00A8151D" w:rsidP="00AF3716">
            <w:pPr>
              <w:pStyle w:val="Body"/>
              <w:numPr>
                <w:ilvl w:val="0"/>
                <w:numId w:val="11"/>
              </w:numPr>
              <w:rPr>
                <w:sz w:val="20"/>
              </w:rPr>
            </w:pPr>
            <w:r w:rsidRPr="007A5AE5">
              <w:rPr>
                <w:sz w:val="20"/>
              </w:rPr>
              <w:t>A</w:t>
            </w:r>
            <w:r w:rsidR="00FC14B9" w:rsidRPr="007A5AE5">
              <w:rPr>
                <w:sz w:val="20"/>
              </w:rPr>
              <w:t>llow</w:t>
            </w:r>
            <w:r w:rsidR="006C22D8" w:rsidRPr="007A5AE5">
              <w:rPr>
                <w:sz w:val="20"/>
              </w:rPr>
              <w:t xml:space="preserve"> the Secretary to </w:t>
            </w:r>
            <w:r w:rsidR="00934EC1" w:rsidRPr="007A5AE5">
              <w:rPr>
                <w:sz w:val="20"/>
              </w:rPr>
              <w:t>determine best practice guidelines in relation to</w:t>
            </w:r>
            <w:r w:rsidR="00D53AEC" w:rsidRPr="007A5AE5">
              <w:rPr>
                <w:sz w:val="20"/>
              </w:rPr>
              <w:t xml:space="preserve"> quality and safety protocols</w:t>
            </w:r>
            <w:r w:rsidR="006D1A6B" w:rsidRPr="007A5AE5">
              <w:rPr>
                <w:sz w:val="20"/>
              </w:rPr>
              <w:t>*</w:t>
            </w:r>
            <w:r w:rsidRPr="007A5AE5">
              <w:rPr>
                <w:sz w:val="20"/>
              </w:rPr>
              <w:t>.</w:t>
            </w:r>
          </w:p>
          <w:p w14:paraId="237DB87A" w14:textId="03AC1991" w:rsidR="00A8151D" w:rsidRPr="007A5AE5" w:rsidRDefault="00A8151D" w:rsidP="00AF3716">
            <w:pPr>
              <w:pStyle w:val="Body"/>
              <w:numPr>
                <w:ilvl w:val="0"/>
                <w:numId w:val="11"/>
              </w:numPr>
              <w:rPr>
                <w:sz w:val="20"/>
              </w:rPr>
            </w:pPr>
            <w:r w:rsidRPr="007A5AE5">
              <w:rPr>
                <w:sz w:val="20"/>
              </w:rPr>
              <w:t xml:space="preserve">Allow the Secretary to </w:t>
            </w:r>
            <w:r w:rsidR="006C22D8" w:rsidRPr="007A5AE5">
              <w:rPr>
                <w:sz w:val="20"/>
              </w:rPr>
              <w:t>review</w:t>
            </w:r>
            <w:r w:rsidR="00D53AEC" w:rsidRPr="007A5AE5">
              <w:rPr>
                <w:sz w:val="20"/>
              </w:rPr>
              <w:t xml:space="preserve"> </w:t>
            </w:r>
            <w:r w:rsidRPr="007A5AE5">
              <w:rPr>
                <w:sz w:val="20"/>
              </w:rPr>
              <w:t>HSEs’</w:t>
            </w:r>
            <w:r w:rsidR="006C22D8" w:rsidRPr="007A5AE5">
              <w:rPr>
                <w:sz w:val="20"/>
              </w:rPr>
              <w:t xml:space="preserve"> </w:t>
            </w:r>
            <w:r w:rsidRPr="007A5AE5">
              <w:rPr>
                <w:sz w:val="20"/>
              </w:rPr>
              <w:t>quality and safety protocols, having regard to the best practice guidelines.</w:t>
            </w:r>
          </w:p>
          <w:p w14:paraId="67872A9C" w14:textId="1B9CFE86" w:rsidR="00FD0BD7" w:rsidRPr="007A5AE5" w:rsidRDefault="00A8151D" w:rsidP="00FD0BD7">
            <w:pPr>
              <w:pStyle w:val="Body"/>
              <w:numPr>
                <w:ilvl w:val="0"/>
                <w:numId w:val="11"/>
              </w:numPr>
              <w:rPr>
                <w:sz w:val="20"/>
              </w:rPr>
            </w:pPr>
            <w:r w:rsidRPr="007A5AE5">
              <w:rPr>
                <w:sz w:val="20"/>
              </w:rPr>
              <w:t xml:space="preserve">Allow the Secretary to issue a direction </w:t>
            </w:r>
            <w:r w:rsidR="00217D8A" w:rsidRPr="007A5AE5">
              <w:rPr>
                <w:sz w:val="20"/>
              </w:rPr>
              <w:t>to an HSE to update their quality and safety protocols</w:t>
            </w:r>
            <w:r w:rsidR="005F7DC2" w:rsidRPr="007A5AE5">
              <w:rPr>
                <w:sz w:val="20"/>
              </w:rPr>
              <w:t xml:space="preserve"> following a review.</w:t>
            </w:r>
          </w:p>
          <w:p w14:paraId="49C8962B" w14:textId="1E43B089" w:rsidR="003F17E2" w:rsidRPr="007A5AE5" w:rsidRDefault="00FD0BD7" w:rsidP="00FD0BD7">
            <w:pPr>
              <w:pStyle w:val="Body"/>
              <w:numPr>
                <w:ilvl w:val="0"/>
                <w:numId w:val="11"/>
              </w:numPr>
              <w:rPr>
                <w:sz w:val="20"/>
              </w:rPr>
            </w:pPr>
            <w:r w:rsidRPr="007A5AE5">
              <w:rPr>
                <w:sz w:val="20"/>
              </w:rPr>
              <w:t xml:space="preserve">Require </w:t>
            </w:r>
            <w:r w:rsidR="0015542A" w:rsidRPr="007A5AE5">
              <w:rPr>
                <w:sz w:val="20"/>
              </w:rPr>
              <w:t>the proprietor of an HSE to comply with a direction to update the quality and safety protocols</w:t>
            </w:r>
            <w:r w:rsidR="00EB4242" w:rsidRPr="007A5AE5">
              <w:rPr>
                <w:sz w:val="20"/>
              </w:rPr>
              <w:t xml:space="preserve"> following a review</w:t>
            </w:r>
            <w:r w:rsidR="0015542A" w:rsidRPr="007A5AE5">
              <w:rPr>
                <w:sz w:val="20"/>
              </w:rPr>
              <w:t>.</w:t>
            </w:r>
          </w:p>
          <w:p w14:paraId="009EB10C" w14:textId="2C04BB7A" w:rsidR="00721554" w:rsidRPr="007A5AE5" w:rsidRDefault="00721554" w:rsidP="00721554">
            <w:pPr>
              <w:pStyle w:val="Body"/>
              <w:rPr>
                <w:sz w:val="20"/>
              </w:rPr>
            </w:pPr>
            <w:r w:rsidRPr="007A5AE5">
              <w:rPr>
                <w:sz w:val="20"/>
              </w:rPr>
              <w:t>*</w:t>
            </w:r>
            <w:r w:rsidR="0022374E" w:rsidRPr="007A5AE5">
              <w:rPr>
                <w:sz w:val="20"/>
              </w:rPr>
              <w:t>For example,</w:t>
            </w:r>
            <w:r w:rsidR="00DA62A9" w:rsidRPr="007A5AE5">
              <w:rPr>
                <w:sz w:val="20"/>
              </w:rPr>
              <w:t xml:space="preserve"> SCV’s </w:t>
            </w:r>
            <w:hyperlink r:id="rId18" w:history="1">
              <w:r w:rsidR="00DA62A9" w:rsidRPr="007A5AE5">
                <w:rPr>
                  <w:rStyle w:val="Hyperlink"/>
                  <w:rFonts w:cs="Arial"/>
                  <w:sz w:val="20"/>
                </w:rPr>
                <w:t>Clinical Governance Framework</w:t>
              </w:r>
            </w:hyperlink>
            <w:r w:rsidR="002F3E93">
              <w:rPr>
                <w:rStyle w:val="FootnoteReference"/>
                <w:rFonts w:cs="Arial"/>
                <w:color w:val="004C97"/>
                <w:sz w:val="20"/>
                <w:u w:val="dotted"/>
              </w:rPr>
              <w:footnoteReference w:id="7"/>
            </w:r>
            <w:r w:rsidR="00DA62A9" w:rsidRPr="007A5AE5">
              <w:rPr>
                <w:rFonts w:cs="Arial"/>
                <w:sz w:val="20"/>
              </w:rPr>
              <w:t xml:space="preserve"> and </w:t>
            </w:r>
            <w:hyperlink r:id="rId19" w:history="1">
              <w:r w:rsidR="00DA62A9" w:rsidRPr="007A5AE5">
                <w:rPr>
                  <w:rStyle w:val="Hyperlink"/>
                  <w:rFonts w:cs="Arial"/>
                  <w:sz w:val="20"/>
                </w:rPr>
                <w:t>Credentialing and scope of clinical practice for senior medical practitioners policy</w:t>
              </w:r>
            </w:hyperlink>
            <w:r w:rsidR="008B330A">
              <w:rPr>
                <w:rStyle w:val="FootnoteReference"/>
                <w:rFonts w:cs="Arial"/>
                <w:color w:val="004C97"/>
                <w:sz w:val="20"/>
                <w:u w:val="dotted"/>
              </w:rPr>
              <w:footnoteReference w:id="8"/>
            </w:r>
            <w:r w:rsidR="00DA62A9" w:rsidRPr="007A5AE5">
              <w:rPr>
                <w:rFonts w:cs="Arial"/>
                <w:sz w:val="20"/>
              </w:rPr>
              <w:t xml:space="preserve"> (noting that these would be updated and consulted on first)</w:t>
            </w:r>
          </w:p>
        </w:tc>
        <w:tc>
          <w:tcPr>
            <w:tcW w:w="7366" w:type="dxa"/>
          </w:tcPr>
          <w:p w14:paraId="19A5AE43" w14:textId="3A82EDA7" w:rsidR="0048136C" w:rsidRPr="00276F07" w:rsidRDefault="005854F3" w:rsidP="00276F07">
            <w:pPr>
              <w:pStyle w:val="Body"/>
              <w:numPr>
                <w:ilvl w:val="0"/>
                <w:numId w:val="11"/>
              </w:numPr>
              <w:rPr>
                <w:sz w:val="20"/>
              </w:rPr>
            </w:pPr>
            <w:r w:rsidRPr="00276F07">
              <w:rPr>
                <w:b/>
                <w:bCs/>
                <w:sz w:val="20"/>
              </w:rPr>
              <w:t>CHA/anonymous</w:t>
            </w:r>
            <w:r w:rsidRPr="00276F07">
              <w:rPr>
                <w:sz w:val="20"/>
              </w:rPr>
              <w:t xml:space="preserve"> </w:t>
            </w:r>
            <w:r w:rsidR="00DB41D8" w:rsidRPr="00276F07">
              <w:rPr>
                <w:sz w:val="20"/>
              </w:rPr>
              <w:t xml:space="preserve">generally opposed </w:t>
            </w:r>
            <w:r w:rsidR="00671581" w:rsidRPr="00276F07">
              <w:rPr>
                <w:sz w:val="20"/>
              </w:rPr>
              <w:t xml:space="preserve">the </w:t>
            </w:r>
            <w:r w:rsidR="000A2AFF" w:rsidRPr="00276F07">
              <w:rPr>
                <w:sz w:val="20"/>
              </w:rPr>
              <w:t>existing and new requirements for quality and safety protocols</w:t>
            </w:r>
            <w:r w:rsidR="00671581" w:rsidRPr="00276F07">
              <w:rPr>
                <w:sz w:val="20"/>
              </w:rPr>
              <w:t>;</w:t>
            </w:r>
            <w:r w:rsidR="000B52CB" w:rsidRPr="00276F07">
              <w:rPr>
                <w:sz w:val="20"/>
              </w:rPr>
              <w:t xml:space="preserve"> the proposed </w:t>
            </w:r>
            <w:r w:rsidR="007453EF" w:rsidRPr="00276F07">
              <w:rPr>
                <w:sz w:val="20"/>
              </w:rPr>
              <w:t>best practice guidelines</w:t>
            </w:r>
            <w:r w:rsidR="00671581" w:rsidRPr="00276F07">
              <w:rPr>
                <w:sz w:val="20"/>
              </w:rPr>
              <w:t>;</w:t>
            </w:r>
            <w:r w:rsidR="007453EF" w:rsidRPr="00276F07">
              <w:rPr>
                <w:sz w:val="20"/>
              </w:rPr>
              <w:t xml:space="preserve"> and the proposed </w:t>
            </w:r>
            <w:r w:rsidR="00671581" w:rsidRPr="00276F07">
              <w:rPr>
                <w:sz w:val="20"/>
              </w:rPr>
              <w:t>power</w:t>
            </w:r>
            <w:r w:rsidR="00504945" w:rsidRPr="00276F07">
              <w:rPr>
                <w:sz w:val="20"/>
              </w:rPr>
              <w:t>s</w:t>
            </w:r>
            <w:r w:rsidR="007453EF" w:rsidRPr="00276F07">
              <w:rPr>
                <w:sz w:val="20"/>
              </w:rPr>
              <w:t xml:space="preserve"> for the Secretary to review the protocols</w:t>
            </w:r>
            <w:r w:rsidR="000A2AFF" w:rsidRPr="00276F07">
              <w:rPr>
                <w:sz w:val="20"/>
              </w:rPr>
              <w:t xml:space="preserve"> </w:t>
            </w:r>
            <w:r w:rsidR="00037823" w:rsidRPr="00276F07">
              <w:rPr>
                <w:sz w:val="20"/>
              </w:rPr>
              <w:t>and issue a direction</w:t>
            </w:r>
            <w:r w:rsidR="001471B5" w:rsidRPr="00276F07">
              <w:rPr>
                <w:sz w:val="20"/>
              </w:rPr>
              <w:t>,</w:t>
            </w:r>
            <w:r w:rsidR="00037823" w:rsidRPr="00276F07">
              <w:rPr>
                <w:sz w:val="20"/>
              </w:rPr>
              <w:t xml:space="preserve"> </w:t>
            </w:r>
            <w:r w:rsidR="000A2AFF" w:rsidRPr="00276F07">
              <w:rPr>
                <w:sz w:val="20"/>
              </w:rPr>
              <w:t>on the grounds that</w:t>
            </w:r>
            <w:r w:rsidR="000D146C" w:rsidRPr="00276F07">
              <w:rPr>
                <w:sz w:val="20"/>
              </w:rPr>
              <w:t xml:space="preserve"> the</w:t>
            </w:r>
            <w:r w:rsidR="000A2AFF" w:rsidRPr="00276F07">
              <w:rPr>
                <w:sz w:val="20"/>
              </w:rPr>
              <w:t xml:space="preserve"> NSQHS Standards</w:t>
            </w:r>
            <w:r w:rsidR="000D146C" w:rsidRPr="00276F07">
              <w:rPr>
                <w:sz w:val="20"/>
              </w:rPr>
              <w:t xml:space="preserve"> </w:t>
            </w:r>
            <w:r w:rsidR="00F27922" w:rsidRPr="00276F07">
              <w:rPr>
                <w:sz w:val="20"/>
              </w:rPr>
              <w:t xml:space="preserve">and accreditation processes </w:t>
            </w:r>
            <w:r w:rsidR="00786C78" w:rsidRPr="00276F07">
              <w:rPr>
                <w:sz w:val="20"/>
              </w:rPr>
              <w:t>are</w:t>
            </w:r>
            <w:r w:rsidR="000D146C" w:rsidRPr="00276F07">
              <w:rPr>
                <w:sz w:val="20"/>
              </w:rPr>
              <w:t xml:space="preserve"> sufficient</w:t>
            </w:r>
            <w:r w:rsidR="00C842E5" w:rsidRPr="00276F07">
              <w:rPr>
                <w:sz w:val="20"/>
              </w:rPr>
              <w:t xml:space="preserve"> and </w:t>
            </w:r>
            <w:r w:rsidR="00C10EA9" w:rsidRPr="00276F07">
              <w:rPr>
                <w:sz w:val="20"/>
              </w:rPr>
              <w:t xml:space="preserve">that Victoria should not </w:t>
            </w:r>
            <w:r w:rsidR="004D58C3" w:rsidRPr="00276F07">
              <w:rPr>
                <w:sz w:val="20"/>
              </w:rPr>
              <w:t>set</w:t>
            </w:r>
            <w:r w:rsidR="00C10EA9" w:rsidRPr="00276F07">
              <w:rPr>
                <w:sz w:val="20"/>
              </w:rPr>
              <w:t xml:space="preserve"> different obligations</w:t>
            </w:r>
            <w:r w:rsidR="00F02055" w:rsidRPr="00276F07">
              <w:rPr>
                <w:sz w:val="20"/>
              </w:rPr>
              <w:t xml:space="preserve"> (e.g. </w:t>
            </w:r>
            <w:r w:rsidR="004D58C3" w:rsidRPr="00276F07">
              <w:rPr>
                <w:sz w:val="20"/>
              </w:rPr>
              <w:t xml:space="preserve">a </w:t>
            </w:r>
            <w:r w:rsidR="00F02055" w:rsidRPr="00276F07">
              <w:rPr>
                <w:sz w:val="20"/>
              </w:rPr>
              <w:t xml:space="preserve">3-year </w:t>
            </w:r>
            <w:r w:rsidR="00FA3BC8" w:rsidRPr="00276F07">
              <w:rPr>
                <w:sz w:val="20"/>
              </w:rPr>
              <w:t xml:space="preserve">Victorian </w:t>
            </w:r>
            <w:r w:rsidR="00F02055" w:rsidRPr="00276F07">
              <w:rPr>
                <w:sz w:val="20"/>
              </w:rPr>
              <w:t xml:space="preserve">credentialing </w:t>
            </w:r>
            <w:r w:rsidR="004D58C3" w:rsidRPr="00276F07">
              <w:rPr>
                <w:sz w:val="20"/>
              </w:rPr>
              <w:t xml:space="preserve">requirement </w:t>
            </w:r>
            <w:r w:rsidR="00FA3BC8" w:rsidRPr="00276F07">
              <w:rPr>
                <w:sz w:val="20"/>
              </w:rPr>
              <w:t xml:space="preserve">instead of the national </w:t>
            </w:r>
            <w:r w:rsidR="00F02055" w:rsidRPr="00276F07">
              <w:rPr>
                <w:sz w:val="20"/>
              </w:rPr>
              <w:t xml:space="preserve">5-year credentialing </w:t>
            </w:r>
            <w:r w:rsidR="004D58C3" w:rsidRPr="00276F07">
              <w:rPr>
                <w:sz w:val="20"/>
              </w:rPr>
              <w:t>standard).</w:t>
            </w:r>
            <w:r w:rsidR="008C0DD4" w:rsidRPr="00276F07">
              <w:rPr>
                <w:sz w:val="20"/>
              </w:rPr>
              <w:t xml:space="preserve"> Specific amendments were also opposed because the requirements are covered elsewhere (e.g. adjunct diagnostic</w:t>
            </w:r>
            <w:r w:rsidR="004D58C3" w:rsidRPr="00276F07">
              <w:rPr>
                <w:sz w:val="20"/>
              </w:rPr>
              <w:t xml:space="preserve"> </w:t>
            </w:r>
            <w:r w:rsidR="008C0DD4" w:rsidRPr="00276F07">
              <w:rPr>
                <w:sz w:val="20"/>
              </w:rPr>
              <w:t xml:space="preserve">services </w:t>
            </w:r>
            <w:r w:rsidR="00E375D3" w:rsidRPr="00276F07">
              <w:rPr>
                <w:sz w:val="20"/>
              </w:rPr>
              <w:t>are covered during</w:t>
            </w:r>
            <w:r w:rsidR="00FA72FF" w:rsidRPr="00276F07">
              <w:rPr>
                <w:sz w:val="20"/>
              </w:rPr>
              <w:t xml:space="preserve"> </w:t>
            </w:r>
            <w:r w:rsidR="00F25B79" w:rsidRPr="00276F07">
              <w:rPr>
                <w:sz w:val="20"/>
              </w:rPr>
              <w:t>approval in principle (AIP)</w:t>
            </w:r>
            <w:r w:rsidR="00FA72FF" w:rsidRPr="00276F07">
              <w:rPr>
                <w:sz w:val="20"/>
              </w:rPr>
              <w:t xml:space="preserve"> and </w:t>
            </w:r>
            <w:r w:rsidR="0050249A" w:rsidRPr="00276F07">
              <w:rPr>
                <w:sz w:val="20"/>
              </w:rPr>
              <w:t xml:space="preserve">adverse patient safety events are covered by </w:t>
            </w:r>
            <w:r w:rsidR="00093C80" w:rsidRPr="00276F07">
              <w:rPr>
                <w:sz w:val="20"/>
              </w:rPr>
              <w:t xml:space="preserve">the Statutory Duty of Candour (SDC)). </w:t>
            </w:r>
            <w:r w:rsidR="00F2433C" w:rsidRPr="00276F07">
              <w:rPr>
                <w:sz w:val="20"/>
              </w:rPr>
              <w:t>Extended commencement dates were also proposed.</w:t>
            </w:r>
          </w:p>
          <w:p w14:paraId="2DB36604" w14:textId="144C9A5F" w:rsidR="001916F6" w:rsidRPr="00276F07" w:rsidRDefault="001471B5" w:rsidP="00276F07">
            <w:pPr>
              <w:pStyle w:val="Body"/>
              <w:numPr>
                <w:ilvl w:val="0"/>
                <w:numId w:val="11"/>
              </w:numPr>
              <w:rPr>
                <w:sz w:val="20"/>
              </w:rPr>
            </w:pPr>
            <w:r w:rsidRPr="00276F07">
              <w:rPr>
                <w:b/>
                <w:bCs/>
                <w:sz w:val="20"/>
              </w:rPr>
              <w:t>Healthscope</w:t>
            </w:r>
            <w:r w:rsidRPr="00276F07">
              <w:rPr>
                <w:sz w:val="20"/>
              </w:rPr>
              <w:t xml:space="preserve"> opposed the addition of </w:t>
            </w:r>
            <w:r w:rsidR="007D007C" w:rsidRPr="00276F07">
              <w:rPr>
                <w:sz w:val="20"/>
              </w:rPr>
              <w:t>‘processes for the availability of appropriate adjunct diagnostic services’</w:t>
            </w:r>
            <w:r w:rsidR="00E206AE" w:rsidRPr="00276F07">
              <w:rPr>
                <w:sz w:val="20"/>
              </w:rPr>
              <w:t xml:space="preserve"> into the quality and safety protocols </w:t>
            </w:r>
            <w:r w:rsidR="0059496E" w:rsidRPr="00276F07">
              <w:rPr>
                <w:sz w:val="20"/>
              </w:rPr>
              <w:t>as i</w:t>
            </w:r>
            <w:r w:rsidR="00E206AE" w:rsidRPr="00276F07">
              <w:rPr>
                <w:sz w:val="20"/>
              </w:rPr>
              <w:t>t would not be practical to verify the reliability, availability and timeliness</w:t>
            </w:r>
            <w:r w:rsidR="008A6FF6" w:rsidRPr="00276F07">
              <w:rPr>
                <w:sz w:val="20"/>
              </w:rPr>
              <w:t xml:space="preserve"> of independent third-party providers. </w:t>
            </w:r>
            <w:r w:rsidR="0098063C" w:rsidRPr="00276F07">
              <w:rPr>
                <w:sz w:val="20"/>
              </w:rPr>
              <w:t xml:space="preserve">Healthscope opposed </w:t>
            </w:r>
            <w:r w:rsidR="009C6C0C" w:rsidRPr="00276F07">
              <w:rPr>
                <w:sz w:val="20"/>
              </w:rPr>
              <w:t xml:space="preserve">introducing </w:t>
            </w:r>
            <w:r w:rsidR="001916F6" w:rsidRPr="00276F07">
              <w:rPr>
                <w:sz w:val="20"/>
              </w:rPr>
              <w:t xml:space="preserve">Victorian-specific </w:t>
            </w:r>
            <w:r w:rsidR="009C6C0C" w:rsidRPr="00276F07">
              <w:rPr>
                <w:sz w:val="20"/>
              </w:rPr>
              <w:t xml:space="preserve">quality and safety guidelines </w:t>
            </w:r>
            <w:r w:rsidR="008A5F41" w:rsidRPr="00276F07">
              <w:rPr>
                <w:sz w:val="20"/>
              </w:rPr>
              <w:t xml:space="preserve">as </w:t>
            </w:r>
            <w:r w:rsidR="001916F6" w:rsidRPr="00276F07">
              <w:rPr>
                <w:sz w:val="20"/>
              </w:rPr>
              <w:t>this would unnecessarily duplicate and frustrate the national approach</w:t>
            </w:r>
            <w:r w:rsidR="00E52CCF" w:rsidRPr="00276F07">
              <w:rPr>
                <w:sz w:val="20"/>
              </w:rPr>
              <w:t xml:space="preserve">, and </w:t>
            </w:r>
            <w:r w:rsidR="008A5F41" w:rsidRPr="00276F07">
              <w:rPr>
                <w:sz w:val="20"/>
              </w:rPr>
              <w:t xml:space="preserve">also </w:t>
            </w:r>
            <w:r w:rsidR="00E52CCF" w:rsidRPr="00276F07">
              <w:rPr>
                <w:sz w:val="20"/>
              </w:rPr>
              <w:t xml:space="preserve">raised concerns about the timing and frequency of reviews </w:t>
            </w:r>
            <w:r w:rsidR="008A6FF6" w:rsidRPr="00276F07">
              <w:rPr>
                <w:sz w:val="20"/>
              </w:rPr>
              <w:t>by the Secretary.</w:t>
            </w:r>
          </w:p>
          <w:p w14:paraId="472FE685" w14:textId="5151C4B9" w:rsidR="002278A1" w:rsidRPr="00276F07" w:rsidRDefault="002278A1" w:rsidP="00276F07">
            <w:pPr>
              <w:pStyle w:val="Body"/>
              <w:numPr>
                <w:ilvl w:val="0"/>
                <w:numId w:val="11"/>
              </w:numPr>
              <w:rPr>
                <w:sz w:val="20"/>
              </w:rPr>
            </w:pPr>
            <w:r w:rsidRPr="00276F07">
              <w:rPr>
                <w:b/>
                <w:bCs/>
                <w:sz w:val="20"/>
              </w:rPr>
              <w:t>ASMIRT</w:t>
            </w:r>
            <w:r w:rsidRPr="00276F07">
              <w:rPr>
                <w:sz w:val="20"/>
              </w:rPr>
              <w:t xml:space="preserve"> </w:t>
            </w:r>
            <w:r w:rsidR="00582168" w:rsidRPr="00276F07">
              <w:rPr>
                <w:sz w:val="20"/>
              </w:rPr>
              <w:t xml:space="preserve">raised concerns about </w:t>
            </w:r>
            <w:r w:rsidR="004A3203" w:rsidRPr="00276F07">
              <w:rPr>
                <w:sz w:val="20"/>
              </w:rPr>
              <w:t xml:space="preserve">assessment of individual practitioners </w:t>
            </w:r>
            <w:r w:rsidR="00FC3527" w:rsidRPr="00276F07">
              <w:rPr>
                <w:sz w:val="20"/>
              </w:rPr>
              <w:t>(</w:t>
            </w:r>
            <w:r w:rsidR="004A3203" w:rsidRPr="00276F07">
              <w:rPr>
                <w:sz w:val="20"/>
              </w:rPr>
              <w:t xml:space="preserve">rather than </w:t>
            </w:r>
            <w:r w:rsidR="00FC3527" w:rsidRPr="00276F07">
              <w:rPr>
                <w:sz w:val="20"/>
              </w:rPr>
              <w:t>systems)</w:t>
            </w:r>
            <w:r w:rsidR="004A3203" w:rsidRPr="00276F07">
              <w:rPr>
                <w:sz w:val="20"/>
              </w:rPr>
              <w:t xml:space="preserve"> and </w:t>
            </w:r>
            <w:r w:rsidR="00E15F75" w:rsidRPr="00276F07">
              <w:rPr>
                <w:sz w:val="20"/>
              </w:rPr>
              <w:t>how the</w:t>
            </w:r>
            <w:r w:rsidR="004A3203" w:rsidRPr="00276F07">
              <w:rPr>
                <w:sz w:val="20"/>
              </w:rPr>
              <w:t>ir</w:t>
            </w:r>
            <w:r w:rsidR="00E15F75" w:rsidRPr="00276F07">
              <w:rPr>
                <w:sz w:val="20"/>
              </w:rPr>
              <w:t xml:space="preserve"> competence and perform</w:t>
            </w:r>
            <w:r w:rsidR="004A3203" w:rsidRPr="00276F07">
              <w:rPr>
                <w:sz w:val="20"/>
              </w:rPr>
              <w:t>ance can be continually assessed.</w:t>
            </w:r>
          </w:p>
          <w:p w14:paraId="72064335" w14:textId="2868E10E" w:rsidR="00FC3527" w:rsidRPr="00276F07" w:rsidRDefault="00EE75AA" w:rsidP="00276F07">
            <w:pPr>
              <w:pStyle w:val="Body"/>
              <w:numPr>
                <w:ilvl w:val="0"/>
                <w:numId w:val="11"/>
              </w:numPr>
              <w:rPr>
                <w:sz w:val="20"/>
              </w:rPr>
            </w:pPr>
            <w:r w:rsidRPr="00276F07">
              <w:rPr>
                <w:b/>
                <w:bCs/>
                <w:sz w:val="20"/>
              </w:rPr>
              <w:t>ANMF</w:t>
            </w:r>
            <w:r w:rsidRPr="00276F07">
              <w:rPr>
                <w:sz w:val="20"/>
              </w:rPr>
              <w:t xml:space="preserve"> </w:t>
            </w:r>
            <w:r w:rsidR="000635F7" w:rsidRPr="00276F07">
              <w:rPr>
                <w:sz w:val="20"/>
              </w:rPr>
              <w:t>broadly supported the amendments</w:t>
            </w:r>
            <w:r w:rsidR="00116DC7" w:rsidRPr="00276F07">
              <w:rPr>
                <w:sz w:val="20"/>
              </w:rPr>
              <w:t xml:space="preserve">, with suggestions for how they could be strengthened, but raised concerns about nurses and midwives being included in the credentialing and scope of practice requirements. </w:t>
            </w:r>
          </w:p>
          <w:p w14:paraId="62FAD6A6" w14:textId="0D2E04F4" w:rsidR="00DB41D8" w:rsidRPr="00276F07" w:rsidRDefault="00DB41D8" w:rsidP="00276F07">
            <w:pPr>
              <w:pStyle w:val="Body"/>
              <w:ind w:left="360"/>
              <w:rPr>
                <w:sz w:val="20"/>
              </w:rPr>
            </w:pPr>
          </w:p>
        </w:tc>
        <w:tc>
          <w:tcPr>
            <w:tcW w:w="7367" w:type="dxa"/>
          </w:tcPr>
          <w:p w14:paraId="1442B65E" w14:textId="4DEA722A" w:rsidR="0048136C" w:rsidRPr="00276F07" w:rsidRDefault="000B644F" w:rsidP="00276F07">
            <w:pPr>
              <w:pStyle w:val="Body"/>
              <w:numPr>
                <w:ilvl w:val="0"/>
                <w:numId w:val="11"/>
              </w:numPr>
              <w:rPr>
                <w:rFonts w:cs="Arial"/>
                <w:sz w:val="20"/>
              </w:rPr>
            </w:pPr>
            <w:r w:rsidRPr="00276F07">
              <w:rPr>
                <w:rFonts w:cs="Arial"/>
                <w:sz w:val="20"/>
              </w:rPr>
              <w:t xml:space="preserve">In response to </w:t>
            </w:r>
            <w:r w:rsidRPr="00276F07">
              <w:rPr>
                <w:rFonts w:cs="Arial"/>
                <w:b/>
                <w:bCs/>
                <w:sz w:val="20"/>
              </w:rPr>
              <w:t>CHA/anonymous</w:t>
            </w:r>
            <w:r w:rsidR="00DE5333" w:rsidRPr="00276F07">
              <w:rPr>
                <w:rFonts w:cs="Arial"/>
                <w:sz w:val="20"/>
              </w:rPr>
              <w:t>,</w:t>
            </w:r>
            <w:r w:rsidRPr="00276F07">
              <w:rPr>
                <w:rFonts w:cs="Arial"/>
                <w:sz w:val="20"/>
              </w:rPr>
              <w:t xml:space="preserve"> the </w:t>
            </w:r>
            <w:r w:rsidR="00C87601">
              <w:rPr>
                <w:rFonts w:cs="Arial"/>
                <w:sz w:val="20"/>
              </w:rPr>
              <w:t>department</w:t>
            </w:r>
            <w:r w:rsidRPr="00276F07">
              <w:rPr>
                <w:rFonts w:cs="Arial"/>
                <w:sz w:val="20"/>
              </w:rPr>
              <w:t xml:space="preserve"> </w:t>
            </w:r>
            <w:r w:rsidR="00BC6A10">
              <w:rPr>
                <w:rFonts w:cs="Arial"/>
                <w:sz w:val="20"/>
              </w:rPr>
              <w:t xml:space="preserve">confirms its view that specific State-based regulatory requirements are </w:t>
            </w:r>
            <w:r w:rsidR="00FD6147">
              <w:rPr>
                <w:rFonts w:cs="Arial"/>
                <w:sz w:val="20"/>
              </w:rPr>
              <w:t>warranted and justifiable</w:t>
            </w:r>
            <w:r w:rsidR="00B8220D">
              <w:rPr>
                <w:rFonts w:cs="Arial"/>
                <w:sz w:val="20"/>
              </w:rPr>
              <w:t>, in addition to national accreditation processes.</w:t>
            </w:r>
            <w:r w:rsidRPr="00276F07">
              <w:rPr>
                <w:rFonts w:cs="Arial"/>
                <w:sz w:val="20"/>
              </w:rPr>
              <w:t xml:space="preserve"> </w:t>
            </w:r>
            <w:r w:rsidR="007155E2" w:rsidRPr="00276F07">
              <w:rPr>
                <w:rFonts w:cs="Arial"/>
                <w:sz w:val="20"/>
              </w:rPr>
              <w:t>Ac</w:t>
            </w:r>
            <w:r w:rsidRPr="00276F07">
              <w:rPr>
                <w:rFonts w:cs="Arial"/>
                <w:sz w:val="20"/>
              </w:rPr>
              <w:t xml:space="preserve">creditation is a point-in-time assessment </w:t>
            </w:r>
            <w:r w:rsidR="00A416F6" w:rsidRPr="00276F07">
              <w:rPr>
                <w:rFonts w:cs="Arial"/>
                <w:sz w:val="20"/>
              </w:rPr>
              <w:t xml:space="preserve">that is augmented by </w:t>
            </w:r>
            <w:r w:rsidR="00A85D3A" w:rsidRPr="00276F07">
              <w:rPr>
                <w:rFonts w:cs="Arial"/>
                <w:sz w:val="20"/>
              </w:rPr>
              <w:t xml:space="preserve">the Regulator’s </w:t>
            </w:r>
            <w:r w:rsidRPr="00276F07">
              <w:rPr>
                <w:rFonts w:cs="Arial"/>
                <w:sz w:val="20"/>
              </w:rPr>
              <w:t>compliance monitoring</w:t>
            </w:r>
            <w:r w:rsidR="00D56B7B" w:rsidRPr="00276F07">
              <w:rPr>
                <w:rFonts w:cs="Arial"/>
                <w:sz w:val="20"/>
              </w:rPr>
              <w:t xml:space="preserve"> activities</w:t>
            </w:r>
            <w:r w:rsidR="00DA6EC1" w:rsidRPr="00276F07">
              <w:rPr>
                <w:rFonts w:cs="Arial"/>
                <w:sz w:val="20"/>
              </w:rPr>
              <w:t>. Further,</w:t>
            </w:r>
            <w:r w:rsidR="00CC5739" w:rsidRPr="00276F07">
              <w:rPr>
                <w:rFonts w:cs="Arial"/>
                <w:sz w:val="20"/>
              </w:rPr>
              <w:t xml:space="preserve"> t</w:t>
            </w:r>
            <w:r w:rsidRPr="00276F07">
              <w:rPr>
                <w:rFonts w:cs="Arial"/>
                <w:sz w:val="20"/>
              </w:rPr>
              <w:t>he Commission is not a regulator</w:t>
            </w:r>
            <w:r w:rsidR="00286212" w:rsidRPr="00276F07">
              <w:rPr>
                <w:rFonts w:cs="Arial"/>
                <w:sz w:val="20"/>
              </w:rPr>
              <w:t xml:space="preserve"> and</w:t>
            </w:r>
            <w:r w:rsidRPr="00276F07">
              <w:rPr>
                <w:rFonts w:cs="Arial"/>
                <w:sz w:val="20"/>
              </w:rPr>
              <w:t xml:space="preserve"> </w:t>
            </w:r>
            <w:r w:rsidR="00DA6EC1" w:rsidRPr="00276F07">
              <w:rPr>
                <w:rFonts w:cs="Arial"/>
                <w:sz w:val="20"/>
              </w:rPr>
              <w:t xml:space="preserve">it </w:t>
            </w:r>
            <w:r w:rsidRPr="00276F07">
              <w:rPr>
                <w:rFonts w:cs="Arial"/>
                <w:sz w:val="20"/>
              </w:rPr>
              <w:t>lack</w:t>
            </w:r>
            <w:r w:rsidR="00286212" w:rsidRPr="00276F07">
              <w:rPr>
                <w:rFonts w:cs="Arial"/>
                <w:sz w:val="20"/>
              </w:rPr>
              <w:t>s</w:t>
            </w:r>
            <w:r w:rsidR="0070695E" w:rsidRPr="00276F07">
              <w:rPr>
                <w:rFonts w:cs="Arial"/>
                <w:sz w:val="20"/>
              </w:rPr>
              <w:t xml:space="preserve"> </w:t>
            </w:r>
            <w:r w:rsidRPr="00276F07">
              <w:rPr>
                <w:rFonts w:cs="Arial"/>
                <w:sz w:val="20"/>
              </w:rPr>
              <w:t>tools to enforce compliance.</w:t>
            </w:r>
            <w:r w:rsidR="00CC191F" w:rsidRPr="00276F07">
              <w:rPr>
                <w:rFonts w:cs="Arial"/>
                <w:sz w:val="20"/>
              </w:rPr>
              <w:t xml:space="preserve"> </w:t>
            </w:r>
            <w:r w:rsidR="00A4694F">
              <w:rPr>
                <w:rFonts w:cs="Arial"/>
                <w:sz w:val="20"/>
              </w:rPr>
              <w:t>Most</w:t>
            </w:r>
            <w:r w:rsidR="0075520C" w:rsidRPr="00276F07">
              <w:rPr>
                <w:rFonts w:cs="Arial"/>
                <w:sz w:val="20"/>
              </w:rPr>
              <w:t xml:space="preserve"> of the Regulations align with the NSQHS Standards</w:t>
            </w:r>
            <w:r w:rsidR="00F12BB3">
              <w:rPr>
                <w:rFonts w:cs="Arial"/>
                <w:sz w:val="20"/>
              </w:rPr>
              <w:t>. S</w:t>
            </w:r>
            <w:r w:rsidR="0075520C" w:rsidRPr="00276F07">
              <w:rPr>
                <w:rFonts w:cs="Arial"/>
                <w:sz w:val="20"/>
              </w:rPr>
              <w:t>ome Regulations extend the quality and safety requirements to reflect Victoria’s healthcare environment, regulatory priorities and areas of concern</w:t>
            </w:r>
            <w:r w:rsidR="00B8220D">
              <w:rPr>
                <w:rFonts w:cs="Arial"/>
                <w:sz w:val="20"/>
              </w:rPr>
              <w:t xml:space="preserve">, and to best support regulatory oversight by the </w:t>
            </w:r>
            <w:r w:rsidR="00C87601">
              <w:rPr>
                <w:rFonts w:cs="Arial"/>
                <w:sz w:val="20"/>
              </w:rPr>
              <w:t>department</w:t>
            </w:r>
            <w:r w:rsidR="00A4694F">
              <w:rPr>
                <w:rFonts w:cs="Arial"/>
                <w:sz w:val="20"/>
              </w:rPr>
              <w:t xml:space="preserve">. </w:t>
            </w:r>
            <w:r w:rsidR="00A54767" w:rsidRPr="00276F07">
              <w:rPr>
                <w:rFonts w:cs="Arial"/>
                <w:sz w:val="20"/>
              </w:rPr>
              <w:t xml:space="preserve">Requirements </w:t>
            </w:r>
            <w:r w:rsidR="006D666C" w:rsidRPr="00276F07">
              <w:rPr>
                <w:rFonts w:cs="Arial"/>
                <w:sz w:val="20"/>
              </w:rPr>
              <w:t xml:space="preserve">for quality and safety protocols and </w:t>
            </w:r>
            <w:r w:rsidR="00D80156" w:rsidRPr="00276F07">
              <w:rPr>
                <w:rFonts w:cs="Arial"/>
                <w:sz w:val="20"/>
              </w:rPr>
              <w:t>power</w:t>
            </w:r>
            <w:r w:rsidR="006531A4" w:rsidRPr="00276F07">
              <w:rPr>
                <w:rFonts w:cs="Arial"/>
                <w:sz w:val="20"/>
              </w:rPr>
              <w:t>s</w:t>
            </w:r>
            <w:r w:rsidR="00D80156" w:rsidRPr="00276F07">
              <w:rPr>
                <w:rFonts w:cs="Arial"/>
                <w:sz w:val="20"/>
              </w:rPr>
              <w:t xml:space="preserve"> for the </w:t>
            </w:r>
            <w:r w:rsidR="00011379" w:rsidRPr="00276F07">
              <w:rPr>
                <w:rFonts w:cs="Arial"/>
                <w:sz w:val="20"/>
              </w:rPr>
              <w:t>Secretary</w:t>
            </w:r>
            <w:r w:rsidR="00D80156" w:rsidRPr="00276F07">
              <w:rPr>
                <w:rFonts w:cs="Arial"/>
                <w:sz w:val="20"/>
              </w:rPr>
              <w:t xml:space="preserve"> </w:t>
            </w:r>
            <w:r w:rsidR="00BD23CE">
              <w:rPr>
                <w:rFonts w:cs="Arial"/>
                <w:sz w:val="20"/>
              </w:rPr>
              <w:t xml:space="preserve">to review those protocols </w:t>
            </w:r>
            <w:r w:rsidR="00395CCC" w:rsidRPr="00276F07">
              <w:rPr>
                <w:rFonts w:cs="Arial"/>
                <w:sz w:val="20"/>
              </w:rPr>
              <w:t>are</w:t>
            </w:r>
            <w:r w:rsidR="00221770" w:rsidRPr="00276F07">
              <w:rPr>
                <w:rFonts w:cs="Arial"/>
                <w:sz w:val="20"/>
              </w:rPr>
              <w:t xml:space="preserve"> </w:t>
            </w:r>
            <w:r w:rsidR="00D62939" w:rsidRPr="00276F07">
              <w:rPr>
                <w:rFonts w:cs="Arial"/>
                <w:sz w:val="20"/>
              </w:rPr>
              <w:t xml:space="preserve">therefore </w:t>
            </w:r>
            <w:r w:rsidR="00221770" w:rsidRPr="00276F07">
              <w:rPr>
                <w:rFonts w:cs="Arial"/>
                <w:sz w:val="20"/>
              </w:rPr>
              <w:t xml:space="preserve">included in the Regulations </w:t>
            </w:r>
            <w:r w:rsidR="00D80156" w:rsidRPr="00276F07">
              <w:rPr>
                <w:rFonts w:cs="Arial"/>
                <w:sz w:val="20"/>
              </w:rPr>
              <w:t xml:space="preserve">to </w:t>
            </w:r>
            <w:r w:rsidR="00D50DEB" w:rsidRPr="00276F07">
              <w:rPr>
                <w:rFonts w:cs="Arial"/>
                <w:sz w:val="20"/>
              </w:rPr>
              <w:t xml:space="preserve">set enforceable foundations for quality and safety </w:t>
            </w:r>
            <w:r w:rsidR="00B8220D">
              <w:rPr>
                <w:rFonts w:cs="Arial"/>
                <w:sz w:val="20"/>
              </w:rPr>
              <w:t xml:space="preserve">protocols </w:t>
            </w:r>
            <w:r w:rsidR="00D50DEB" w:rsidRPr="00276F07">
              <w:rPr>
                <w:rFonts w:cs="Arial"/>
                <w:sz w:val="20"/>
              </w:rPr>
              <w:t xml:space="preserve">and to </w:t>
            </w:r>
            <w:r w:rsidR="006E1EA0" w:rsidRPr="00276F07">
              <w:rPr>
                <w:rFonts w:cs="Arial"/>
                <w:sz w:val="20"/>
              </w:rPr>
              <w:t xml:space="preserve">allow the Regulator to </w:t>
            </w:r>
            <w:r w:rsidR="0088758E">
              <w:rPr>
                <w:rFonts w:cs="Arial"/>
                <w:sz w:val="20"/>
              </w:rPr>
              <w:t xml:space="preserve">engage </w:t>
            </w:r>
            <w:r w:rsidR="00FD6147">
              <w:rPr>
                <w:rFonts w:cs="Arial"/>
                <w:sz w:val="20"/>
              </w:rPr>
              <w:t>with facilities on their clinical governance protocols in a</w:t>
            </w:r>
            <w:r w:rsidR="0088758E">
              <w:rPr>
                <w:rFonts w:cs="Arial"/>
                <w:sz w:val="20"/>
              </w:rPr>
              <w:t xml:space="preserve"> targeted</w:t>
            </w:r>
            <w:r w:rsidR="00FD6147">
              <w:rPr>
                <w:rFonts w:cs="Arial"/>
                <w:sz w:val="20"/>
              </w:rPr>
              <w:t xml:space="preserve">, nuanced and transparent manner, </w:t>
            </w:r>
            <w:r w:rsidR="006E1EA0" w:rsidRPr="00276F07">
              <w:rPr>
                <w:rFonts w:cs="Arial"/>
                <w:sz w:val="20"/>
              </w:rPr>
              <w:t xml:space="preserve">to </w:t>
            </w:r>
            <w:r w:rsidR="00FD6147">
              <w:rPr>
                <w:rFonts w:cs="Arial"/>
                <w:sz w:val="20"/>
              </w:rPr>
              <w:t>inform improvements</w:t>
            </w:r>
            <w:r w:rsidR="006E1EA0" w:rsidRPr="00276F07">
              <w:rPr>
                <w:rFonts w:cs="Arial"/>
                <w:sz w:val="20"/>
              </w:rPr>
              <w:t xml:space="preserve"> where needed.</w:t>
            </w:r>
            <w:r w:rsidR="00C226F9" w:rsidRPr="00276F07">
              <w:rPr>
                <w:rFonts w:cs="Arial"/>
                <w:sz w:val="20"/>
              </w:rPr>
              <w:t xml:space="preserve"> </w:t>
            </w:r>
          </w:p>
          <w:p w14:paraId="4708F1B7" w14:textId="0FDCE7F5" w:rsidR="003E3373" w:rsidRDefault="00226A12" w:rsidP="00E62CD4">
            <w:pPr>
              <w:pStyle w:val="Body"/>
              <w:numPr>
                <w:ilvl w:val="0"/>
                <w:numId w:val="11"/>
              </w:numPr>
              <w:rPr>
                <w:rFonts w:cs="Arial"/>
                <w:sz w:val="20"/>
              </w:rPr>
            </w:pPr>
            <w:r w:rsidRPr="00D66EE6">
              <w:rPr>
                <w:rFonts w:cs="Arial"/>
                <w:sz w:val="20"/>
              </w:rPr>
              <w:t xml:space="preserve">In response to </w:t>
            </w:r>
            <w:r w:rsidRPr="00E62CD4">
              <w:rPr>
                <w:rFonts w:cs="Arial"/>
                <w:b/>
                <w:bCs/>
                <w:sz w:val="20"/>
              </w:rPr>
              <w:t>CHA/anonymous</w:t>
            </w:r>
            <w:r w:rsidRPr="00D66EE6">
              <w:rPr>
                <w:rFonts w:cs="Arial"/>
                <w:sz w:val="20"/>
              </w:rPr>
              <w:t xml:space="preserve"> and </w:t>
            </w:r>
            <w:r w:rsidRPr="00E62CD4">
              <w:rPr>
                <w:rFonts w:cs="Arial"/>
                <w:b/>
                <w:bCs/>
                <w:sz w:val="20"/>
              </w:rPr>
              <w:t>Healthscope</w:t>
            </w:r>
            <w:r w:rsidRPr="00E62CD4">
              <w:rPr>
                <w:rFonts w:cs="Arial"/>
                <w:sz w:val="20"/>
              </w:rPr>
              <w:t xml:space="preserve"> </w:t>
            </w:r>
            <w:r w:rsidRPr="00D66EE6">
              <w:rPr>
                <w:rFonts w:cs="Arial"/>
                <w:sz w:val="20"/>
              </w:rPr>
              <w:t>about the adjunct</w:t>
            </w:r>
            <w:r w:rsidRPr="00E62CD4">
              <w:rPr>
                <w:rFonts w:cs="Arial"/>
                <w:sz w:val="20"/>
              </w:rPr>
              <w:t xml:space="preserve"> </w:t>
            </w:r>
            <w:r w:rsidRPr="00D66EE6">
              <w:rPr>
                <w:rFonts w:cs="Arial"/>
                <w:sz w:val="20"/>
              </w:rPr>
              <w:t>diagnostic services requirement</w:t>
            </w:r>
            <w:r>
              <w:rPr>
                <w:rFonts w:cs="Arial"/>
                <w:sz w:val="20"/>
              </w:rPr>
              <w:t xml:space="preserve">, </w:t>
            </w:r>
            <w:r w:rsidR="00F023DE">
              <w:rPr>
                <w:rFonts w:cs="Arial"/>
                <w:sz w:val="20"/>
              </w:rPr>
              <w:t xml:space="preserve">the intent is that </w:t>
            </w:r>
            <w:r w:rsidR="00F023DE" w:rsidRPr="00D66EE6">
              <w:rPr>
                <w:rFonts w:cs="Arial"/>
                <w:sz w:val="20"/>
              </w:rPr>
              <w:t xml:space="preserve">HSEs regularly review and consider their arrangements with providers to ensure they continue to be </w:t>
            </w:r>
            <w:r w:rsidR="00840EBB">
              <w:rPr>
                <w:rFonts w:cs="Arial"/>
                <w:sz w:val="20"/>
              </w:rPr>
              <w:t xml:space="preserve">sufficient </w:t>
            </w:r>
            <w:r w:rsidR="00127556">
              <w:rPr>
                <w:rFonts w:cs="Arial"/>
                <w:sz w:val="20"/>
              </w:rPr>
              <w:t>(not just during AIP)</w:t>
            </w:r>
            <w:r w:rsidR="00782190">
              <w:rPr>
                <w:rFonts w:cs="Arial"/>
                <w:sz w:val="20"/>
              </w:rPr>
              <w:t xml:space="preserve">, </w:t>
            </w:r>
            <w:r w:rsidR="00D31118">
              <w:rPr>
                <w:rFonts w:cs="Arial"/>
                <w:sz w:val="20"/>
              </w:rPr>
              <w:t xml:space="preserve">as would </w:t>
            </w:r>
            <w:r w:rsidR="00ED60C9">
              <w:rPr>
                <w:rFonts w:cs="Arial"/>
                <w:sz w:val="20"/>
              </w:rPr>
              <w:t xml:space="preserve">be expected </w:t>
            </w:r>
            <w:r w:rsidR="00395F91">
              <w:rPr>
                <w:rFonts w:cs="Arial"/>
                <w:sz w:val="20"/>
              </w:rPr>
              <w:t>whenever contracts and SLAs are renewed</w:t>
            </w:r>
            <w:r w:rsidR="00471CDB">
              <w:rPr>
                <w:rFonts w:cs="Arial"/>
                <w:sz w:val="20"/>
              </w:rPr>
              <w:t xml:space="preserve"> with any supplier.</w:t>
            </w:r>
          </w:p>
          <w:p w14:paraId="35F6F5A7" w14:textId="507A9CA4" w:rsidR="00313A7D" w:rsidRPr="00313A7D" w:rsidRDefault="00313A7D" w:rsidP="00E62CD4">
            <w:pPr>
              <w:pStyle w:val="Body"/>
              <w:numPr>
                <w:ilvl w:val="0"/>
                <w:numId w:val="11"/>
              </w:numPr>
              <w:rPr>
                <w:rFonts w:cs="Arial"/>
                <w:sz w:val="20"/>
              </w:rPr>
            </w:pPr>
            <w:r w:rsidRPr="00313A7D">
              <w:rPr>
                <w:rFonts w:cs="Arial"/>
                <w:sz w:val="20"/>
              </w:rPr>
              <w:t xml:space="preserve">The </w:t>
            </w:r>
            <w:r w:rsidR="00C87601">
              <w:rPr>
                <w:rFonts w:cs="Arial"/>
                <w:sz w:val="20"/>
              </w:rPr>
              <w:t>department</w:t>
            </w:r>
            <w:r w:rsidRPr="00313A7D">
              <w:rPr>
                <w:rFonts w:cs="Arial"/>
                <w:sz w:val="20"/>
              </w:rPr>
              <w:t xml:space="preserve"> has considered and accepted the</w:t>
            </w:r>
            <w:r w:rsidRPr="00E62CD4">
              <w:rPr>
                <w:rFonts w:cs="Arial"/>
                <w:sz w:val="20"/>
              </w:rPr>
              <w:t xml:space="preserve"> </w:t>
            </w:r>
            <w:r w:rsidRPr="00E62CD4">
              <w:rPr>
                <w:rFonts w:cs="Arial"/>
                <w:b/>
                <w:bCs/>
                <w:sz w:val="20"/>
              </w:rPr>
              <w:t>CHA/anonymous</w:t>
            </w:r>
            <w:r w:rsidRPr="00313A7D">
              <w:rPr>
                <w:rFonts w:cs="Arial"/>
                <w:sz w:val="20"/>
              </w:rPr>
              <w:t xml:space="preserve"> proposal for a 12-month commencement date</w:t>
            </w:r>
            <w:r w:rsidR="003E5FC8">
              <w:rPr>
                <w:rFonts w:cs="Arial"/>
                <w:sz w:val="20"/>
              </w:rPr>
              <w:t xml:space="preserve"> (31 August 2025)</w:t>
            </w:r>
            <w:r w:rsidRPr="00313A7D">
              <w:rPr>
                <w:rFonts w:cs="Arial"/>
                <w:sz w:val="20"/>
              </w:rPr>
              <w:t xml:space="preserve"> for </w:t>
            </w:r>
            <w:r w:rsidR="00A66598">
              <w:rPr>
                <w:rFonts w:cs="Arial"/>
                <w:sz w:val="20"/>
              </w:rPr>
              <w:t xml:space="preserve">the </w:t>
            </w:r>
            <w:r w:rsidRPr="00313A7D">
              <w:rPr>
                <w:rFonts w:cs="Arial"/>
                <w:sz w:val="20"/>
              </w:rPr>
              <w:t xml:space="preserve">new </w:t>
            </w:r>
            <w:r w:rsidR="001B76AC" w:rsidRPr="00313A7D">
              <w:rPr>
                <w:rFonts w:cs="Arial"/>
                <w:sz w:val="20"/>
              </w:rPr>
              <w:t>r.8(3)</w:t>
            </w:r>
            <w:r w:rsidR="001B76AC">
              <w:rPr>
                <w:rFonts w:cs="Arial"/>
                <w:sz w:val="20"/>
              </w:rPr>
              <w:t xml:space="preserve"> </w:t>
            </w:r>
            <w:r w:rsidRPr="00313A7D">
              <w:rPr>
                <w:rFonts w:cs="Arial"/>
                <w:sz w:val="20"/>
              </w:rPr>
              <w:t xml:space="preserve">requirements </w:t>
            </w:r>
            <w:r>
              <w:rPr>
                <w:rFonts w:cs="Arial"/>
                <w:sz w:val="20"/>
              </w:rPr>
              <w:t xml:space="preserve">and an 18-month commencement date </w:t>
            </w:r>
            <w:r w:rsidR="003E5FC8">
              <w:rPr>
                <w:rFonts w:cs="Arial"/>
                <w:sz w:val="20"/>
              </w:rPr>
              <w:t>(28 February 202</w:t>
            </w:r>
            <w:r w:rsidR="008C4DE7">
              <w:rPr>
                <w:rFonts w:cs="Arial"/>
                <w:sz w:val="20"/>
              </w:rPr>
              <w:t xml:space="preserve">6) </w:t>
            </w:r>
            <w:r>
              <w:rPr>
                <w:rFonts w:cs="Arial"/>
                <w:sz w:val="20"/>
              </w:rPr>
              <w:t>for the</w:t>
            </w:r>
            <w:r w:rsidR="0062442A">
              <w:rPr>
                <w:rFonts w:cs="Arial"/>
                <w:sz w:val="20"/>
              </w:rPr>
              <w:t xml:space="preserve"> new r.10</w:t>
            </w:r>
            <w:r>
              <w:rPr>
                <w:rFonts w:cs="Arial"/>
                <w:sz w:val="20"/>
              </w:rPr>
              <w:t xml:space="preserve"> review power</w:t>
            </w:r>
            <w:r w:rsidR="008C4DE7">
              <w:rPr>
                <w:rFonts w:cs="Arial"/>
                <w:sz w:val="20"/>
              </w:rPr>
              <w:t>.</w:t>
            </w:r>
            <w:r w:rsidR="0046613D">
              <w:rPr>
                <w:rFonts w:cs="Arial"/>
                <w:sz w:val="20"/>
              </w:rPr>
              <w:t xml:space="preserve"> This </w:t>
            </w:r>
            <w:r w:rsidR="0046613D" w:rsidRPr="00D66EE6">
              <w:rPr>
                <w:rFonts w:cs="Arial"/>
                <w:sz w:val="20"/>
              </w:rPr>
              <w:t xml:space="preserve">will allow time for the </w:t>
            </w:r>
            <w:r w:rsidR="0046613D">
              <w:rPr>
                <w:rFonts w:cs="Arial"/>
                <w:sz w:val="20"/>
              </w:rPr>
              <w:t xml:space="preserve">sector to prepare </w:t>
            </w:r>
            <w:r w:rsidR="002E0924">
              <w:rPr>
                <w:rFonts w:cs="Arial"/>
                <w:sz w:val="20"/>
              </w:rPr>
              <w:t xml:space="preserve">for </w:t>
            </w:r>
            <w:r w:rsidR="0046613D">
              <w:rPr>
                <w:rFonts w:cs="Arial"/>
                <w:sz w:val="20"/>
              </w:rPr>
              <w:t xml:space="preserve">and implement new requirements, and for the </w:t>
            </w:r>
            <w:r w:rsidR="00C87601">
              <w:rPr>
                <w:rFonts w:cs="Arial"/>
                <w:sz w:val="20"/>
              </w:rPr>
              <w:t>department</w:t>
            </w:r>
            <w:r w:rsidR="005A6843">
              <w:rPr>
                <w:rFonts w:cs="Arial"/>
                <w:sz w:val="20"/>
              </w:rPr>
              <w:t xml:space="preserve"> to</w:t>
            </w:r>
            <w:r w:rsidR="0046613D" w:rsidRPr="00D66EE6">
              <w:rPr>
                <w:rFonts w:cs="Arial"/>
                <w:sz w:val="20"/>
              </w:rPr>
              <w:t xml:space="preserve"> develop </w:t>
            </w:r>
            <w:r w:rsidR="00F33107">
              <w:rPr>
                <w:rFonts w:cs="Arial"/>
                <w:sz w:val="20"/>
              </w:rPr>
              <w:t>best practice</w:t>
            </w:r>
            <w:r w:rsidR="005A6843">
              <w:rPr>
                <w:rFonts w:cs="Arial"/>
                <w:sz w:val="20"/>
              </w:rPr>
              <w:t xml:space="preserve"> guidelines for quality and safety protocols, along with</w:t>
            </w:r>
            <w:r w:rsidR="0046613D" w:rsidRPr="00D66EE6">
              <w:rPr>
                <w:rFonts w:cs="Arial"/>
                <w:sz w:val="20"/>
              </w:rPr>
              <w:t xml:space="preserve"> operational guidance on how </w:t>
            </w:r>
            <w:r w:rsidR="005A6843">
              <w:rPr>
                <w:rFonts w:cs="Arial"/>
                <w:sz w:val="20"/>
              </w:rPr>
              <w:t xml:space="preserve">the Regulator </w:t>
            </w:r>
            <w:r w:rsidR="0046613D" w:rsidRPr="00D66EE6">
              <w:rPr>
                <w:rFonts w:cs="Arial"/>
                <w:sz w:val="20"/>
              </w:rPr>
              <w:t>will conduct reviews</w:t>
            </w:r>
            <w:r w:rsidR="0046613D">
              <w:rPr>
                <w:rFonts w:cs="Arial"/>
                <w:sz w:val="20"/>
              </w:rPr>
              <w:t xml:space="preserve"> </w:t>
            </w:r>
            <w:r w:rsidR="00AB19AA">
              <w:rPr>
                <w:rFonts w:cs="Arial"/>
                <w:sz w:val="20"/>
              </w:rPr>
              <w:t xml:space="preserve">of the protocols </w:t>
            </w:r>
            <w:r w:rsidR="0046613D">
              <w:rPr>
                <w:rFonts w:cs="Arial"/>
                <w:sz w:val="20"/>
              </w:rPr>
              <w:t>and issue directions</w:t>
            </w:r>
            <w:r w:rsidR="0046613D" w:rsidRPr="00D66EE6">
              <w:rPr>
                <w:rFonts w:cs="Arial"/>
                <w:sz w:val="20"/>
              </w:rPr>
              <w:t>.</w:t>
            </w:r>
          </w:p>
          <w:p w14:paraId="76E5EB3E" w14:textId="3AC554C7" w:rsidR="00C5660F" w:rsidRDefault="002F3E04" w:rsidP="00E62CD4">
            <w:pPr>
              <w:pStyle w:val="Body"/>
              <w:numPr>
                <w:ilvl w:val="0"/>
                <w:numId w:val="11"/>
              </w:numPr>
              <w:rPr>
                <w:rFonts w:cs="Arial"/>
                <w:sz w:val="20"/>
              </w:rPr>
            </w:pPr>
            <w:r>
              <w:rPr>
                <w:rFonts w:cs="Arial"/>
                <w:sz w:val="20"/>
              </w:rPr>
              <w:t xml:space="preserve">In response to </w:t>
            </w:r>
            <w:r w:rsidR="00DA1B13" w:rsidRPr="00E62CD4">
              <w:rPr>
                <w:rFonts w:cs="Arial"/>
                <w:b/>
                <w:bCs/>
                <w:sz w:val="20"/>
              </w:rPr>
              <w:t>ASMIRT</w:t>
            </w:r>
            <w:r w:rsidR="002E515A" w:rsidRPr="002E515A">
              <w:rPr>
                <w:rFonts w:cs="Arial"/>
                <w:sz w:val="20"/>
              </w:rPr>
              <w:t>,</w:t>
            </w:r>
            <w:r w:rsidR="00A65905" w:rsidRPr="00E62CD4">
              <w:rPr>
                <w:rFonts w:cs="Arial"/>
                <w:sz w:val="20"/>
              </w:rPr>
              <w:t xml:space="preserve"> requiring </w:t>
            </w:r>
            <w:r w:rsidR="007642BC">
              <w:rPr>
                <w:rFonts w:cs="Arial"/>
                <w:sz w:val="20"/>
              </w:rPr>
              <w:t>processes for</w:t>
            </w:r>
            <w:r w:rsidR="00A65905" w:rsidRPr="00E62CD4">
              <w:rPr>
                <w:rFonts w:cs="Arial"/>
                <w:sz w:val="20"/>
              </w:rPr>
              <w:t xml:space="preserve"> </w:t>
            </w:r>
            <w:r w:rsidR="00A65905" w:rsidRPr="00A65905">
              <w:rPr>
                <w:rFonts w:cs="Arial"/>
                <w:sz w:val="20"/>
              </w:rPr>
              <w:t xml:space="preserve">regular </w:t>
            </w:r>
            <w:r w:rsidR="00FC593B">
              <w:rPr>
                <w:rFonts w:cs="Arial"/>
                <w:sz w:val="20"/>
              </w:rPr>
              <w:t xml:space="preserve">assessment of </w:t>
            </w:r>
            <w:r w:rsidR="00EC7CEA">
              <w:rPr>
                <w:rFonts w:cs="Arial"/>
                <w:sz w:val="20"/>
              </w:rPr>
              <w:t>health professional</w:t>
            </w:r>
            <w:r w:rsidR="005F5D40">
              <w:rPr>
                <w:rFonts w:cs="Arial"/>
                <w:sz w:val="20"/>
              </w:rPr>
              <w:t>s’</w:t>
            </w:r>
            <w:r w:rsidR="0098337B">
              <w:rPr>
                <w:rFonts w:cs="Arial"/>
                <w:sz w:val="20"/>
              </w:rPr>
              <w:t xml:space="preserve"> </w:t>
            </w:r>
            <w:r w:rsidR="00FC593B">
              <w:rPr>
                <w:rFonts w:cs="Arial"/>
                <w:sz w:val="20"/>
              </w:rPr>
              <w:t>competence and performance</w:t>
            </w:r>
            <w:r w:rsidR="00A65905" w:rsidRPr="00A65905">
              <w:rPr>
                <w:rFonts w:cs="Arial"/>
                <w:sz w:val="20"/>
              </w:rPr>
              <w:t xml:space="preserve"> is not unreasonable and</w:t>
            </w:r>
            <w:r w:rsidR="00057600">
              <w:rPr>
                <w:rFonts w:cs="Arial"/>
                <w:sz w:val="20"/>
              </w:rPr>
              <w:t>,</w:t>
            </w:r>
            <w:r w:rsidR="00FC593B">
              <w:rPr>
                <w:rFonts w:cs="Arial"/>
                <w:sz w:val="20"/>
              </w:rPr>
              <w:t xml:space="preserve"> as</w:t>
            </w:r>
            <w:r w:rsidR="00FC593B" w:rsidRPr="00A65905">
              <w:rPr>
                <w:rFonts w:cs="Arial"/>
                <w:sz w:val="20"/>
              </w:rPr>
              <w:t xml:space="preserve"> </w:t>
            </w:r>
            <w:r w:rsidR="00FC593B">
              <w:rPr>
                <w:rFonts w:cs="Arial"/>
                <w:sz w:val="20"/>
              </w:rPr>
              <w:t>a key aspect of clinical governance</w:t>
            </w:r>
            <w:r w:rsidR="00057600">
              <w:rPr>
                <w:rFonts w:cs="Arial"/>
                <w:sz w:val="20"/>
              </w:rPr>
              <w:t>,</w:t>
            </w:r>
            <w:r w:rsidR="00FC593B" w:rsidRPr="00A65905">
              <w:rPr>
                <w:rFonts w:cs="Arial"/>
                <w:sz w:val="20"/>
              </w:rPr>
              <w:t xml:space="preserve"> </w:t>
            </w:r>
            <w:r w:rsidR="00A65905" w:rsidRPr="00A65905">
              <w:rPr>
                <w:rFonts w:cs="Arial"/>
                <w:sz w:val="20"/>
              </w:rPr>
              <w:t>is essential to ensuring safe healthcare</w:t>
            </w:r>
            <w:r w:rsidR="00F07CDB">
              <w:rPr>
                <w:rFonts w:cs="Arial"/>
                <w:sz w:val="20"/>
              </w:rPr>
              <w:t xml:space="preserve"> (as reflected in relevant aspects of the national accreditation standards)</w:t>
            </w:r>
            <w:r w:rsidR="00A65905" w:rsidRPr="00A65905">
              <w:rPr>
                <w:rFonts w:cs="Arial"/>
                <w:sz w:val="20"/>
              </w:rPr>
              <w:t>.</w:t>
            </w:r>
            <w:r w:rsidR="005F0858">
              <w:rPr>
                <w:rFonts w:cs="Arial"/>
                <w:sz w:val="20"/>
              </w:rPr>
              <w:t xml:space="preserve"> This Regulation as a whole is about systems and </w:t>
            </w:r>
            <w:r w:rsidR="005F0858" w:rsidRPr="00993B97">
              <w:rPr>
                <w:rFonts w:cs="Arial"/>
                <w:sz w:val="20"/>
              </w:rPr>
              <w:t>clinical governance</w:t>
            </w:r>
            <w:r w:rsidR="005F0858">
              <w:rPr>
                <w:rFonts w:cs="Arial"/>
                <w:sz w:val="20"/>
              </w:rPr>
              <w:t xml:space="preserve"> at an organisational level</w:t>
            </w:r>
            <w:r w:rsidR="00F957EE">
              <w:rPr>
                <w:rFonts w:cs="Arial"/>
                <w:sz w:val="20"/>
              </w:rPr>
              <w:t>.</w:t>
            </w:r>
          </w:p>
          <w:p w14:paraId="062D1EA7" w14:textId="4A6CA275" w:rsidR="003149F1" w:rsidRDefault="00C5660F" w:rsidP="00E62CD4">
            <w:pPr>
              <w:pStyle w:val="Body"/>
              <w:numPr>
                <w:ilvl w:val="0"/>
                <w:numId w:val="11"/>
              </w:numPr>
              <w:rPr>
                <w:rFonts w:cs="Arial"/>
                <w:sz w:val="20"/>
              </w:rPr>
            </w:pPr>
            <w:r>
              <w:rPr>
                <w:rFonts w:cs="Arial"/>
                <w:sz w:val="20"/>
              </w:rPr>
              <w:t xml:space="preserve">In response to </w:t>
            </w:r>
            <w:r w:rsidRPr="00E62CD4">
              <w:rPr>
                <w:rFonts w:cs="Arial"/>
                <w:b/>
                <w:bCs/>
                <w:sz w:val="20"/>
              </w:rPr>
              <w:t>ANMF</w:t>
            </w:r>
            <w:r w:rsidR="00616DE7">
              <w:rPr>
                <w:rFonts w:cs="Arial"/>
                <w:sz w:val="20"/>
              </w:rPr>
              <w:t xml:space="preserve">, </w:t>
            </w:r>
            <w:r w:rsidR="0034608C">
              <w:rPr>
                <w:rFonts w:cs="Arial"/>
                <w:sz w:val="20"/>
              </w:rPr>
              <w:t xml:space="preserve">the </w:t>
            </w:r>
            <w:r w:rsidR="0004134A">
              <w:rPr>
                <w:rFonts w:cs="Arial"/>
                <w:sz w:val="20"/>
              </w:rPr>
              <w:t xml:space="preserve">r.8 </w:t>
            </w:r>
            <w:r w:rsidR="0034608C">
              <w:rPr>
                <w:rFonts w:cs="Arial"/>
                <w:sz w:val="20"/>
              </w:rPr>
              <w:t xml:space="preserve">credentialing and scope of practice requirements </w:t>
            </w:r>
            <w:r w:rsidR="00F54EAB">
              <w:rPr>
                <w:rFonts w:cs="Arial"/>
                <w:sz w:val="20"/>
              </w:rPr>
              <w:t xml:space="preserve">only apply to </w:t>
            </w:r>
            <w:r w:rsidR="003149F1" w:rsidRPr="00E62CD4">
              <w:rPr>
                <w:rFonts w:cs="Arial"/>
                <w:i/>
                <w:iCs/>
                <w:sz w:val="20"/>
              </w:rPr>
              <w:t>health professionals</w:t>
            </w:r>
            <w:r w:rsidR="003149F1" w:rsidRPr="003149F1">
              <w:rPr>
                <w:rFonts w:cs="Arial"/>
                <w:sz w:val="20"/>
              </w:rPr>
              <w:t xml:space="preserve"> </w:t>
            </w:r>
            <w:r w:rsidR="003149F1">
              <w:rPr>
                <w:rFonts w:cs="Arial"/>
                <w:sz w:val="20"/>
              </w:rPr>
              <w:t>(</w:t>
            </w:r>
            <w:r w:rsidR="003149F1" w:rsidRPr="003149F1">
              <w:rPr>
                <w:rFonts w:cs="Arial"/>
                <w:sz w:val="20"/>
              </w:rPr>
              <w:t>defined as</w:t>
            </w:r>
            <w:r w:rsidR="003149F1">
              <w:rPr>
                <w:rFonts w:cs="Arial"/>
                <w:sz w:val="20"/>
              </w:rPr>
              <w:t xml:space="preserve"> </w:t>
            </w:r>
            <w:r w:rsidR="003149F1" w:rsidRPr="00E62CD4">
              <w:rPr>
                <w:rFonts w:cs="Arial"/>
                <w:sz w:val="20"/>
              </w:rPr>
              <w:t xml:space="preserve">a registered medical practitioner, a registered dental practitioner, a registered medical </w:t>
            </w:r>
            <w:r w:rsidR="003149F1" w:rsidRPr="00E62CD4">
              <w:rPr>
                <w:rFonts w:cs="Arial"/>
                <w:sz w:val="20"/>
              </w:rPr>
              <w:lastRenderedPageBreak/>
              <w:t>radiation practitioner or a registered podiatrist</w:t>
            </w:r>
            <w:r w:rsidR="003149F1">
              <w:rPr>
                <w:rFonts w:cs="Arial"/>
                <w:sz w:val="20"/>
              </w:rPr>
              <w:t>)</w:t>
            </w:r>
            <w:r w:rsidR="002F0050">
              <w:rPr>
                <w:rFonts w:cs="Arial"/>
                <w:sz w:val="20"/>
              </w:rPr>
              <w:t xml:space="preserve">, so nurses and midwives are not </w:t>
            </w:r>
            <w:r w:rsidR="00BA0540">
              <w:rPr>
                <w:rFonts w:cs="Arial"/>
                <w:sz w:val="20"/>
              </w:rPr>
              <w:t xml:space="preserve">in </w:t>
            </w:r>
            <w:r w:rsidR="002F0050">
              <w:rPr>
                <w:rFonts w:cs="Arial"/>
                <w:sz w:val="20"/>
              </w:rPr>
              <w:t xml:space="preserve">scope </w:t>
            </w:r>
            <w:r w:rsidR="007A2C5F">
              <w:rPr>
                <w:rFonts w:cs="Arial"/>
                <w:sz w:val="20"/>
              </w:rPr>
              <w:t>(</w:t>
            </w:r>
            <w:r w:rsidR="007A2C5F" w:rsidRPr="007A2C5F">
              <w:rPr>
                <w:rFonts w:cs="Arial"/>
                <w:sz w:val="20"/>
              </w:rPr>
              <w:t xml:space="preserve">rr.32, 33 and 34 </w:t>
            </w:r>
            <w:r w:rsidR="0004134A">
              <w:rPr>
                <w:rFonts w:cs="Arial"/>
                <w:sz w:val="20"/>
              </w:rPr>
              <w:t>apply to n</w:t>
            </w:r>
            <w:r w:rsidR="007A2C5F" w:rsidRPr="007A2C5F">
              <w:rPr>
                <w:rFonts w:cs="Arial"/>
                <w:sz w:val="20"/>
              </w:rPr>
              <w:t>urses and midwives</w:t>
            </w:r>
            <w:r w:rsidR="0004134A">
              <w:rPr>
                <w:rFonts w:cs="Arial"/>
                <w:sz w:val="20"/>
              </w:rPr>
              <w:t>)</w:t>
            </w:r>
            <w:r w:rsidR="00E62CD4">
              <w:rPr>
                <w:rFonts w:cs="Arial"/>
                <w:sz w:val="20"/>
              </w:rPr>
              <w:t>.</w:t>
            </w:r>
          </w:p>
          <w:p w14:paraId="4C098E79" w14:textId="22325E8A" w:rsidR="00670FCE" w:rsidRPr="00CC191F" w:rsidRDefault="00C93419" w:rsidP="00E62CD4">
            <w:pPr>
              <w:pStyle w:val="Body"/>
              <w:numPr>
                <w:ilvl w:val="0"/>
                <w:numId w:val="11"/>
              </w:numPr>
              <w:rPr>
                <w:rFonts w:cs="Arial"/>
                <w:sz w:val="20"/>
              </w:rPr>
            </w:pPr>
            <w:r>
              <w:rPr>
                <w:rFonts w:cs="Arial"/>
                <w:sz w:val="20"/>
              </w:rPr>
              <w:t>I</w:t>
            </w:r>
            <w:r w:rsidR="007457E5">
              <w:rPr>
                <w:rFonts w:cs="Arial"/>
                <w:sz w:val="20"/>
              </w:rPr>
              <w:t>n</w:t>
            </w:r>
            <w:r>
              <w:rPr>
                <w:rFonts w:cs="Arial"/>
                <w:sz w:val="20"/>
              </w:rPr>
              <w:t xml:space="preserve"> response to </w:t>
            </w:r>
            <w:r w:rsidRPr="00E62CD4">
              <w:rPr>
                <w:rFonts w:cs="Arial"/>
                <w:b/>
                <w:bCs/>
                <w:sz w:val="20"/>
              </w:rPr>
              <w:t>ANMF’s</w:t>
            </w:r>
            <w:r w:rsidRPr="00E62CD4">
              <w:rPr>
                <w:rFonts w:cs="Arial"/>
                <w:sz w:val="20"/>
              </w:rPr>
              <w:t xml:space="preserve"> </w:t>
            </w:r>
            <w:r>
              <w:rPr>
                <w:rFonts w:cs="Arial"/>
                <w:sz w:val="20"/>
              </w:rPr>
              <w:t xml:space="preserve">suggestions to strengthen requirements through alignment with </w:t>
            </w:r>
            <w:r w:rsidR="00E37BFE">
              <w:rPr>
                <w:rFonts w:cs="Arial"/>
                <w:sz w:val="20"/>
              </w:rPr>
              <w:t xml:space="preserve">SCV policies and guides that currently apply to the public sector, the </w:t>
            </w:r>
            <w:r w:rsidR="00C87601">
              <w:rPr>
                <w:rFonts w:cs="Arial"/>
                <w:sz w:val="20"/>
              </w:rPr>
              <w:t>department</w:t>
            </w:r>
            <w:r w:rsidR="00E37BFE">
              <w:rPr>
                <w:rFonts w:cs="Arial"/>
                <w:sz w:val="20"/>
              </w:rPr>
              <w:t xml:space="preserve"> </w:t>
            </w:r>
            <w:r w:rsidR="00CD5AB5">
              <w:rPr>
                <w:rFonts w:cs="Arial"/>
                <w:sz w:val="20"/>
              </w:rPr>
              <w:t>will continue to work closely with SCV</w:t>
            </w:r>
            <w:r w:rsidR="002D6F14">
              <w:rPr>
                <w:rFonts w:cs="Arial"/>
                <w:sz w:val="20"/>
              </w:rPr>
              <w:t>,</w:t>
            </w:r>
            <w:r w:rsidR="00CD5AB5">
              <w:rPr>
                <w:rFonts w:cs="Arial"/>
                <w:sz w:val="20"/>
              </w:rPr>
              <w:t xml:space="preserve"> </w:t>
            </w:r>
            <w:r w:rsidR="00BC2EB9">
              <w:rPr>
                <w:rFonts w:cs="Arial"/>
                <w:sz w:val="20"/>
              </w:rPr>
              <w:t xml:space="preserve">and where needed </w:t>
            </w:r>
            <w:r w:rsidR="002D6F14">
              <w:rPr>
                <w:rFonts w:cs="Arial"/>
                <w:sz w:val="20"/>
              </w:rPr>
              <w:t xml:space="preserve">consult with the sector and relevant stakeholders, to </w:t>
            </w:r>
            <w:r w:rsidR="00F676E3">
              <w:rPr>
                <w:rFonts w:cs="Arial"/>
                <w:sz w:val="20"/>
              </w:rPr>
              <w:t xml:space="preserve">consider alignment between existing SCV resources and regulatory requirements </w:t>
            </w:r>
            <w:r w:rsidR="00DC3E1F">
              <w:rPr>
                <w:rFonts w:cs="Arial"/>
                <w:sz w:val="20"/>
              </w:rPr>
              <w:t>for private sector facilities.</w:t>
            </w:r>
          </w:p>
        </w:tc>
      </w:tr>
      <w:tr w:rsidR="0048136C" w:rsidRPr="007A5AE5" w14:paraId="01ABF4D7" w14:textId="77777777" w:rsidTr="4B858DAC">
        <w:tc>
          <w:tcPr>
            <w:tcW w:w="7366" w:type="dxa"/>
          </w:tcPr>
          <w:p w14:paraId="1980F339" w14:textId="77777777" w:rsidR="00836B3D" w:rsidRPr="007A5AE5" w:rsidRDefault="00EA206B" w:rsidP="00EA206B">
            <w:pPr>
              <w:pStyle w:val="Body"/>
              <w:spacing w:line="240" w:lineRule="auto"/>
              <w:rPr>
                <w:b/>
                <w:bCs/>
                <w:sz w:val="20"/>
              </w:rPr>
            </w:pPr>
            <w:r w:rsidRPr="007A5AE5">
              <w:rPr>
                <w:b/>
                <w:bCs/>
                <w:sz w:val="20"/>
              </w:rPr>
              <w:lastRenderedPageBreak/>
              <w:t>Reporting and review of sentinel events</w:t>
            </w:r>
          </w:p>
          <w:p w14:paraId="12751C57" w14:textId="7B4247C2" w:rsidR="00F312A9" w:rsidRPr="007A5AE5" w:rsidRDefault="0065185D" w:rsidP="00F312A9">
            <w:pPr>
              <w:pStyle w:val="Body"/>
              <w:numPr>
                <w:ilvl w:val="0"/>
                <w:numId w:val="11"/>
              </w:numPr>
              <w:rPr>
                <w:sz w:val="20"/>
              </w:rPr>
            </w:pPr>
            <w:r w:rsidRPr="007A5AE5">
              <w:rPr>
                <w:sz w:val="20"/>
              </w:rPr>
              <w:t xml:space="preserve">Amend the requirement to report sentinel events </w:t>
            </w:r>
            <w:r w:rsidR="00644BF1" w:rsidRPr="007A5AE5">
              <w:rPr>
                <w:sz w:val="20"/>
              </w:rPr>
              <w:t>(current r.46A, new r.66)</w:t>
            </w:r>
            <w:r w:rsidR="00F312A9" w:rsidRPr="007A5AE5">
              <w:rPr>
                <w:sz w:val="20"/>
              </w:rPr>
              <w:t xml:space="preserve"> to specify that it must be reported in </w:t>
            </w:r>
            <w:r w:rsidR="006B512B" w:rsidRPr="007A5AE5">
              <w:rPr>
                <w:sz w:val="20"/>
              </w:rPr>
              <w:t xml:space="preserve">the </w:t>
            </w:r>
            <w:r w:rsidR="00F312A9" w:rsidRPr="007A5AE5">
              <w:rPr>
                <w:sz w:val="20"/>
              </w:rPr>
              <w:t>time and manner determined by the Sec</w:t>
            </w:r>
            <w:r w:rsidR="006B512B" w:rsidRPr="007A5AE5">
              <w:rPr>
                <w:sz w:val="20"/>
              </w:rPr>
              <w:t>re</w:t>
            </w:r>
            <w:r w:rsidR="00F312A9" w:rsidRPr="007A5AE5">
              <w:rPr>
                <w:sz w:val="20"/>
              </w:rPr>
              <w:t>tary</w:t>
            </w:r>
            <w:r w:rsidR="003D1B8C" w:rsidRPr="007A5AE5">
              <w:rPr>
                <w:sz w:val="20"/>
              </w:rPr>
              <w:t>*</w:t>
            </w:r>
            <w:r w:rsidR="00F312A9" w:rsidRPr="007A5AE5">
              <w:rPr>
                <w:sz w:val="20"/>
              </w:rPr>
              <w:t>.</w:t>
            </w:r>
            <w:r w:rsidR="00644BF1" w:rsidRPr="007A5AE5">
              <w:rPr>
                <w:sz w:val="20"/>
              </w:rPr>
              <w:t xml:space="preserve"> </w:t>
            </w:r>
          </w:p>
          <w:p w14:paraId="6041DE41" w14:textId="26E5A42E" w:rsidR="007E5427" w:rsidRPr="007A5AE5" w:rsidRDefault="00F312A9" w:rsidP="007E5427">
            <w:pPr>
              <w:pStyle w:val="Body"/>
              <w:numPr>
                <w:ilvl w:val="0"/>
                <w:numId w:val="11"/>
              </w:numPr>
              <w:rPr>
                <w:sz w:val="20"/>
              </w:rPr>
            </w:pPr>
            <w:r w:rsidRPr="007A5AE5">
              <w:rPr>
                <w:sz w:val="20"/>
              </w:rPr>
              <w:t xml:space="preserve">Add a new requirement </w:t>
            </w:r>
            <w:r w:rsidR="006B512B" w:rsidRPr="007A5AE5">
              <w:rPr>
                <w:sz w:val="20"/>
              </w:rPr>
              <w:t>to review sentinel event</w:t>
            </w:r>
            <w:r w:rsidR="00E11FD5" w:rsidRPr="007A5AE5">
              <w:rPr>
                <w:sz w:val="20"/>
              </w:rPr>
              <w:t>s</w:t>
            </w:r>
            <w:r w:rsidR="00722341" w:rsidRPr="007A5AE5">
              <w:rPr>
                <w:sz w:val="20"/>
              </w:rPr>
              <w:t xml:space="preserve"> and report on those reviews </w:t>
            </w:r>
            <w:r w:rsidR="006B512B" w:rsidRPr="007A5AE5">
              <w:rPr>
                <w:sz w:val="20"/>
              </w:rPr>
              <w:t>in the time and manner determined by the Secretary</w:t>
            </w:r>
            <w:r w:rsidR="006660A4" w:rsidRPr="007A5AE5">
              <w:rPr>
                <w:sz w:val="20"/>
              </w:rPr>
              <w:t>**</w:t>
            </w:r>
            <w:r w:rsidR="006B512B" w:rsidRPr="007A5AE5">
              <w:rPr>
                <w:sz w:val="20"/>
              </w:rPr>
              <w:t>.</w:t>
            </w:r>
          </w:p>
          <w:p w14:paraId="15590F46" w14:textId="5343E1C6" w:rsidR="007E5427" w:rsidRPr="007A5AE5" w:rsidRDefault="007E5427" w:rsidP="007E5427">
            <w:pPr>
              <w:pStyle w:val="Body"/>
              <w:rPr>
                <w:sz w:val="20"/>
              </w:rPr>
            </w:pPr>
            <w:r w:rsidRPr="007A5AE5">
              <w:rPr>
                <w:sz w:val="20"/>
              </w:rPr>
              <w:t>*</w:t>
            </w:r>
            <w:r w:rsidR="006660A4" w:rsidRPr="007A5AE5">
              <w:rPr>
                <w:sz w:val="20"/>
              </w:rPr>
              <w:t>The determination will specify SCV’s Sentinel Events Portal.</w:t>
            </w:r>
          </w:p>
          <w:p w14:paraId="0AD53A17" w14:textId="58C4C32A" w:rsidR="00836B3D" w:rsidRDefault="006660A4" w:rsidP="007A5AE5">
            <w:pPr>
              <w:pStyle w:val="Body"/>
              <w:rPr>
                <w:rFonts w:cs="Arial"/>
                <w:sz w:val="20"/>
              </w:rPr>
            </w:pPr>
            <w:r w:rsidRPr="007A5AE5">
              <w:rPr>
                <w:sz w:val="20"/>
              </w:rPr>
              <w:t xml:space="preserve">**The </w:t>
            </w:r>
            <w:r w:rsidR="007A5AE5" w:rsidRPr="007A5AE5">
              <w:rPr>
                <w:sz w:val="20"/>
              </w:rPr>
              <w:t xml:space="preserve">review requirements will align with SCV’s </w:t>
            </w:r>
            <w:hyperlink r:id="rId20" w:history="1">
              <w:r w:rsidR="007A5AE5" w:rsidRPr="007A5AE5">
                <w:rPr>
                  <w:rStyle w:val="Hyperlink"/>
                  <w:rFonts w:cs="Arial"/>
                  <w:sz w:val="20"/>
                </w:rPr>
                <w:t>Sentinel Events Guide</w:t>
              </w:r>
            </w:hyperlink>
            <w:r w:rsidR="004C70C7" w:rsidRPr="006B50E8">
              <w:rPr>
                <w:rStyle w:val="FootnoteReference"/>
              </w:rPr>
              <w:footnoteReference w:id="9"/>
            </w:r>
            <w:r w:rsidR="007A5AE5" w:rsidRPr="006B50E8">
              <w:rPr>
                <w:rStyle w:val="FootnoteReference"/>
              </w:rPr>
              <w:t xml:space="preserve"> </w:t>
            </w:r>
            <w:r w:rsidR="007A5AE5" w:rsidRPr="007A5AE5">
              <w:rPr>
                <w:rFonts w:cs="Arial"/>
                <w:sz w:val="20"/>
              </w:rPr>
              <w:t xml:space="preserve">and </w:t>
            </w:r>
            <w:hyperlink r:id="rId21" w:history="1">
              <w:r w:rsidR="007A5AE5" w:rsidRPr="007A5AE5">
                <w:rPr>
                  <w:rStyle w:val="Hyperlink"/>
                  <w:rFonts w:cs="Arial"/>
                  <w:sz w:val="20"/>
                </w:rPr>
                <w:t>Adverse Patient Safety Event Policy</w:t>
              </w:r>
            </w:hyperlink>
            <w:r w:rsidR="00F30761" w:rsidRPr="00577252">
              <w:rPr>
                <w:rFonts w:cs="Arial"/>
                <w:sz w:val="20"/>
              </w:rPr>
              <w:t>.</w:t>
            </w:r>
            <w:r w:rsidR="006B50E8">
              <w:rPr>
                <w:rStyle w:val="FootnoteReference"/>
                <w:rFonts w:cs="Arial"/>
                <w:sz w:val="20"/>
              </w:rPr>
              <w:footnoteReference w:id="10"/>
            </w:r>
            <w:r w:rsidR="00701370">
              <w:rPr>
                <w:rFonts w:cs="Arial"/>
                <w:sz w:val="20"/>
              </w:rPr>
              <w:t xml:space="preserve"> </w:t>
            </w:r>
          </w:p>
          <w:p w14:paraId="4341428E" w14:textId="59BBD08D" w:rsidR="003465B5" w:rsidRPr="007F31F3" w:rsidRDefault="00367163" w:rsidP="4B858DAC">
            <w:pPr>
              <w:pStyle w:val="Body"/>
              <w:rPr>
                <w:sz w:val="20"/>
              </w:rPr>
            </w:pPr>
            <w:r>
              <w:rPr>
                <w:rFonts w:cs="Arial"/>
                <w:sz w:val="20"/>
              </w:rPr>
              <w:t xml:space="preserve">Noting that these requirements will formalise what is </w:t>
            </w:r>
            <w:r w:rsidR="00265AD3">
              <w:rPr>
                <w:rFonts w:cs="Arial"/>
                <w:sz w:val="20"/>
              </w:rPr>
              <w:t xml:space="preserve">generally </w:t>
            </w:r>
            <w:r>
              <w:rPr>
                <w:rFonts w:cs="Arial"/>
                <w:sz w:val="20"/>
              </w:rPr>
              <w:t>current practice for facilities who report a sentinel event there is not a formally deferred commencement date for these provisions</w:t>
            </w:r>
            <w:r w:rsidR="00BD4020">
              <w:rPr>
                <w:rFonts w:cs="Arial"/>
                <w:sz w:val="20"/>
              </w:rPr>
              <w:t xml:space="preserve"> in the Regulations</w:t>
            </w:r>
            <w:r>
              <w:rPr>
                <w:rFonts w:cs="Arial"/>
                <w:sz w:val="20"/>
              </w:rPr>
              <w:t>. However, acknowledging</w:t>
            </w:r>
            <w:r w:rsidR="00BC27F3" w:rsidRPr="4B858DAC">
              <w:rPr>
                <w:rFonts w:cs="Arial"/>
                <w:sz w:val="20"/>
              </w:rPr>
              <w:t xml:space="preserve"> that these are new requirements, </w:t>
            </w:r>
            <w:r w:rsidR="006E38A2" w:rsidRPr="4B858DAC">
              <w:rPr>
                <w:rFonts w:cs="Arial"/>
                <w:sz w:val="20"/>
              </w:rPr>
              <w:t xml:space="preserve">and that </w:t>
            </w:r>
            <w:r w:rsidR="00B84F21" w:rsidRPr="4B858DAC">
              <w:rPr>
                <w:rFonts w:cs="Arial"/>
                <w:sz w:val="20"/>
              </w:rPr>
              <w:t xml:space="preserve">there are known challenges </w:t>
            </w:r>
            <w:r w:rsidR="005C15DC" w:rsidRPr="4B858DAC">
              <w:rPr>
                <w:rFonts w:cs="Arial"/>
                <w:sz w:val="20"/>
              </w:rPr>
              <w:t>f</w:t>
            </w:r>
            <w:r w:rsidR="00910EBF" w:rsidRPr="4B858DAC">
              <w:rPr>
                <w:rFonts w:cs="Arial"/>
                <w:sz w:val="20"/>
              </w:rPr>
              <w:t xml:space="preserve">or constituting review panels, </w:t>
            </w:r>
            <w:r w:rsidR="00BC27F3" w:rsidRPr="4B858DAC">
              <w:rPr>
                <w:rFonts w:cs="Arial"/>
                <w:sz w:val="20"/>
              </w:rPr>
              <w:t>the initial focus</w:t>
            </w:r>
            <w:r w:rsidR="00CD5A36" w:rsidRPr="4B858DAC">
              <w:rPr>
                <w:rFonts w:cs="Arial"/>
                <w:sz w:val="20"/>
              </w:rPr>
              <w:t xml:space="preserve"> </w:t>
            </w:r>
            <w:r>
              <w:rPr>
                <w:rFonts w:cs="Arial"/>
                <w:sz w:val="20"/>
              </w:rPr>
              <w:t xml:space="preserve">of the Department and SCV </w:t>
            </w:r>
            <w:r w:rsidR="00BC27F3" w:rsidRPr="4B858DAC">
              <w:rPr>
                <w:rFonts w:cs="Arial"/>
                <w:sz w:val="20"/>
              </w:rPr>
              <w:t xml:space="preserve">will be on </w:t>
            </w:r>
            <w:r w:rsidR="00E94E5F" w:rsidRPr="4B858DAC">
              <w:rPr>
                <w:rFonts w:cs="Arial"/>
                <w:sz w:val="20"/>
              </w:rPr>
              <w:t xml:space="preserve">providing </w:t>
            </w:r>
            <w:r w:rsidR="00E21410" w:rsidRPr="4B858DAC">
              <w:rPr>
                <w:rFonts w:cs="Arial"/>
                <w:sz w:val="20"/>
              </w:rPr>
              <w:t xml:space="preserve">education </w:t>
            </w:r>
            <w:r w:rsidR="00075CA6" w:rsidRPr="4B858DAC">
              <w:rPr>
                <w:rFonts w:cs="Arial"/>
                <w:sz w:val="20"/>
              </w:rPr>
              <w:t xml:space="preserve">and </w:t>
            </w:r>
            <w:r w:rsidR="00E21410" w:rsidRPr="4B858DAC">
              <w:rPr>
                <w:rFonts w:cs="Arial"/>
                <w:sz w:val="20"/>
              </w:rPr>
              <w:t>support</w:t>
            </w:r>
            <w:r w:rsidR="00910EBF" w:rsidRPr="4B858DAC">
              <w:rPr>
                <w:rFonts w:cs="Arial"/>
                <w:sz w:val="20"/>
              </w:rPr>
              <w:t xml:space="preserve"> </w:t>
            </w:r>
            <w:r w:rsidR="004401E1" w:rsidRPr="4B858DAC">
              <w:rPr>
                <w:rFonts w:cs="Arial"/>
                <w:sz w:val="20"/>
              </w:rPr>
              <w:t>for health service establishments to conduct reviews.</w:t>
            </w:r>
          </w:p>
        </w:tc>
        <w:tc>
          <w:tcPr>
            <w:tcW w:w="7366" w:type="dxa"/>
          </w:tcPr>
          <w:p w14:paraId="576D4439" w14:textId="24E2E98D" w:rsidR="0048136C" w:rsidRDefault="00CD0AEE" w:rsidP="00160076">
            <w:pPr>
              <w:pStyle w:val="Bullet1"/>
            </w:pPr>
            <w:r>
              <w:rPr>
                <w:b/>
                <w:bCs/>
              </w:rPr>
              <w:t>CHA/anonymous</w:t>
            </w:r>
            <w:r>
              <w:t xml:space="preserve"> support the </w:t>
            </w:r>
            <w:r w:rsidR="0094217E">
              <w:t xml:space="preserve">amended </w:t>
            </w:r>
            <w:r>
              <w:t xml:space="preserve">reporting </w:t>
            </w:r>
            <w:r w:rsidR="0094217E">
              <w:t xml:space="preserve">and review </w:t>
            </w:r>
            <w:r>
              <w:t xml:space="preserve">requirement, and note that </w:t>
            </w:r>
            <w:r w:rsidR="00FD0CA9">
              <w:t>they should apply to mobile services.</w:t>
            </w:r>
          </w:p>
          <w:p w14:paraId="63C9CD85" w14:textId="49B7DA28" w:rsidR="00694F90" w:rsidRDefault="00694F90" w:rsidP="00AD1AF7">
            <w:pPr>
              <w:pStyle w:val="Bullet1"/>
            </w:pPr>
            <w:r w:rsidRPr="00D66EE6">
              <w:rPr>
                <w:b/>
                <w:bCs/>
              </w:rPr>
              <w:t>ASMIRT</w:t>
            </w:r>
            <w:r>
              <w:rPr>
                <w:b/>
                <w:bCs/>
              </w:rPr>
              <w:t xml:space="preserve"> </w:t>
            </w:r>
            <w:r w:rsidRPr="00694F90">
              <w:t>s</w:t>
            </w:r>
            <w:r w:rsidRPr="00D66EE6">
              <w:t xml:space="preserve">upports the </w:t>
            </w:r>
            <w:r w:rsidR="0094217E">
              <w:t>amended reporting and review requirements.</w:t>
            </w:r>
          </w:p>
          <w:p w14:paraId="7EDFC0BC" w14:textId="3D4DCF2B" w:rsidR="0094217E" w:rsidRPr="00160076" w:rsidRDefault="0094217E" w:rsidP="00160076">
            <w:pPr>
              <w:pStyle w:val="Bullet1"/>
            </w:pPr>
            <w:r w:rsidRPr="00160076">
              <w:rPr>
                <w:b/>
                <w:bCs/>
              </w:rPr>
              <w:t>Healthscope</w:t>
            </w:r>
            <w:r w:rsidRPr="00160076">
              <w:t xml:space="preserve"> suggests </w:t>
            </w:r>
            <w:r w:rsidR="00B23835" w:rsidRPr="00160076">
              <w:t xml:space="preserve">extending the timeframes </w:t>
            </w:r>
            <w:r w:rsidR="00365F98" w:rsidRPr="00160076">
              <w:t>for sentinel event reviews.</w:t>
            </w:r>
          </w:p>
          <w:p w14:paraId="54219B8C" w14:textId="237EF59E" w:rsidR="00365F98" w:rsidRPr="00365F98" w:rsidRDefault="00365F98" w:rsidP="00160076">
            <w:pPr>
              <w:pStyle w:val="Bullet1"/>
            </w:pPr>
            <w:r w:rsidRPr="00160076">
              <w:rPr>
                <w:b/>
                <w:bCs/>
              </w:rPr>
              <w:t>ANMF</w:t>
            </w:r>
            <w:r w:rsidRPr="00160076">
              <w:t xml:space="preserve"> supports the amended reporting and review requirements, but </w:t>
            </w:r>
            <w:r w:rsidR="00F12744" w:rsidRPr="00160076">
              <w:t>suggests stipulating the SC</w:t>
            </w:r>
            <w:r w:rsidR="00800329" w:rsidRPr="00160076">
              <w:t>V</w:t>
            </w:r>
            <w:r w:rsidR="00F12744" w:rsidRPr="00160076">
              <w:t xml:space="preserve"> Online portal and the SCV </w:t>
            </w:r>
            <w:hyperlink r:id="rId22" w:history="1">
              <w:r w:rsidR="00F12744" w:rsidRPr="00160076">
                <w:rPr>
                  <w:rStyle w:val="Hyperlink"/>
                  <w:color w:val="auto"/>
                  <w:u w:val="none"/>
                </w:rPr>
                <w:t>Sentinel Events Guide</w:t>
              </w:r>
            </w:hyperlink>
            <w:r w:rsidR="00F12744" w:rsidRPr="00160076">
              <w:t xml:space="preserve"> and </w:t>
            </w:r>
            <w:hyperlink r:id="rId23" w:history="1">
              <w:r w:rsidR="00F12744" w:rsidRPr="00160076">
                <w:rPr>
                  <w:rStyle w:val="Hyperlink"/>
                  <w:color w:val="auto"/>
                  <w:u w:val="none"/>
                </w:rPr>
                <w:t>Adverse Patient Safety Event Policy</w:t>
              </w:r>
            </w:hyperlink>
            <w:r w:rsidR="00F12744" w:rsidRPr="00160076">
              <w:t xml:space="preserve"> in the Regulations </w:t>
            </w:r>
            <w:r w:rsidR="008159CF" w:rsidRPr="00160076">
              <w:t>instead of</w:t>
            </w:r>
            <w:r w:rsidR="00C06312" w:rsidRPr="00160076">
              <w:t xml:space="preserve"> leaving the form and manner</w:t>
            </w:r>
            <w:r w:rsidR="00C06312">
              <w:t xml:space="preserve"> to be determined by the Secretary.</w:t>
            </w:r>
          </w:p>
          <w:p w14:paraId="39A32205" w14:textId="3CC9C8F9" w:rsidR="00FD0CA9" w:rsidRPr="00CD0AEE" w:rsidRDefault="00FD0CA9" w:rsidP="00ED3820">
            <w:pPr>
              <w:pStyle w:val="Body"/>
              <w:rPr>
                <w:sz w:val="20"/>
              </w:rPr>
            </w:pPr>
          </w:p>
        </w:tc>
        <w:tc>
          <w:tcPr>
            <w:tcW w:w="7367" w:type="dxa"/>
          </w:tcPr>
          <w:p w14:paraId="3684FCFF" w14:textId="193F9372" w:rsidR="006642C1" w:rsidRPr="00E62CD4" w:rsidRDefault="006642C1" w:rsidP="00AD1AF7">
            <w:pPr>
              <w:pStyle w:val="Bullet1"/>
            </w:pPr>
            <w:r w:rsidRPr="00E62CD4">
              <w:t xml:space="preserve">In response to </w:t>
            </w:r>
            <w:r w:rsidRPr="00E62CD4">
              <w:rPr>
                <w:b/>
                <w:bCs/>
              </w:rPr>
              <w:t>CHA/anonymous</w:t>
            </w:r>
            <w:r w:rsidRPr="00E62CD4">
              <w:t xml:space="preserve">, the </w:t>
            </w:r>
            <w:r w:rsidR="00C87601">
              <w:t>department</w:t>
            </w:r>
            <w:r w:rsidRPr="00E62CD4">
              <w:t xml:space="preserve"> confirms that the sentinel event reporting and review requirements apply to mobile services.</w:t>
            </w:r>
          </w:p>
          <w:p w14:paraId="195E6B10" w14:textId="42656470" w:rsidR="006642C1" w:rsidRDefault="00C30485" w:rsidP="00EF19E8">
            <w:pPr>
              <w:pStyle w:val="Bullet1"/>
            </w:pPr>
            <w:r>
              <w:t xml:space="preserve">In response to </w:t>
            </w:r>
            <w:r w:rsidRPr="00C30485">
              <w:rPr>
                <w:b/>
                <w:bCs/>
              </w:rPr>
              <w:t>Healthscope</w:t>
            </w:r>
            <w:r>
              <w:t xml:space="preserve">, </w:t>
            </w:r>
            <w:r w:rsidR="005A2D58">
              <w:t xml:space="preserve">a </w:t>
            </w:r>
            <w:r w:rsidR="005A2D58" w:rsidRPr="005A2D58">
              <w:t>proprietor may</w:t>
            </w:r>
            <w:r w:rsidR="005A2D58" w:rsidRPr="002C036F">
              <w:rPr>
                <w:i/>
                <w:iCs/>
              </w:rPr>
              <w:t xml:space="preserve"> </w:t>
            </w:r>
            <w:r w:rsidR="005A2D58" w:rsidRPr="005A2D58">
              <w:t>seek</w:t>
            </w:r>
            <w:r w:rsidR="005A2D58">
              <w:t>, and</w:t>
            </w:r>
            <w:r w:rsidR="005A2D58" w:rsidRPr="002C036F">
              <w:t xml:space="preserve"> </w:t>
            </w:r>
            <w:r w:rsidR="002C036F" w:rsidRPr="002C036F">
              <w:t xml:space="preserve">the Secretary </w:t>
            </w:r>
            <w:r w:rsidR="005A2D58">
              <w:t xml:space="preserve">may </w:t>
            </w:r>
            <w:r w:rsidR="002C036F" w:rsidRPr="002C036F">
              <w:t>grant</w:t>
            </w:r>
            <w:r w:rsidR="005A2D58">
              <w:t>,</w:t>
            </w:r>
            <w:r w:rsidR="002C036F" w:rsidRPr="002C036F">
              <w:t xml:space="preserve"> an extension of the submission deadlines for the review reports</w:t>
            </w:r>
            <w:r w:rsidR="005A2D58">
              <w:t xml:space="preserve">, as is </w:t>
            </w:r>
            <w:r w:rsidR="002C036F" w:rsidRPr="002C036F">
              <w:t>currently</w:t>
            </w:r>
            <w:r w:rsidR="005A2D58">
              <w:t xml:space="preserve"> the case</w:t>
            </w:r>
            <w:r w:rsidR="001110B9">
              <w:t>.</w:t>
            </w:r>
            <w:r w:rsidR="00FC1B98">
              <w:t xml:space="preserve"> </w:t>
            </w:r>
            <w:r w:rsidR="00DF6FFC">
              <w:t xml:space="preserve">The determination by the Secretary </w:t>
            </w:r>
            <w:r w:rsidR="00740ABA">
              <w:t xml:space="preserve">that sets out the </w:t>
            </w:r>
            <w:r w:rsidR="00B51F2A">
              <w:t xml:space="preserve">time and manner for reviewing and reporting on sentinel event reviews will </w:t>
            </w:r>
            <w:r w:rsidR="00AA3554">
              <w:t xml:space="preserve">state that </w:t>
            </w:r>
            <w:r w:rsidR="00E052EC">
              <w:t>extensions</w:t>
            </w:r>
            <w:r w:rsidR="00061956">
              <w:t xml:space="preserve"> may be sought and granted.</w:t>
            </w:r>
          </w:p>
          <w:p w14:paraId="425CEAE4" w14:textId="61819926" w:rsidR="0048136C" w:rsidRPr="007A5AE5" w:rsidRDefault="001110B9" w:rsidP="00E46534">
            <w:pPr>
              <w:pStyle w:val="Bullet1"/>
            </w:pPr>
            <w:r w:rsidRPr="001110B9">
              <w:t>In response to</w:t>
            </w:r>
            <w:r>
              <w:rPr>
                <w:b/>
                <w:bCs/>
              </w:rPr>
              <w:t xml:space="preserve"> ANMF</w:t>
            </w:r>
            <w:r w:rsidRPr="001110B9">
              <w:t>,</w:t>
            </w:r>
            <w:r>
              <w:rPr>
                <w:b/>
                <w:bCs/>
              </w:rPr>
              <w:t xml:space="preserve"> </w:t>
            </w:r>
            <w:r w:rsidRPr="001110B9">
              <w:t xml:space="preserve">it </w:t>
            </w:r>
            <w:r w:rsidR="00C0424D">
              <w:t>may be limiting to</w:t>
            </w:r>
            <w:r w:rsidRPr="00D66EE6">
              <w:t xml:space="preserve"> stipulate the SCV Online Portal </w:t>
            </w:r>
            <w:r w:rsidR="00B93BAC">
              <w:t xml:space="preserve">and specific SCV policies and guides </w:t>
            </w:r>
            <w:r w:rsidRPr="00D66EE6">
              <w:t xml:space="preserve">in the Regulations as </w:t>
            </w:r>
            <w:r w:rsidR="000E3E41" w:rsidRPr="00D66EE6">
              <w:t>name</w:t>
            </w:r>
            <w:r w:rsidR="000E3E41">
              <w:t>s</w:t>
            </w:r>
            <w:r w:rsidR="000E3E41" w:rsidRPr="00D66EE6">
              <w:t xml:space="preserve"> may change </w:t>
            </w:r>
            <w:r w:rsidR="000E3E41">
              <w:t xml:space="preserve">and </w:t>
            </w:r>
            <w:r w:rsidR="000E3E41" w:rsidRPr="00D66EE6">
              <w:t>platform</w:t>
            </w:r>
            <w:r w:rsidR="000E3E41">
              <w:t>s</w:t>
            </w:r>
            <w:r w:rsidR="000E3E41" w:rsidRPr="00D66EE6">
              <w:t xml:space="preserve"> </w:t>
            </w:r>
            <w:r w:rsidR="001D460C">
              <w:t xml:space="preserve">or documents </w:t>
            </w:r>
            <w:r w:rsidR="000E3E41" w:rsidRPr="00D66EE6">
              <w:t xml:space="preserve">may be superseded </w:t>
            </w:r>
            <w:r w:rsidRPr="00D66EE6">
              <w:t>over time.</w:t>
            </w:r>
            <w:r w:rsidR="001A1852">
              <w:t xml:space="preserve"> </w:t>
            </w:r>
            <w:r w:rsidR="001A1852" w:rsidRPr="00D66EE6">
              <w:t xml:space="preserve">Changes like these </w:t>
            </w:r>
            <w:r w:rsidR="0065031C">
              <w:t>are</w:t>
            </w:r>
            <w:r w:rsidR="001A1852">
              <w:t xml:space="preserve"> better</w:t>
            </w:r>
            <w:r w:rsidR="001A1852" w:rsidRPr="00D66EE6">
              <w:t xml:space="preserve"> managed through updates to guidelines or policies determined by Secretary, as these could proceed without requiring the Regulations to be amended and remade</w:t>
            </w:r>
            <w:r w:rsidR="001A1852">
              <w:t>.</w:t>
            </w:r>
          </w:p>
        </w:tc>
      </w:tr>
      <w:tr w:rsidR="0048136C" w:rsidRPr="007A5AE5" w14:paraId="413ECBDB" w14:textId="77777777" w:rsidTr="4B858DAC">
        <w:tc>
          <w:tcPr>
            <w:tcW w:w="7366" w:type="dxa"/>
          </w:tcPr>
          <w:p w14:paraId="218A5B17" w14:textId="77777777" w:rsidR="0048136C" w:rsidRPr="00030193" w:rsidRDefault="00EA206B" w:rsidP="00EA206B">
            <w:pPr>
              <w:pStyle w:val="Body"/>
              <w:spacing w:line="240" w:lineRule="auto"/>
              <w:rPr>
                <w:b/>
                <w:bCs/>
                <w:sz w:val="20"/>
              </w:rPr>
            </w:pPr>
            <w:r w:rsidRPr="00030193">
              <w:rPr>
                <w:b/>
                <w:bCs/>
                <w:sz w:val="20"/>
              </w:rPr>
              <w:t>Admissions information and assessment</w:t>
            </w:r>
          </w:p>
          <w:p w14:paraId="412C370C" w14:textId="663DDE54" w:rsidR="00030193" w:rsidRPr="00030193" w:rsidRDefault="00151E36" w:rsidP="00C71E13">
            <w:pPr>
              <w:pStyle w:val="Body"/>
              <w:numPr>
                <w:ilvl w:val="0"/>
                <w:numId w:val="11"/>
              </w:numPr>
              <w:rPr>
                <w:sz w:val="20"/>
              </w:rPr>
            </w:pPr>
            <w:r>
              <w:rPr>
                <w:sz w:val="20"/>
              </w:rPr>
              <w:t xml:space="preserve">Amend the </w:t>
            </w:r>
            <w:r w:rsidR="0017797E">
              <w:rPr>
                <w:sz w:val="20"/>
              </w:rPr>
              <w:t xml:space="preserve">requirement </w:t>
            </w:r>
            <w:r w:rsidR="00D332B2">
              <w:rPr>
                <w:sz w:val="20"/>
              </w:rPr>
              <w:t xml:space="preserve">for a </w:t>
            </w:r>
            <w:r w:rsidR="00D332B2" w:rsidRPr="00030193">
              <w:rPr>
                <w:sz w:val="20"/>
              </w:rPr>
              <w:t xml:space="preserve">pre-admission clinical risk assessment </w:t>
            </w:r>
            <w:r w:rsidR="00D332B2">
              <w:rPr>
                <w:sz w:val="20"/>
              </w:rPr>
              <w:t xml:space="preserve">(current r.20A, new r.25) </w:t>
            </w:r>
            <w:r w:rsidR="00826477">
              <w:rPr>
                <w:sz w:val="20"/>
              </w:rPr>
              <w:t xml:space="preserve">to specify </w:t>
            </w:r>
            <w:r w:rsidR="00C77D67">
              <w:rPr>
                <w:sz w:val="20"/>
              </w:rPr>
              <w:t xml:space="preserve">that </w:t>
            </w:r>
            <w:r w:rsidR="00826477">
              <w:rPr>
                <w:sz w:val="20"/>
              </w:rPr>
              <w:t xml:space="preserve">it </w:t>
            </w:r>
            <w:r w:rsidR="00030193" w:rsidRPr="00030193">
              <w:rPr>
                <w:sz w:val="20"/>
              </w:rPr>
              <w:t>must be completed by a registered health practitioner</w:t>
            </w:r>
            <w:r w:rsidR="00C77D67">
              <w:rPr>
                <w:sz w:val="20"/>
              </w:rPr>
              <w:t>.</w:t>
            </w:r>
          </w:p>
          <w:p w14:paraId="2F3CD4F9" w14:textId="77777777" w:rsidR="004B0B3D" w:rsidRDefault="004B0B3D" w:rsidP="00C71E13">
            <w:pPr>
              <w:pStyle w:val="Body"/>
              <w:numPr>
                <w:ilvl w:val="0"/>
                <w:numId w:val="11"/>
              </w:numPr>
              <w:rPr>
                <w:sz w:val="20"/>
              </w:rPr>
            </w:pPr>
            <w:r>
              <w:rPr>
                <w:sz w:val="20"/>
              </w:rPr>
              <w:t>R</w:t>
            </w:r>
            <w:r w:rsidRPr="00030193">
              <w:rPr>
                <w:sz w:val="20"/>
              </w:rPr>
              <w:t>equire the matters considered and assessed in the pre-admission clinical risk assessment to be recorded</w:t>
            </w:r>
            <w:r>
              <w:rPr>
                <w:sz w:val="20"/>
              </w:rPr>
              <w:t xml:space="preserve"> in the patient’s clinical</w:t>
            </w:r>
            <w:r w:rsidRPr="00030193">
              <w:rPr>
                <w:sz w:val="20"/>
              </w:rPr>
              <w:t xml:space="preserve"> </w:t>
            </w:r>
            <w:r>
              <w:rPr>
                <w:sz w:val="20"/>
              </w:rPr>
              <w:t xml:space="preserve">record </w:t>
            </w:r>
            <w:r w:rsidRPr="00030193">
              <w:rPr>
                <w:sz w:val="20"/>
              </w:rPr>
              <w:t>(not just the results)</w:t>
            </w:r>
            <w:r>
              <w:rPr>
                <w:sz w:val="20"/>
              </w:rPr>
              <w:t>.</w:t>
            </w:r>
          </w:p>
          <w:p w14:paraId="3CDC7E93" w14:textId="61015292" w:rsidR="003B2423" w:rsidRPr="004B0B3D" w:rsidRDefault="00C77D67" w:rsidP="004B0B3D">
            <w:pPr>
              <w:pStyle w:val="Body"/>
              <w:numPr>
                <w:ilvl w:val="0"/>
                <w:numId w:val="11"/>
              </w:numPr>
              <w:rPr>
                <w:sz w:val="20"/>
              </w:rPr>
            </w:pPr>
            <w:r>
              <w:rPr>
                <w:sz w:val="20"/>
              </w:rPr>
              <w:t xml:space="preserve">Require that </w:t>
            </w:r>
            <w:r w:rsidR="00030193" w:rsidRPr="00030193">
              <w:rPr>
                <w:sz w:val="20"/>
              </w:rPr>
              <w:t>for a</w:t>
            </w:r>
            <w:r w:rsidR="00EF3B96">
              <w:rPr>
                <w:sz w:val="20"/>
              </w:rPr>
              <w:t>n</w:t>
            </w:r>
            <w:r w:rsidR="00030193" w:rsidRPr="00030193">
              <w:rPr>
                <w:sz w:val="20"/>
              </w:rPr>
              <w:t xml:space="preserve"> HSE that </w:t>
            </w:r>
            <w:r w:rsidR="00EF3B96" w:rsidRPr="00030193">
              <w:rPr>
                <w:sz w:val="20"/>
              </w:rPr>
              <w:t xml:space="preserve">provides prescribed services </w:t>
            </w:r>
            <w:r w:rsidR="00EF3B96">
              <w:rPr>
                <w:sz w:val="20"/>
              </w:rPr>
              <w:t xml:space="preserve">but </w:t>
            </w:r>
            <w:r w:rsidR="00030193" w:rsidRPr="00030193">
              <w:rPr>
                <w:sz w:val="20"/>
              </w:rPr>
              <w:t>does not formally admit patients, a pre-presentation clinical risk assessment must be completed and recorded at least 24 hours prior.</w:t>
            </w:r>
          </w:p>
        </w:tc>
        <w:tc>
          <w:tcPr>
            <w:tcW w:w="7366" w:type="dxa"/>
          </w:tcPr>
          <w:p w14:paraId="6E39F814" w14:textId="5C17B068" w:rsidR="002D1CED" w:rsidRDefault="0065031C" w:rsidP="00EF19E8">
            <w:pPr>
              <w:pStyle w:val="Bullet1"/>
            </w:pPr>
            <w:r>
              <w:rPr>
                <w:b/>
                <w:bCs/>
              </w:rPr>
              <w:t>CHA</w:t>
            </w:r>
            <w:r w:rsidRPr="002D1CED">
              <w:rPr>
                <w:b/>
                <w:bCs/>
              </w:rPr>
              <w:t>/anonymous</w:t>
            </w:r>
            <w:r w:rsidR="002D1CED" w:rsidRPr="002D1CED">
              <w:t xml:space="preserve"> raise concerns </w:t>
            </w:r>
            <w:r w:rsidR="002D1CED">
              <w:t>that the</w:t>
            </w:r>
            <w:r w:rsidR="002D1CED" w:rsidRPr="002D1CED">
              <w:t xml:space="preserve"> rigid nature of the wording will conflict with patients who are non-emergency in nature but admitted &lt;24 hours following a review by a Specialist Practitioner.</w:t>
            </w:r>
            <w:r w:rsidR="00FA7F49">
              <w:t xml:space="preserve"> </w:t>
            </w:r>
          </w:p>
          <w:p w14:paraId="16896A33" w14:textId="76890353" w:rsidR="00B30DC4" w:rsidRPr="00462007" w:rsidRDefault="00B30DC4" w:rsidP="00EF19E8">
            <w:pPr>
              <w:pStyle w:val="Bullet1"/>
              <w:rPr>
                <w:b/>
                <w:bCs/>
              </w:rPr>
            </w:pPr>
            <w:r w:rsidRPr="00B30DC4">
              <w:rPr>
                <w:b/>
                <w:bCs/>
              </w:rPr>
              <w:t>Healthscope</w:t>
            </w:r>
            <w:r>
              <w:rPr>
                <w:b/>
                <w:bCs/>
              </w:rPr>
              <w:t xml:space="preserve"> </w:t>
            </w:r>
            <w:r>
              <w:t xml:space="preserve">opposes </w:t>
            </w:r>
            <w:r w:rsidR="00D9358D">
              <w:t xml:space="preserve">the </w:t>
            </w:r>
            <w:r>
              <w:t>amendments</w:t>
            </w:r>
            <w:r w:rsidR="000A75B7">
              <w:t xml:space="preserve"> </w:t>
            </w:r>
            <w:r w:rsidR="009000B8">
              <w:t xml:space="preserve">as </w:t>
            </w:r>
            <w:r w:rsidR="00F74AA6">
              <w:t xml:space="preserve">they may not get access to records held by </w:t>
            </w:r>
            <w:r w:rsidR="00D9358D">
              <w:t>visiting medical officers (</w:t>
            </w:r>
            <w:r w:rsidR="00F74AA6">
              <w:t>VMOs</w:t>
            </w:r>
            <w:r w:rsidR="00D9358D">
              <w:t>).</w:t>
            </w:r>
          </w:p>
          <w:p w14:paraId="40EE4A69" w14:textId="16D8CB11" w:rsidR="00462007" w:rsidRPr="00C65338" w:rsidRDefault="00462007" w:rsidP="00EF19E8">
            <w:pPr>
              <w:pStyle w:val="Bullet1"/>
              <w:rPr>
                <w:b/>
                <w:bCs/>
              </w:rPr>
            </w:pPr>
            <w:r w:rsidRPr="00462007">
              <w:rPr>
                <w:b/>
                <w:bCs/>
              </w:rPr>
              <w:t>ASMIRT</w:t>
            </w:r>
            <w:r>
              <w:rPr>
                <w:b/>
                <w:bCs/>
              </w:rPr>
              <w:t xml:space="preserve"> </w:t>
            </w:r>
            <w:r w:rsidR="00780F06" w:rsidRPr="00780F06">
              <w:t>raised</w:t>
            </w:r>
            <w:r>
              <w:t xml:space="preserve"> </w:t>
            </w:r>
            <w:r w:rsidR="00780F06">
              <w:t xml:space="preserve">concerns </w:t>
            </w:r>
            <w:r w:rsidR="00D057E4">
              <w:t xml:space="preserve">that it is </w:t>
            </w:r>
            <w:r w:rsidR="00095507">
              <w:t xml:space="preserve">an </w:t>
            </w:r>
            <w:r w:rsidR="00D057E4">
              <w:t>unreasonable for</w:t>
            </w:r>
            <w:r w:rsidR="00095507">
              <w:t xml:space="preserve"> patients undergoing medical imaging at an HSE</w:t>
            </w:r>
            <w:r w:rsidR="00B733F7">
              <w:t xml:space="preserve"> (as opposed to </w:t>
            </w:r>
            <w:r w:rsidR="00B21B21">
              <w:t>interventional or therapeutic image guided procedures).</w:t>
            </w:r>
          </w:p>
          <w:p w14:paraId="71F09628" w14:textId="0C03D407" w:rsidR="0048136C" w:rsidRPr="007A5AE5" w:rsidRDefault="00C65338" w:rsidP="00EF19E8">
            <w:pPr>
              <w:pStyle w:val="Bullet1"/>
            </w:pPr>
            <w:r w:rsidRPr="00292FC9">
              <w:rPr>
                <w:b/>
                <w:bCs/>
              </w:rPr>
              <w:t xml:space="preserve">ANMF </w:t>
            </w:r>
            <w:r>
              <w:t>supports the amendments but suggests</w:t>
            </w:r>
            <w:r w:rsidR="006676ED">
              <w:t>,</w:t>
            </w:r>
            <w:r>
              <w:t xml:space="preserve"> </w:t>
            </w:r>
            <w:r w:rsidR="008F2D53">
              <w:t>in relation to mobile services</w:t>
            </w:r>
            <w:r w:rsidR="006676ED">
              <w:t>,</w:t>
            </w:r>
            <w:r w:rsidR="008F2D53">
              <w:t xml:space="preserve"> that </w:t>
            </w:r>
            <w:r w:rsidR="006676ED">
              <w:t xml:space="preserve">the risk assessment be conducted </w:t>
            </w:r>
            <w:r w:rsidR="00170697">
              <w:t xml:space="preserve">by the </w:t>
            </w:r>
            <w:r w:rsidR="00131A9B">
              <w:t>health professional who will be undertaking the procedure</w:t>
            </w:r>
            <w:r w:rsidR="00437B53">
              <w:t xml:space="preserve">; that RNs </w:t>
            </w:r>
            <w:r w:rsidR="003E069A">
              <w:t xml:space="preserve">must be employed; and that the mobile anaesthetist remains onsite until </w:t>
            </w:r>
            <w:r w:rsidR="007E528F">
              <w:t>the patient is at Stage 2 recovery.</w:t>
            </w:r>
          </w:p>
        </w:tc>
        <w:tc>
          <w:tcPr>
            <w:tcW w:w="7367" w:type="dxa"/>
          </w:tcPr>
          <w:p w14:paraId="1F3B6C79" w14:textId="51304ED8" w:rsidR="0048136C" w:rsidRDefault="000910EB" w:rsidP="001E00E9">
            <w:pPr>
              <w:pStyle w:val="Bullet1"/>
            </w:pPr>
            <w:r w:rsidRPr="00E62CD4">
              <w:t xml:space="preserve">In response to </w:t>
            </w:r>
            <w:r w:rsidRPr="00E62CD4">
              <w:rPr>
                <w:b/>
                <w:bCs/>
              </w:rPr>
              <w:t>CHA/anonymous</w:t>
            </w:r>
            <w:r w:rsidRPr="00E62CD4">
              <w:t xml:space="preserve">, </w:t>
            </w:r>
            <w:r w:rsidR="00C83827">
              <w:t xml:space="preserve">the </w:t>
            </w:r>
            <w:r w:rsidR="00C83827" w:rsidRPr="00EB05E1">
              <w:t xml:space="preserve">24-hour requirement has been in place since 2018 with no implementation issues </w:t>
            </w:r>
            <w:r w:rsidR="00C83827">
              <w:t xml:space="preserve">previously </w:t>
            </w:r>
            <w:r w:rsidR="00C83827" w:rsidRPr="00EB05E1">
              <w:t xml:space="preserve">reported by the sector and no compliance breaches </w:t>
            </w:r>
            <w:r w:rsidR="00C83827">
              <w:t xml:space="preserve">or concerns </w:t>
            </w:r>
            <w:r w:rsidR="00C83827" w:rsidRPr="00EB05E1">
              <w:t>identified by the Regulator.</w:t>
            </w:r>
            <w:r w:rsidR="001C5D3C">
              <w:t xml:space="preserve"> The </w:t>
            </w:r>
            <w:r w:rsidR="00C87601">
              <w:t>department</w:t>
            </w:r>
            <w:r w:rsidR="001C5D3C">
              <w:t xml:space="preserve"> considers the requirement appropriate and necessary to ensure patients are adequately risk assessed</w:t>
            </w:r>
            <w:r w:rsidR="00970140">
              <w:t>, particularly before surgery or procedures that require anaesthesia.</w:t>
            </w:r>
          </w:p>
          <w:p w14:paraId="65D9A721" w14:textId="2484B512" w:rsidR="00E715EA" w:rsidRPr="00D66EE6" w:rsidRDefault="008F2C1F" w:rsidP="00E715EA">
            <w:pPr>
              <w:pStyle w:val="Bullet1"/>
            </w:pPr>
            <w:r>
              <w:t xml:space="preserve">In response to </w:t>
            </w:r>
            <w:r w:rsidRPr="008F2C1F">
              <w:rPr>
                <w:b/>
                <w:bCs/>
              </w:rPr>
              <w:t>H</w:t>
            </w:r>
            <w:r>
              <w:rPr>
                <w:b/>
                <w:bCs/>
              </w:rPr>
              <w:t xml:space="preserve">ealthscope, </w:t>
            </w:r>
            <w:r w:rsidR="00E715EA">
              <w:t>t</w:t>
            </w:r>
            <w:r w:rsidR="00E715EA" w:rsidRPr="00D66EE6">
              <w:t xml:space="preserve">he </w:t>
            </w:r>
            <w:r w:rsidR="009C22CC">
              <w:t>proposal</w:t>
            </w:r>
            <w:r w:rsidR="00E715EA" w:rsidRPr="00D66EE6">
              <w:t xml:space="preserve"> is not that all prior consultation notes taken by a consultant or VMO must be recorded by the HSE in the patient’s clinical record. The requirement is that</w:t>
            </w:r>
            <w:r w:rsidR="00E715EA">
              <w:t xml:space="preserve"> clinical risk assessments, including</w:t>
            </w:r>
            <w:r w:rsidR="00E715EA" w:rsidRPr="00D66EE6">
              <w:t xml:space="preserve"> the pre-admission assessment conducted by the HSE (e.g. by a pre-admission nurse)</w:t>
            </w:r>
            <w:r w:rsidR="00E715EA">
              <w:t>,</w:t>
            </w:r>
            <w:r w:rsidR="00E715EA" w:rsidRPr="00D66EE6">
              <w:t xml:space="preserve"> </w:t>
            </w:r>
            <w:r w:rsidR="00E715EA">
              <w:t>are</w:t>
            </w:r>
            <w:r w:rsidR="00E715EA" w:rsidRPr="00D66EE6">
              <w:t xml:space="preserve"> recorded in the patient’s clinical record. </w:t>
            </w:r>
          </w:p>
          <w:p w14:paraId="39F6F04F" w14:textId="5BE91DA1" w:rsidR="00F02B67" w:rsidRDefault="009C22CC" w:rsidP="00091D25">
            <w:pPr>
              <w:pStyle w:val="Bullet1"/>
            </w:pPr>
            <w:r>
              <w:t xml:space="preserve">In response to </w:t>
            </w:r>
            <w:r w:rsidRPr="00F02B67">
              <w:rPr>
                <w:b/>
                <w:bCs/>
              </w:rPr>
              <w:t>ASMIRT</w:t>
            </w:r>
            <w:r w:rsidR="003473EF">
              <w:t xml:space="preserve">, </w:t>
            </w:r>
            <w:r w:rsidR="00695D56">
              <w:t>d</w:t>
            </w:r>
            <w:r w:rsidR="00695D56" w:rsidRPr="00F02B67">
              <w:t xml:space="preserve">iagnostic </w:t>
            </w:r>
            <w:r w:rsidR="00851BAA">
              <w:t>imaging is</w:t>
            </w:r>
            <w:r w:rsidR="00695D56" w:rsidRPr="00F02B67">
              <w:t xml:space="preserve"> out of scope of registration. </w:t>
            </w:r>
          </w:p>
          <w:p w14:paraId="35BD7BAF" w14:textId="05624C49" w:rsidR="00A0658E" w:rsidRPr="007A5AE5" w:rsidRDefault="00695D56" w:rsidP="00163DD9">
            <w:pPr>
              <w:pStyle w:val="Bullet1"/>
              <w:numPr>
                <w:ilvl w:val="0"/>
                <w:numId w:val="38"/>
              </w:numPr>
              <w:spacing w:before="160" w:after="160" w:line="276" w:lineRule="auto"/>
              <w:contextualSpacing/>
            </w:pPr>
            <w:r>
              <w:t xml:space="preserve">In response to </w:t>
            </w:r>
            <w:r w:rsidRPr="00ED3A0D">
              <w:rPr>
                <w:b/>
                <w:bCs/>
              </w:rPr>
              <w:t xml:space="preserve">ANMF, </w:t>
            </w:r>
            <w:r w:rsidR="00052239">
              <w:t xml:space="preserve">the </w:t>
            </w:r>
            <w:r w:rsidR="00C87601">
              <w:t>department</w:t>
            </w:r>
            <w:r w:rsidR="00F02B67" w:rsidRPr="00F02B67">
              <w:t xml:space="preserve"> considers that the assessment done 24 hours before presentation may be safely conducted by any appropriately qualified clinician</w:t>
            </w:r>
            <w:r w:rsidR="00404CC0">
              <w:t>,</w:t>
            </w:r>
            <w:r w:rsidR="004867D1">
              <w:t xml:space="preserve"> with the</w:t>
            </w:r>
            <w:r w:rsidR="00F02B67" w:rsidRPr="00ED3A0D">
              <w:t xml:space="preserve"> anaesthetist </w:t>
            </w:r>
            <w:r w:rsidR="003A2B01">
              <w:t xml:space="preserve">who will </w:t>
            </w:r>
            <w:r w:rsidR="00F02B67" w:rsidRPr="00ED3A0D">
              <w:t>deliver the anaesthesia</w:t>
            </w:r>
            <w:r w:rsidR="009B7E8D">
              <w:t xml:space="preserve"> </w:t>
            </w:r>
            <w:r w:rsidR="00F02B67" w:rsidRPr="00ED3A0D">
              <w:lastRenderedPageBreak/>
              <w:t>conduct</w:t>
            </w:r>
            <w:r w:rsidR="003A2B01">
              <w:t>ing</w:t>
            </w:r>
            <w:r w:rsidR="00F02B67" w:rsidRPr="00ED3A0D">
              <w:t xml:space="preserve"> an</w:t>
            </w:r>
            <w:r w:rsidR="0096265B">
              <w:t>other check</w:t>
            </w:r>
            <w:r w:rsidR="003A2B01">
              <w:t xml:space="preserve"> on the day of the procedure</w:t>
            </w:r>
            <w:r w:rsidR="00ED3A0D">
              <w:t xml:space="preserve">. Mobile services </w:t>
            </w:r>
            <w:r w:rsidR="0007608B">
              <w:t xml:space="preserve">must </w:t>
            </w:r>
            <w:r w:rsidR="0096265B">
              <w:t>meet</w:t>
            </w:r>
            <w:r w:rsidR="00F02B67" w:rsidRPr="00ED3A0D">
              <w:t xml:space="preserve"> staffing requirements under r.35(2)(b), which require </w:t>
            </w:r>
            <w:r w:rsidR="00F02B67" w:rsidRPr="00ED3A0D">
              <w:rPr>
                <w:i/>
                <w:iCs/>
              </w:rPr>
              <w:t>at lea</w:t>
            </w:r>
            <w:r w:rsidR="00ED3A0D">
              <w:rPr>
                <w:i/>
                <w:iCs/>
              </w:rPr>
              <w:t>s</w:t>
            </w:r>
            <w:r w:rsidR="00F02B67" w:rsidRPr="00ED3A0D">
              <w:rPr>
                <w:i/>
                <w:iCs/>
              </w:rPr>
              <w:t>t one RN for every 10 patients or fraction of that number</w:t>
            </w:r>
            <w:r w:rsidR="0007608B">
              <w:rPr>
                <w:i/>
                <w:iCs/>
              </w:rPr>
              <w:t>,</w:t>
            </w:r>
            <w:r w:rsidR="00ED3A0D">
              <w:rPr>
                <w:i/>
                <w:iCs/>
              </w:rPr>
              <w:t xml:space="preserve"> </w:t>
            </w:r>
            <w:r w:rsidR="0093254A">
              <w:t xml:space="preserve">and under </w:t>
            </w:r>
            <w:r w:rsidR="00F02B67" w:rsidRPr="00D66EE6">
              <w:t>r.36</w:t>
            </w:r>
            <w:r w:rsidR="0093254A">
              <w:t xml:space="preserve"> they must</w:t>
            </w:r>
            <w:r w:rsidR="00F02B67" w:rsidRPr="00D66EE6">
              <w:t xml:space="preserve"> </w:t>
            </w:r>
            <w:r w:rsidR="00F02B67" w:rsidRPr="00071603">
              <w:rPr>
                <w:i/>
                <w:iCs/>
              </w:rPr>
              <w:t>take reasonable steps to ensure that the needs of patients are met promptly and effectively by nursing staff and other professionally competent registered health practitioners</w:t>
            </w:r>
            <w:r w:rsidR="00F02B67" w:rsidRPr="00D66EE6">
              <w:t>.</w:t>
            </w:r>
          </w:p>
        </w:tc>
      </w:tr>
      <w:tr w:rsidR="0048136C" w:rsidRPr="007A5AE5" w14:paraId="5A33ADBB" w14:textId="77777777" w:rsidTr="4B858DAC">
        <w:tc>
          <w:tcPr>
            <w:tcW w:w="7366" w:type="dxa"/>
          </w:tcPr>
          <w:p w14:paraId="30F23C6F" w14:textId="77777777" w:rsidR="0048136C" w:rsidRDefault="00EA206B" w:rsidP="00EA206B">
            <w:pPr>
              <w:pStyle w:val="Body"/>
              <w:spacing w:line="240" w:lineRule="auto"/>
              <w:rPr>
                <w:b/>
                <w:bCs/>
                <w:sz w:val="20"/>
              </w:rPr>
            </w:pPr>
            <w:r w:rsidRPr="003B3FF1">
              <w:rPr>
                <w:b/>
                <w:bCs/>
                <w:sz w:val="20"/>
              </w:rPr>
              <w:lastRenderedPageBreak/>
              <w:t>Infringements</w:t>
            </w:r>
          </w:p>
          <w:p w14:paraId="211F5DE3" w14:textId="5954DE67" w:rsidR="000D0F9C" w:rsidRPr="00E16B3A" w:rsidRDefault="00307E8C" w:rsidP="00EA206B">
            <w:pPr>
              <w:pStyle w:val="Body"/>
              <w:spacing w:line="240" w:lineRule="auto"/>
              <w:rPr>
                <w:sz w:val="20"/>
              </w:rPr>
            </w:pPr>
            <w:r w:rsidRPr="00E16B3A">
              <w:rPr>
                <w:sz w:val="20"/>
              </w:rPr>
              <w:t xml:space="preserve">Prescribe new infringement offences </w:t>
            </w:r>
            <w:r w:rsidR="00E16B3A" w:rsidRPr="00E16B3A">
              <w:rPr>
                <w:sz w:val="20"/>
              </w:rPr>
              <w:t xml:space="preserve">and penalties </w:t>
            </w:r>
            <w:r w:rsidR="005E6D9A" w:rsidRPr="00E16B3A">
              <w:rPr>
                <w:sz w:val="20"/>
              </w:rPr>
              <w:t xml:space="preserve">for </w:t>
            </w:r>
            <w:r w:rsidR="0012519F" w:rsidRPr="00E16B3A">
              <w:rPr>
                <w:sz w:val="20"/>
              </w:rPr>
              <w:t>2</w:t>
            </w:r>
            <w:r w:rsidR="00E16B3A" w:rsidRPr="00E16B3A">
              <w:rPr>
                <w:sz w:val="20"/>
              </w:rPr>
              <w:t xml:space="preserve">9 </w:t>
            </w:r>
            <w:r w:rsidR="00E16B3A">
              <w:rPr>
                <w:sz w:val="20"/>
              </w:rPr>
              <w:t xml:space="preserve">of the </w:t>
            </w:r>
            <w:r w:rsidR="00E16B3A" w:rsidRPr="00E16B3A">
              <w:rPr>
                <w:sz w:val="20"/>
              </w:rPr>
              <w:t>existing penalty offences in the Regulations.</w:t>
            </w:r>
          </w:p>
        </w:tc>
        <w:tc>
          <w:tcPr>
            <w:tcW w:w="7366" w:type="dxa"/>
          </w:tcPr>
          <w:p w14:paraId="4B619253" w14:textId="65AF3229" w:rsidR="0048136C" w:rsidRPr="007A5AE5" w:rsidRDefault="007553AF" w:rsidP="005620F3">
            <w:pPr>
              <w:pStyle w:val="Bullet1"/>
            </w:pPr>
            <w:r w:rsidRPr="00B37E13">
              <w:rPr>
                <w:b/>
                <w:bCs/>
              </w:rPr>
              <w:t>CHA/anonymous</w:t>
            </w:r>
            <w:r w:rsidRPr="002D1CED">
              <w:t xml:space="preserve"> </w:t>
            </w:r>
            <w:r w:rsidR="006B1AF3">
              <w:t>accept</w:t>
            </w:r>
            <w:r w:rsidRPr="00D66EE6">
              <w:t xml:space="preserve"> there is a place for penalties and sanctions in extreme circumstances. Creating a culture of safety through transparency means that consideration should be given to non-punitive measures.</w:t>
            </w:r>
            <w:r w:rsidR="00B37E13">
              <w:t xml:space="preserve"> </w:t>
            </w:r>
            <w:r w:rsidRPr="00B37E13">
              <w:t>If deemed necessary, penalties and sanctions should apply equally to public and private.</w:t>
            </w:r>
          </w:p>
        </w:tc>
        <w:tc>
          <w:tcPr>
            <w:tcW w:w="7367" w:type="dxa"/>
          </w:tcPr>
          <w:p w14:paraId="79375137" w14:textId="116B4755" w:rsidR="0048136C" w:rsidRPr="007A5AE5" w:rsidRDefault="00247197" w:rsidP="00247197">
            <w:pPr>
              <w:pStyle w:val="Bullet1"/>
            </w:pPr>
            <w:r w:rsidRPr="00E62CD4">
              <w:t xml:space="preserve">In response to </w:t>
            </w:r>
            <w:r w:rsidRPr="00E62CD4">
              <w:rPr>
                <w:b/>
                <w:bCs/>
              </w:rPr>
              <w:t>CHA/anonymous</w:t>
            </w:r>
            <w:r w:rsidRPr="00E62CD4">
              <w:t>,</w:t>
            </w:r>
            <w:r w:rsidR="00B87C47">
              <w:t xml:space="preserve"> penalties and sanctions are only one of several </w:t>
            </w:r>
            <w:r w:rsidR="004B4D18">
              <w:t xml:space="preserve">compliance </w:t>
            </w:r>
            <w:r w:rsidR="00B87C47">
              <w:t>tools used by the Regulator</w:t>
            </w:r>
            <w:r w:rsidR="001F15B1">
              <w:t xml:space="preserve">, which </w:t>
            </w:r>
            <w:r w:rsidR="004B4D18">
              <w:t xml:space="preserve">will continue to operate with a risk-based, proportionate approach to </w:t>
            </w:r>
            <w:r w:rsidR="00B61044">
              <w:t xml:space="preserve">enforcement. As the public sector operates under a </w:t>
            </w:r>
            <w:r w:rsidR="00BA3641">
              <w:t xml:space="preserve">different statutory framework, </w:t>
            </w:r>
            <w:r w:rsidR="00315846">
              <w:t>there are different</w:t>
            </w:r>
            <w:r w:rsidR="00BA3641">
              <w:t xml:space="preserve"> </w:t>
            </w:r>
            <w:r w:rsidR="00315846">
              <w:t xml:space="preserve">mechanisms for the </w:t>
            </w:r>
            <w:r w:rsidR="00C87601">
              <w:t>department</w:t>
            </w:r>
            <w:r w:rsidR="00315846">
              <w:t xml:space="preserve"> to respond to safety and performance concerns</w:t>
            </w:r>
            <w:r w:rsidR="00B61044">
              <w:t xml:space="preserve">. </w:t>
            </w:r>
          </w:p>
        </w:tc>
      </w:tr>
      <w:tr w:rsidR="0048136C" w:rsidRPr="007A5AE5" w14:paraId="586BE3D1" w14:textId="77777777" w:rsidTr="4B858DAC">
        <w:tc>
          <w:tcPr>
            <w:tcW w:w="7366" w:type="dxa"/>
          </w:tcPr>
          <w:p w14:paraId="6528D5AE" w14:textId="77777777" w:rsidR="0048136C" w:rsidRDefault="00EA206B" w:rsidP="00EA206B">
            <w:pPr>
              <w:pStyle w:val="Body"/>
              <w:spacing w:line="240" w:lineRule="auto"/>
              <w:rPr>
                <w:b/>
                <w:bCs/>
                <w:sz w:val="20"/>
              </w:rPr>
            </w:pPr>
            <w:r w:rsidRPr="00D531B4">
              <w:rPr>
                <w:b/>
                <w:bCs/>
                <w:sz w:val="20"/>
              </w:rPr>
              <w:t>Administrative changes and clarifications</w:t>
            </w:r>
          </w:p>
          <w:p w14:paraId="3167AA02" w14:textId="635496A3" w:rsidR="00D531B4" w:rsidRDefault="00C13535" w:rsidP="001F35BF">
            <w:pPr>
              <w:pStyle w:val="Body"/>
              <w:numPr>
                <w:ilvl w:val="0"/>
                <w:numId w:val="11"/>
              </w:numPr>
              <w:rPr>
                <w:sz w:val="20"/>
              </w:rPr>
            </w:pPr>
            <w:r w:rsidRPr="001F35BF">
              <w:rPr>
                <w:sz w:val="20"/>
              </w:rPr>
              <w:t>Amend the requirement</w:t>
            </w:r>
            <w:r w:rsidR="00970595" w:rsidRPr="001F35BF">
              <w:rPr>
                <w:sz w:val="20"/>
              </w:rPr>
              <w:t>s</w:t>
            </w:r>
            <w:r w:rsidRPr="001F35BF">
              <w:rPr>
                <w:sz w:val="20"/>
              </w:rPr>
              <w:t xml:space="preserve"> </w:t>
            </w:r>
            <w:r w:rsidR="00970595" w:rsidRPr="001F35BF">
              <w:rPr>
                <w:sz w:val="20"/>
              </w:rPr>
              <w:t xml:space="preserve">for information </w:t>
            </w:r>
            <w:r w:rsidR="00BA13C9" w:rsidRPr="001F35BF">
              <w:rPr>
                <w:sz w:val="20"/>
              </w:rPr>
              <w:t xml:space="preserve">provided to patients </w:t>
            </w:r>
            <w:r w:rsidR="00191234" w:rsidRPr="001F35BF">
              <w:rPr>
                <w:sz w:val="20"/>
              </w:rPr>
              <w:t>(current r.</w:t>
            </w:r>
            <w:r w:rsidR="001F35BF">
              <w:rPr>
                <w:sz w:val="20"/>
              </w:rPr>
              <w:t>20</w:t>
            </w:r>
            <w:r w:rsidR="00A554CC">
              <w:rPr>
                <w:sz w:val="20"/>
              </w:rPr>
              <w:t>,</w:t>
            </w:r>
            <w:r w:rsidR="00191234" w:rsidRPr="001F35BF">
              <w:rPr>
                <w:sz w:val="20"/>
              </w:rPr>
              <w:t xml:space="preserve"> new r.24) to include any likely third party fees and out</w:t>
            </w:r>
            <w:r w:rsidR="00532885" w:rsidRPr="001F35BF">
              <w:rPr>
                <w:sz w:val="20"/>
              </w:rPr>
              <w:t xml:space="preserve"> of pocket </w:t>
            </w:r>
            <w:r w:rsidR="001F35BF">
              <w:rPr>
                <w:sz w:val="20"/>
              </w:rPr>
              <w:t>expenses.</w:t>
            </w:r>
          </w:p>
          <w:p w14:paraId="434009DD" w14:textId="6DA8E0EB" w:rsidR="005D4DF5" w:rsidRDefault="005A0DB7" w:rsidP="001F35BF">
            <w:pPr>
              <w:pStyle w:val="Body"/>
              <w:numPr>
                <w:ilvl w:val="0"/>
                <w:numId w:val="11"/>
              </w:numPr>
              <w:rPr>
                <w:sz w:val="20"/>
              </w:rPr>
            </w:pPr>
            <w:r>
              <w:rPr>
                <w:sz w:val="20"/>
              </w:rPr>
              <w:t>Replace gendered pronouns with</w:t>
            </w:r>
            <w:r w:rsidR="008C4779">
              <w:rPr>
                <w:sz w:val="20"/>
              </w:rPr>
              <w:t xml:space="preserve"> gender neutral pronouns</w:t>
            </w:r>
            <w:r w:rsidR="00D05DE7">
              <w:rPr>
                <w:sz w:val="20"/>
              </w:rPr>
              <w:t xml:space="preserve"> </w:t>
            </w:r>
            <w:r w:rsidR="00AA6183">
              <w:rPr>
                <w:sz w:val="20"/>
              </w:rPr>
              <w:t xml:space="preserve">and </w:t>
            </w:r>
            <w:r w:rsidR="00A742A5">
              <w:rPr>
                <w:sz w:val="20"/>
              </w:rPr>
              <w:t>include consideration of ‘gender ident</w:t>
            </w:r>
            <w:r w:rsidR="00F56C27">
              <w:rPr>
                <w:sz w:val="20"/>
              </w:rPr>
              <w:t>ity’ where</w:t>
            </w:r>
            <w:r w:rsidR="00E12854">
              <w:rPr>
                <w:sz w:val="20"/>
              </w:rPr>
              <w:t>ver</w:t>
            </w:r>
            <w:r w:rsidR="00F56C27">
              <w:rPr>
                <w:sz w:val="20"/>
              </w:rPr>
              <w:t xml:space="preserve"> applicable</w:t>
            </w:r>
            <w:r w:rsidR="00500888">
              <w:rPr>
                <w:sz w:val="20"/>
              </w:rPr>
              <w:t xml:space="preserve"> (current rr.20(2) and 25, new rr.24(2) and 31)</w:t>
            </w:r>
            <w:r w:rsidR="00F56C27">
              <w:rPr>
                <w:sz w:val="20"/>
              </w:rPr>
              <w:t>.</w:t>
            </w:r>
          </w:p>
          <w:p w14:paraId="3A9F0EFA" w14:textId="77777777" w:rsidR="00E12854" w:rsidRDefault="004A6878" w:rsidP="001F35BF">
            <w:pPr>
              <w:pStyle w:val="Body"/>
              <w:numPr>
                <w:ilvl w:val="0"/>
                <w:numId w:val="11"/>
              </w:numPr>
              <w:rPr>
                <w:sz w:val="20"/>
              </w:rPr>
            </w:pPr>
            <w:r>
              <w:rPr>
                <w:sz w:val="20"/>
              </w:rPr>
              <w:t xml:space="preserve">Replace </w:t>
            </w:r>
            <w:r w:rsidR="0074665E">
              <w:rPr>
                <w:sz w:val="20"/>
              </w:rPr>
              <w:t xml:space="preserve">the term </w:t>
            </w:r>
            <w:r>
              <w:rPr>
                <w:sz w:val="20"/>
              </w:rPr>
              <w:t>‘reversible agen</w:t>
            </w:r>
            <w:r w:rsidR="002B1D61">
              <w:rPr>
                <w:sz w:val="20"/>
              </w:rPr>
              <w:t xml:space="preserve">ts’ with ‘reversal agents’ in line with current industry practice (current </w:t>
            </w:r>
            <w:r w:rsidR="00DD0B29">
              <w:rPr>
                <w:sz w:val="20"/>
              </w:rPr>
              <w:t>r.28A, new r.37)</w:t>
            </w:r>
            <w:r w:rsidR="002400DF">
              <w:rPr>
                <w:sz w:val="20"/>
              </w:rPr>
              <w:t>.</w:t>
            </w:r>
          </w:p>
          <w:p w14:paraId="23F429DD" w14:textId="77777777" w:rsidR="002400DF" w:rsidRDefault="00BA206B" w:rsidP="001F35BF">
            <w:pPr>
              <w:pStyle w:val="Body"/>
              <w:numPr>
                <w:ilvl w:val="0"/>
                <w:numId w:val="11"/>
              </w:numPr>
              <w:rPr>
                <w:sz w:val="20"/>
              </w:rPr>
            </w:pPr>
            <w:r>
              <w:rPr>
                <w:sz w:val="20"/>
              </w:rPr>
              <w:t xml:space="preserve">Amend the requirement </w:t>
            </w:r>
            <w:r w:rsidR="00874687">
              <w:rPr>
                <w:sz w:val="20"/>
              </w:rPr>
              <w:t xml:space="preserve">for discharge summaries </w:t>
            </w:r>
            <w:r w:rsidR="0059401D">
              <w:rPr>
                <w:sz w:val="20"/>
              </w:rPr>
              <w:t xml:space="preserve">(current r.34, new r.44) </w:t>
            </w:r>
            <w:r w:rsidR="00874687">
              <w:rPr>
                <w:sz w:val="20"/>
              </w:rPr>
              <w:t xml:space="preserve">to </w:t>
            </w:r>
            <w:r w:rsidR="0059401D">
              <w:rPr>
                <w:sz w:val="20"/>
              </w:rPr>
              <w:t>require</w:t>
            </w:r>
            <w:r w:rsidR="00E67F08">
              <w:rPr>
                <w:sz w:val="20"/>
              </w:rPr>
              <w:t xml:space="preserve"> a detailed list of ceased</w:t>
            </w:r>
            <w:r w:rsidR="00AF7569">
              <w:rPr>
                <w:sz w:val="20"/>
              </w:rPr>
              <w:t>, varied or new medications</w:t>
            </w:r>
            <w:r w:rsidR="00063444">
              <w:rPr>
                <w:sz w:val="20"/>
              </w:rPr>
              <w:t xml:space="preserve"> for all patients,</w:t>
            </w:r>
            <w:r w:rsidR="00AF7569">
              <w:rPr>
                <w:sz w:val="20"/>
              </w:rPr>
              <w:t xml:space="preserve"> </w:t>
            </w:r>
            <w:r w:rsidR="00063444">
              <w:rPr>
                <w:sz w:val="20"/>
              </w:rPr>
              <w:t>plus a</w:t>
            </w:r>
            <w:r w:rsidR="00AF7569">
              <w:rPr>
                <w:sz w:val="20"/>
              </w:rPr>
              <w:t xml:space="preserve"> summary </w:t>
            </w:r>
            <w:r w:rsidR="00A7317F">
              <w:rPr>
                <w:sz w:val="20"/>
              </w:rPr>
              <w:t>or statement about</w:t>
            </w:r>
            <w:r w:rsidR="00AF7569">
              <w:rPr>
                <w:sz w:val="20"/>
              </w:rPr>
              <w:t xml:space="preserve"> any </w:t>
            </w:r>
            <w:r w:rsidR="00A7317F">
              <w:rPr>
                <w:sz w:val="20"/>
              </w:rPr>
              <w:t>other regular medications</w:t>
            </w:r>
            <w:r w:rsidR="0059401D">
              <w:rPr>
                <w:sz w:val="20"/>
              </w:rPr>
              <w:t xml:space="preserve"> </w:t>
            </w:r>
            <w:r w:rsidR="00063444">
              <w:rPr>
                <w:sz w:val="20"/>
              </w:rPr>
              <w:t>for overnight patients.</w:t>
            </w:r>
          </w:p>
          <w:p w14:paraId="707AEDA5" w14:textId="77777777" w:rsidR="00BB5814" w:rsidRDefault="00E76755" w:rsidP="001F35BF">
            <w:pPr>
              <w:pStyle w:val="Body"/>
              <w:numPr>
                <w:ilvl w:val="0"/>
                <w:numId w:val="11"/>
              </w:numPr>
              <w:rPr>
                <w:sz w:val="20"/>
              </w:rPr>
            </w:pPr>
            <w:r>
              <w:rPr>
                <w:sz w:val="20"/>
              </w:rPr>
              <w:t xml:space="preserve">Replace the term </w:t>
            </w:r>
            <w:r w:rsidR="002206F4">
              <w:rPr>
                <w:sz w:val="20"/>
              </w:rPr>
              <w:t xml:space="preserve">‘Operation Theatre Register’ with ‘Surgical Procedure Register’ </w:t>
            </w:r>
            <w:r w:rsidR="00805B8D">
              <w:rPr>
                <w:sz w:val="20"/>
              </w:rPr>
              <w:t>(current r.37, new r.47)</w:t>
            </w:r>
            <w:r w:rsidR="00870B5F">
              <w:rPr>
                <w:sz w:val="20"/>
              </w:rPr>
              <w:t>.</w:t>
            </w:r>
          </w:p>
          <w:p w14:paraId="78BDB484" w14:textId="77777777" w:rsidR="00870B5F" w:rsidRDefault="00870B5F" w:rsidP="001F35BF">
            <w:pPr>
              <w:pStyle w:val="Body"/>
              <w:numPr>
                <w:ilvl w:val="0"/>
                <w:numId w:val="11"/>
              </w:numPr>
              <w:rPr>
                <w:sz w:val="20"/>
              </w:rPr>
            </w:pPr>
            <w:r>
              <w:rPr>
                <w:sz w:val="20"/>
              </w:rPr>
              <w:t>Remove the Regulation for prevention of scalding (current r.</w:t>
            </w:r>
            <w:r w:rsidR="00E12633">
              <w:rPr>
                <w:sz w:val="20"/>
              </w:rPr>
              <w:t>41).</w:t>
            </w:r>
          </w:p>
          <w:p w14:paraId="5614FF04" w14:textId="77777777" w:rsidR="00E12633" w:rsidRDefault="00E12633" w:rsidP="001F35BF">
            <w:pPr>
              <w:pStyle w:val="Body"/>
              <w:numPr>
                <w:ilvl w:val="0"/>
                <w:numId w:val="11"/>
              </w:numPr>
              <w:rPr>
                <w:sz w:val="20"/>
              </w:rPr>
            </w:pPr>
            <w:r>
              <w:rPr>
                <w:sz w:val="20"/>
              </w:rPr>
              <w:t>Amend the requirement for information to be prominently displayed (current r.</w:t>
            </w:r>
            <w:r w:rsidR="00891444">
              <w:rPr>
                <w:sz w:val="20"/>
              </w:rPr>
              <w:t>45, new r.57) to include the certificate of accreditation.</w:t>
            </w:r>
          </w:p>
          <w:p w14:paraId="287478DB" w14:textId="77777777" w:rsidR="0092663B" w:rsidRDefault="00687BD5" w:rsidP="001F35BF">
            <w:pPr>
              <w:pStyle w:val="Body"/>
              <w:numPr>
                <w:ilvl w:val="0"/>
                <w:numId w:val="11"/>
              </w:numPr>
              <w:rPr>
                <w:sz w:val="20"/>
              </w:rPr>
            </w:pPr>
            <w:r>
              <w:rPr>
                <w:sz w:val="20"/>
              </w:rPr>
              <w:t>Amend the requirements for returns and reports to be given to the Secretary (current r.</w:t>
            </w:r>
            <w:r w:rsidR="00F707F8">
              <w:rPr>
                <w:sz w:val="20"/>
              </w:rPr>
              <w:t>46, new r.60</w:t>
            </w:r>
            <w:r w:rsidR="00593A9C">
              <w:rPr>
                <w:sz w:val="20"/>
              </w:rPr>
              <w:t>) to include mobile services.</w:t>
            </w:r>
          </w:p>
          <w:p w14:paraId="0B9CB76D" w14:textId="7CF08023" w:rsidR="0052459C" w:rsidRPr="000639AC" w:rsidRDefault="0092663B" w:rsidP="000639AC">
            <w:pPr>
              <w:pStyle w:val="Body"/>
              <w:numPr>
                <w:ilvl w:val="0"/>
                <w:numId w:val="11"/>
              </w:numPr>
              <w:rPr>
                <w:sz w:val="20"/>
              </w:rPr>
            </w:pPr>
            <w:r>
              <w:rPr>
                <w:sz w:val="20"/>
              </w:rPr>
              <w:t xml:space="preserve">Amend the requirements to </w:t>
            </w:r>
            <w:r w:rsidR="009043E5">
              <w:rPr>
                <w:sz w:val="20"/>
              </w:rPr>
              <w:t xml:space="preserve">record and </w:t>
            </w:r>
            <w:r>
              <w:rPr>
                <w:sz w:val="20"/>
              </w:rPr>
              <w:t>review</w:t>
            </w:r>
            <w:r w:rsidR="00F707F8">
              <w:rPr>
                <w:sz w:val="20"/>
              </w:rPr>
              <w:t xml:space="preserve"> </w:t>
            </w:r>
            <w:r w:rsidR="00087C83">
              <w:rPr>
                <w:sz w:val="20"/>
              </w:rPr>
              <w:t xml:space="preserve">information </w:t>
            </w:r>
            <w:r w:rsidR="00E14669">
              <w:rPr>
                <w:sz w:val="20"/>
              </w:rPr>
              <w:t>(current r.48, new r.</w:t>
            </w:r>
            <w:r w:rsidR="0052459C">
              <w:rPr>
                <w:sz w:val="20"/>
              </w:rPr>
              <w:t>63) to include transfers out of patients for escalation of care)</w:t>
            </w:r>
            <w:r w:rsidR="000639AC">
              <w:rPr>
                <w:sz w:val="20"/>
              </w:rPr>
              <w:t>, and to make information recorded under this Regulation available to the Secretary on request.</w:t>
            </w:r>
          </w:p>
        </w:tc>
        <w:tc>
          <w:tcPr>
            <w:tcW w:w="7366" w:type="dxa"/>
          </w:tcPr>
          <w:p w14:paraId="5A31DC8A" w14:textId="136A0009" w:rsidR="00E82C2A" w:rsidRPr="00E82C2A" w:rsidRDefault="00AE631E" w:rsidP="00AE631E">
            <w:pPr>
              <w:pStyle w:val="Bullet1"/>
              <w:rPr>
                <w:b/>
                <w:bCs/>
              </w:rPr>
            </w:pPr>
            <w:r w:rsidRPr="00AE631E">
              <w:rPr>
                <w:b/>
                <w:bCs/>
              </w:rPr>
              <w:t>CHA/anonymous</w:t>
            </w:r>
            <w:r>
              <w:rPr>
                <w:b/>
                <w:bCs/>
              </w:rPr>
              <w:t xml:space="preserve"> </w:t>
            </w:r>
            <w:r w:rsidR="002129E5" w:rsidRPr="002129E5">
              <w:t>support</w:t>
            </w:r>
            <w:r w:rsidR="006C6352">
              <w:t xml:space="preserve"> the amendments related to gender</w:t>
            </w:r>
            <w:r w:rsidR="004616E6">
              <w:t xml:space="preserve">; </w:t>
            </w:r>
            <w:r w:rsidR="00A320CF">
              <w:t xml:space="preserve">reversal agents; </w:t>
            </w:r>
            <w:r w:rsidR="006623EC">
              <w:t>S</w:t>
            </w:r>
            <w:r w:rsidR="00A320CF">
              <w:t xml:space="preserve">urgical </w:t>
            </w:r>
            <w:r w:rsidR="006623EC">
              <w:t>P</w:t>
            </w:r>
            <w:r w:rsidR="00A320CF">
              <w:t xml:space="preserve">rocedure </w:t>
            </w:r>
            <w:r w:rsidR="006623EC">
              <w:t>R</w:t>
            </w:r>
            <w:r w:rsidR="00A320CF">
              <w:t>egister; scalding</w:t>
            </w:r>
            <w:r w:rsidR="007B6CEE">
              <w:t xml:space="preserve">; </w:t>
            </w:r>
            <w:r w:rsidR="00904B1F">
              <w:t>display of accreditation certificate; mobile services reporting</w:t>
            </w:r>
            <w:r w:rsidR="00BB25BC">
              <w:t xml:space="preserve">; </w:t>
            </w:r>
            <w:r w:rsidR="005C4CC3">
              <w:t xml:space="preserve">review of </w:t>
            </w:r>
            <w:r w:rsidR="00BB25BC">
              <w:t>transfers</w:t>
            </w:r>
            <w:r w:rsidR="00A320CF">
              <w:t xml:space="preserve"> </w:t>
            </w:r>
            <w:r w:rsidR="00BB25BC">
              <w:t xml:space="preserve">out; and </w:t>
            </w:r>
            <w:r w:rsidR="005C4CC3">
              <w:t>making quality safety review</w:t>
            </w:r>
            <w:r w:rsidR="00E82C2A">
              <w:t xml:space="preserve"> information available to the Secretary. </w:t>
            </w:r>
          </w:p>
          <w:p w14:paraId="1F932C55" w14:textId="152C9A57" w:rsidR="0048136C" w:rsidRPr="00907325" w:rsidRDefault="00E82C2A" w:rsidP="00AE631E">
            <w:pPr>
              <w:pStyle w:val="Bullet1"/>
              <w:rPr>
                <w:b/>
                <w:bCs/>
              </w:rPr>
            </w:pPr>
            <w:r w:rsidRPr="00AE631E">
              <w:rPr>
                <w:b/>
                <w:bCs/>
              </w:rPr>
              <w:t>CHA/anonymous</w:t>
            </w:r>
            <w:r>
              <w:rPr>
                <w:b/>
                <w:bCs/>
              </w:rPr>
              <w:t xml:space="preserve"> </w:t>
            </w:r>
            <w:r w:rsidR="00437037" w:rsidRPr="00437037">
              <w:t>assert</w:t>
            </w:r>
            <w:r w:rsidR="00437037">
              <w:rPr>
                <w:b/>
                <w:bCs/>
              </w:rPr>
              <w:t xml:space="preserve"> </w:t>
            </w:r>
            <w:r w:rsidR="0068247F">
              <w:t>that the NSQH</w:t>
            </w:r>
            <w:r w:rsidR="00673B90">
              <w:t>S</w:t>
            </w:r>
            <w:r w:rsidR="0068247F">
              <w:t xml:space="preserve"> Standards </w:t>
            </w:r>
            <w:r w:rsidR="00D77B11">
              <w:t xml:space="preserve">and advisories </w:t>
            </w:r>
            <w:r w:rsidR="00437037">
              <w:t xml:space="preserve">sufficiently </w:t>
            </w:r>
            <w:r w:rsidR="00D77B11">
              <w:t>cover informed financial consent</w:t>
            </w:r>
            <w:r w:rsidR="00CA0A71">
              <w:t xml:space="preserve">. </w:t>
            </w:r>
          </w:p>
          <w:p w14:paraId="6C8E7928" w14:textId="092D8B37" w:rsidR="00283F3C" w:rsidRPr="00D66EE6" w:rsidRDefault="00907325" w:rsidP="00283F3C">
            <w:pPr>
              <w:pStyle w:val="Bullet1"/>
              <w:rPr>
                <w:b/>
                <w:bCs/>
                <w:u w:val="single"/>
              </w:rPr>
            </w:pPr>
            <w:r w:rsidRPr="00AE631E">
              <w:rPr>
                <w:b/>
                <w:bCs/>
              </w:rPr>
              <w:t>CHA/anonymous</w:t>
            </w:r>
            <w:r>
              <w:rPr>
                <w:b/>
                <w:bCs/>
              </w:rPr>
              <w:t xml:space="preserve"> </w:t>
            </w:r>
            <w:r w:rsidR="00DB2988" w:rsidRPr="00437037">
              <w:t>assert</w:t>
            </w:r>
            <w:r w:rsidR="00DB2988">
              <w:rPr>
                <w:b/>
                <w:bCs/>
              </w:rPr>
              <w:t xml:space="preserve"> </w:t>
            </w:r>
            <w:r w:rsidR="00DB2988">
              <w:t xml:space="preserve">that the </w:t>
            </w:r>
            <w:r w:rsidR="00673B90">
              <w:t>NSQHS</w:t>
            </w:r>
            <w:r w:rsidR="00DB2988">
              <w:t xml:space="preserve"> Standards </w:t>
            </w:r>
            <w:r w:rsidR="00C7423F">
              <w:t xml:space="preserve">sufficiently cover discharge summaries and </w:t>
            </w:r>
            <w:r w:rsidR="00283F3C" w:rsidRPr="00283F3C">
              <w:t>propose</w:t>
            </w:r>
            <w:r w:rsidR="00283F3C">
              <w:t xml:space="preserve"> that </w:t>
            </w:r>
            <w:r w:rsidR="00283F3C" w:rsidRPr="00D66EE6">
              <w:t>full medication summar</w:t>
            </w:r>
            <w:r w:rsidR="00297778">
              <w:t>ies</w:t>
            </w:r>
            <w:r w:rsidR="00283F3C" w:rsidRPr="00D66EE6">
              <w:t xml:space="preserve"> </w:t>
            </w:r>
            <w:r w:rsidR="00297778">
              <w:t>are</w:t>
            </w:r>
            <w:r w:rsidR="00BC1ABF">
              <w:t xml:space="preserve"> </w:t>
            </w:r>
            <w:r w:rsidR="003B2723">
              <w:t>unnecessary,</w:t>
            </w:r>
            <w:r w:rsidR="00297778">
              <w:t xml:space="preserve"> </w:t>
            </w:r>
            <w:r w:rsidR="003B2723">
              <w:t>administratively burdensome</w:t>
            </w:r>
            <w:r w:rsidR="00784266">
              <w:t>,</w:t>
            </w:r>
            <w:r w:rsidR="003B2723">
              <w:t xml:space="preserve"> </w:t>
            </w:r>
            <w:r w:rsidR="00B90F46">
              <w:t xml:space="preserve">risk </w:t>
            </w:r>
            <w:r w:rsidR="003B2723">
              <w:t>transcription errors</w:t>
            </w:r>
            <w:r w:rsidR="00B90F46">
              <w:t xml:space="preserve">, and </w:t>
            </w:r>
            <w:r w:rsidR="00283F3C" w:rsidRPr="00D66EE6">
              <w:t>should only be provided for patients who stay more than 7 days in a facility. For patients in DPCs or who stay less than 7 days, only changes or additions to medications should be documented.</w:t>
            </w:r>
            <w:r w:rsidR="00BC1ABF">
              <w:t xml:space="preserve"> </w:t>
            </w:r>
          </w:p>
          <w:p w14:paraId="107E7D00" w14:textId="77777777" w:rsidR="00907325" w:rsidRPr="00A55B3C" w:rsidRDefault="00400FBA" w:rsidP="00AE631E">
            <w:pPr>
              <w:pStyle w:val="Bullet1"/>
              <w:rPr>
                <w:b/>
                <w:bCs/>
              </w:rPr>
            </w:pPr>
            <w:r w:rsidRPr="00400FBA">
              <w:rPr>
                <w:b/>
                <w:bCs/>
              </w:rPr>
              <w:t>Healthscope</w:t>
            </w:r>
            <w:r>
              <w:rPr>
                <w:b/>
                <w:bCs/>
              </w:rPr>
              <w:t xml:space="preserve"> </w:t>
            </w:r>
            <w:r w:rsidR="00F06CD5">
              <w:t xml:space="preserve">supports the amendments related to gender; reversal agents; scalding; display of accreditation certificate; </w:t>
            </w:r>
            <w:r w:rsidR="007B33A8">
              <w:t xml:space="preserve">and </w:t>
            </w:r>
            <w:r w:rsidR="00F06CD5">
              <w:t>mobile services reporting</w:t>
            </w:r>
            <w:r w:rsidR="007B33A8">
              <w:t>.</w:t>
            </w:r>
          </w:p>
          <w:p w14:paraId="08CAFEBC" w14:textId="77777777" w:rsidR="00A55B3C" w:rsidRPr="009E4C2F" w:rsidRDefault="00A55B3C" w:rsidP="00AE631E">
            <w:pPr>
              <w:pStyle w:val="Bullet1"/>
              <w:rPr>
                <w:b/>
                <w:bCs/>
              </w:rPr>
            </w:pPr>
            <w:r w:rsidRPr="00400FBA">
              <w:rPr>
                <w:b/>
                <w:bCs/>
              </w:rPr>
              <w:t>Healthscope</w:t>
            </w:r>
            <w:r>
              <w:rPr>
                <w:b/>
                <w:bCs/>
              </w:rPr>
              <w:t xml:space="preserve"> </w:t>
            </w:r>
            <w:r>
              <w:t xml:space="preserve">opposes </w:t>
            </w:r>
            <w:r w:rsidR="00AD3EA0">
              <w:t xml:space="preserve">the </w:t>
            </w:r>
            <w:r w:rsidR="00CB3E25">
              <w:t>requirement for HSEs to</w:t>
            </w:r>
            <w:r w:rsidR="009624B8">
              <w:t xml:space="preserve"> give patients information about </w:t>
            </w:r>
            <w:r w:rsidR="00CB3E25">
              <w:t xml:space="preserve">any likely </w:t>
            </w:r>
            <w:r w:rsidR="00CB3E25" w:rsidRPr="001F35BF">
              <w:t xml:space="preserve">third party fees and out of pocket </w:t>
            </w:r>
            <w:r w:rsidR="00CB3E25">
              <w:t>expenses</w:t>
            </w:r>
            <w:r w:rsidR="009624B8">
              <w:t xml:space="preserve"> </w:t>
            </w:r>
            <w:r w:rsidR="00C1355C">
              <w:t xml:space="preserve">as it is impractical for </w:t>
            </w:r>
            <w:r w:rsidR="00C1355C" w:rsidRPr="00D66EE6">
              <w:t>private hospitals to provide and maintain a full list of fees by third party providers</w:t>
            </w:r>
            <w:r w:rsidR="00C1355C">
              <w:t xml:space="preserve">, and </w:t>
            </w:r>
            <w:r w:rsidR="00A052A6">
              <w:t xml:space="preserve">HSEs may breach </w:t>
            </w:r>
            <w:r w:rsidR="00A052A6" w:rsidRPr="00A052A6">
              <w:t xml:space="preserve">the </w:t>
            </w:r>
            <w:r w:rsidR="00A052A6" w:rsidRPr="00A052A6">
              <w:rPr>
                <w:i/>
                <w:iCs/>
              </w:rPr>
              <w:t>Competition and Consumer Act 2010</w:t>
            </w:r>
            <w:r w:rsidR="00A052A6" w:rsidRPr="00A052A6">
              <w:t xml:space="preserve"> (Cth) by providing </w:t>
            </w:r>
            <w:r w:rsidR="00B4550A">
              <w:t xml:space="preserve">misleading </w:t>
            </w:r>
            <w:r w:rsidR="00A052A6" w:rsidRPr="00A052A6">
              <w:t>information to patients</w:t>
            </w:r>
            <w:r w:rsidR="009E4C2F">
              <w:t>.</w:t>
            </w:r>
          </w:p>
          <w:p w14:paraId="75ADC8E2" w14:textId="6D3BAE8B" w:rsidR="000B470D" w:rsidRPr="00D66EE6" w:rsidRDefault="006902A7" w:rsidP="000B470D">
            <w:pPr>
              <w:pStyle w:val="Bullet1"/>
            </w:pPr>
            <w:r w:rsidRPr="00400FBA">
              <w:rPr>
                <w:b/>
                <w:bCs/>
              </w:rPr>
              <w:t>Healthscope</w:t>
            </w:r>
            <w:r>
              <w:rPr>
                <w:b/>
                <w:bCs/>
              </w:rPr>
              <w:t xml:space="preserve"> </w:t>
            </w:r>
            <w:r>
              <w:t>opposes</w:t>
            </w:r>
            <w:r w:rsidR="009B6825">
              <w:t xml:space="preserve"> </w:t>
            </w:r>
            <w:r w:rsidR="000B470D" w:rsidRPr="00D66EE6">
              <w:t xml:space="preserve">including full medication lists on discharge summaries </w:t>
            </w:r>
            <w:r w:rsidR="00507744">
              <w:t>a</w:t>
            </w:r>
            <w:r w:rsidR="000B470D" w:rsidRPr="00D66EE6">
              <w:t xml:space="preserve">s </w:t>
            </w:r>
            <w:r w:rsidR="00507744">
              <w:t xml:space="preserve">this has </w:t>
            </w:r>
            <w:r w:rsidR="000B470D" w:rsidRPr="00D66EE6">
              <w:t>unnecessarily slowed down discharge processes and does not provide benefit to the patient.</w:t>
            </w:r>
          </w:p>
          <w:p w14:paraId="3595C8D4" w14:textId="71313A5D" w:rsidR="009E4C2F" w:rsidRPr="00B95544" w:rsidRDefault="00F621F1" w:rsidP="00AE631E">
            <w:pPr>
              <w:pStyle w:val="Bullet1"/>
              <w:rPr>
                <w:b/>
                <w:bCs/>
              </w:rPr>
            </w:pPr>
            <w:r w:rsidRPr="00400FBA">
              <w:rPr>
                <w:b/>
                <w:bCs/>
              </w:rPr>
              <w:t>Healthscope</w:t>
            </w:r>
            <w:r>
              <w:rPr>
                <w:b/>
                <w:bCs/>
              </w:rPr>
              <w:t xml:space="preserve"> </w:t>
            </w:r>
            <w:r>
              <w:t xml:space="preserve">opposes the requirement </w:t>
            </w:r>
            <w:r w:rsidR="001D464F">
              <w:t xml:space="preserve">for </w:t>
            </w:r>
            <w:r w:rsidR="008B44A3">
              <w:t xml:space="preserve">a </w:t>
            </w:r>
            <w:r w:rsidR="00FB6820">
              <w:t xml:space="preserve">standalone </w:t>
            </w:r>
            <w:r w:rsidR="008B44A3">
              <w:t>Surgical Procedure Register</w:t>
            </w:r>
            <w:r w:rsidR="00DB122C">
              <w:t xml:space="preserve"> as </w:t>
            </w:r>
            <w:r w:rsidR="00FB6820">
              <w:t xml:space="preserve">surgical </w:t>
            </w:r>
            <w:r w:rsidR="00BF331B">
              <w:t xml:space="preserve">information </w:t>
            </w:r>
            <w:r w:rsidR="009D61BD">
              <w:t xml:space="preserve">is </w:t>
            </w:r>
            <w:r w:rsidR="00215B3B">
              <w:t xml:space="preserve">kept </w:t>
            </w:r>
            <w:r w:rsidR="004B6978">
              <w:t>digitally</w:t>
            </w:r>
            <w:r w:rsidR="001A1D99">
              <w:t xml:space="preserve"> amongst other information</w:t>
            </w:r>
            <w:r w:rsidR="00215B3B">
              <w:t xml:space="preserve"> </w:t>
            </w:r>
            <w:r w:rsidR="00C1159F">
              <w:t xml:space="preserve">in </w:t>
            </w:r>
            <w:r w:rsidR="00FB6820">
              <w:t>the</w:t>
            </w:r>
            <w:r w:rsidR="00C1159F">
              <w:t xml:space="preserve"> patient management system</w:t>
            </w:r>
            <w:r w:rsidR="00FB6820">
              <w:t xml:space="preserve">. </w:t>
            </w:r>
          </w:p>
          <w:p w14:paraId="12820E6C" w14:textId="77777777" w:rsidR="00B95544" w:rsidRPr="007E3B6E" w:rsidRDefault="004C1EA6" w:rsidP="00AE631E">
            <w:pPr>
              <w:pStyle w:val="Bullet1"/>
              <w:rPr>
                <w:b/>
                <w:bCs/>
              </w:rPr>
            </w:pPr>
            <w:r w:rsidRPr="00400FBA">
              <w:rPr>
                <w:b/>
                <w:bCs/>
              </w:rPr>
              <w:t>Healthscope</w:t>
            </w:r>
            <w:r>
              <w:rPr>
                <w:b/>
                <w:bCs/>
              </w:rPr>
              <w:t xml:space="preserve"> </w:t>
            </w:r>
            <w:r>
              <w:t>opposes</w:t>
            </w:r>
            <w:r w:rsidR="00803C94">
              <w:t xml:space="preserve"> the requirement to </w:t>
            </w:r>
            <w:r w:rsidR="00FF092F">
              <w:t>record</w:t>
            </w:r>
            <w:r w:rsidR="005935C1">
              <w:t>,</w:t>
            </w:r>
            <w:r w:rsidR="00FF092F">
              <w:t xml:space="preserve"> </w:t>
            </w:r>
            <w:r w:rsidR="00803C94">
              <w:t xml:space="preserve">review </w:t>
            </w:r>
            <w:r w:rsidR="005935C1">
              <w:t>and provide to</w:t>
            </w:r>
            <w:r w:rsidR="004A0843">
              <w:t xml:space="preserve"> the Secretary on request information about </w:t>
            </w:r>
            <w:r w:rsidR="00803C94">
              <w:t>transfers out of pa</w:t>
            </w:r>
            <w:r w:rsidR="00FF092F">
              <w:t xml:space="preserve">tients for </w:t>
            </w:r>
            <w:r w:rsidR="00324ACE">
              <w:t>‘</w:t>
            </w:r>
            <w:r w:rsidR="00FF092F">
              <w:t>escalation of care</w:t>
            </w:r>
            <w:r w:rsidR="00324ACE">
              <w:t>’</w:t>
            </w:r>
            <w:r w:rsidR="001D7745">
              <w:t xml:space="preserve"> on the grounds that </w:t>
            </w:r>
            <w:r w:rsidR="008B073E">
              <w:t xml:space="preserve">this is </w:t>
            </w:r>
            <w:r w:rsidR="00876FB1">
              <w:t xml:space="preserve">too </w:t>
            </w:r>
            <w:r w:rsidR="000E2401">
              <w:t>low a be</w:t>
            </w:r>
            <w:r w:rsidR="00324ACE">
              <w:t>nchmark</w:t>
            </w:r>
            <w:r w:rsidR="00A81A41">
              <w:t xml:space="preserve">. </w:t>
            </w:r>
            <w:r w:rsidR="001D7745">
              <w:t>Healthscope i</w:t>
            </w:r>
            <w:r w:rsidR="008B073E">
              <w:t>nstead propos</w:t>
            </w:r>
            <w:r w:rsidR="001D7745">
              <w:t>es</w:t>
            </w:r>
            <w:r w:rsidR="008B073E">
              <w:t xml:space="preserve"> </w:t>
            </w:r>
            <w:r w:rsidR="00695CF4">
              <w:t xml:space="preserve">an Incident Severity Rating </w:t>
            </w:r>
            <w:r w:rsidR="003B1280">
              <w:t>to ensure reporting is associated with patient</w:t>
            </w:r>
            <w:r w:rsidR="001D7745">
              <w:t xml:space="preserve"> </w:t>
            </w:r>
            <w:r w:rsidR="006D2579">
              <w:t>deterioration</w:t>
            </w:r>
            <w:r w:rsidR="00A81A41">
              <w:t xml:space="preserve">, rather than </w:t>
            </w:r>
            <w:r w:rsidR="00D155AF">
              <w:t>other types of transfers (for example, diagnostics)</w:t>
            </w:r>
            <w:r w:rsidR="00F869C1">
              <w:t>.</w:t>
            </w:r>
          </w:p>
          <w:p w14:paraId="3129A87D" w14:textId="404A1970" w:rsidR="007E3B6E" w:rsidRPr="00967DA0" w:rsidRDefault="007E3B6E" w:rsidP="00AE631E">
            <w:pPr>
              <w:pStyle w:val="Bullet1"/>
              <w:rPr>
                <w:b/>
                <w:bCs/>
              </w:rPr>
            </w:pPr>
            <w:r w:rsidRPr="007E3B6E">
              <w:rPr>
                <w:b/>
                <w:bCs/>
              </w:rPr>
              <w:lastRenderedPageBreak/>
              <w:t>ASMIRT</w:t>
            </w:r>
            <w:r>
              <w:rPr>
                <w:b/>
                <w:bCs/>
              </w:rPr>
              <w:t xml:space="preserve"> </w:t>
            </w:r>
            <w:r>
              <w:t>supports</w:t>
            </w:r>
            <w:r w:rsidR="00852F63">
              <w:t xml:space="preserve"> </w:t>
            </w:r>
            <w:r w:rsidR="002028D3">
              <w:t>a</w:t>
            </w:r>
            <w:r w:rsidR="00F23682">
              <w:t xml:space="preserve">ll amendments, </w:t>
            </w:r>
            <w:r w:rsidR="00E1507D">
              <w:t>and suggests</w:t>
            </w:r>
            <w:r w:rsidR="0047305E">
              <w:t xml:space="preserve"> </w:t>
            </w:r>
            <w:r w:rsidR="005A6E4A">
              <w:t xml:space="preserve">additional </w:t>
            </w:r>
            <w:r w:rsidR="0092422F">
              <w:t xml:space="preserve">information to be included in the Surgical </w:t>
            </w:r>
            <w:r w:rsidR="00673B90">
              <w:t xml:space="preserve">Procedure </w:t>
            </w:r>
            <w:r w:rsidR="0092422F">
              <w:t>Regist</w:t>
            </w:r>
            <w:r w:rsidR="00EF23D2">
              <w:t>er</w:t>
            </w:r>
            <w:r w:rsidR="00967DA0">
              <w:t xml:space="preserve"> (e.g. sex at birth, gender, radiographer, </w:t>
            </w:r>
            <w:r w:rsidR="00682064">
              <w:t>implant</w:t>
            </w:r>
            <w:r w:rsidR="008B44F4">
              <w:t>s)</w:t>
            </w:r>
            <w:r w:rsidR="00A14D1D">
              <w:t>.</w:t>
            </w:r>
          </w:p>
          <w:p w14:paraId="561E1B47" w14:textId="2FFECC52" w:rsidR="00B66F55" w:rsidRPr="00B66F55" w:rsidRDefault="008B44F4" w:rsidP="00B66F55">
            <w:pPr>
              <w:pStyle w:val="Bullet1"/>
              <w:rPr>
                <w:b/>
                <w:bCs/>
              </w:rPr>
            </w:pPr>
            <w:r w:rsidRPr="008B44F4">
              <w:rPr>
                <w:b/>
                <w:bCs/>
              </w:rPr>
              <w:t>ANMF</w:t>
            </w:r>
            <w:r w:rsidR="00AB4BCD">
              <w:t xml:space="preserve"> supports </w:t>
            </w:r>
            <w:r w:rsidR="00FE7190">
              <w:t xml:space="preserve">the amendments related to </w:t>
            </w:r>
            <w:r w:rsidR="0010098D">
              <w:t>fees information for patients;</w:t>
            </w:r>
            <w:r w:rsidR="00FE7190">
              <w:t xml:space="preserve"> reversal agents; </w:t>
            </w:r>
            <w:r w:rsidR="00673B90">
              <w:t>S</w:t>
            </w:r>
            <w:r w:rsidR="00FE7190">
              <w:t xml:space="preserve">urgical </w:t>
            </w:r>
            <w:r w:rsidR="00673B90">
              <w:t>P</w:t>
            </w:r>
            <w:r w:rsidR="00FE7190">
              <w:t xml:space="preserve">rocedure </w:t>
            </w:r>
            <w:r w:rsidR="00673B90">
              <w:t>R</w:t>
            </w:r>
            <w:r w:rsidR="00FE7190">
              <w:t>egister; scalding; display of accreditation certificate; mobile services reporting.</w:t>
            </w:r>
          </w:p>
          <w:p w14:paraId="5C0964AF" w14:textId="41A427BE" w:rsidR="00B66F55" w:rsidRPr="00B66F55" w:rsidRDefault="00B66F55" w:rsidP="00B66F55">
            <w:pPr>
              <w:pStyle w:val="Bullet1"/>
              <w:rPr>
                <w:b/>
                <w:bCs/>
              </w:rPr>
            </w:pPr>
            <w:r w:rsidRPr="008B44F4">
              <w:rPr>
                <w:b/>
                <w:bCs/>
              </w:rPr>
              <w:t>ANMF</w:t>
            </w:r>
            <w:r>
              <w:t xml:space="preserve"> </w:t>
            </w:r>
            <w:r w:rsidR="00A82DA7">
              <w:t xml:space="preserve">supports proposed amendments related to gender, and </w:t>
            </w:r>
            <w:r>
              <w:t>suggests additional requirements be included in several Regulations</w:t>
            </w:r>
            <w:r w:rsidR="00A82DA7">
              <w:t xml:space="preserve"> (e.g.</w:t>
            </w:r>
            <w:r>
              <w:t xml:space="preserve"> </w:t>
            </w:r>
            <w:r w:rsidR="00A82DA7">
              <w:t>‘</w:t>
            </w:r>
            <w:r>
              <w:t>sex assigned at birth</w:t>
            </w:r>
            <w:r w:rsidR="00A82DA7">
              <w:t>’</w:t>
            </w:r>
            <w:r>
              <w:t xml:space="preserve">, </w:t>
            </w:r>
            <w:r w:rsidR="00A82DA7">
              <w:t>‘</w:t>
            </w:r>
            <w:r>
              <w:t>gender identity</w:t>
            </w:r>
            <w:r w:rsidR="00A82DA7">
              <w:t>’</w:t>
            </w:r>
            <w:r>
              <w:t xml:space="preserve"> and </w:t>
            </w:r>
            <w:r w:rsidR="00A82DA7">
              <w:t>‘</w:t>
            </w:r>
            <w:r>
              <w:t>sexual orientation</w:t>
            </w:r>
            <w:r w:rsidR="00A82DA7">
              <w:t>’</w:t>
            </w:r>
            <w:r w:rsidR="002915BE">
              <w:t>)</w:t>
            </w:r>
            <w:r>
              <w:t>.</w:t>
            </w:r>
          </w:p>
          <w:p w14:paraId="7380BA4F" w14:textId="77777777" w:rsidR="00AC60C9" w:rsidRPr="00AC60C9" w:rsidRDefault="00F95483" w:rsidP="00B66F55">
            <w:pPr>
              <w:pStyle w:val="Bullet1"/>
              <w:rPr>
                <w:b/>
                <w:bCs/>
              </w:rPr>
            </w:pPr>
            <w:r w:rsidRPr="008B44F4">
              <w:rPr>
                <w:b/>
                <w:bCs/>
              </w:rPr>
              <w:t>ANMF</w:t>
            </w:r>
            <w:r>
              <w:t xml:space="preserve"> </w:t>
            </w:r>
            <w:r w:rsidR="002157BC">
              <w:t xml:space="preserve">supports a complete </w:t>
            </w:r>
            <w:r w:rsidR="00FE06CC">
              <w:t xml:space="preserve">discharge </w:t>
            </w:r>
            <w:r w:rsidR="002157BC">
              <w:t xml:space="preserve">medications list for </w:t>
            </w:r>
            <w:r w:rsidR="00172957">
              <w:t xml:space="preserve">all </w:t>
            </w:r>
            <w:r w:rsidR="00FC04C0">
              <w:t xml:space="preserve">overnight and day only </w:t>
            </w:r>
            <w:r w:rsidR="002157BC">
              <w:t>pa</w:t>
            </w:r>
            <w:r w:rsidR="00707E26">
              <w:t>tient</w:t>
            </w:r>
            <w:r w:rsidR="00172957">
              <w:t>s</w:t>
            </w:r>
            <w:r w:rsidR="00FC04C0">
              <w:t>.</w:t>
            </w:r>
          </w:p>
          <w:p w14:paraId="163597EF" w14:textId="4EAE0BCC" w:rsidR="00B66F55" w:rsidRPr="003C3652" w:rsidRDefault="00AC60C9" w:rsidP="003C3652">
            <w:pPr>
              <w:pStyle w:val="Bullet1"/>
              <w:rPr>
                <w:b/>
                <w:bCs/>
              </w:rPr>
            </w:pPr>
            <w:r w:rsidRPr="00AC60C9">
              <w:rPr>
                <w:b/>
                <w:bCs/>
              </w:rPr>
              <w:t>ANMF</w:t>
            </w:r>
            <w:r w:rsidR="00165492" w:rsidRPr="00AC60C9">
              <w:rPr>
                <w:b/>
                <w:bCs/>
              </w:rPr>
              <w:t xml:space="preserve"> </w:t>
            </w:r>
            <w:r>
              <w:t xml:space="preserve">supports </w:t>
            </w:r>
            <w:r w:rsidR="00D33224">
              <w:t xml:space="preserve">the </w:t>
            </w:r>
            <w:r w:rsidR="00E60B5C">
              <w:t>record</w:t>
            </w:r>
            <w:r w:rsidR="00D33224">
              <w:t>ing</w:t>
            </w:r>
            <w:r w:rsidR="00E60B5C">
              <w:t xml:space="preserve"> and </w:t>
            </w:r>
            <w:r w:rsidR="004D4E84">
              <w:t xml:space="preserve">review </w:t>
            </w:r>
            <w:r w:rsidR="00DE177B">
              <w:t xml:space="preserve">of </w:t>
            </w:r>
            <w:r w:rsidR="004D4E84">
              <w:t xml:space="preserve">transfers </w:t>
            </w:r>
            <w:r w:rsidR="00FC25A8">
              <w:t>of patients for ‘escalation of care’</w:t>
            </w:r>
            <w:r w:rsidR="00E60B5C">
              <w:t xml:space="preserve"> and suggests broadening </w:t>
            </w:r>
            <w:r w:rsidR="00BB06AC">
              <w:t>to include all tran</w:t>
            </w:r>
            <w:r w:rsidR="009D6DF3">
              <w:t>sfers out</w:t>
            </w:r>
            <w:r w:rsidR="001B2B0A">
              <w:t xml:space="preserve">, </w:t>
            </w:r>
            <w:r w:rsidR="007300EB">
              <w:t xml:space="preserve">and </w:t>
            </w:r>
            <w:r w:rsidR="00AE6AD9">
              <w:t xml:space="preserve">aligning reporting and review requirements for </w:t>
            </w:r>
            <w:r w:rsidR="00283C8E">
              <w:t>adver</w:t>
            </w:r>
            <w:r w:rsidR="00897D86">
              <w:t xml:space="preserve">se events with </w:t>
            </w:r>
            <w:r w:rsidR="003C3652">
              <w:t>SCV’s policies and guidelines.</w:t>
            </w:r>
          </w:p>
        </w:tc>
        <w:tc>
          <w:tcPr>
            <w:tcW w:w="7367" w:type="dxa"/>
          </w:tcPr>
          <w:p w14:paraId="1ECA640E" w14:textId="77777777" w:rsidR="0048136C" w:rsidRDefault="006B3F21" w:rsidP="006B3F21">
            <w:pPr>
              <w:pStyle w:val="Bullet1"/>
            </w:pPr>
            <w:r w:rsidRPr="00E62CD4">
              <w:lastRenderedPageBreak/>
              <w:t xml:space="preserve">In response to </w:t>
            </w:r>
            <w:r w:rsidRPr="00E62CD4">
              <w:rPr>
                <w:b/>
                <w:bCs/>
              </w:rPr>
              <w:t>CHA/anonymous</w:t>
            </w:r>
            <w:r w:rsidR="00ED04C1">
              <w:t xml:space="preserve">, </w:t>
            </w:r>
            <w:r w:rsidR="00BD75CF">
              <w:t xml:space="preserve">the </w:t>
            </w:r>
            <w:r w:rsidR="00B75071">
              <w:t>Regulation</w:t>
            </w:r>
            <w:r w:rsidR="00CA1B78">
              <w:t xml:space="preserve"> </w:t>
            </w:r>
            <w:r w:rsidR="009A4004">
              <w:t xml:space="preserve">related to </w:t>
            </w:r>
            <w:r w:rsidR="004B4C8B">
              <w:t>information</w:t>
            </w:r>
            <w:r w:rsidR="00903E6F">
              <w:t xml:space="preserve"> for patients about </w:t>
            </w:r>
            <w:r w:rsidR="0043197B">
              <w:t xml:space="preserve">third party </w:t>
            </w:r>
            <w:r w:rsidR="00903E6F">
              <w:t>fees</w:t>
            </w:r>
            <w:r w:rsidR="004B4C8B">
              <w:t xml:space="preserve"> </w:t>
            </w:r>
            <w:r w:rsidR="0032479B">
              <w:t>align</w:t>
            </w:r>
            <w:r w:rsidR="0043197B">
              <w:t>s</w:t>
            </w:r>
            <w:r w:rsidR="00725757">
              <w:t xml:space="preserve"> with the NSQHS Standards</w:t>
            </w:r>
            <w:r w:rsidR="0020330E">
              <w:t xml:space="preserve"> and advisor</w:t>
            </w:r>
            <w:r w:rsidR="00456134">
              <w:t>y</w:t>
            </w:r>
            <w:r w:rsidR="0020330E">
              <w:t xml:space="preserve">, and </w:t>
            </w:r>
            <w:r w:rsidR="00456134">
              <w:t xml:space="preserve">gives </w:t>
            </w:r>
            <w:r w:rsidR="00FF0E30">
              <w:t xml:space="preserve">the Regulator </w:t>
            </w:r>
            <w:r w:rsidR="00456134">
              <w:t>means to monitor and enforce these requirements.</w:t>
            </w:r>
          </w:p>
          <w:p w14:paraId="1C2B16EF" w14:textId="0F9E190A" w:rsidR="00691925" w:rsidRDefault="0058666D" w:rsidP="006B3F21">
            <w:pPr>
              <w:pStyle w:val="Bullet1"/>
            </w:pPr>
            <w:r w:rsidRPr="00E62CD4">
              <w:t xml:space="preserve">In response to </w:t>
            </w:r>
            <w:r w:rsidRPr="00E62CD4">
              <w:rPr>
                <w:b/>
                <w:bCs/>
              </w:rPr>
              <w:t>CHA/anonymous</w:t>
            </w:r>
            <w:r w:rsidR="00773A7B">
              <w:rPr>
                <w:b/>
                <w:bCs/>
              </w:rPr>
              <w:t xml:space="preserve"> </w:t>
            </w:r>
            <w:r w:rsidR="00773A7B" w:rsidRPr="00773A7B">
              <w:t>and</w:t>
            </w:r>
            <w:r w:rsidR="00773A7B">
              <w:rPr>
                <w:b/>
                <w:bCs/>
              </w:rPr>
              <w:t xml:space="preserve"> Healthscope</w:t>
            </w:r>
            <w:r>
              <w:t xml:space="preserve">, </w:t>
            </w:r>
            <w:r w:rsidR="00AE7787">
              <w:t>and consistent with the policy intent set out in the RIS,</w:t>
            </w:r>
            <w:r>
              <w:t xml:space="preserve"> </w:t>
            </w:r>
            <w:r w:rsidR="009C1029">
              <w:t xml:space="preserve">the </w:t>
            </w:r>
            <w:r w:rsidR="00AA752E">
              <w:t xml:space="preserve">discharge summary requirements </w:t>
            </w:r>
            <w:r w:rsidR="00E36A7B">
              <w:t xml:space="preserve">have been redrafted </w:t>
            </w:r>
            <w:r w:rsidR="00AA752E">
              <w:t xml:space="preserve">to clarify that </w:t>
            </w:r>
            <w:r w:rsidR="00AA6854">
              <w:t>a full list of medications will no longer be needed for every patient.</w:t>
            </w:r>
            <w:r w:rsidR="00321FDD">
              <w:t xml:space="preserve"> </w:t>
            </w:r>
            <w:r w:rsidR="008964CA">
              <w:t xml:space="preserve">Instead, each patient will receive a detailed list of </w:t>
            </w:r>
            <w:r w:rsidR="000D23B1">
              <w:t>ceased, varied or new medications</w:t>
            </w:r>
            <w:r w:rsidR="007B2519">
              <w:t xml:space="preserve">. </w:t>
            </w:r>
            <w:r w:rsidR="00295FE7">
              <w:t xml:space="preserve">In addition, overnight patients will receive a </w:t>
            </w:r>
            <w:r w:rsidR="00905EC6">
              <w:t>summary or statement about any other regular medications</w:t>
            </w:r>
            <w:r w:rsidR="00411526">
              <w:t xml:space="preserve">, with the level of detail determined by the HSE </w:t>
            </w:r>
            <w:r w:rsidR="00042C67">
              <w:t>to reflect the patient’s needs and acuity.</w:t>
            </w:r>
          </w:p>
          <w:p w14:paraId="5B5090C0" w14:textId="12E30C24" w:rsidR="00D50B28" w:rsidRPr="002F006E" w:rsidRDefault="002317A4" w:rsidP="006B3F21">
            <w:pPr>
              <w:pStyle w:val="Bullet1"/>
            </w:pPr>
            <w:r w:rsidRPr="002F006E">
              <w:t xml:space="preserve">In response to </w:t>
            </w:r>
            <w:r w:rsidRPr="002F006E">
              <w:rPr>
                <w:b/>
              </w:rPr>
              <w:t>Healthscope,</w:t>
            </w:r>
            <w:r w:rsidR="00196A57" w:rsidRPr="002F006E">
              <w:rPr>
                <w:b/>
              </w:rPr>
              <w:t xml:space="preserve"> </w:t>
            </w:r>
            <w:r w:rsidR="002574C2" w:rsidRPr="002F006E">
              <w:t>the</w:t>
            </w:r>
            <w:r w:rsidR="002574C2" w:rsidRPr="002F006E">
              <w:rPr>
                <w:b/>
              </w:rPr>
              <w:t xml:space="preserve"> </w:t>
            </w:r>
            <w:r w:rsidR="00C87601" w:rsidRPr="002F006E">
              <w:t>department</w:t>
            </w:r>
            <w:r w:rsidR="002574C2" w:rsidRPr="002F006E">
              <w:t xml:space="preserve"> confirms that </w:t>
            </w:r>
            <w:r w:rsidR="006275F1" w:rsidRPr="002F006E">
              <w:rPr>
                <w:i/>
              </w:rPr>
              <w:t xml:space="preserve">likely </w:t>
            </w:r>
            <w:r w:rsidR="001A79A6" w:rsidRPr="002F006E">
              <w:t>third party fees and out of pocket expenses</w:t>
            </w:r>
            <w:r w:rsidR="0010184A" w:rsidRPr="002F006E">
              <w:t xml:space="preserve"> </w:t>
            </w:r>
            <w:r w:rsidR="000A4FF8" w:rsidRPr="002F006E">
              <w:t xml:space="preserve">are required, not precise costs. </w:t>
            </w:r>
            <w:r w:rsidR="00A33179" w:rsidRPr="002F006E">
              <w:t xml:space="preserve">This requirement is </w:t>
            </w:r>
            <w:r w:rsidR="007D7AF6" w:rsidRPr="002F006E">
              <w:t xml:space="preserve">reasonable and reflects community expectations. </w:t>
            </w:r>
          </w:p>
          <w:p w14:paraId="4686AE80" w14:textId="539837CC" w:rsidR="0058666D" w:rsidRDefault="005E2631" w:rsidP="006B3F21">
            <w:pPr>
              <w:pStyle w:val="Bullet1"/>
            </w:pPr>
            <w:r>
              <w:t xml:space="preserve">In response to </w:t>
            </w:r>
            <w:r w:rsidRPr="005E2631">
              <w:rPr>
                <w:b/>
                <w:bCs/>
              </w:rPr>
              <w:t>H</w:t>
            </w:r>
            <w:r>
              <w:rPr>
                <w:b/>
                <w:bCs/>
              </w:rPr>
              <w:t>ealthscope</w:t>
            </w:r>
            <w:r>
              <w:t xml:space="preserve">, </w:t>
            </w:r>
            <w:r w:rsidR="007B646A">
              <w:t xml:space="preserve">a composite of digital records </w:t>
            </w:r>
            <w:r w:rsidR="00555388">
              <w:t xml:space="preserve">will </w:t>
            </w:r>
            <w:r w:rsidR="005C4AAE">
              <w:t xml:space="preserve">satisfy the requirements for a Surgical </w:t>
            </w:r>
            <w:r w:rsidR="00157BE9">
              <w:t>Procedure Register</w:t>
            </w:r>
            <w:r w:rsidR="00B63A09">
              <w:t xml:space="preserve"> provided the </w:t>
            </w:r>
            <w:r w:rsidR="00292A9E">
              <w:t xml:space="preserve">required </w:t>
            </w:r>
            <w:r w:rsidR="00FD626B">
              <w:t xml:space="preserve">suite of </w:t>
            </w:r>
            <w:r w:rsidR="00292A9E">
              <w:t xml:space="preserve">information </w:t>
            </w:r>
            <w:r w:rsidR="009C6DC8">
              <w:t>can be</w:t>
            </w:r>
            <w:r w:rsidR="00292A9E">
              <w:t xml:space="preserve"> captured</w:t>
            </w:r>
            <w:r w:rsidR="00525BA9">
              <w:t>,</w:t>
            </w:r>
            <w:r w:rsidR="00FD626B">
              <w:t xml:space="preserve"> compiled</w:t>
            </w:r>
            <w:r w:rsidR="00FB76AC">
              <w:t xml:space="preserve"> </w:t>
            </w:r>
            <w:r w:rsidR="00525BA9">
              <w:t xml:space="preserve">and </w:t>
            </w:r>
            <w:r w:rsidR="00E72AE8">
              <w:t>inspected by the Regulator</w:t>
            </w:r>
            <w:r w:rsidR="00317774">
              <w:t>.</w:t>
            </w:r>
            <w:r w:rsidR="00292A9E">
              <w:t xml:space="preserve"> </w:t>
            </w:r>
          </w:p>
          <w:p w14:paraId="7DECE0D0" w14:textId="083A1F34" w:rsidR="00926D66" w:rsidRDefault="00926D66" w:rsidP="006B3F21">
            <w:pPr>
              <w:pStyle w:val="Bullet1"/>
            </w:pPr>
            <w:r>
              <w:t xml:space="preserve">In response to </w:t>
            </w:r>
            <w:r w:rsidRPr="005E2631">
              <w:rPr>
                <w:b/>
                <w:bCs/>
              </w:rPr>
              <w:t>H</w:t>
            </w:r>
            <w:r>
              <w:rPr>
                <w:b/>
                <w:bCs/>
              </w:rPr>
              <w:t xml:space="preserve">ealthscope, </w:t>
            </w:r>
            <w:r w:rsidR="00AA1DF2" w:rsidRPr="00AA1DF2">
              <w:t>‘escalation of care’</w:t>
            </w:r>
            <w:r w:rsidR="00AA1DF2">
              <w:t xml:space="preserve"> would typically be associated with patient deterioration. Transfer for diagnostics or rehab would not meet the </w:t>
            </w:r>
            <w:r w:rsidR="00C357D8">
              <w:t xml:space="preserve">common meaning of ‘escalation’. </w:t>
            </w:r>
            <w:r w:rsidR="00283FBC">
              <w:t xml:space="preserve">The </w:t>
            </w:r>
            <w:r w:rsidR="00C87601">
              <w:t>department</w:t>
            </w:r>
            <w:r w:rsidR="00283FBC">
              <w:t xml:space="preserve"> also notes that all transfers out are currently recorded </w:t>
            </w:r>
            <w:r w:rsidR="00736FD4">
              <w:t xml:space="preserve">by </w:t>
            </w:r>
            <w:r w:rsidR="00283FBC">
              <w:t xml:space="preserve">HSEs and reported to VAED. </w:t>
            </w:r>
            <w:r w:rsidR="00385F3C">
              <w:t xml:space="preserve">The intent of the Regulation is that HSEs review their data to </w:t>
            </w:r>
            <w:r w:rsidR="00385F3C" w:rsidRPr="00D66EE6">
              <w:t>identify systemic issues</w:t>
            </w:r>
            <w:r w:rsidR="0001573E">
              <w:t xml:space="preserve"> and drive quality and safety improvements. </w:t>
            </w:r>
          </w:p>
          <w:p w14:paraId="7092A66C" w14:textId="4871FD60" w:rsidR="00D973AF" w:rsidRPr="00D973AF" w:rsidRDefault="0060439E" w:rsidP="00D973AF">
            <w:pPr>
              <w:pStyle w:val="Bullet1"/>
            </w:pPr>
            <w:r>
              <w:t xml:space="preserve">In response to </w:t>
            </w:r>
            <w:r>
              <w:rPr>
                <w:b/>
                <w:bCs/>
              </w:rPr>
              <w:t>ASMIRT</w:t>
            </w:r>
            <w:r w:rsidR="00D973AF">
              <w:rPr>
                <w:b/>
                <w:bCs/>
              </w:rPr>
              <w:t>’s</w:t>
            </w:r>
            <w:r w:rsidR="00D973AF">
              <w:t xml:space="preserve"> suggestion, i</w:t>
            </w:r>
            <w:r w:rsidR="00D973AF" w:rsidRPr="00D973AF">
              <w:t xml:space="preserve">nclusion of implants in the </w:t>
            </w:r>
            <w:r w:rsidR="00D973AF">
              <w:t>S</w:t>
            </w:r>
            <w:r w:rsidR="00D973AF" w:rsidRPr="00D973AF">
              <w:t xml:space="preserve">urgical </w:t>
            </w:r>
            <w:r w:rsidR="00D973AF">
              <w:t>P</w:t>
            </w:r>
            <w:r w:rsidR="00D973AF" w:rsidRPr="00D973AF">
              <w:t xml:space="preserve">rocedure </w:t>
            </w:r>
            <w:r w:rsidR="00D973AF">
              <w:t>R</w:t>
            </w:r>
            <w:r w:rsidR="00D973AF" w:rsidRPr="00D973AF">
              <w:t>egister may be considered in Phase 2 when a similar requirement to record cosmetic implants in a cosmetic surgery register will be considered to implement the National Cosmetic Surgery Licensing Framework.</w:t>
            </w:r>
          </w:p>
          <w:p w14:paraId="7A3B502D" w14:textId="5CF13609" w:rsidR="008F0A99" w:rsidRPr="00D66EE6" w:rsidRDefault="00E57A27" w:rsidP="008F0A99">
            <w:pPr>
              <w:pStyle w:val="Bullet1"/>
            </w:pPr>
            <w:r>
              <w:lastRenderedPageBreak/>
              <w:t xml:space="preserve">In response to </w:t>
            </w:r>
            <w:r>
              <w:rPr>
                <w:b/>
                <w:bCs/>
              </w:rPr>
              <w:t>ANMF</w:t>
            </w:r>
            <w:r w:rsidR="001D40D3">
              <w:rPr>
                <w:b/>
                <w:bCs/>
              </w:rPr>
              <w:t xml:space="preserve">’s </w:t>
            </w:r>
            <w:r w:rsidR="001D40D3">
              <w:t>suggesti</w:t>
            </w:r>
            <w:r w:rsidR="008F0A99">
              <w:t>on</w:t>
            </w:r>
            <w:r w:rsidR="008364BC">
              <w:t>s</w:t>
            </w:r>
            <w:r w:rsidR="001D40D3">
              <w:t xml:space="preserve"> </w:t>
            </w:r>
            <w:r w:rsidR="008364BC">
              <w:t xml:space="preserve">related to </w:t>
            </w:r>
            <w:r w:rsidR="003E7CC4">
              <w:t>gender</w:t>
            </w:r>
            <w:r w:rsidR="008364BC">
              <w:t xml:space="preserve"> information, the </w:t>
            </w:r>
            <w:r w:rsidR="00C87601">
              <w:t>department</w:t>
            </w:r>
            <w:r w:rsidR="003E7CC4">
              <w:t xml:space="preserve"> </w:t>
            </w:r>
            <w:r w:rsidR="008F0A99" w:rsidRPr="00D66EE6">
              <w:t>will consider this during the Phase 2 reforms (scheduled for 2025)</w:t>
            </w:r>
            <w:r w:rsidR="000F1E7A">
              <w:t xml:space="preserve"> </w:t>
            </w:r>
            <w:r w:rsidR="0066713A">
              <w:t>t</w:t>
            </w:r>
            <w:r w:rsidR="000F1E7A">
              <w:t xml:space="preserve">o ensure the sector </w:t>
            </w:r>
            <w:r w:rsidR="000C0AB5">
              <w:t>and other stakeholders</w:t>
            </w:r>
            <w:r w:rsidR="000F1E7A">
              <w:t xml:space="preserve"> </w:t>
            </w:r>
            <w:r w:rsidR="000C0AB5">
              <w:t>are</w:t>
            </w:r>
            <w:r w:rsidR="007873DD">
              <w:t xml:space="preserve"> </w:t>
            </w:r>
            <w:r w:rsidR="0066713A">
              <w:t xml:space="preserve">adequately </w:t>
            </w:r>
            <w:r w:rsidR="007873DD">
              <w:t>consulted.</w:t>
            </w:r>
          </w:p>
          <w:p w14:paraId="3ADD3361" w14:textId="459738DE" w:rsidR="00585C03" w:rsidRDefault="00747009" w:rsidP="006B3F21">
            <w:pPr>
              <w:pStyle w:val="Bullet1"/>
            </w:pPr>
            <w:r>
              <w:t xml:space="preserve">In response to </w:t>
            </w:r>
            <w:r>
              <w:rPr>
                <w:b/>
                <w:bCs/>
              </w:rPr>
              <w:t>ANMF’s</w:t>
            </w:r>
            <w:r w:rsidR="00570081">
              <w:rPr>
                <w:b/>
                <w:bCs/>
              </w:rPr>
              <w:t xml:space="preserve"> </w:t>
            </w:r>
            <w:r w:rsidR="00570081" w:rsidRPr="00570081">
              <w:t>support for</w:t>
            </w:r>
            <w:r w:rsidR="00570081">
              <w:rPr>
                <w:b/>
                <w:bCs/>
              </w:rPr>
              <w:t xml:space="preserve"> </w:t>
            </w:r>
            <w:r w:rsidR="00BC07DF">
              <w:t xml:space="preserve">retaining </w:t>
            </w:r>
            <w:r w:rsidR="004E129E">
              <w:t xml:space="preserve">a </w:t>
            </w:r>
            <w:r w:rsidR="007B1350">
              <w:t xml:space="preserve">full medications list for all patients, </w:t>
            </w:r>
            <w:r w:rsidR="00F41E66" w:rsidRPr="00D66EE6">
              <w:t xml:space="preserve">the </w:t>
            </w:r>
            <w:r w:rsidR="00C87601">
              <w:t>department</w:t>
            </w:r>
            <w:r w:rsidR="00F41E66" w:rsidRPr="00D66EE6">
              <w:t xml:space="preserve"> has considered the private sector’s concerns and has determined that patient safety will not be compromised by the proposed amendments</w:t>
            </w:r>
            <w:r w:rsidR="009155AA">
              <w:t xml:space="preserve"> (which have been clarified through redrafting of this Regulation).</w:t>
            </w:r>
          </w:p>
          <w:p w14:paraId="21125C4E" w14:textId="04C592E2" w:rsidR="009155AA" w:rsidRPr="007A5AE5" w:rsidRDefault="00A875AB" w:rsidP="006B3F21">
            <w:pPr>
              <w:pStyle w:val="Bullet1"/>
            </w:pPr>
            <w:r>
              <w:t xml:space="preserve">In response to </w:t>
            </w:r>
            <w:r>
              <w:rPr>
                <w:b/>
                <w:bCs/>
              </w:rPr>
              <w:t>ANMF’s</w:t>
            </w:r>
            <w:r w:rsidR="00517885">
              <w:rPr>
                <w:b/>
                <w:bCs/>
              </w:rPr>
              <w:t xml:space="preserve"> </w:t>
            </w:r>
            <w:r w:rsidR="00517885" w:rsidRPr="00FB4953">
              <w:t>su</w:t>
            </w:r>
            <w:r w:rsidR="00FB4953" w:rsidRPr="00FB4953">
              <w:t>ggestion</w:t>
            </w:r>
            <w:r w:rsidR="00FB4953">
              <w:t xml:space="preserve"> </w:t>
            </w:r>
            <w:r w:rsidR="000F00D7">
              <w:t xml:space="preserve">that </w:t>
            </w:r>
            <w:r w:rsidR="002F3866">
              <w:t xml:space="preserve">all </w:t>
            </w:r>
            <w:r w:rsidR="00FC1B64">
              <w:t xml:space="preserve">transfers out </w:t>
            </w:r>
            <w:r w:rsidR="009F5336">
              <w:t xml:space="preserve">be recorded, </w:t>
            </w:r>
            <w:r w:rsidR="003A37D3">
              <w:t xml:space="preserve">the </w:t>
            </w:r>
            <w:r w:rsidR="00C87601">
              <w:t>department</w:t>
            </w:r>
            <w:r w:rsidR="003A37D3">
              <w:t xml:space="preserve"> notes that this is already required for VAED purposes. </w:t>
            </w:r>
            <w:r w:rsidR="003B70ED">
              <w:t xml:space="preserve">The </w:t>
            </w:r>
            <w:r w:rsidR="00C87601">
              <w:t>department</w:t>
            </w:r>
            <w:r w:rsidR="003B70ED">
              <w:t xml:space="preserve"> sees little value in requiring HSEs to review very transfer, as many of these are a routine, necessary part of service delivery. </w:t>
            </w:r>
            <w:r w:rsidR="003628D2">
              <w:t xml:space="preserve">However, </w:t>
            </w:r>
            <w:r w:rsidR="000E18A8">
              <w:t xml:space="preserve">quality and safety improvements may result from reviews </w:t>
            </w:r>
            <w:r w:rsidR="00146A68">
              <w:t xml:space="preserve">of transfers </w:t>
            </w:r>
            <w:r w:rsidR="000E18A8">
              <w:t xml:space="preserve">for escalation of care where patient deterioration has likely occurred. </w:t>
            </w:r>
          </w:p>
        </w:tc>
      </w:tr>
      <w:tr w:rsidR="0048136C" w:rsidRPr="007A5AE5" w14:paraId="7CB6471B" w14:textId="77777777" w:rsidTr="4B858DAC">
        <w:tc>
          <w:tcPr>
            <w:tcW w:w="7366" w:type="dxa"/>
          </w:tcPr>
          <w:p w14:paraId="4C822594" w14:textId="77777777" w:rsidR="0048136C" w:rsidRPr="001506AC" w:rsidRDefault="00EA206B" w:rsidP="00ED3820">
            <w:pPr>
              <w:pStyle w:val="Body"/>
              <w:rPr>
                <w:b/>
                <w:bCs/>
                <w:sz w:val="20"/>
              </w:rPr>
            </w:pPr>
            <w:r w:rsidRPr="001506AC">
              <w:rPr>
                <w:b/>
                <w:bCs/>
                <w:sz w:val="20"/>
              </w:rPr>
              <w:lastRenderedPageBreak/>
              <w:t>Fees</w:t>
            </w:r>
          </w:p>
          <w:p w14:paraId="3E0FADB4" w14:textId="3169DBAB" w:rsidR="00AC4B17" w:rsidRPr="007A7C07" w:rsidRDefault="00AC4B17" w:rsidP="00ED3820">
            <w:pPr>
              <w:pStyle w:val="Body"/>
              <w:rPr>
                <w:sz w:val="20"/>
              </w:rPr>
            </w:pPr>
            <w:r w:rsidRPr="007A7C07">
              <w:rPr>
                <w:sz w:val="20"/>
              </w:rPr>
              <w:t>Remake the currently prescribed fee</w:t>
            </w:r>
            <w:r w:rsidR="00344D22" w:rsidRPr="007A7C07">
              <w:rPr>
                <w:sz w:val="20"/>
              </w:rPr>
              <w:t>s</w:t>
            </w:r>
            <w:r w:rsidRPr="007A7C07">
              <w:rPr>
                <w:sz w:val="20"/>
              </w:rPr>
              <w:t xml:space="preserve"> </w:t>
            </w:r>
            <w:r w:rsidR="00EF1FFD" w:rsidRPr="007A7C07">
              <w:rPr>
                <w:sz w:val="20"/>
              </w:rPr>
              <w:t xml:space="preserve">related to the registration scheme, adding </w:t>
            </w:r>
            <w:r w:rsidR="001506AC" w:rsidRPr="007A7C07">
              <w:rPr>
                <w:sz w:val="20"/>
              </w:rPr>
              <w:t xml:space="preserve">a new </w:t>
            </w:r>
            <w:r w:rsidRPr="007A7C07">
              <w:rPr>
                <w:sz w:val="20"/>
              </w:rPr>
              <w:t>fee for applications to use particular land or premises as a private hospital or day procedure centre</w:t>
            </w:r>
            <w:r w:rsidR="00344D22" w:rsidRPr="007A7C07">
              <w:rPr>
                <w:sz w:val="20"/>
              </w:rPr>
              <w:t>.</w:t>
            </w:r>
          </w:p>
        </w:tc>
        <w:tc>
          <w:tcPr>
            <w:tcW w:w="7366" w:type="dxa"/>
          </w:tcPr>
          <w:p w14:paraId="3B4AB457" w14:textId="5BDBAAB4" w:rsidR="001E1A9B" w:rsidRPr="00D66EE6" w:rsidRDefault="001E1A9B" w:rsidP="001E1A9B">
            <w:pPr>
              <w:pStyle w:val="Bullet1"/>
              <w:rPr>
                <w:b/>
                <w:bCs/>
                <w:u w:val="single"/>
              </w:rPr>
            </w:pPr>
            <w:r w:rsidRPr="00D66EE6">
              <w:rPr>
                <w:b/>
                <w:bCs/>
              </w:rPr>
              <w:t>CHA</w:t>
            </w:r>
            <w:r>
              <w:rPr>
                <w:b/>
                <w:bCs/>
              </w:rPr>
              <w:t>/a</w:t>
            </w:r>
            <w:r w:rsidRPr="00D66EE6">
              <w:rPr>
                <w:b/>
                <w:bCs/>
              </w:rPr>
              <w:t xml:space="preserve">nonymous </w:t>
            </w:r>
            <w:r w:rsidRPr="001E1A9B">
              <w:t>have no</w:t>
            </w:r>
            <w:r w:rsidRPr="00D66EE6">
              <w:t xml:space="preserve"> concerns regarding </w:t>
            </w:r>
            <w:r>
              <w:t xml:space="preserve">the </w:t>
            </w:r>
            <w:r w:rsidRPr="00D66EE6">
              <w:t>amendment.</w:t>
            </w:r>
          </w:p>
          <w:p w14:paraId="4C86294B" w14:textId="52FEE8A3" w:rsidR="001E1A9B" w:rsidRPr="001E1A9B" w:rsidRDefault="001E1A9B">
            <w:pPr>
              <w:pStyle w:val="Bullet1"/>
            </w:pPr>
            <w:r w:rsidRPr="001E1A9B">
              <w:rPr>
                <w:b/>
                <w:bCs/>
              </w:rPr>
              <w:t xml:space="preserve">Healthscope </w:t>
            </w:r>
            <w:r w:rsidR="00E316B4" w:rsidRPr="00E316B4">
              <w:t xml:space="preserve">opposes the amendment as </w:t>
            </w:r>
            <w:r w:rsidRPr="00E316B4">
              <w:t>it</w:t>
            </w:r>
            <w:r w:rsidRPr="001E1A9B">
              <w:t xml:space="preserve"> imposes additional costs on the building of new private hospital infrastructure, and disadvantages private sector compared to public</w:t>
            </w:r>
            <w:r w:rsidR="00E316B4">
              <w:t>.</w:t>
            </w:r>
          </w:p>
          <w:p w14:paraId="7A87B7FD" w14:textId="77777777" w:rsidR="0048136C" w:rsidRPr="007A5AE5" w:rsidRDefault="0048136C" w:rsidP="00ED3820">
            <w:pPr>
              <w:pStyle w:val="Body"/>
              <w:rPr>
                <w:sz w:val="20"/>
              </w:rPr>
            </w:pPr>
          </w:p>
        </w:tc>
        <w:tc>
          <w:tcPr>
            <w:tcW w:w="7367" w:type="dxa"/>
          </w:tcPr>
          <w:p w14:paraId="43AA70CD" w14:textId="2CB2E5B7" w:rsidR="0048136C" w:rsidRPr="007A5AE5" w:rsidRDefault="00BB6D92" w:rsidP="00BB6D92">
            <w:pPr>
              <w:pStyle w:val="Bullet1"/>
            </w:pPr>
            <w:r>
              <w:t xml:space="preserve">In response to </w:t>
            </w:r>
            <w:r w:rsidRPr="005E2631">
              <w:rPr>
                <w:b/>
                <w:bCs/>
              </w:rPr>
              <w:t>H</w:t>
            </w:r>
            <w:r>
              <w:rPr>
                <w:b/>
                <w:bCs/>
              </w:rPr>
              <w:t>ealthscope</w:t>
            </w:r>
            <w:r>
              <w:t xml:space="preserve">, proprietors already pay an AIP </w:t>
            </w:r>
            <w:r w:rsidR="00F54B0D">
              <w:t xml:space="preserve">fee </w:t>
            </w:r>
            <w:r>
              <w:t>for building a new facility</w:t>
            </w:r>
            <w:r w:rsidR="00C26B50">
              <w:t xml:space="preserve">, and will continue to pay only one fee. </w:t>
            </w:r>
            <w:r w:rsidR="00D11D0C">
              <w:t xml:space="preserve">As noted in the RIS, </w:t>
            </w:r>
            <w:r w:rsidR="00131404">
              <w:t>in recognition of private sector concerns about financial viability</w:t>
            </w:r>
            <w:r w:rsidR="00673B90">
              <w:t>,</w:t>
            </w:r>
            <w:r w:rsidR="00131404">
              <w:t xml:space="preserve"> </w:t>
            </w:r>
            <w:r w:rsidR="00D11D0C">
              <w:t xml:space="preserve">the </w:t>
            </w:r>
            <w:r w:rsidR="00C87601">
              <w:t>department</w:t>
            </w:r>
            <w:r w:rsidR="00D11D0C">
              <w:t xml:space="preserve"> is maintaining partial cost recovery</w:t>
            </w:r>
            <w:r w:rsidR="00E17C11">
              <w:t xml:space="preserve"> rather than pursuing full cost recovery </w:t>
            </w:r>
            <w:r w:rsidR="00BC3501">
              <w:t xml:space="preserve">of </w:t>
            </w:r>
            <w:r w:rsidR="00B56D56">
              <w:t xml:space="preserve">the </w:t>
            </w:r>
            <w:r w:rsidR="00D11D0C">
              <w:t>registration scheme</w:t>
            </w:r>
            <w:r w:rsidR="00AE754A">
              <w:t>’s administration costs</w:t>
            </w:r>
            <w:r w:rsidR="00B56D56">
              <w:t xml:space="preserve"> (which would require a 60%</w:t>
            </w:r>
            <w:r w:rsidR="00BC3501">
              <w:t xml:space="preserve"> fee</w:t>
            </w:r>
            <w:r w:rsidR="00B56D56">
              <w:t xml:space="preserve"> increase)</w:t>
            </w:r>
            <w:r w:rsidR="00AE754A">
              <w:t>.</w:t>
            </w:r>
          </w:p>
        </w:tc>
      </w:tr>
    </w:tbl>
    <w:p w14:paraId="0E122EB6" w14:textId="77777777" w:rsidR="000618E4" w:rsidRDefault="000618E4" w:rsidP="000618E4">
      <w:pPr>
        <w:pStyle w:val="Body"/>
      </w:pPr>
    </w:p>
    <w:p w14:paraId="345F0EEC" w14:textId="77777777" w:rsidR="000618E4" w:rsidRDefault="000618E4">
      <w:pPr>
        <w:spacing w:after="0" w:line="240" w:lineRule="auto"/>
        <w:rPr>
          <w:rFonts w:eastAsia="MS Gothic" w:cs="Arial"/>
          <w:bCs/>
          <w:color w:val="C5511A"/>
          <w:kern w:val="32"/>
          <w:sz w:val="40"/>
          <w:szCs w:val="40"/>
        </w:rPr>
      </w:pPr>
      <w:r>
        <w:br w:type="page"/>
      </w:r>
    </w:p>
    <w:p w14:paraId="62F4EEC4" w14:textId="222081E6" w:rsidR="00D91BFD" w:rsidRDefault="00D91BFD" w:rsidP="00D91BFD">
      <w:pPr>
        <w:pStyle w:val="Heading1"/>
      </w:pPr>
      <w:r>
        <w:lastRenderedPageBreak/>
        <w:t xml:space="preserve">Appendix A: Detailed amendments, stakeholder comments and </w:t>
      </w:r>
      <w:r w:rsidR="00C87601">
        <w:t>department</w:t>
      </w:r>
      <w:r>
        <w:t>’s response</w:t>
      </w:r>
    </w:p>
    <w:p w14:paraId="7918DD9E" w14:textId="085FE989" w:rsidR="00ED3820" w:rsidRDefault="00CE2214" w:rsidP="000618E4">
      <w:pPr>
        <w:pStyle w:val="Body"/>
      </w:pPr>
      <w:r>
        <w:t xml:space="preserve">This table sets out each Regulation where amendments were proposed, along with the </w:t>
      </w:r>
      <w:r w:rsidR="00F84D57">
        <w:t xml:space="preserve">specific feedback </w:t>
      </w:r>
      <w:r w:rsidR="005564E8">
        <w:t>received from stakeholders</w:t>
      </w:r>
      <w:r w:rsidR="00AA203F">
        <w:t xml:space="preserve"> and the </w:t>
      </w:r>
      <w:r w:rsidR="00C87601">
        <w:t>department</w:t>
      </w:r>
      <w:r w:rsidR="00AA203F">
        <w:t>’s responses to these comments.</w:t>
      </w:r>
    </w:p>
    <w:tbl>
      <w:tblPr>
        <w:tblStyle w:val="TableGrid"/>
        <w:tblW w:w="5000" w:type="pct"/>
        <w:tblLook w:val="04A0" w:firstRow="1" w:lastRow="0" w:firstColumn="1" w:lastColumn="0" w:noHBand="0" w:noVBand="1"/>
      </w:tblPr>
      <w:tblGrid>
        <w:gridCol w:w="1272"/>
        <w:gridCol w:w="6939"/>
        <w:gridCol w:w="6944"/>
        <w:gridCol w:w="6944"/>
      </w:tblGrid>
      <w:tr w:rsidR="00814E00" w:rsidRPr="00E865BA" w14:paraId="59974C07" w14:textId="77777777" w:rsidTr="00D66EE6">
        <w:trPr>
          <w:trHeight w:val="699"/>
          <w:tblHeader/>
        </w:trPr>
        <w:tc>
          <w:tcPr>
            <w:tcW w:w="288" w:type="pct"/>
            <w:shd w:val="clear" w:color="auto" w:fill="E36C0A" w:themeFill="accent6" w:themeFillShade="BF"/>
          </w:tcPr>
          <w:p w14:paraId="5157E205" w14:textId="77777777" w:rsidR="00814E00" w:rsidRPr="00E33942" w:rsidRDefault="00814E00">
            <w:pPr>
              <w:rPr>
                <w:b/>
                <w:color w:val="FFFFFF" w:themeColor="background1"/>
                <w:sz w:val="24"/>
                <w:szCs w:val="24"/>
              </w:rPr>
            </w:pPr>
            <w:r w:rsidRPr="00E33942">
              <w:rPr>
                <w:b/>
                <w:bCs/>
                <w:color w:val="FFFFFF" w:themeColor="background1"/>
                <w:sz w:val="24"/>
                <w:szCs w:val="24"/>
              </w:rPr>
              <w:t>Reg no.</w:t>
            </w:r>
          </w:p>
          <w:p w14:paraId="3386AA11" w14:textId="77777777" w:rsidR="00814E00" w:rsidRPr="00E33942" w:rsidRDefault="00814E00">
            <w:pPr>
              <w:rPr>
                <w:b/>
                <w:bCs/>
                <w:color w:val="FFFFFF" w:themeColor="background1"/>
                <w:sz w:val="24"/>
                <w:szCs w:val="24"/>
              </w:rPr>
            </w:pPr>
            <w:r>
              <w:rPr>
                <w:b/>
                <w:bCs/>
                <w:color w:val="FFFFFF" w:themeColor="background1"/>
                <w:sz w:val="24"/>
                <w:szCs w:val="24"/>
              </w:rPr>
              <w:t>(current and new)</w:t>
            </w:r>
          </w:p>
        </w:tc>
        <w:tc>
          <w:tcPr>
            <w:tcW w:w="1570" w:type="pct"/>
            <w:shd w:val="clear" w:color="auto" w:fill="E36C0A" w:themeFill="accent6" w:themeFillShade="BF"/>
          </w:tcPr>
          <w:p w14:paraId="50371642" w14:textId="77777777" w:rsidR="00814E00" w:rsidRDefault="00814E00">
            <w:pPr>
              <w:rPr>
                <w:b/>
                <w:bCs/>
                <w:color w:val="FFFFFF" w:themeColor="background1"/>
                <w:sz w:val="24"/>
                <w:szCs w:val="24"/>
              </w:rPr>
            </w:pPr>
            <w:r w:rsidRPr="00E33942">
              <w:rPr>
                <w:b/>
                <w:bCs/>
                <w:color w:val="FFFFFF" w:themeColor="background1"/>
                <w:sz w:val="24"/>
                <w:szCs w:val="24"/>
              </w:rPr>
              <w:t xml:space="preserve">Excerpt of </w:t>
            </w:r>
            <w:r>
              <w:rPr>
                <w:b/>
                <w:bCs/>
                <w:color w:val="FFFFFF" w:themeColor="background1"/>
                <w:sz w:val="24"/>
                <w:szCs w:val="24"/>
              </w:rPr>
              <w:t xml:space="preserve">regulations </w:t>
            </w:r>
          </w:p>
          <w:p w14:paraId="6C5DB1C6" w14:textId="4E1C57E6" w:rsidR="00814E00" w:rsidRPr="00B97DDB" w:rsidRDefault="00814E00">
            <w:pPr>
              <w:rPr>
                <w:b/>
                <w:color w:val="FFFFFF" w:themeColor="background1"/>
                <w:sz w:val="24"/>
                <w:szCs w:val="24"/>
              </w:rPr>
            </w:pPr>
            <w:r>
              <w:rPr>
                <w:b/>
                <w:bCs/>
                <w:color w:val="FFFFFF" w:themeColor="background1"/>
                <w:sz w:val="24"/>
                <w:szCs w:val="24"/>
              </w:rPr>
              <w:t>(showing changes proposed in the RIS)</w:t>
            </w:r>
          </w:p>
        </w:tc>
        <w:tc>
          <w:tcPr>
            <w:tcW w:w="1571" w:type="pct"/>
            <w:shd w:val="clear" w:color="auto" w:fill="E36C0A" w:themeFill="accent6" w:themeFillShade="BF"/>
          </w:tcPr>
          <w:p w14:paraId="1C29E3A0" w14:textId="63416D84" w:rsidR="00814E00" w:rsidRPr="00E33942" w:rsidRDefault="00814E00">
            <w:pPr>
              <w:rPr>
                <w:b/>
                <w:color w:val="FFFFFF" w:themeColor="background1"/>
                <w:sz w:val="24"/>
                <w:szCs w:val="24"/>
              </w:rPr>
            </w:pPr>
            <w:r w:rsidRPr="00E33942">
              <w:rPr>
                <w:b/>
                <w:color w:val="FFFFFF" w:themeColor="background1"/>
                <w:sz w:val="24"/>
                <w:szCs w:val="24"/>
              </w:rPr>
              <w:t xml:space="preserve">Stakeholder </w:t>
            </w:r>
            <w:r w:rsidRPr="00E33942">
              <w:rPr>
                <w:b/>
                <w:bCs/>
                <w:color w:val="FFFFFF" w:themeColor="background1"/>
                <w:sz w:val="24"/>
                <w:szCs w:val="24"/>
              </w:rPr>
              <w:t>comment</w:t>
            </w:r>
            <w:r>
              <w:rPr>
                <w:b/>
                <w:bCs/>
                <w:color w:val="FFFFFF" w:themeColor="background1"/>
                <w:sz w:val="24"/>
                <w:szCs w:val="24"/>
              </w:rPr>
              <w:t>s and issues raised</w:t>
            </w:r>
          </w:p>
        </w:tc>
        <w:tc>
          <w:tcPr>
            <w:tcW w:w="1571" w:type="pct"/>
            <w:shd w:val="clear" w:color="auto" w:fill="E36C0A" w:themeFill="accent6" w:themeFillShade="BF"/>
          </w:tcPr>
          <w:p w14:paraId="0E0E3384" w14:textId="4AD42D99" w:rsidR="00814E00" w:rsidRPr="00E33942" w:rsidRDefault="00814E00">
            <w:pPr>
              <w:rPr>
                <w:b/>
                <w:color w:val="FFFFFF" w:themeColor="background1"/>
                <w:sz w:val="24"/>
                <w:szCs w:val="24"/>
              </w:rPr>
            </w:pPr>
            <w:r>
              <w:rPr>
                <w:b/>
                <w:color w:val="FFFFFF" w:themeColor="background1"/>
                <w:sz w:val="24"/>
                <w:szCs w:val="24"/>
              </w:rPr>
              <w:t>Department response</w:t>
            </w:r>
          </w:p>
        </w:tc>
      </w:tr>
      <w:tr w:rsidR="00814E00" w:rsidRPr="00D66EE6" w14:paraId="15C8CEE5" w14:textId="77777777" w:rsidTr="00D66EE6">
        <w:trPr>
          <w:trHeight w:val="2700"/>
        </w:trPr>
        <w:tc>
          <w:tcPr>
            <w:tcW w:w="288" w:type="pct"/>
            <w:hideMark/>
          </w:tcPr>
          <w:p w14:paraId="1C4C9AF6" w14:textId="77777777" w:rsidR="00814E00" w:rsidRPr="00D66EE6" w:rsidRDefault="00814E00" w:rsidP="00E479A4">
            <w:pPr>
              <w:rPr>
                <w:rFonts w:cs="Arial"/>
                <w:sz w:val="20"/>
              </w:rPr>
            </w:pPr>
            <w:r w:rsidRPr="00D66EE6">
              <w:rPr>
                <w:rFonts w:cs="Arial"/>
                <w:sz w:val="20"/>
              </w:rPr>
              <w:t>1(a)</w:t>
            </w:r>
          </w:p>
          <w:p w14:paraId="41E190DB" w14:textId="77777777" w:rsidR="00814E00" w:rsidRPr="00D66EE6" w:rsidRDefault="00814E00" w:rsidP="00E479A4">
            <w:pPr>
              <w:rPr>
                <w:rFonts w:cs="Arial"/>
                <w:sz w:val="20"/>
              </w:rPr>
            </w:pPr>
          </w:p>
        </w:tc>
        <w:tc>
          <w:tcPr>
            <w:tcW w:w="1570" w:type="pct"/>
            <w:hideMark/>
          </w:tcPr>
          <w:p w14:paraId="057EF1F6" w14:textId="77777777" w:rsidR="00814E00" w:rsidRPr="00D66EE6" w:rsidRDefault="00814E00" w:rsidP="00E479A4">
            <w:pPr>
              <w:rPr>
                <w:rFonts w:cs="Arial"/>
                <w:color w:val="FF0000"/>
                <w:sz w:val="20"/>
              </w:rPr>
            </w:pPr>
            <w:r w:rsidRPr="00D66EE6">
              <w:rPr>
                <w:rFonts w:cs="Arial"/>
                <w:b/>
                <w:sz w:val="20"/>
              </w:rPr>
              <w:t>Objectives</w:t>
            </w:r>
          </w:p>
          <w:p w14:paraId="72151A05" w14:textId="77777777" w:rsidR="00814E00" w:rsidRPr="00D66EE6" w:rsidRDefault="00814E00" w:rsidP="00E479A4">
            <w:pPr>
              <w:rPr>
                <w:rFonts w:cs="Arial"/>
                <w:color w:val="FF0000"/>
                <w:sz w:val="20"/>
              </w:rPr>
            </w:pPr>
            <w:r w:rsidRPr="00D66EE6">
              <w:rPr>
                <w:rFonts w:cs="Arial"/>
                <w:sz w:val="20"/>
              </w:rPr>
              <w:t>The objectives of these Regulations are—</w:t>
            </w:r>
          </w:p>
          <w:p w14:paraId="2E941FBD" w14:textId="77777777" w:rsidR="00814E00" w:rsidRPr="00D66EE6" w:rsidRDefault="00814E00" w:rsidP="00131778">
            <w:pPr>
              <w:pStyle w:val="ListParagraph"/>
              <w:numPr>
                <w:ilvl w:val="1"/>
                <w:numId w:val="12"/>
              </w:numPr>
              <w:spacing w:before="160" w:after="160" w:line="276" w:lineRule="auto"/>
              <w:contextualSpacing/>
              <w:rPr>
                <w:rFonts w:ascii="Arial" w:hAnsi="Arial" w:cs="Arial"/>
                <w:color w:val="FF0000"/>
                <w:sz w:val="20"/>
                <w:szCs w:val="20"/>
              </w:rPr>
            </w:pPr>
            <w:r w:rsidRPr="00D66EE6">
              <w:rPr>
                <w:rFonts w:ascii="Arial" w:hAnsi="Arial" w:cs="Arial"/>
                <w:sz w:val="20"/>
                <w:szCs w:val="20"/>
              </w:rPr>
              <w:t>to provide for the safety and quality of care of patients receiving health services in or from health service establishments by prescribing—</w:t>
            </w:r>
          </w:p>
          <w:p w14:paraId="03925B1F" w14:textId="77777777" w:rsidR="00814E00" w:rsidRPr="00D66EE6" w:rsidRDefault="00814E00" w:rsidP="00131778">
            <w:pPr>
              <w:pStyle w:val="ListParagraph"/>
              <w:numPr>
                <w:ilvl w:val="2"/>
                <w:numId w:val="12"/>
              </w:numPr>
              <w:spacing w:before="160" w:after="160" w:line="276" w:lineRule="auto"/>
              <w:contextualSpacing/>
              <w:rPr>
                <w:rFonts w:ascii="Arial" w:hAnsi="Arial" w:cs="Arial"/>
                <w:color w:val="FF0000"/>
                <w:sz w:val="20"/>
                <w:szCs w:val="20"/>
              </w:rPr>
            </w:pPr>
            <w:r w:rsidRPr="00D66EE6">
              <w:rPr>
                <w:rFonts w:ascii="Arial" w:hAnsi="Arial" w:cs="Arial"/>
                <w:sz w:val="20"/>
                <w:szCs w:val="20"/>
              </w:rPr>
              <w:t>requirements for staffing; and</w:t>
            </w:r>
          </w:p>
          <w:p w14:paraId="20BE765A" w14:textId="77777777" w:rsidR="00814E00" w:rsidRPr="00D66EE6" w:rsidRDefault="00814E00" w:rsidP="00131778">
            <w:pPr>
              <w:pStyle w:val="ListParagraph"/>
              <w:numPr>
                <w:ilvl w:val="2"/>
                <w:numId w:val="12"/>
              </w:numPr>
              <w:spacing w:before="160" w:after="160" w:line="276" w:lineRule="auto"/>
              <w:contextualSpacing/>
              <w:rPr>
                <w:rFonts w:ascii="Arial" w:hAnsi="Arial" w:cs="Arial"/>
                <w:color w:val="FF0000"/>
                <w:sz w:val="20"/>
                <w:szCs w:val="20"/>
              </w:rPr>
            </w:pPr>
            <w:r w:rsidRPr="00D66EE6">
              <w:rPr>
                <w:rFonts w:ascii="Arial" w:hAnsi="Arial" w:cs="Arial"/>
                <w:sz w:val="20"/>
                <w:szCs w:val="20"/>
              </w:rPr>
              <w:t>procedures for the handling of complaints; and</w:t>
            </w:r>
          </w:p>
          <w:p w14:paraId="45CF161D" w14:textId="77777777" w:rsidR="00814E00" w:rsidRPr="00D66EE6" w:rsidRDefault="00814E00" w:rsidP="00131778">
            <w:pPr>
              <w:pStyle w:val="ListParagraph"/>
              <w:numPr>
                <w:ilvl w:val="2"/>
                <w:numId w:val="12"/>
              </w:numPr>
              <w:spacing w:before="160" w:after="160" w:line="276" w:lineRule="auto"/>
              <w:contextualSpacing/>
              <w:rPr>
                <w:rFonts w:ascii="Arial" w:hAnsi="Arial" w:cs="Arial"/>
                <w:color w:val="FF0000"/>
                <w:sz w:val="20"/>
                <w:szCs w:val="20"/>
              </w:rPr>
            </w:pPr>
            <w:r w:rsidRPr="00D66EE6">
              <w:rPr>
                <w:rFonts w:ascii="Arial" w:hAnsi="Arial" w:cs="Arial"/>
                <w:sz w:val="20"/>
                <w:szCs w:val="20"/>
              </w:rPr>
              <w:t>records to be kept; and</w:t>
            </w:r>
          </w:p>
          <w:p w14:paraId="349031F3" w14:textId="77777777" w:rsidR="00814E00" w:rsidRPr="00D66EE6" w:rsidRDefault="00814E00" w:rsidP="00131778">
            <w:pPr>
              <w:pStyle w:val="ListParagraph"/>
              <w:numPr>
                <w:ilvl w:val="2"/>
                <w:numId w:val="12"/>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reporting requirements; and</w:t>
            </w:r>
          </w:p>
          <w:p w14:paraId="1AD901D5" w14:textId="77777777" w:rsidR="00814E00" w:rsidRPr="00D66EE6" w:rsidRDefault="00814E00" w:rsidP="00131778">
            <w:pPr>
              <w:pStyle w:val="ListParagraph"/>
              <w:numPr>
                <w:ilvl w:val="2"/>
                <w:numId w:val="12"/>
              </w:numPr>
              <w:spacing w:before="160" w:after="160" w:line="276" w:lineRule="auto"/>
              <w:contextualSpacing/>
              <w:rPr>
                <w:rFonts w:ascii="Arial" w:hAnsi="Arial" w:cs="Arial"/>
                <w:color w:val="FF0000"/>
                <w:sz w:val="20"/>
                <w:szCs w:val="20"/>
              </w:rPr>
            </w:pPr>
            <w:r w:rsidRPr="00D66EE6">
              <w:rPr>
                <w:rFonts w:ascii="Arial" w:hAnsi="Arial" w:cs="Arial"/>
                <w:sz w:val="20"/>
                <w:szCs w:val="20"/>
              </w:rPr>
              <w:t>other requirements to ensure the welfare of patients; and</w:t>
            </w:r>
          </w:p>
        </w:tc>
        <w:tc>
          <w:tcPr>
            <w:tcW w:w="1571" w:type="pct"/>
            <w:hideMark/>
          </w:tcPr>
          <w:p w14:paraId="54ADF206" w14:textId="7C388F7A" w:rsidR="00814E00" w:rsidRPr="00D66EE6" w:rsidRDefault="00814E00" w:rsidP="008079B6">
            <w:pPr>
              <w:pStyle w:val="ListParagraph"/>
              <w:numPr>
                <w:ilvl w:val="0"/>
                <w:numId w:val="11"/>
              </w:numPr>
              <w:rPr>
                <w:rFonts w:ascii="Arial" w:hAnsi="Arial" w:cs="Arial"/>
                <w:sz w:val="20"/>
                <w:szCs w:val="20"/>
              </w:rPr>
            </w:pPr>
            <w:r w:rsidRPr="00D66EE6">
              <w:rPr>
                <w:rFonts w:ascii="Arial" w:hAnsi="Arial" w:cs="Arial"/>
                <w:sz w:val="20"/>
                <w:szCs w:val="20"/>
              </w:rPr>
              <w:t xml:space="preserve">No concerns from any stakeholders about adding </w:t>
            </w:r>
            <w:r w:rsidRPr="005F3021">
              <w:rPr>
                <w:rFonts w:ascii="Arial" w:hAnsi="Arial" w:cs="Arial"/>
                <w:i/>
                <w:iCs/>
                <w:sz w:val="20"/>
                <w:szCs w:val="20"/>
              </w:rPr>
              <w:t>reporting requirement</w:t>
            </w:r>
            <w:r w:rsidRPr="00D66EE6">
              <w:rPr>
                <w:rFonts w:ascii="Arial" w:hAnsi="Arial" w:cs="Arial"/>
                <w:sz w:val="20"/>
                <w:szCs w:val="20"/>
              </w:rPr>
              <w:t>s to the Objectives.</w:t>
            </w:r>
          </w:p>
          <w:p w14:paraId="4E48A8E3" w14:textId="77777777" w:rsidR="00814E00" w:rsidRPr="00D66EE6" w:rsidRDefault="00814E00" w:rsidP="0099024C">
            <w:pPr>
              <w:pStyle w:val="ListParagraph"/>
              <w:ind w:left="360"/>
              <w:rPr>
                <w:rFonts w:ascii="Arial" w:hAnsi="Arial" w:cs="Arial"/>
                <w:sz w:val="20"/>
                <w:szCs w:val="20"/>
              </w:rPr>
            </w:pPr>
          </w:p>
          <w:p w14:paraId="1FCA591D" w14:textId="05D400D2" w:rsidR="00814E00" w:rsidRPr="00D66EE6" w:rsidRDefault="00814E00" w:rsidP="008079B6">
            <w:pPr>
              <w:pStyle w:val="ListParagraph"/>
              <w:numPr>
                <w:ilvl w:val="0"/>
                <w:numId w:val="11"/>
              </w:numPr>
              <w:rPr>
                <w:rFonts w:ascii="Arial" w:hAnsi="Arial" w:cs="Arial"/>
                <w:sz w:val="20"/>
                <w:szCs w:val="20"/>
              </w:rPr>
            </w:pPr>
            <w:r w:rsidRPr="00D66EE6">
              <w:rPr>
                <w:rFonts w:ascii="Arial" w:hAnsi="Arial" w:cs="Arial"/>
                <w:sz w:val="20"/>
                <w:szCs w:val="20"/>
              </w:rPr>
              <w:t>AN</w:t>
            </w:r>
            <w:r w:rsidR="00A72ACF">
              <w:rPr>
                <w:rFonts w:ascii="Arial" w:hAnsi="Arial" w:cs="Arial"/>
                <w:sz w:val="20"/>
                <w:szCs w:val="20"/>
              </w:rPr>
              <w:t>MF</w:t>
            </w:r>
            <w:r w:rsidRPr="00D66EE6">
              <w:rPr>
                <w:rFonts w:ascii="Arial" w:hAnsi="Arial" w:cs="Arial"/>
                <w:sz w:val="20"/>
                <w:szCs w:val="20"/>
              </w:rPr>
              <w:t xml:space="preserve"> supports this amendment and recommends an additional amendment to insert: </w:t>
            </w:r>
            <w:r w:rsidRPr="00D66EE6">
              <w:rPr>
                <w:rFonts w:ascii="Arial" w:hAnsi="Arial" w:cs="Arial"/>
                <w:i/>
                <w:sz w:val="20"/>
                <w:szCs w:val="20"/>
              </w:rPr>
              <w:t xml:space="preserve">Requirements for Clinical Governance and Duty of </w:t>
            </w:r>
            <w:r w:rsidRPr="00D66EE6">
              <w:rPr>
                <w:rFonts w:ascii="Arial" w:hAnsi="Arial" w:cs="Arial"/>
                <w:i/>
                <w:iCs/>
                <w:sz w:val="20"/>
                <w:szCs w:val="20"/>
              </w:rPr>
              <w:t>Candour</w:t>
            </w:r>
            <w:r w:rsidRPr="00D66EE6">
              <w:rPr>
                <w:rFonts w:ascii="Arial" w:hAnsi="Arial" w:cs="Arial"/>
                <w:sz w:val="20"/>
                <w:szCs w:val="20"/>
              </w:rPr>
              <w:t>.</w:t>
            </w:r>
          </w:p>
          <w:p w14:paraId="2FC984DE" w14:textId="23642F75" w:rsidR="00814E00" w:rsidRPr="00D66EE6" w:rsidRDefault="00814E00" w:rsidP="007C2ABB">
            <w:pPr>
              <w:rPr>
                <w:rFonts w:cs="Arial"/>
                <w:sz w:val="20"/>
              </w:rPr>
            </w:pPr>
          </w:p>
        </w:tc>
        <w:tc>
          <w:tcPr>
            <w:tcW w:w="1571" w:type="pct"/>
          </w:tcPr>
          <w:p w14:paraId="3C74807B" w14:textId="1D888AB5" w:rsidR="00814E00" w:rsidRPr="00D66EE6" w:rsidRDefault="00814E00" w:rsidP="0099024C">
            <w:pPr>
              <w:rPr>
                <w:rFonts w:cs="Arial"/>
                <w:sz w:val="20"/>
              </w:rPr>
            </w:pPr>
            <w:r w:rsidRPr="00D66EE6">
              <w:rPr>
                <w:rFonts w:cs="Arial"/>
                <w:sz w:val="20"/>
              </w:rPr>
              <w:t xml:space="preserve">The </w:t>
            </w:r>
            <w:r w:rsidR="00C87601">
              <w:rPr>
                <w:rFonts w:cs="Arial"/>
                <w:sz w:val="20"/>
              </w:rPr>
              <w:t>department</w:t>
            </w:r>
            <w:r w:rsidRPr="00D66EE6">
              <w:rPr>
                <w:rFonts w:cs="Arial"/>
                <w:sz w:val="20"/>
              </w:rPr>
              <w:t xml:space="preserve"> </w:t>
            </w:r>
            <w:r w:rsidR="00E87FA3">
              <w:rPr>
                <w:rFonts w:cs="Arial"/>
                <w:sz w:val="20"/>
              </w:rPr>
              <w:t>proposes to</w:t>
            </w:r>
            <w:r w:rsidR="00E87FA3" w:rsidRPr="00D66EE6">
              <w:rPr>
                <w:rFonts w:cs="Arial"/>
                <w:sz w:val="20"/>
              </w:rPr>
              <w:t xml:space="preserve"> </w:t>
            </w:r>
            <w:r w:rsidRPr="00D66EE6">
              <w:rPr>
                <w:rFonts w:cs="Arial"/>
                <w:sz w:val="20"/>
              </w:rPr>
              <w:t xml:space="preserve">add </w:t>
            </w:r>
            <w:r w:rsidRPr="005F3021">
              <w:rPr>
                <w:rFonts w:cs="Arial"/>
                <w:i/>
                <w:iCs/>
                <w:sz w:val="20"/>
              </w:rPr>
              <w:t>reporting requirements</w:t>
            </w:r>
            <w:r w:rsidRPr="00D66EE6">
              <w:rPr>
                <w:rFonts w:cs="Arial"/>
                <w:sz w:val="20"/>
              </w:rPr>
              <w:t xml:space="preserve"> to the Objectives.</w:t>
            </w:r>
          </w:p>
          <w:p w14:paraId="32FC9A0B" w14:textId="5A4E180E" w:rsidR="00814E00" w:rsidRPr="00D66EE6" w:rsidRDefault="00814E00" w:rsidP="006A1D86">
            <w:pPr>
              <w:pStyle w:val="Tablebullet2"/>
              <w:numPr>
                <w:ilvl w:val="0"/>
                <w:numId w:val="0"/>
              </w:numPr>
              <w:rPr>
                <w:rFonts w:cs="Arial"/>
                <w:sz w:val="20"/>
              </w:rPr>
            </w:pPr>
            <w:r w:rsidRPr="00D66EE6">
              <w:rPr>
                <w:rFonts w:cs="Arial"/>
                <w:sz w:val="20"/>
              </w:rPr>
              <w:t xml:space="preserve">The </w:t>
            </w:r>
            <w:r w:rsidR="00C87601">
              <w:rPr>
                <w:rFonts w:cs="Arial"/>
                <w:sz w:val="20"/>
              </w:rPr>
              <w:t>department</w:t>
            </w:r>
            <w:r w:rsidRPr="00D66EE6">
              <w:rPr>
                <w:rFonts w:cs="Arial"/>
                <w:sz w:val="20"/>
              </w:rPr>
              <w:t xml:space="preserve"> will partially implement </w:t>
            </w:r>
            <w:r w:rsidR="005F3021">
              <w:rPr>
                <w:rFonts w:cs="Arial"/>
                <w:b/>
                <w:bCs/>
                <w:sz w:val="20"/>
              </w:rPr>
              <w:t>ANMF’s</w:t>
            </w:r>
            <w:r w:rsidRPr="00D66EE6">
              <w:rPr>
                <w:rFonts w:cs="Arial"/>
                <w:sz w:val="20"/>
              </w:rPr>
              <w:t xml:space="preserve"> proposal:</w:t>
            </w:r>
          </w:p>
          <w:p w14:paraId="1FAE5D9B" w14:textId="374F84B0" w:rsidR="00814E00" w:rsidRPr="00390E29" w:rsidRDefault="00814E00" w:rsidP="00131778">
            <w:pPr>
              <w:pStyle w:val="ListParagraph"/>
              <w:numPr>
                <w:ilvl w:val="0"/>
                <w:numId w:val="36"/>
              </w:numPr>
              <w:spacing w:before="160" w:after="160" w:line="276" w:lineRule="auto"/>
              <w:contextualSpacing/>
              <w:rPr>
                <w:rFonts w:ascii="Arial" w:hAnsi="Arial" w:cs="Arial"/>
                <w:sz w:val="20"/>
                <w:szCs w:val="20"/>
              </w:rPr>
            </w:pPr>
            <w:r w:rsidRPr="000D1947">
              <w:rPr>
                <w:rFonts w:ascii="Arial" w:hAnsi="Arial" w:cs="Arial"/>
                <w:i/>
                <w:iCs/>
                <w:sz w:val="20"/>
                <w:szCs w:val="20"/>
              </w:rPr>
              <w:t xml:space="preserve">Requirements for health service establishment protocols for quality and safety </w:t>
            </w:r>
            <w:r w:rsidRPr="000D1947">
              <w:rPr>
                <w:rFonts w:ascii="Arial" w:hAnsi="Arial" w:cs="Arial"/>
                <w:sz w:val="20"/>
                <w:szCs w:val="20"/>
              </w:rPr>
              <w:t xml:space="preserve">will be added to the Objectives </w:t>
            </w:r>
            <w:r w:rsidR="00A20F97" w:rsidRPr="000D1947">
              <w:rPr>
                <w:rFonts w:ascii="Arial" w:hAnsi="Arial" w:cs="Arial"/>
                <w:sz w:val="20"/>
                <w:szCs w:val="20"/>
              </w:rPr>
              <w:t xml:space="preserve">in recognition of their </w:t>
            </w:r>
            <w:r w:rsidR="00A645D3" w:rsidRPr="000D1947">
              <w:rPr>
                <w:rFonts w:ascii="Arial" w:hAnsi="Arial" w:cs="Arial"/>
                <w:sz w:val="20"/>
                <w:szCs w:val="20"/>
              </w:rPr>
              <w:t>importan</w:t>
            </w:r>
            <w:r w:rsidR="00434EAD" w:rsidRPr="000D1947">
              <w:rPr>
                <w:rFonts w:ascii="Arial" w:hAnsi="Arial" w:cs="Arial"/>
                <w:sz w:val="20"/>
                <w:szCs w:val="20"/>
              </w:rPr>
              <w:t xml:space="preserve">ce </w:t>
            </w:r>
            <w:r w:rsidR="00A20F97" w:rsidRPr="000D1947">
              <w:rPr>
                <w:rFonts w:ascii="Arial" w:hAnsi="Arial" w:cs="Arial"/>
                <w:sz w:val="20"/>
                <w:szCs w:val="20"/>
              </w:rPr>
              <w:t xml:space="preserve">as a foundation </w:t>
            </w:r>
            <w:r w:rsidR="008177EE" w:rsidRPr="000D1947">
              <w:rPr>
                <w:rFonts w:ascii="Arial" w:hAnsi="Arial" w:cs="Arial"/>
                <w:sz w:val="20"/>
                <w:szCs w:val="20"/>
              </w:rPr>
              <w:t xml:space="preserve">for </w:t>
            </w:r>
            <w:r w:rsidR="00A20F97" w:rsidRPr="000D1947">
              <w:rPr>
                <w:rFonts w:ascii="Arial" w:hAnsi="Arial" w:cs="Arial"/>
                <w:sz w:val="20"/>
                <w:szCs w:val="20"/>
              </w:rPr>
              <w:t xml:space="preserve">safe, high-quality healthcare delivery </w:t>
            </w:r>
            <w:r w:rsidR="00434EAD" w:rsidRPr="000D1947">
              <w:rPr>
                <w:rFonts w:ascii="Arial" w:hAnsi="Arial" w:cs="Arial"/>
                <w:sz w:val="20"/>
                <w:szCs w:val="20"/>
              </w:rPr>
              <w:t xml:space="preserve">(noting that the term ‘clinical governance’ </w:t>
            </w:r>
            <w:r w:rsidR="00324D25" w:rsidRPr="000D1947">
              <w:rPr>
                <w:rFonts w:ascii="Arial" w:hAnsi="Arial" w:cs="Arial"/>
                <w:sz w:val="20"/>
                <w:szCs w:val="20"/>
              </w:rPr>
              <w:t xml:space="preserve">has </w:t>
            </w:r>
            <w:r w:rsidR="00434EAD" w:rsidRPr="000D1947">
              <w:rPr>
                <w:rFonts w:ascii="Arial" w:hAnsi="Arial" w:cs="Arial"/>
                <w:sz w:val="20"/>
                <w:szCs w:val="20"/>
              </w:rPr>
              <w:t xml:space="preserve">not </w:t>
            </w:r>
            <w:r w:rsidR="00324D25" w:rsidRPr="000D1947">
              <w:rPr>
                <w:rFonts w:ascii="Arial" w:hAnsi="Arial" w:cs="Arial"/>
                <w:sz w:val="20"/>
                <w:szCs w:val="20"/>
              </w:rPr>
              <w:t xml:space="preserve">been </w:t>
            </w:r>
            <w:r w:rsidR="00434EAD" w:rsidRPr="000D1947">
              <w:rPr>
                <w:rFonts w:ascii="Arial" w:hAnsi="Arial" w:cs="Arial"/>
                <w:sz w:val="20"/>
                <w:szCs w:val="20"/>
              </w:rPr>
              <w:t xml:space="preserve">used in </w:t>
            </w:r>
            <w:r w:rsidR="00324D25" w:rsidRPr="000D1947">
              <w:rPr>
                <w:rFonts w:ascii="Arial" w:hAnsi="Arial" w:cs="Arial"/>
                <w:sz w:val="20"/>
                <w:szCs w:val="20"/>
              </w:rPr>
              <w:t xml:space="preserve">this amendment as it does not appear elsewhere in </w:t>
            </w:r>
            <w:r w:rsidR="00434EAD" w:rsidRPr="000D1947">
              <w:rPr>
                <w:rFonts w:ascii="Arial" w:hAnsi="Arial" w:cs="Arial"/>
                <w:sz w:val="20"/>
                <w:szCs w:val="20"/>
              </w:rPr>
              <w:t>the Regulations</w:t>
            </w:r>
            <w:r w:rsidR="00324D25" w:rsidRPr="000D1947">
              <w:rPr>
                <w:rFonts w:ascii="Arial" w:hAnsi="Arial" w:cs="Arial"/>
                <w:sz w:val="20"/>
                <w:szCs w:val="20"/>
              </w:rPr>
              <w:t>).</w:t>
            </w:r>
          </w:p>
          <w:p w14:paraId="31D03659" w14:textId="480431FF" w:rsidR="00D20B33" w:rsidRPr="00390E29" w:rsidRDefault="00544186" w:rsidP="00D20B33">
            <w:pPr>
              <w:pStyle w:val="ListParagraph"/>
              <w:spacing w:before="160" w:after="160" w:line="276" w:lineRule="auto"/>
              <w:ind w:left="360"/>
              <w:contextualSpacing/>
              <w:rPr>
                <w:rFonts w:ascii="Arial" w:hAnsi="Arial" w:cs="Arial"/>
                <w:sz w:val="20"/>
                <w:szCs w:val="20"/>
              </w:rPr>
            </w:pPr>
            <w:r w:rsidRPr="00D20B33">
              <w:rPr>
                <w:rFonts w:ascii="Arial" w:hAnsi="Arial" w:cs="Arial"/>
                <w:sz w:val="20"/>
                <w:szCs w:val="20"/>
              </w:rPr>
              <w:t>Th</w:t>
            </w:r>
            <w:r w:rsidR="00960C26">
              <w:rPr>
                <w:rFonts w:ascii="Arial" w:hAnsi="Arial" w:cs="Arial"/>
                <w:sz w:val="20"/>
                <w:szCs w:val="20"/>
              </w:rPr>
              <w:t xml:space="preserve">e amended parts of this </w:t>
            </w:r>
            <w:r w:rsidRPr="00D20B33">
              <w:rPr>
                <w:rFonts w:ascii="Arial" w:hAnsi="Arial" w:cs="Arial"/>
                <w:sz w:val="20"/>
                <w:szCs w:val="20"/>
              </w:rPr>
              <w:t>Regulation will now appear as:</w:t>
            </w:r>
          </w:p>
          <w:p w14:paraId="3888268B" w14:textId="7D26429F" w:rsidR="00600432" w:rsidRDefault="00C52F1E" w:rsidP="00121BFC">
            <w:pPr>
              <w:pStyle w:val="ListParagraph"/>
              <w:numPr>
                <w:ilvl w:val="2"/>
                <w:numId w:val="67"/>
              </w:numPr>
              <w:spacing w:before="160" w:after="160" w:line="276" w:lineRule="auto"/>
              <w:contextualSpacing/>
              <w:rPr>
                <w:rFonts w:ascii="Arial" w:hAnsi="Arial" w:cs="Arial"/>
                <w:color w:val="FF0000"/>
                <w:sz w:val="20"/>
                <w:szCs w:val="20"/>
              </w:rPr>
            </w:pPr>
            <w:r>
              <w:rPr>
                <w:rFonts w:ascii="Arial" w:hAnsi="Arial" w:cs="Arial"/>
                <w:color w:val="FF0000"/>
                <w:sz w:val="20"/>
                <w:szCs w:val="20"/>
              </w:rPr>
              <w:t>reporting requirements: and</w:t>
            </w:r>
          </w:p>
          <w:p w14:paraId="35F7BE8C" w14:textId="489890DA" w:rsidR="00A541D5" w:rsidRPr="00ED7ADC" w:rsidRDefault="00B76B4E">
            <w:pPr>
              <w:pStyle w:val="ListParagraph"/>
              <w:numPr>
                <w:ilvl w:val="2"/>
                <w:numId w:val="67"/>
              </w:numPr>
              <w:spacing w:before="160" w:after="160" w:line="276" w:lineRule="auto"/>
              <w:contextualSpacing/>
              <w:rPr>
                <w:rFonts w:ascii="Arial" w:hAnsi="Arial" w:cs="Arial"/>
                <w:color w:val="FF0000"/>
                <w:sz w:val="20"/>
                <w:szCs w:val="20"/>
              </w:rPr>
            </w:pPr>
            <w:r w:rsidRPr="00ED7ADC">
              <w:rPr>
                <w:rFonts w:ascii="Arial" w:hAnsi="Arial" w:cs="Arial"/>
                <w:color w:val="FF0000"/>
                <w:sz w:val="20"/>
                <w:szCs w:val="20"/>
              </w:rPr>
              <w:t>requirements for health service establishment protocols for quality and safety</w:t>
            </w:r>
            <w:r w:rsidR="00ED7ADC" w:rsidRPr="00ED7ADC">
              <w:rPr>
                <w:rFonts w:ascii="Arial" w:hAnsi="Arial" w:cs="Arial"/>
                <w:color w:val="FF0000"/>
                <w:sz w:val="20"/>
                <w:szCs w:val="20"/>
              </w:rPr>
              <w:t>; and</w:t>
            </w:r>
          </w:p>
          <w:p w14:paraId="60FAF4AA" w14:textId="7EF40B82" w:rsidR="00814E00" w:rsidRPr="00D66EE6" w:rsidRDefault="00814E00" w:rsidP="00131778">
            <w:pPr>
              <w:pStyle w:val="ListParagraph"/>
              <w:numPr>
                <w:ilvl w:val="0"/>
                <w:numId w:val="36"/>
              </w:numPr>
              <w:spacing w:before="160" w:after="160" w:line="276" w:lineRule="auto"/>
              <w:contextualSpacing/>
              <w:rPr>
                <w:rFonts w:cs="Arial"/>
                <w:sz w:val="20"/>
              </w:rPr>
            </w:pPr>
            <w:r w:rsidRPr="000D1947">
              <w:rPr>
                <w:rFonts w:ascii="Arial" w:hAnsi="Arial" w:cs="Arial"/>
                <w:sz w:val="20"/>
                <w:szCs w:val="20"/>
              </w:rPr>
              <w:t xml:space="preserve">The Duty of Candour requirements in the Regulations relate only to reporting compliance with the Duty of Candour and are therefore covered by the addition of </w:t>
            </w:r>
            <w:r w:rsidR="000D1947">
              <w:rPr>
                <w:rFonts w:ascii="Arial" w:hAnsi="Arial" w:cs="Arial"/>
                <w:i/>
                <w:iCs/>
                <w:sz w:val="20"/>
                <w:szCs w:val="20"/>
              </w:rPr>
              <w:t>r</w:t>
            </w:r>
            <w:r w:rsidRPr="000D1947">
              <w:rPr>
                <w:rFonts w:ascii="Arial" w:hAnsi="Arial" w:cs="Arial"/>
                <w:i/>
                <w:iCs/>
                <w:sz w:val="20"/>
                <w:szCs w:val="20"/>
              </w:rPr>
              <w:t>eporting requirements</w:t>
            </w:r>
            <w:r w:rsidRPr="000D1947">
              <w:rPr>
                <w:rFonts w:ascii="Arial" w:hAnsi="Arial" w:cs="Arial"/>
                <w:sz w:val="20"/>
                <w:szCs w:val="20"/>
              </w:rPr>
              <w:t xml:space="preserve"> into the Objectives. Other Duty of Candour requirements set out in section 128ZC(1) of the </w:t>
            </w:r>
            <w:r w:rsidRPr="000D1947">
              <w:rPr>
                <w:rFonts w:ascii="Arial" w:hAnsi="Arial" w:cs="Arial"/>
                <w:i/>
                <w:iCs/>
                <w:sz w:val="20"/>
                <w:szCs w:val="20"/>
              </w:rPr>
              <w:t>Health Services Act 1988</w:t>
            </w:r>
            <w:r w:rsidRPr="000D1947">
              <w:rPr>
                <w:rFonts w:ascii="Arial" w:hAnsi="Arial" w:cs="Arial"/>
                <w:sz w:val="20"/>
                <w:szCs w:val="20"/>
              </w:rPr>
              <w:t xml:space="preserve"> and in the Victorian Duty of Candour Guidelines do not need to be reflected in the Objectives</w:t>
            </w:r>
            <w:r w:rsidR="000604CB">
              <w:rPr>
                <w:rFonts w:ascii="Arial" w:hAnsi="Arial" w:cs="Arial"/>
                <w:sz w:val="20"/>
                <w:szCs w:val="20"/>
              </w:rPr>
              <w:t>.</w:t>
            </w:r>
            <w:r w:rsidRPr="000D1947">
              <w:rPr>
                <w:rFonts w:ascii="Arial" w:hAnsi="Arial" w:cs="Arial"/>
                <w:sz w:val="20"/>
                <w:szCs w:val="20"/>
              </w:rPr>
              <w:t xml:space="preserve"> </w:t>
            </w:r>
          </w:p>
        </w:tc>
      </w:tr>
      <w:tr w:rsidR="00814E00" w:rsidRPr="00D66EE6" w14:paraId="1098ACA0" w14:textId="77777777" w:rsidTr="00D66EE6">
        <w:trPr>
          <w:trHeight w:val="1591"/>
        </w:trPr>
        <w:tc>
          <w:tcPr>
            <w:tcW w:w="288" w:type="pct"/>
            <w:shd w:val="clear" w:color="auto" w:fill="auto"/>
            <w:hideMark/>
          </w:tcPr>
          <w:p w14:paraId="59E88F57" w14:textId="77777777" w:rsidR="00814E00" w:rsidRPr="00D66EE6" w:rsidRDefault="00814E00" w:rsidP="00E479A4">
            <w:pPr>
              <w:rPr>
                <w:rFonts w:cs="Arial"/>
                <w:sz w:val="20"/>
              </w:rPr>
            </w:pPr>
            <w:r w:rsidRPr="00D66EE6">
              <w:rPr>
                <w:rFonts w:cs="Arial"/>
                <w:sz w:val="20"/>
              </w:rPr>
              <w:t>3</w:t>
            </w:r>
          </w:p>
          <w:p w14:paraId="49CFDCE3" w14:textId="77777777" w:rsidR="00814E00" w:rsidRPr="00D66EE6" w:rsidRDefault="00814E00" w:rsidP="00E479A4">
            <w:pPr>
              <w:rPr>
                <w:rFonts w:cs="Arial"/>
                <w:sz w:val="20"/>
              </w:rPr>
            </w:pPr>
          </w:p>
        </w:tc>
        <w:tc>
          <w:tcPr>
            <w:tcW w:w="1570" w:type="pct"/>
            <w:shd w:val="clear" w:color="auto" w:fill="auto"/>
            <w:hideMark/>
          </w:tcPr>
          <w:p w14:paraId="4659D9F7" w14:textId="77777777" w:rsidR="00814E00" w:rsidRPr="00D66EE6" w:rsidRDefault="00814E00" w:rsidP="00E479A4">
            <w:pPr>
              <w:rPr>
                <w:rFonts w:cs="Arial"/>
                <w:sz w:val="20"/>
              </w:rPr>
            </w:pPr>
            <w:r w:rsidRPr="00D66EE6">
              <w:rPr>
                <w:rFonts w:cs="Arial"/>
                <w:b/>
                <w:sz w:val="20"/>
              </w:rPr>
              <w:t>Commencement</w:t>
            </w:r>
          </w:p>
          <w:p w14:paraId="000BA8FC" w14:textId="77777777" w:rsidR="00814E00" w:rsidRPr="00D66EE6" w:rsidRDefault="00814E00" w:rsidP="00E479A4">
            <w:pPr>
              <w:rPr>
                <w:rFonts w:cs="Arial"/>
                <w:b/>
                <w:sz w:val="20"/>
              </w:rPr>
            </w:pPr>
            <w:r w:rsidRPr="00D66EE6">
              <w:rPr>
                <w:rFonts w:cs="Arial"/>
                <w:strike/>
                <w:sz w:val="20"/>
              </w:rPr>
              <w:t>These Regulations come into operation on 8 September 2013.</w:t>
            </w:r>
          </w:p>
          <w:p w14:paraId="5A5E6D43" w14:textId="77777777" w:rsidR="00814E00" w:rsidRPr="00D66EE6" w:rsidRDefault="00814E00" w:rsidP="00E479A4">
            <w:pPr>
              <w:rPr>
                <w:rFonts w:cs="Arial"/>
                <w:sz w:val="20"/>
              </w:rPr>
            </w:pPr>
            <w:r w:rsidRPr="00D66EE6">
              <w:rPr>
                <w:rFonts w:cs="Arial"/>
                <w:color w:val="FF0000"/>
                <w:sz w:val="20"/>
              </w:rPr>
              <w:t>These Regulations come into operation on 31 August 2024.</w:t>
            </w:r>
          </w:p>
        </w:tc>
        <w:tc>
          <w:tcPr>
            <w:tcW w:w="1571" w:type="pct"/>
            <w:shd w:val="clear" w:color="auto" w:fill="auto"/>
            <w:hideMark/>
          </w:tcPr>
          <w:p w14:paraId="0683A4DE" w14:textId="6A0CF359" w:rsidR="00814E00" w:rsidRPr="00D66EE6" w:rsidRDefault="00814E00" w:rsidP="001D2595">
            <w:pPr>
              <w:rPr>
                <w:rFonts w:cs="Arial"/>
                <w:sz w:val="20"/>
              </w:rPr>
            </w:pPr>
            <w:r w:rsidRPr="00D66EE6">
              <w:rPr>
                <w:rFonts w:cs="Arial"/>
                <w:sz w:val="20"/>
              </w:rPr>
              <w:t>No stakeholder concerns with general commencement date of 31 Aug 2024.</w:t>
            </w:r>
          </w:p>
          <w:p w14:paraId="03589E7C" w14:textId="224ED5AC" w:rsidR="00814E00" w:rsidRPr="00D66EE6" w:rsidRDefault="00814E00" w:rsidP="001D2595">
            <w:pPr>
              <w:rPr>
                <w:rFonts w:cs="Arial"/>
                <w:sz w:val="20"/>
              </w:rPr>
            </w:pPr>
            <w:r w:rsidRPr="00D66EE6">
              <w:rPr>
                <w:rFonts w:cs="Arial"/>
                <w:sz w:val="20"/>
              </w:rPr>
              <w:t xml:space="preserve">[See r.8 comments below about deferred commencement of specific </w:t>
            </w:r>
            <w:r w:rsidR="00B31AE8">
              <w:rPr>
                <w:rFonts w:cs="Arial"/>
                <w:sz w:val="20"/>
              </w:rPr>
              <w:t>R</w:t>
            </w:r>
            <w:r w:rsidRPr="00D66EE6">
              <w:rPr>
                <w:rFonts w:cs="Arial"/>
                <w:sz w:val="20"/>
              </w:rPr>
              <w:t>egulations.]</w:t>
            </w:r>
          </w:p>
          <w:p w14:paraId="00D89F59" w14:textId="6839A534" w:rsidR="00814E00" w:rsidRPr="00D66EE6" w:rsidRDefault="00814E00" w:rsidP="00E479A4">
            <w:pPr>
              <w:rPr>
                <w:rFonts w:cs="Arial"/>
                <w:sz w:val="20"/>
              </w:rPr>
            </w:pPr>
          </w:p>
        </w:tc>
        <w:tc>
          <w:tcPr>
            <w:tcW w:w="1571" w:type="pct"/>
            <w:shd w:val="clear" w:color="auto" w:fill="auto"/>
          </w:tcPr>
          <w:p w14:paraId="1165D068" w14:textId="20F75C3A" w:rsidR="00814E00" w:rsidRPr="00D66EE6" w:rsidRDefault="00814E00" w:rsidP="00E479A4">
            <w:pPr>
              <w:rPr>
                <w:rFonts w:cs="Arial"/>
                <w:sz w:val="20"/>
              </w:rPr>
            </w:pPr>
            <w:r w:rsidRPr="00D66EE6">
              <w:rPr>
                <w:rFonts w:cs="Arial"/>
                <w:sz w:val="20"/>
              </w:rPr>
              <w:t xml:space="preserve">The </w:t>
            </w:r>
            <w:r w:rsidR="00C87601">
              <w:rPr>
                <w:rFonts w:cs="Arial"/>
                <w:sz w:val="20"/>
              </w:rPr>
              <w:t>department</w:t>
            </w:r>
            <w:r w:rsidRPr="00D66EE6">
              <w:rPr>
                <w:rFonts w:cs="Arial"/>
                <w:sz w:val="20"/>
              </w:rPr>
              <w:t xml:space="preserve"> will proceed with this amendment.</w:t>
            </w:r>
          </w:p>
        </w:tc>
      </w:tr>
      <w:tr w:rsidR="00814E00" w:rsidRPr="00D66EE6" w14:paraId="668E1167" w14:textId="77777777" w:rsidTr="00D66EE6">
        <w:tc>
          <w:tcPr>
            <w:tcW w:w="288" w:type="pct"/>
            <w:shd w:val="clear" w:color="auto" w:fill="auto"/>
            <w:hideMark/>
          </w:tcPr>
          <w:p w14:paraId="6DA0B2BD" w14:textId="77777777" w:rsidR="00814E00" w:rsidRPr="00D66EE6" w:rsidRDefault="00814E00">
            <w:pPr>
              <w:rPr>
                <w:rFonts w:cs="Arial"/>
                <w:sz w:val="20"/>
              </w:rPr>
            </w:pPr>
            <w:r w:rsidRPr="00D66EE6">
              <w:rPr>
                <w:rFonts w:cs="Arial"/>
                <w:sz w:val="20"/>
              </w:rPr>
              <w:t>7A(1)</w:t>
            </w:r>
          </w:p>
          <w:p w14:paraId="48F5EBA1" w14:textId="77777777" w:rsidR="00814E00" w:rsidRPr="00D66EE6" w:rsidRDefault="00814E00">
            <w:pPr>
              <w:rPr>
                <w:rFonts w:cs="Arial"/>
                <w:sz w:val="20"/>
              </w:rPr>
            </w:pPr>
            <w:r w:rsidRPr="00D66EE6">
              <w:rPr>
                <w:rFonts w:cs="Arial"/>
                <w:color w:val="FF0000"/>
                <w:sz w:val="20"/>
              </w:rPr>
              <w:t>8(1)</w:t>
            </w:r>
          </w:p>
        </w:tc>
        <w:tc>
          <w:tcPr>
            <w:tcW w:w="1570" w:type="pct"/>
            <w:shd w:val="clear" w:color="auto" w:fill="auto"/>
            <w:hideMark/>
          </w:tcPr>
          <w:p w14:paraId="1D5D59C8" w14:textId="2CA31B5C" w:rsidR="00814E00" w:rsidRPr="00D66EE6" w:rsidRDefault="00814E00" w:rsidP="00131778">
            <w:pPr>
              <w:pStyle w:val="ListParagraph"/>
              <w:numPr>
                <w:ilvl w:val="0"/>
                <w:numId w:val="13"/>
              </w:numPr>
              <w:spacing w:before="160" w:after="160" w:line="276" w:lineRule="auto"/>
              <w:contextualSpacing/>
              <w:rPr>
                <w:rFonts w:ascii="Arial" w:hAnsi="Arial" w:cs="Arial"/>
                <w:sz w:val="20"/>
                <w:szCs w:val="20"/>
              </w:rPr>
            </w:pPr>
            <w:r w:rsidRPr="00D66EE6">
              <w:rPr>
                <w:rFonts w:ascii="Arial" w:hAnsi="Arial" w:cs="Arial"/>
                <w:sz w:val="20"/>
                <w:szCs w:val="20"/>
              </w:rPr>
              <w:t>For the purpose of ensuring the quality and safety of health services provided at a health service establishment, the proprietor of a health service establishment must prepare health service establishment protocols in accordance with this regulation.</w:t>
            </w:r>
          </w:p>
          <w:p w14:paraId="2149FC6A" w14:textId="77777777" w:rsidR="00814E00" w:rsidRPr="00D66EE6" w:rsidRDefault="00814E00">
            <w:pPr>
              <w:spacing w:before="160" w:after="160" w:line="276" w:lineRule="auto"/>
              <w:contextualSpacing/>
              <w:rPr>
                <w:rFonts w:cs="Arial"/>
                <w:sz w:val="20"/>
              </w:rPr>
            </w:pPr>
          </w:p>
        </w:tc>
        <w:tc>
          <w:tcPr>
            <w:tcW w:w="1571" w:type="pct"/>
            <w:shd w:val="clear" w:color="auto" w:fill="auto"/>
            <w:hideMark/>
          </w:tcPr>
          <w:p w14:paraId="7ACF7B74" w14:textId="0C8A4B89" w:rsidR="00814E00" w:rsidRPr="00D66EE6" w:rsidRDefault="00814E00">
            <w:pPr>
              <w:rPr>
                <w:rFonts w:cs="Arial"/>
                <w:sz w:val="20"/>
              </w:rPr>
            </w:pPr>
            <w:r w:rsidRPr="00D66EE6">
              <w:rPr>
                <w:rFonts w:cs="Arial"/>
                <w:sz w:val="20"/>
              </w:rPr>
              <w:t xml:space="preserve">Some stakeholders raised general concerns about existing and proposed </w:t>
            </w:r>
            <w:r w:rsidR="00424618">
              <w:rPr>
                <w:rFonts w:cs="Arial"/>
                <w:sz w:val="20"/>
              </w:rPr>
              <w:t xml:space="preserve">new </w:t>
            </w:r>
            <w:r w:rsidRPr="00D66EE6">
              <w:rPr>
                <w:rFonts w:cs="Arial"/>
                <w:sz w:val="20"/>
              </w:rPr>
              <w:t>requirements for the quality and safety protocols:</w:t>
            </w:r>
          </w:p>
          <w:p w14:paraId="04C0147E" w14:textId="283D4A72" w:rsidR="00814E00" w:rsidRPr="00325CBA" w:rsidRDefault="00673B90">
            <w:pPr>
              <w:rPr>
                <w:rFonts w:cs="Arial"/>
                <w:b/>
                <w:bCs/>
                <w:sz w:val="20"/>
              </w:rPr>
            </w:pPr>
            <w:r w:rsidRPr="00325CBA">
              <w:rPr>
                <w:b/>
                <w:sz w:val="20"/>
              </w:rPr>
              <w:t xml:space="preserve">CHA/anonymous </w:t>
            </w:r>
          </w:p>
          <w:p w14:paraId="57DEE948" w14:textId="77777777" w:rsidR="00814E00" w:rsidRPr="00D66EE6" w:rsidRDefault="00814E00">
            <w:pPr>
              <w:rPr>
                <w:rFonts w:cs="Arial"/>
                <w:sz w:val="20"/>
              </w:rPr>
            </w:pPr>
            <w:r w:rsidRPr="00D66EE6">
              <w:rPr>
                <w:rFonts w:cs="Arial"/>
                <w:sz w:val="20"/>
              </w:rPr>
              <w:t>Generally oppose requirements for quality and safety protocols on the grounds that:</w:t>
            </w:r>
          </w:p>
          <w:p w14:paraId="1DA86240" w14:textId="77777777" w:rsidR="00814E00" w:rsidRPr="00D66EE6" w:rsidRDefault="00814E00" w:rsidP="00131778">
            <w:pPr>
              <w:pStyle w:val="ListParagraph"/>
              <w:numPr>
                <w:ilvl w:val="0"/>
                <w:numId w:val="36"/>
              </w:numPr>
              <w:spacing w:before="160" w:after="160" w:line="276" w:lineRule="auto"/>
              <w:ind w:left="357" w:hanging="357"/>
              <w:contextualSpacing/>
              <w:rPr>
                <w:rFonts w:ascii="Arial" w:hAnsi="Arial" w:cs="Arial"/>
                <w:sz w:val="20"/>
                <w:szCs w:val="20"/>
              </w:rPr>
            </w:pPr>
            <w:r w:rsidRPr="00D66EE6">
              <w:rPr>
                <w:rFonts w:ascii="Arial" w:hAnsi="Arial" w:cs="Arial"/>
                <w:sz w:val="20"/>
                <w:szCs w:val="20"/>
              </w:rPr>
              <w:t>they are already covered by the NSQHS Standards</w:t>
            </w:r>
          </w:p>
          <w:p w14:paraId="5FCDE4B9" w14:textId="77777777" w:rsidR="00814E00" w:rsidRPr="00D66EE6" w:rsidRDefault="00814E00" w:rsidP="00131778">
            <w:pPr>
              <w:pStyle w:val="ListParagraph"/>
              <w:numPr>
                <w:ilvl w:val="0"/>
                <w:numId w:val="36"/>
              </w:numPr>
              <w:spacing w:before="160" w:after="160" w:line="276" w:lineRule="auto"/>
              <w:ind w:left="357" w:hanging="357"/>
              <w:contextualSpacing/>
              <w:rPr>
                <w:rFonts w:ascii="Arial" w:hAnsi="Arial" w:cs="Arial"/>
                <w:sz w:val="20"/>
                <w:szCs w:val="20"/>
              </w:rPr>
            </w:pPr>
            <w:r w:rsidRPr="00D66EE6">
              <w:rPr>
                <w:rFonts w:ascii="Arial" w:hAnsi="Arial" w:cs="Arial"/>
                <w:sz w:val="20"/>
                <w:szCs w:val="20"/>
              </w:rPr>
              <w:t>they are duplicative and burdensome</w:t>
            </w:r>
          </w:p>
          <w:p w14:paraId="78CC853D" w14:textId="77777777" w:rsidR="00814E00" w:rsidRPr="00D66EE6" w:rsidRDefault="00814E00" w:rsidP="00131778">
            <w:pPr>
              <w:pStyle w:val="ListParagraph"/>
              <w:numPr>
                <w:ilvl w:val="0"/>
                <w:numId w:val="36"/>
              </w:numPr>
              <w:spacing w:before="160" w:after="160" w:line="276" w:lineRule="auto"/>
              <w:ind w:left="357" w:hanging="357"/>
              <w:contextualSpacing/>
              <w:rPr>
                <w:rFonts w:ascii="Arial" w:hAnsi="Arial" w:cs="Arial"/>
                <w:sz w:val="20"/>
                <w:szCs w:val="20"/>
              </w:rPr>
            </w:pPr>
            <w:r w:rsidRPr="00D66EE6">
              <w:rPr>
                <w:rFonts w:ascii="Arial" w:hAnsi="Arial" w:cs="Arial"/>
                <w:sz w:val="20"/>
                <w:szCs w:val="20"/>
              </w:rPr>
              <w:t>they are sufficiently monitored through accreditation processes (including 3-yearly and short notice assessments, and annual attestations by senior management)</w:t>
            </w:r>
          </w:p>
          <w:p w14:paraId="592074E9" w14:textId="77777777" w:rsidR="00814E00" w:rsidRPr="00D66EE6" w:rsidRDefault="00814E00" w:rsidP="00131778">
            <w:pPr>
              <w:pStyle w:val="ListParagraph"/>
              <w:numPr>
                <w:ilvl w:val="0"/>
                <w:numId w:val="36"/>
              </w:numPr>
              <w:spacing w:before="160" w:after="160" w:line="276" w:lineRule="auto"/>
              <w:ind w:left="357" w:hanging="357"/>
              <w:contextualSpacing/>
              <w:rPr>
                <w:rFonts w:ascii="Arial" w:hAnsi="Arial" w:cs="Arial"/>
                <w:sz w:val="20"/>
                <w:szCs w:val="20"/>
              </w:rPr>
            </w:pPr>
            <w:r w:rsidRPr="00D66EE6">
              <w:rPr>
                <w:rFonts w:ascii="Arial" w:hAnsi="Arial" w:cs="Arial"/>
                <w:sz w:val="20"/>
                <w:szCs w:val="20"/>
              </w:rPr>
              <w:t>they do not align with a single, unified national approach.</w:t>
            </w:r>
          </w:p>
          <w:p w14:paraId="4D32034F" w14:textId="77777777" w:rsidR="00814E00" w:rsidRPr="00D66EE6" w:rsidRDefault="00814E00">
            <w:pPr>
              <w:rPr>
                <w:rFonts w:cs="Arial"/>
                <w:b/>
                <w:bCs/>
                <w:sz w:val="20"/>
              </w:rPr>
            </w:pPr>
            <w:r w:rsidRPr="00D66EE6">
              <w:rPr>
                <w:rFonts w:cs="Arial"/>
                <w:b/>
                <w:bCs/>
                <w:sz w:val="20"/>
              </w:rPr>
              <w:t>ANMF</w:t>
            </w:r>
          </w:p>
          <w:p w14:paraId="48C8DA90" w14:textId="0F43FD6C" w:rsidR="00814E00" w:rsidRPr="00D66EE6" w:rsidRDefault="00814E00" w:rsidP="00131778">
            <w:pPr>
              <w:pStyle w:val="ListParagraph"/>
              <w:numPr>
                <w:ilvl w:val="0"/>
                <w:numId w:val="36"/>
              </w:numPr>
              <w:spacing w:before="160" w:after="160" w:line="276" w:lineRule="auto"/>
              <w:contextualSpacing/>
              <w:rPr>
                <w:rFonts w:ascii="Arial" w:hAnsi="Arial" w:cs="Arial"/>
                <w:sz w:val="20"/>
                <w:szCs w:val="20"/>
              </w:rPr>
            </w:pPr>
            <w:r w:rsidRPr="00D66EE6">
              <w:rPr>
                <w:rFonts w:ascii="Arial" w:hAnsi="Arial" w:cs="Arial"/>
                <w:sz w:val="20"/>
                <w:szCs w:val="20"/>
              </w:rPr>
              <w:t xml:space="preserve">Recommends strengthening requirements to align with those set out by SCV that apply to the public sector, namely clinical governance, </w:t>
            </w:r>
            <w:r w:rsidRPr="00D66EE6">
              <w:rPr>
                <w:rFonts w:ascii="Arial" w:hAnsi="Arial" w:cs="Arial"/>
                <w:sz w:val="20"/>
                <w:szCs w:val="20"/>
              </w:rPr>
              <w:lastRenderedPageBreak/>
              <w:t>Statutory Duty of Candour (SDC) and review and reporting of patient events.</w:t>
            </w:r>
          </w:p>
          <w:p w14:paraId="12B5C06C" w14:textId="5C759F8D" w:rsidR="00814E00" w:rsidRPr="00D66EE6" w:rsidRDefault="00814E00" w:rsidP="00131778">
            <w:pPr>
              <w:pStyle w:val="ListParagraph"/>
              <w:numPr>
                <w:ilvl w:val="0"/>
                <w:numId w:val="36"/>
              </w:numPr>
              <w:spacing w:before="160" w:after="160" w:line="276" w:lineRule="auto"/>
              <w:contextualSpacing/>
              <w:rPr>
                <w:rFonts w:ascii="Arial" w:hAnsi="Arial" w:cs="Arial"/>
                <w:sz w:val="20"/>
                <w:szCs w:val="20"/>
              </w:rPr>
            </w:pPr>
            <w:r w:rsidRPr="00D66EE6">
              <w:rPr>
                <w:rFonts w:ascii="Arial" w:hAnsi="Arial" w:cs="Arial"/>
                <w:sz w:val="20"/>
                <w:szCs w:val="20"/>
              </w:rPr>
              <w:t>Does not support a two-tiered system with lesser compliance obligations on the private sector.</w:t>
            </w:r>
          </w:p>
          <w:p w14:paraId="61A3B717" w14:textId="77777777" w:rsidR="00814E00" w:rsidRPr="00D66EE6" w:rsidRDefault="00814E00">
            <w:pPr>
              <w:pStyle w:val="ListParagraph"/>
              <w:ind w:left="360"/>
              <w:rPr>
                <w:rFonts w:ascii="Arial" w:hAnsi="Arial" w:cs="Arial"/>
                <w:sz w:val="20"/>
                <w:szCs w:val="20"/>
              </w:rPr>
            </w:pPr>
          </w:p>
        </w:tc>
        <w:tc>
          <w:tcPr>
            <w:tcW w:w="1571" w:type="pct"/>
            <w:shd w:val="clear" w:color="auto" w:fill="auto"/>
          </w:tcPr>
          <w:p w14:paraId="60B3CE9C" w14:textId="448080EB" w:rsidR="00814E00" w:rsidRPr="00D66EE6" w:rsidRDefault="00814E00">
            <w:pPr>
              <w:rPr>
                <w:rFonts w:cs="Arial"/>
                <w:sz w:val="20"/>
              </w:rPr>
            </w:pPr>
            <w:r w:rsidRPr="00D66EE6">
              <w:rPr>
                <w:rFonts w:cs="Arial"/>
                <w:sz w:val="20"/>
              </w:rPr>
              <w:lastRenderedPageBreak/>
              <w:t xml:space="preserve">In response to </w:t>
            </w:r>
            <w:r w:rsidRPr="00D66EE6">
              <w:rPr>
                <w:rFonts w:cs="Arial"/>
                <w:b/>
                <w:bCs/>
                <w:sz w:val="20"/>
              </w:rPr>
              <w:t xml:space="preserve">CHA/anonymous </w:t>
            </w:r>
            <w:r w:rsidRPr="00D66EE6">
              <w:rPr>
                <w:rFonts w:cs="Arial"/>
                <w:sz w:val="20"/>
              </w:rPr>
              <w:t xml:space="preserve">general feedback that accreditation is sufficient and the Regulations should not duplicate these requirements, the </w:t>
            </w:r>
            <w:r w:rsidR="00C87601">
              <w:rPr>
                <w:rFonts w:cs="Arial"/>
                <w:sz w:val="20"/>
              </w:rPr>
              <w:t>department</w:t>
            </w:r>
            <w:r w:rsidRPr="00D66EE6">
              <w:rPr>
                <w:rFonts w:cs="Arial"/>
                <w:sz w:val="20"/>
              </w:rPr>
              <w:t xml:space="preserve"> notes that:</w:t>
            </w:r>
          </w:p>
          <w:p w14:paraId="6D0A2E08" w14:textId="79C0A748" w:rsidR="00814E00" w:rsidRPr="00D66EE6" w:rsidRDefault="00814E00" w:rsidP="00131778">
            <w:pPr>
              <w:pStyle w:val="ListParagraph"/>
              <w:numPr>
                <w:ilvl w:val="0"/>
                <w:numId w:val="36"/>
              </w:numPr>
              <w:spacing w:before="160" w:after="160" w:line="276" w:lineRule="auto"/>
              <w:ind w:left="357" w:hanging="357"/>
              <w:contextualSpacing/>
              <w:rPr>
                <w:rFonts w:ascii="Arial" w:hAnsi="Arial" w:cs="Arial"/>
                <w:sz w:val="20"/>
                <w:szCs w:val="20"/>
              </w:rPr>
            </w:pPr>
            <w:r w:rsidRPr="00D66EE6">
              <w:rPr>
                <w:rFonts w:ascii="Arial" w:hAnsi="Arial" w:cs="Arial"/>
                <w:sz w:val="20"/>
                <w:szCs w:val="20"/>
              </w:rPr>
              <w:t>The NSQHS Standards set generic minimum standards that apply across Australia. Some elements of the Regulations align precisely with the Standards and, importantly, provide the Secretary with regulatory tools to directly address non-compliance. Other elements of the Regulations enhance or exceed the requirements in the Standards to suit the Victorian healthcare environment</w:t>
            </w:r>
            <w:r w:rsidR="00943E7B">
              <w:rPr>
                <w:rFonts w:ascii="Arial" w:hAnsi="Arial" w:cs="Arial"/>
                <w:sz w:val="20"/>
                <w:szCs w:val="20"/>
              </w:rPr>
              <w:t xml:space="preserve"> and</w:t>
            </w:r>
            <w:r w:rsidRPr="00D66EE6">
              <w:rPr>
                <w:rFonts w:ascii="Arial" w:hAnsi="Arial" w:cs="Arial"/>
                <w:sz w:val="20"/>
                <w:szCs w:val="20"/>
              </w:rPr>
              <w:t xml:space="preserve"> address specific areas of concern (e.g. clinical governance).</w:t>
            </w:r>
          </w:p>
          <w:p w14:paraId="3A94D04F" w14:textId="77777777" w:rsidR="00814E00" w:rsidRPr="00D66EE6" w:rsidRDefault="00814E00" w:rsidP="00131778">
            <w:pPr>
              <w:pStyle w:val="ListParagraph"/>
              <w:numPr>
                <w:ilvl w:val="0"/>
                <w:numId w:val="36"/>
              </w:numPr>
              <w:spacing w:before="160" w:after="160" w:line="276" w:lineRule="auto"/>
              <w:contextualSpacing/>
              <w:rPr>
                <w:rFonts w:ascii="Arial" w:hAnsi="Arial" w:cs="Arial"/>
                <w:sz w:val="20"/>
                <w:szCs w:val="20"/>
              </w:rPr>
            </w:pPr>
            <w:r w:rsidRPr="00D66EE6">
              <w:rPr>
                <w:rFonts w:ascii="Arial" w:hAnsi="Arial" w:cs="Arial"/>
                <w:sz w:val="20"/>
                <w:szCs w:val="20"/>
              </w:rPr>
              <w:t>The Commission has affirmed that Victoria’s Regulations align with the NSQHS Standards and that it is appropriate for each jurisdiction to</w:t>
            </w:r>
          </w:p>
          <w:p w14:paraId="7A0833A6" w14:textId="77777777" w:rsidR="00814E00" w:rsidRPr="00D66EE6" w:rsidRDefault="00814E00">
            <w:pPr>
              <w:pStyle w:val="ListParagraph"/>
              <w:spacing w:before="160" w:after="160" w:line="276" w:lineRule="auto"/>
              <w:ind w:left="360"/>
              <w:contextualSpacing/>
              <w:rPr>
                <w:rFonts w:ascii="Arial" w:hAnsi="Arial" w:cs="Arial"/>
                <w:sz w:val="20"/>
                <w:szCs w:val="20"/>
              </w:rPr>
            </w:pPr>
            <w:r w:rsidRPr="00D66EE6">
              <w:rPr>
                <w:rFonts w:ascii="Arial" w:hAnsi="Arial" w:cs="Arial"/>
                <w:sz w:val="20"/>
                <w:szCs w:val="20"/>
              </w:rPr>
              <w:t>set regulatory requirements for quality and safety that reflect the local healthcare system and regulatory priorities.</w:t>
            </w:r>
          </w:p>
          <w:p w14:paraId="2DDE32CE" w14:textId="77777777" w:rsidR="00814E00" w:rsidRPr="00D66EE6" w:rsidRDefault="00814E00" w:rsidP="00131778">
            <w:pPr>
              <w:pStyle w:val="ListParagraph"/>
              <w:numPr>
                <w:ilvl w:val="0"/>
                <w:numId w:val="36"/>
              </w:numPr>
              <w:spacing w:before="160" w:after="160" w:line="276" w:lineRule="auto"/>
              <w:contextualSpacing/>
              <w:rPr>
                <w:rFonts w:ascii="Arial" w:hAnsi="Arial" w:cs="Arial"/>
                <w:sz w:val="20"/>
                <w:szCs w:val="20"/>
              </w:rPr>
            </w:pPr>
            <w:r w:rsidRPr="00D66EE6">
              <w:rPr>
                <w:rFonts w:ascii="Arial" w:hAnsi="Arial" w:cs="Arial"/>
                <w:sz w:val="20"/>
                <w:szCs w:val="20"/>
              </w:rPr>
              <w:t xml:space="preserve">Accreditation is a point-in-time assessment and cannot assure continuous adherence to the NSQHS Standards. </w:t>
            </w:r>
          </w:p>
          <w:p w14:paraId="47B3C77F" w14:textId="77777777" w:rsidR="00814E00" w:rsidRPr="00D66EE6" w:rsidRDefault="00814E00" w:rsidP="00131778">
            <w:pPr>
              <w:pStyle w:val="ListParagraph"/>
              <w:numPr>
                <w:ilvl w:val="0"/>
                <w:numId w:val="36"/>
              </w:numPr>
              <w:spacing w:before="160" w:after="160" w:line="276" w:lineRule="auto"/>
              <w:contextualSpacing/>
              <w:rPr>
                <w:rFonts w:ascii="Arial" w:hAnsi="Arial" w:cs="Arial"/>
                <w:sz w:val="20"/>
                <w:szCs w:val="20"/>
              </w:rPr>
            </w:pPr>
            <w:r w:rsidRPr="00D66EE6">
              <w:rPr>
                <w:rFonts w:ascii="Arial" w:hAnsi="Arial" w:cs="Arial"/>
                <w:sz w:val="20"/>
                <w:szCs w:val="20"/>
              </w:rPr>
              <w:lastRenderedPageBreak/>
              <w:t>Ongoing compliance monitoring by the Regulator augments accreditation processes and enables it to:</w:t>
            </w:r>
          </w:p>
          <w:p w14:paraId="56F91CF1" w14:textId="77777777" w:rsidR="00814E00" w:rsidRPr="00D66EE6" w:rsidRDefault="00814E00" w:rsidP="00131778">
            <w:pPr>
              <w:pStyle w:val="ListParagraph"/>
              <w:numPr>
                <w:ilvl w:val="1"/>
                <w:numId w:val="36"/>
              </w:numPr>
              <w:spacing w:before="160" w:after="160" w:line="276" w:lineRule="auto"/>
              <w:contextualSpacing/>
              <w:rPr>
                <w:rFonts w:ascii="Arial" w:hAnsi="Arial" w:cs="Arial"/>
                <w:sz w:val="20"/>
                <w:szCs w:val="20"/>
              </w:rPr>
            </w:pPr>
            <w:r w:rsidRPr="00D66EE6">
              <w:rPr>
                <w:rFonts w:ascii="Arial" w:hAnsi="Arial" w:cs="Arial"/>
                <w:sz w:val="20"/>
                <w:szCs w:val="20"/>
              </w:rPr>
              <w:t xml:space="preserve">make informed decisions about HSEs’ registration status and conditions as required under the Act; </w:t>
            </w:r>
          </w:p>
          <w:p w14:paraId="2DD8202B" w14:textId="77777777" w:rsidR="00814E00" w:rsidRPr="00D66EE6" w:rsidRDefault="00814E00" w:rsidP="00131778">
            <w:pPr>
              <w:pStyle w:val="ListParagraph"/>
              <w:numPr>
                <w:ilvl w:val="1"/>
                <w:numId w:val="36"/>
              </w:numPr>
              <w:spacing w:before="160" w:after="160" w:line="276" w:lineRule="auto"/>
              <w:contextualSpacing/>
              <w:rPr>
                <w:rFonts w:ascii="Arial" w:hAnsi="Arial" w:cs="Arial"/>
                <w:sz w:val="20"/>
                <w:szCs w:val="20"/>
              </w:rPr>
            </w:pPr>
            <w:r w:rsidRPr="00D66EE6">
              <w:rPr>
                <w:rFonts w:ascii="Arial" w:hAnsi="Arial" w:cs="Arial"/>
                <w:sz w:val="20"/>
                <w:szCs w:val="20"/>
              </w:rPr>
              <w:t xml:space="preserve">identify issues and risks and support HSEs to improve quality and safety; </w:t>
            </w:r>
          </w:p>
          <w:p w14:paraId="5756EA8F" w14:textId="77777777" w:rsidR="00814E00" w:rsidRPr="00D66EE6" w:rsidRDefault="00814E00" w:rsidP="00131778">
            <w:pPr>
              <w:pStyle w:val="ListParagraph"/>
              <w:numPr>
                <w:ilvl w:val="1"/>
                <w:numId w:val="36"/>
              </w:numPr>
              <w:spacing w:before="160" w:after="160" w:line="276" w:lineRule="auto"/>
              <w:contextualSpacing/>
              <w:rPr>
                <w:rFonts w:ascii="Arial" w:hAnsi="Arial" w:cs="Arial"/>
                <w:sz w:val="20"/>
                <w:szCs w:val="20"/>
              </w:rPr>
            </w:pPr>
            <w:r w:rsidRPr="00D66EE6">
              <w:rPr>
                <w:rFonts w:ascii="Arial" w:hAnsi="Arial" w:cs="Arial"/>
                <w:sz w:val="20"/>
                <w:szCs w:val="20"/>
              </w:rPr>
              <w:t xml:space="preserve">enforce compliance and apply sanctions where necessary in line with community expectations. </w:t>
            </w:r>
          </w:p>
          <w:p w14:paraId="49A911BF" w14:textId="6F6AC213" w:rsidR="00814E00" w:rsidRPr="00D66EE6" w:rsidRDefault="00814E00" w:rsidP="00131778">
            <w:pPr>
              <w:pStyle w:val="ListParagraph"/>
              <w:numPr>
                <w:ilvl w:val="0"/>
                <w:numId w:val="36"/>
              </w:numPr>
              <w:spacing w:before="160" w:after="160" w:line="276" w:lineRule="auto"/>
              <w:contextualSpacing/>
              <w:rPr>
                <w:rFonts w:ascii="Arial" w:hAnsi="Arial" w:cs="Arial"/>
                <w:sz w:val="20"/>
                <w:szCs w:val="20"/>
              </w:rPr>
            </w:pPr>
            <w:r w:rsidRPr="00D66EE6">
              <w:rPr>
                <w:rFonts w:ascii="Arial" w:hAnsi="Arial" w:cs="Arial"/>
                <w:sz w:val="20"/>
                <w:szCs w:val="20"/>
              </w:rPr>
              <w:t>The Commission is not a regulator and lacks tools to manage registrations, enforce compliance and apply sanctions.</w:t>
            </w:r>
          </w:p>
          <w:p w14:paraId="1D402B2A" w14:textId="481ED7A3" w:rsidR="00814E00" w:rsidRPr="00D66EE6" w:rsidRDefault="00814E00" w:rsidP="00131778">
            <w:pPr>
              <w:pStyle w:val="ListParagraph"/>
              <w:numPr>
                <w:ilvl w:val="0"/>
                <w:numId w:val="36"/>
              </w:numPr>
              <w:spacing w:before="160" w:after="160" w:line="276" w:lineRule="auto"/>
              <w:contextualSpacing/>
              <w:rPr>
                <w:rFonts w:ascii="Arial" w:hAnsi="Arial" w:cs="Arial"/>
                <w:sz w:val="20"/>
                <w:szCs w:val="20"/>
              </w:rPr>
            </w:pPr>
            <w:r w:rsidRPr="00D66EE6">
              <w:rPr>
                <w:rFonts w:ascii="Arial" w:hAnsi="Arial" w:cs="Arial"/>
                <w:sz w:val="20"/>
                <w:szCs w:val="20"/>
              </w:rPr>
              <w:t xml:space="preserve">The </w:t>
            </w:r>
            <w:r w:rsidR="00C87601">
              <w:rPr>
                <w:rFonts w:ascii="Arial" w:hAnsi="Arial" w:cs="Arial"/>
                <w:sz w:val="20"/>
                <w:szCs w:val="20"/>
              </w:rPr>
              <w:t>department</w:t>
            </w:r>
            <w:r w:rsidRPr="00D66EE6">
              <w:rPr>
                <w:rFonts w:ascii="Arial" w:hAnsi="Arial" w:cs="Arial"/>
                <w:sz w:val="20"/>
                <w:szCs w:val="20"/>
              </w:rPr>
              <w:t xml:space="preserve"> will continue to work with the Commission to align administration of the accreditation and regulatory schemes.</w:t>
            </w:r>
          </w:p>
          <w:p w14:paraId="301A7901" w14:textId="1B13E1F7" w:rsidR="00814E00" w:rsidRPr="00D66EE6" w:rsidRDefault="00814E00">
            <w:pPr>
              <w:spacing w:before="160" w:after="160" w:line="276" w:lineRule="auto"/>
              <w:contextualSpacing/>
              <w:rPr>
                <w:rFonts w:cs="Arial"/>
                <w:sz w:val="20"/>
              </w:rPr>
            </w:pPr>
            <w:r w:rsidRPr="00D66EE6">
              <w:rPr>
                <w:rFonts w:cs="Arial"/>
                <w:sz w:val="20"/>
              </w:rPr>
              <w:t xml:space="preserve">In response to </w:t>
            </w:r>
            <w:r w:rsidRPr="00D66EE6">
              <w:rPr>
                <w:rFonts w:cs="Arial"/>
                <w:b/>
                <w:bCs/>
                <w:sz w:val="20"/>
              </w:rPr>
              <w:t>AN</w:t>
            </w:r>
            <w:r w:rsidR="006860DF">
              <w:rPr>
                <w:rFonts w:cs="Arial"/>
                <w:b/>
                <w:bCs/>
                <w:sz w:val="20"/>
              </w:rPr>
              <w:t>MF</w:t>
            </w:r>
            <w:r w:rsidRPr="00D66EE6">
              <w:rPr>
                <w:rFonts w:cs="Arial"/>
                <w:b/>
                <w:bCs/>
                <w:sz w:val="20"/>
              </w:rPr>
              <w:t>’s</w:t>
            </w:r>
            <w:r w:rsidRPr="00D66EE6">
              <w:rPr>
                <w:rFonts w:cs="Arial"/>
                <w:sz w:val="20"/>
              </w:rPr>
              <w:t xml:space="preserve"> feedback, the proposed amendments to the Regulations have been designed to align with SCV’s policies and frameworks. As discussed below, the new power under r.10 will allow the Secretary to review HSEs’ quality and safety protocols by reference to best practice guidelines</w:t>
            </w:r>
            <w:r w:rsidR="005B7DEE">
              <w:rPr>
                <w:rFonts w:cs="Arial"/>
                <w:sz w:val="20"/>
              </w:rPr>
              <w:t>. The</w:t>
            </w:r>
            <w:r w:rsidR="00CE30BE">
              <w:rPr>
                <w:rFonts w:cs="Arial"/>
                <w:sz w:val="20"/>
              </w:rPr>
              <w:t xml:space="preserve"> </w:t>
            </w:r>
            <w:r w:rsidR="00C87601">
              <w:rPr>
                <w:rFonts w:cs="Arial"/>
                <w:sz w:val="20"/>
              </w:rPr>
              <w:t>department</w:t>
            </w:r>
            <w:r w:rsidR="00CE30BE">
              <w:rPr>
                <w:rFonts w:cs="Arial"/>
                <w:sz w:val="20"/>
              </w:rPr>
              <w:t xml:space="preserve"> will work closely</w:t>
            </w:r>
            <w:r w:rsidR="005B7DEE">
              <w:rPr>
                <w:rFonts w:cs="Arial"/>
                <w:sz w:val="20"/>
              </w:rPr>
              <w:t xml:space="preserve"> with</w:t>
            </w:r>
            <w:r w:rsidR="00CE30BE">
              <w:rPr>
                <w:rFonts w:cs="Arial"/>
                <w:sz w:val="20"/>
              </w:rPr>
              <w:t xml:space="preserve"> SCV</w:t>
            </w:r>
            <w:r w:rsidR="005B7DEE">
              <w:rPr>
                <w:rFonts w:cs="Arial"/>
                <w:sz w:val="20"/>
              </w:rPr>
              <w:t>,</w:t>
            </w:r>
            <w:r w:rsidR="00CE30BE">
              <w:rPr>
                <w:rFonts w:cs="Arial"/>
                <w:sz w:val="20"/>
              </w:rPr>
              <w:t xml:space="preserve"> and as needed consult with stakeholders, to </w:t>
            </w:r>
            <w:r w:rsidR="005B7DEE">
              <w:rPr>
                <w:rFonts w:cs="Arial"/>
                <w:sz w:val="20"/>
              </w:rPr>
              <w:t>ensure the guidelines put in place for this purpose are evidence</w:t>
            </w:r>
            <w:r w:rsidR="00325CBA">
              <w:rPr>
                <w:rFonts w:cs="Arial"/>
                <w:sz w:val="20"/>
              </w:rPr>
              <w:t>-</w:t>
            </w:r>
            <w:r w:rsidR="005B7DEE">
              <w:rPr>
                <w:rFonts w:cs="Arial"/>
                <w:sz w:val="20"/>
              </w:rPr>
              <w:t xml:space="preserve">based </w:t>
            </w:r>
            <w:r w:rsidR="00325CBA">
              <w:rPr>
                <w:rFonts w:cs="Arial"/>
                <w:sz w:val="20"/>
              </w:rPr>
              <w:t xml:space="preserve">and </w:t>
            </w:r>
            <w:r w:rsidR="005B7DEE">
              <w:rPr>
                <w:rFonts w:cs="Arial"/>
                <w:sz w:val="20"/>
              </w:rPr>
              <w:t xml:space="preserve">fit for purpose, </w:t>
            </w:r>
            <w:r w:rsidR="007040F5">
              <w:rPr>
                <w:rFonts w:cs="Arial"/>
                <w:sz w:val="20"/>
              </w:rPr>
              <w:t xml:space="preserve">and this will include considering alignment with those in place for public </w:t>
            </w:r>
            <w:r w:rsidR="00CD7ABB">
              <w:rPr>
                <w:rFonts w:cs="Arial"/>
                <w:sz w:val="20"/>
              </w:rPr>
              <w:t>sector facilities.</w:t>
            </w:r>
            <w:r w:rsidR="00CE30BE">
              <w:rPr>
                <w:rFonts w:cs="Arial"/>
                <w:sz w:val="20"/>
              </w:rPr>
              <w:t xml:space="preserve"> </w:t>
            </w:r>
          </w:p>
        </w:tc>
      </w:tr>
      <w:tr w:rsidR="00814E00" w:rsidRPr="00D66EE6" w14:paraId="2466CE32" w14:textId="77777777" w:rsidTr="00D66EE6">
        <w:tc>
          <w:tcPr>
            <w:tcW w:w="288" w:type="pct"/>
            <w:shd w:val="clear" w:color="auto" w:fill="auto"/>
          </w:tcPr>
          <w:p w14:paraId="4E3D8B81" w14:textId="519AB240" w:rsidR="00814E00" w:rsidRPr="00D66EE6" w:rsidRDefault="00814E00" w:rsidP="005229EF">
            <w:pPr>
              <w:rPr>
                <w:rFonts w:cs="Arial"/>
                <w:sz w:val="20"/>
              </w:rPr>
            </w:pPr>
            <w:r w:rsidRPr="00D66EE6">
              <w:rPr>
                <w:rFonts w:cs="Arial"/>
                <w:sz w:val="20"/>
              </w:rPr>
              <w:lastRenderedPageBreak/>
              <w:t>7A(2)</w:t>
            </w:r>
          </w:p>
          <w:p w14:paraId="398DE62F" w14:textId="691A5809" w:rsidR="00814E00" w:rsidRPr="00D66EE6" w:rsidRDefault="00814E00" w:rsidP="005229EF">
            <w:pPr>
              <w:rPr>
                <w:rFonts w:cs="Arial"/>
                <w:sz w:val="20"/>
              </w:rPr>
            </w:pPr>
            <w:r w:rsidRPr="00D66EE6">
              <w:rPr>
                <w:rFonts w:cs="Arial"/>
                <w:color w:val="FF0000"/>
                <w:sz w:val="20"/>
              </w:rPr>
              <w:t>8(2)</w:t>
            </w:r>
          </w:p>
        </w:tc>
        <w:tc>
          <w:tcPr>
            <w:tcW w:w="1570" w:type="pct"/>
            <w:shd w:val="clear" w:color="auto" w:fill="auto"/>
          </w:tcPr>
          <w:p w14:paraId="68FCC8CB" w14:textId="77777777" w:rsidR="00814E00" w:rsidRPr="00D66EE6" w:rsidRDefault="00814E00" w:rsidP="00790A37">
            <w:pPr>
              <w:rPr>
                <w:rFonts w:cs="Arial"/>
                <w:b/>
                <w:sz w:val="20"/>
              </w:rPr>
            </w:pPr>
            <w:r w:rsidRPr="00D66EE6">
              <w:rPr>
                <w:rFonts w:cs="Arial"/>
                <w:b/>
                <w:sz w:val="20"/>
              </w:rPr>
              <w:t>Health service establishment protocols for quality and safety</w:t>
            </w:r>
          </w:p>
          <w:p w14:paraId="44B00603" w14:textId="77777777" w:rsidR="00814E00" w:rsidRPr="00D66EE6" w:rsidRDefault="00814E00" w:rsidP="00131778">
            <w:pPr>
              <w:pStyle w:val="ListParagraph"/>
              <w:numPr>
                <w:ilvl w:val="0"/>
                <w:numId w:val="13"/>
              </w:numPr>
              <w:spacing w:before="160" w:after="160" w:line="276" w:lineRule="auto"/>
              <w:contextualSpacing/>
              <w:rPr>
                <w:rFonts w:ascii="Arial" w:hAnsi="Arial" w:cs="Arial"/>
                <w:sz w:val="20"/>
                <w:szCs w:val="20"/>
              </w:rPr>
            </w:pPr>
            <w:r w:rsidRPr="00D66EE6">
              <w:rPr>
                <w:rFonts w:ascii="Arial" w:hAnsi="Arial" w:cs="Arial"/>
                <w:sz w:val="20"/>
                <w:szCs w:val="20"/>
              </w:rPr>
              <w:t>The health service establishment protocols must be—</w:t>
            </w:r>
          </w:p>
          <w:p w14:paraId="2FE37B01" w14:textId="77777777" w:rsidR="00814E00" w:rsidRPr="00D66EE6" w:rsidRDefault="00814E00" w:rsidP="00131778">
            <w:pPr>
              <w:pStyle w:val="ListParagraph"/>
              <w:numPr>
                <w:ilvl w:val="1"/>
                <w:numId w:val="13"/>
              </w:numPr>
              <w:spacing w:before="160" w:after="160" w:line="276" w:lineRule="auto"/>
              <w:ind w:left="714" w:hanging="357"/>
              <w:contextualSpacing/>
              <w:rPr>
                <w:rFonts w:ascii="Arial" w:hAnsi="Arial" w:cs="Arial"/>
                <w:sz w:val="20"/>
                <w:szCs w:val="20"/>
              </w:rPr>
            </w:pPr>
            <w:r w:rsidRPr="00D66EE6">
              <w:rPr>
                <w:rFonts w:ascii="Arial" w:hAnsi="Arial" w:cs="Arial"/>
                <w:sz w:val="20"/>
                <w:szCs w:val="20"/>
              </w:rPr>
              <w:t>documented in writing; and</w:t>
            </w:r>
          </w:p>
          <w:p w14:paraId="44F2AE01" w14:textId="77777777" w:rsidR="00814E00" w:rsidRPr="00D66EE6" w:rsidRDefault="00814E00" w:rsidP="00131778">
            <w:pPr>
              <w:pStyle w:val="ListParagraph"/>
              <w:numPr>
                <w:ilvl w:val="1"/>
                <w:numId w:val="13"/>
              </w:numPr>
              <w:spacing w:before="160" w:after="160" w:line="276" w:lineRule="auto"/>
              <w:ind w:left="714" w:hanging="357"/>
              <w:contextualSpacing/>
              <w:rPr>
                <w:rFonts w:ascii="Arial" w:hAnsi="Arial" w:cs="Arial"/>
                <w:sz w:val="20"/>
                <w:szCs w:val="20"/>
              </w:rPr>
            </w:pPr>
            <w:r w:rsidRPr="00D66EE6">
              <w:rPr>
                <w:rFonts w:ascii="Arial" w:hAnsi="Arial" w:cs="Arial"/>
                <w:sz w:val="20"/>
                <w:szCs w:val="20"/>
              </w:rPr>
              <w:t>published on the health service establishment's website; and</w:t>
            </w:r>
          </w:p>
          <w:p w14:paraId="13C46A60" w14:textId="2C6C775E" w:rsidR="00814E00" w:rsidRPr="00D66EE6" w:rsidRDefault="00814E00" w:rsidP="00131778">
            <w:pPr>
              <w:pStyle w:val="ListParagraph"/>
              <w:numPr>
                <w:ilvl w:val="1"/>
                <w:numId w:val="13"/>
              </w:numPr>
              <w:spacing w:before="160" w:after="160" w:line="276" w:lineRule="auto"/>
              <w:ind w:left="714" w:hanging="357"/>
              <w:contextualSpacing/>
              <w:rPr>
                <w:rFonts w:ascii="Arial" w:hAnsi="Arial" w:cs="Arial"/>
                <w:sz w:val="20"/>
                <w:szCs w:val="20"/>
              </w:rPr>
            </w:pPr>
            <w:r w:rsidRPr="00D66EE6">
              <w:rPr>
                <w:rFonts w:ascii="Arial" w:hAnsi="Arial" w:cs="Arial"/>
                <w:sz w:val="20"/>
                <w:szCs w:val="20"/>
              </w:rPr>
              <w:t>made available to the Secretary on request.</w:t>
            </w:r>
          </w:p>
        </w:tc>
        <w:tc>
          <w:tcPr>
            <w:tcW w:w="1571" w:type="pct"/>
            <w:shd w:val="clear" w:color="auto" w:fill="auto"/>
          </w:tcPr>
          <w:p w14:paraId="518C32AD" w14:textId="27F1A1D9" w:rsidR="00814E00" w:rsidRPr="00D14A81" w:rsidRDefault="00814E00" w:rsidP="00B35DD3">
            <w:pPr>
              <w:rPr>
                <w:rFonts w:cs="Arial"/>
                <w:bCs/>
                <w:sz w:val="20"/>
              </w:rPr>
            </w:pPr>
            <w:r w:rsidRPr="00D14A81">
              <w:rPr>
                <w:rFonts w:cs="Arial"/>
                <w:bCs/>
                <w:sz w:val="20"/>
              </w:rPr>
              <w:t>No amendments were canvassed in the RIS in relation to the requirement for HSEs to publish their quality and safety protocols on their website.</w:t>
            </w:r>
          </w:p>
          <w:p w14:paraId="1F7EF8DF" w14:textId="25BC42FF" w:rsidR="00814E00" w:rsidRPr="00D14A81" w:rsidRDefault="00814E00" w:rsidP="0099024C">
            <w:pPr>
              <w:rPr>
                <w:rFonts w:cs="Arial"/>
                <w:bCs/>
                <w:sz w:val="20"/>
              </w:rPr>
            </w:pPr>
            <w:r w:rsidRPr="00D14A81">
              <w:rPr>
                <w:rFonts w:cs="Arial"/>
                <w:bCs/>
                <w:sz w:val="20"/>
              </w:rPr>
              <w:t>However, feedback about the</w:t>
            </w:r>
            <w:r w:rsidR="0090399D" w:rsidRPr="00D14A81">
              <w:rPr>
                <w:rFonts w:cs="Arial"/>
                <w:bCs/>
                <w:sz w:val="20"/>
              </w:rPr>
              <w:t xml:space="preserve"> current and </w:t>
            </w:r>
            <w:r w:rsidRPr="00D14A81">
              <w:rPr>
                <w:rFonts w:cs="Arial"/>
                <w:bCs/>
                <w:sz w:val="20"/>
              </w:rPr>
              <w:t xml:space="preserve">proposed </w:t>
            </w:r>
            <w:r w:rsidR="00497C1D" w:rsidRPr="00D14A81">
              <w:rPr>
                <w:rFonts w:cs="Arial"/>
                <w:bCs/>
                <w:sz w:val="20"/>
              </w:rPr>
              <w:t xml:space="preserve">additional requirements for the quality and safety protocols </w:t>
            </w:r>
            <w:r w:rsidR="002E6DA0" w:rsidRPr="00D14A81">
              <w:rPr>
                <w:rFonts w:cs="Arial"/>
                <w:bCs/>
                <w:sz w:val="20"/>
              </w:rPr>
              <w:t xml:space="preserve">under new r.8(3) </w:t>
            </w:r>
            <w:r w:rsidRPr="00D14A81">
              <w:rPr>
                <w:rFonts w:cs="Arial"/>
                <w:bCs/>
                <w:sz w:val="20"/>
              </w:rPr>
              <w:t xml:space="preserve">has prompted </w:t>
            </w:r>
            <w:r w:rsidR="00F61451" w:rsidRPr="00D14A81">
              <w:rPr>
                <w:rFonts w:cs="Arial"/>
                <w:bCs/>
                <w:sz w:val="20"/>
              </w:rPr>
              <w:t>the following</w:t>
            </w:r>
            <w:r w:rsidRPr="00D14A81">
              <w:rPr>
                <w:rFonts w:cs="Arial"/>
                <w:bCs/>
                <w:sz w:val="20"/>
              </w:rPr>
              <w:t xml:space="preserve"> change to new r.8(2)</w:t>
            </w:r>
            <w:r w:rsidR="00252561" w:rsidRPr="00D14A81">
              <w:rPr>
                <w:rFonts w:cs="Arial"/>
                <w:bCs/>
                <w:sz w:val="20"/>
              </w:rPr>
              <w:t xml:space="preserve"> to</w:t>
            </w:r>
            <w:r w:rsidR="00F931E5" w:rsidRPr="00D14A81">
              <w:rPr>
                <w:rFonts w:cs="Arial"/>
                <w:bCs/>
                <w:sz w:val="20"/>
              </w:rPr>
              <w:t xml:space="preserve"> </w:t>
            </w:r>
            <w:r w:rsidR="006676F8" w:rsidRPr="00D14A81">
              <w:rPr>
                <w:rFonts w:cs="Arial"/>
                <w:bCs/>
                <w:sz w:val="20"/>
              </w:rPr>
              <w:t xml:space="preserve">allow the Secretary to determine the manner </w:t>
            </w:r>
            <w:r w:rsidR="00EA267E" w:rsidRPr="00D14A81">
              <w:rPr>
                <w:rFonts w:cs="Arial"/>
                <w:bCs/>
                <w:sz w:val="20"/>
              </w:rPr>
              <w:t xml:space="preserve">and form </w:t>
            </w:r>
            <w:r w:rsidR="005077AE" w:rsidRPr="00D14A81">
              <w:rPr>
                <w:rFonts w:cs="Arial"/>
                <w:bCs/>
                <w:sz w:val="20"/>
              </w:rPr>
              <w:t>for</w:t>
            </w:r>
            <w:r w:rsidR="006676F8" w:rsidRPr="00D14A81">
              <w:rPr>
                <w:rFonts w:cs="Arial"/>
                <w:bCs/>
                <w:sz w:val="20"/>
              </w:rPr>
              <w:t xml:space="preserve"> making </w:t>
            </w:r>
            <w:r w:rsidR="002A770D" w:rsidRPr="00D14A81">
              <w:rPr>
                <w:rFonts w:cs="Arial"/>
                <w:bCs/>
                <w:sz w:val="20"/>
              </w:rPr>
              <w:t>the</w:t>
            </w:r>
            <w:r w:rsidR="00E910B5" w:rsidRPr="00D14A81">
              <w:rPr>
                <w:rFonts w:cs="Arial"/>
                <w:bCs/>
                <w:sz w:val="20"/>
              </w:rPr>
              <w:t xml:space="preserve"> information available</w:t>
            </w:r>
            <w:r w:rsidR="002A770D" w:rsidRPr="00D14A81">
              <w:rPr>
                <w:rFonts w:cs="Arial"/>
                <w:bCs/>
                <w:sz w:val="20"/>
              </w:rPr>
              <w:t>:</w:t>
            </w:r>
          </w:p>
          <w:p w14:paraId="2E316E9E" w14:textId="7A7BBFD6" w:rsidR="00814E00" w:rsidRPr="00D14A81" w:rsidRDefault="00814E00" w:rsidP="00131778">
            <w:pPr>
              <w:pStyle w:val="ListParagraph"/>
              <w:numPr>
                <w:ilvl w:val="0"/>
                <w:numId w:val="42"/>
              </w:numPr>
              <w:spacing w:before="160" w:after="160" w:line="276" w:lineRule="auto"/>
              <w:contextualSpacing/>
              <w:rPr>
                <w:rFonts w:ascii="Arial" w:hAnsi="Arial" w:cs="Arial"/>
                <w:sz w:val="20"/>
                <w:szCs w:val="20"/>
              </w:rPr>
            </w:pPr>
            <w:r w:rsidRPr="00D14A81">
              <w:rPr>
                <w:rFonts w:ascii="Arial" w:hAnsi="Arial" w:cs="Arial"/>
                <w:sz w:val="20"/>
                <w:szCs w:val="20"/>
              </w:rPr>
              <w:t>The health service establishment protocols must be—</w:t>
            </w:r>
          </w:p>
          <w:p w14:paraId="6D30E7BB" w14:textId="0B3563F3" w:rsidR="00122276" w:rsidRPr="00D14A81" w:rsidRDefault="00AE48ED" w:rsidP="00163DD9">
            <w:pPr>
              <w:pStyle w:val="ListParagraph"/>
              <w:numPr>
                <w:ilvl w:val="1"/>
                <w:numId w:val="42"/>
              </w:numPr>
              <w:spacing w:before="160" w:after="160" w:line="276" w:lineRule="auto"/>
              <w:contextualSpacing/>
              <w:rPr>
                <w:rFonts w:ascii="Arial" w:hAnsi="Arial" w:cs="Arial"/>
                <w:sz w:val="20"/>
                <w:szCs w:val="20"/>
              </w:rPr>
            </w:pPr>
            <w:r w:rsidRPr="00D14A81">
              <w:rPr>
                <w:rFonts w:ascii="Arial" w:hAnsi="Arial" w:cs="Arial"/>
                <w:sz w:val="20"/>
                <w:szCs w:val="20"/>
              </w:rPr>
              <w:t>documented in writing; and</w:t>
            </w:r>
          </w:p>
          <w:p w14:paraId="702448F1" w14:textId="2CD71830" w:rsidR="009649D6" w:rsidRPr="00D14A81" w:rsidRDefault="00814E00" w:rsidP="00131778">
            <w:pPr>
              <w:pStyle w:val="ListParagraph"/>
              <w:numPr>
                <w:ilvl w:val="1"/>
                <w:numId w:val="44"/>
              </w:numPr>
              <w:spacing w:before="160" w:after="160" w:line="276" w:lineRule="auto"/>
              <w:contextualSpacing/>
              <w:rPr>
                <w:rFonts w:ascii="Arial" w:hAnsi="Arial" w:cs="Arial"/>
                <w:sz w:val="20"/>
                <w:szCs w:val="20"/>
              </w:rPr>
            </w:pPr>
            <w:r w:rsidRPr="00D14A81">
              <w:rPr>
                <w:rFonts w:ascii="Arial" w:hAnsi="Arial" w:cs="Arial"/>
                <w:strike/>
                <w:sz w:val="20"/>
                <w:szCs w:val="20"/>
              </w:rPr>
              <w:t>published on the health service establishment's website</w:t>
            </w:r>
            <w:r w:rsidRPr="00D14A81">
              <w:rPr>
                <w:rFonts w:ascii="Arial" w:hAnsi="Arial" w:cs="Arial"/>
                <w:sz w:val="20"/>
                <w:szCs w:val="20"/>
              </w:rPr>
              <w:t xml:space="preserve">; </w:t>
            </w:r>
            <w:r w:rsidRPr="00D14A81">
              <w:rPr>
                <w:rFonts w:ascii="Arial" w:hAnsi="Arial" w:cs="Arial"/>
                <w:color w:val="FF0000"/>
                <w:sz w:val="20"/>
                <w:szCs w:val="20"/>
              </w:rPr>
              <w:t>made available</w:t>
            </w:r>
            <w:r w:rsidR="000428EA">
              <w:rPr>
                <w:rFonts w:ascii="Arial" w:hAnsi="Arial" w:cs="Arial"/>
                <w:color w:val="FF0000"/>
                <w:sz w:val="20"/>
                <w:szCs w:val="20"/>
              </w:rPr>
              <w:t xml:space="preserve"> </w:t>
            </w:r>
            <w:r w:rsidR="00C82CE0">
              <w:rPr>
                <w:rFonts w:ascii="Arial" w:hAnsi="Arial" w:cs="Arial"/>
                <w:color w:val="FF0000"/>
                <w:sz w:val="20"/>
                <w:szCs w:val="20"/>
              </w:rPr>
              <w:t>to the public</w:t>
            </w:r>
            <w:r w:rsidR="009649D6" w:rsidRPr="00D14A81">
              <w:rPr>
                <w:rFonts w:ascii="Arial" w:hAnsi="Arial" w:cs="Arial"/>
                <w:color w:val="FF0000"/>
                <w:sz w:val="20"/>
                <w:szCs w:val="20"/>
              </w:rPr>
              <w:t>—</w:t>
            </w:r>
          </w:p>
          <w:p w14:paraId="1F4046DC" w14:textId="08785BF6" w:rsidR="00AE2E27" w:rsidRPr="00D14A81" w:rsidRDefault="00AE2E27" w:rsidP="00FB5EC4">
            <w:pPr>
              <w:pStyle w:val="ListParagraph"/>
              <w:numPr>
                <w:ilvl w:val="2"/>
                <w:numId w:val="44"/>
              </w:numPr>
              <w:spacing w:before="160" w:after="160" w:line="276" w:lineRule="auto"/>
              <w:contextualSpacing/>
              <w:rPr>
                <w:rFonts w:ascii="Arial" w:hAnsi="Arial" w:cs="Arial"/>
                <w:sz w:val="20"/>
                <w:szCs w:val="20"/>
              </w:rPr>
            </w:pPr>
            <w:r w:rsidRPr="00D14A81">
              <w:rPr>
                <w:rFonts w:ascii="Arial" w:hAnsi="Arial" w:cs="Arial"/>
                <w:color w:val="FF0000"/>
                <w:sz w:val="20"/>
                <w:szCs w:val="20"/>
              </w:rPr>
              <w:t>on the health service establishment’s website; or</w:t>
            </w:r>
          </w:p>
          <w:p w14:paraId="71FD3E46" w14:textId="34D2A997" w:rsidR="00814E00" w:rsidRPr="00D14A81" w:rsidRDefault="00814E00" w:rsidP="00FB5EC4">
            <w:pPr>
              <w:pStyle w:val="ListParagraph"/>
              <w:numPr>
                <w:ilvl w:val="2"/>
                <w:numId w:val="44"/>
              </w:numPr>
              <w:spacing w:before="160" w:after="160" w:line="276" w:lineRule="auto"/>
              <w:contextualSpacing/>
              <w:rPr>
                <w:rFonts w:ascii="Arial" w:hAnsi="Arial" w:cs="Arial"/>
                <w:sz w:val="20"/>
                <w:szCs w:val="20"/>
              </w:rPr>
            </w:pPr>
            <w:r w:rsidRPr="00D14A81">
              <w:rPr>
                <w:rFonts w:ascii="Arial" w:hAnsi="Arial" w:cs="Arial"/>
                <w:color w:val="FF0000"/>
                <w:sz w:val="20"/>
                <w:szCs w:val="20"/>
              </w:rPr>
              <w:t>in the manner and form determined by the Secretary</w:t>
            </w:r>
            <w:r w:rsidR="00DF7666" w:rsidRPr="00D14A81">
              <w:rPr>
                <w:rFonts w:ascii="Arial" w:hAnsi="Arial" w:cs="Arial"/>
                <w:color w:val="FF0000"/>
                <w:sz w:val="20"/>
                <w:szCs w:val="20"/>
              </w:rPr>
              <w:t>; and</w:t>
            </w:r>
          </w:p>
          <w:p w14:paraId="17246111" w14:textId="426DD89F" w:rsidR="00134391" w:rsidRPr="00D14A81" w:rsidRDefault="001B569B" w:rsidP="001B569B">
            <w:pPr>
              <w:pStyle w:val="ListParagraph"/>
              <w:numPr>
                <w:ilvl w:val="1"/>
                <w:numId w:val="44"/>
              </w:numPr>
              <w:spacing w:before="160" w:after="160" w:line="276" w:lineRule="auto"/>
              <w:contextualSpacing/>
              <w:rPr>
                <w:rFonts w:ascii="Arial" w:hAnsi="Arial" w:cs="Arial"/>
                <w:sz w:val="20"/>
                <w:szCs w:val="20"/>
              </w:rPr>
            </w:pPr>
            <w:r w:rsidRPr="00D14A81">
              <w:rPr>
                <w:rFonts w:ascii="Arial" w:hAnsi="Arial" w:cs="Arial"/>
                <w:sz w:val="20"/>
                <w:szCs w:val="20"/>
              </w:rPr>
              <w:t>made available to the Secretary on request.</w:t>
            </w:r>
          </w:p>
        </w:tc>
        <w:tc>
          <w:tcPr>
            <w:tcW w:w="1571" w:type="pct"/>
            <w:shd w:val="clear" w:color="auto" w:fill="auto"/>
          </w:tcPr>
          <w:p w14:paraId="44A5D474" w14:textId="5D1C79B0" w:rsidR="00AA7EC3" w:rsidRPr="00D14A81" w:rsidRDefault="008B0B6F" w:rsidP="00960843">
            <w:pPr>
              <w:rPr>
                <w:rFonts w:cs="Arial"/>
                <w:sz w:val="20"/>
              </w:rPr>
            </w:pPr>
            <w:r w:rsidRPr="00D14A81">
              <w:rPr>
                <w:rFonts w:cs="Arial"/>
                <w:bCs/>
                <w:sz w:val="20"/>
              </w:rPr>
              <w:t>This</w:t>
            </w:r>
            <w:r w:rsidR="00814E00" w:rsidRPr="00D14A81">
              <w:rPr>
                <w:rFonts w:cs="Arial"/>
                <w:sz w:val="20"/>
              </w:rPr>
              <w:t xml:space="preserve"> change </w:t>
            </w:r>
            <w:r w:rsidR="00576A17" w:rsidRPr="00D14A81">
              <w:rPr>
                <w:rFonts w:cs="Arial"/>
                <w:sz w:val="20"/>
              </w:rPr>
              <w:t>–</w:t>
            </w:r>
            <w:r w:rsidR="00E92289" w:rsidRPr="00D14A81">
              <w:rPr>
                <w:rFonts w:cs="Arial"/>
                <w:sz w:val="20"/>
              </w:rPr>
              <w:t xml:space="preserve"> </w:t>
            </w:r>
            <w:r w:rsidR="00576A17" w:rsidRPr="00D14A81">
              <w:rPr>
                <w:rFonts w:cs="Arial"/>
                <w:sz w:val="20"/>
              </w:rPr>
              <w:t>developed since publication of the R</w:t>
            </w:r>
            <w:r w:rsidR="00EA640C" w:rsidRPr="00D14A81">
              <w:rPr>
                <w:rFonts w:cs="Arial"/>
                <w:sz w:val="20"/>
              </w:rPr>
              <w:t>I</w:t>
            </w:r>
            <w:r w:rsidR="00576A17" w:rsidRPr="00D14A81">
              <w:rPr>
                <w:rFonts w:cs="Arial"/>
                <w:sz w:val="20"/>
              </w:rPr>
              <w:t>S and draft Regulations</w:t>
            </w:r>
            <w:r w:rsidR="00325CBA" w:rsidRPr="00D14A81">
              <w:rPr>
                <w:rFonts w:cs="Arial"/>
                <w:sz w:val="20"/>
              </w:rPr>
              <w:t xml:space="preserve"> </w:t>
            </w:r>
            <w:r w:rsidR="00325CBA" w:rsidRPr="00D14A81">
              <w:rPr>
                <w:rFonts w:cs="Arial"/>
                <w:bCs/>
                <w:sz w:val="20"/>
              </w:rPr>
              <w:t>–</w:t>
            </w:r>
            <w:r w:rsidR="00325CBA" w:rsidRPr="00D14A81">
              <w:rPr>
                <w:rFonts w:cs="Arial"/>
                <w:sz w:val="20"/>
              </w:rPr>
              <w:t xml:space="preserve"> </w:t>
            </w:r>
            <w:r w:rsidR="00667EE9" w:rsidRPr="00D14A81">
              <w:rPr>
                <w:rFonts w:cs="Arial"/>
                <w:sz w:val="20"/>
              </w:rPr>
              <w:t xml:space="preserve">recognises that </w:t>
            </w:r>
            <w:r w:rsidR="008D0B4E" w:rsidRPr="00D14A81">
              <w:rPr>
                <w:rFonts w:cs="Arial"/>
                <w:sz w:val="20"/>
              </w:rPr>
              <w:t xml:space="preserve">some </w:t>
            </w:r>
            <w:r w:rsidR="00667EE9" w:rsidRPr="00D14A81">
              <w:rPr>
                <w:rFonts w:cs="Arial"/>
                <w:sz w:val="20"/>
              </w:rPr>
              <w:t xml:space="preserve">elements of the quality and safety protocols </w:t>
            </w:r>
            <w:r w:rsidR="00800EDC" w:rsidRPr="00D14A81">
              <w:rPr>
                <w:rFonts w:cs="Arial"/>
                <w:sz w:val="20"/>
              </w:rPr>
              <w:t xml:space="preserve">are </w:t>
            </w:r>
            <w:r w:rsidR="005D74D5" w:rsidRPr="00D14A81">
              <w:rPr>
                <w:rFonts w:cs="Arial"/>
                <w:sz w:val="20"/>
              </w:rPr>
              <w:t>more relevant</w:t>
            </w:r>
            <w:r w:rsidR="00800EDC" w:rsidRPr="00D14A81">
              <w:rPr>
                <w:rFonts w:cs="Arial"/>
                <w:sz w:val="20"/>
              </w:rPr>
              <w:t xml:space="preserve"> to </w:t>
            </w:r>
            <w:r w:rsidR="00B91C5C" w:rsidRPr="00D14A81">
              <w:rPr>
                <w:rFonts w:cs="Arial"/>
                <w:sz w:val="20"/>
              </w:rPr>
              <w:t xml:space="preserve">certain </w:t>
            </w:r>
            <w:r w:rsidR="00800EDC" w:rsidRPr="00D14A81">
              <w:rPr>
                <w:rFonts w:cs="Arial"/>
                <w:sz w:val="20"/>
              </w:rPr>
              <w:t>audiences</w:t>
            </w:r>
            <w:r w:rsidR="006474A6" w:rsidRPr="00D14A81">
              <w:rPr>
                <w:rFonts w:cs="Arial"/>
                <w:sz w:val="20"/>
              </w:rPr>
              <w:t xml:space="preserve"> </w:t>
            </w:r>
            <w:r w:rsidR="006474A6" w:rsidRPr="00D14A81">
              <w:rPr>
                <w:rFonts w:cs="Arial"/>
                <w:bCs/>
                <w:sz w:val="20"/>
              </w:rPr>
              <w:t>(e.g. consumers, the Regulator, clinicians)</w:t>
            </w:r>
            <w:r w:rsidR="004D0D7D" w:rsidRPr="00D14A81">
              <w:rPr>
                <w:rFonts w:cs="Arial"/>
                <w:sz w:val="20"/>
              </w:rPr>
              <w:t xml:space="preserve">, and </w:t>
            </w:r>
            <w:r w:rsidR="00131D0A" w:rsidRPr="00D14A81">
              <w:rPr>
                <w:rFonts w:cs="Arial"/>
                <w:sz w:val="20"/>
              </w:rPr>
              <w:t xml:space="preserve">that the level of detail and method of communication should reflect </w:t>
            </w:r>
            <w:r w:rsidR="007931EB" w:rsidRPr="00D14A81">
              <w:rPr>
                <w:rFonts w:cs="Arial"/>
                <w:sz w:val="20"/>
              </w:rPr>
              <w:t>their different needs</w:t>
            </w:r>
            <w:r w:rsidR="00100F71" w:rsidRPr="00D14A81">
              <w:rPr>
                <w:rFonts w:cs="Arial"/>
                <w:sz w:val="20"/>
              </w:rPr>
              <w:t xml:space="preserve"> and interests</w:t>
            </w:r>
            <w:r w:rsidR="00131D0A" w:rsidRPr="00D14A81">
              <w:rPr>
                <w:rFonts w:cs="Arial"/>
                <w:sz w:val="20"/>
              </w:rPr>
              <w:t xml:space="preserve">. </w:t>
            </w:r>
          </w:p>
          <w:p w14:paraId="252DFD6E" w14:textId="26C2871E" w:rsidR="002D5EF6" w:rsidRPr="00D14A81" w:rsidRDefault="002D5EF6" w:rsidP="00960843">
            <w:pPr>
              <w:rPr>
                <w:rFonts w:cs="Arial"/>
                <w:sz w:val="20"/>
              </w:rPr>
            </w:pPr>
            <w:r w:rsidRPr="00D14A81">
              <w:rPr>
                <w:rFonts w:cs="Arial"/>
                <w:bCs/>
                <w:sz w:val="20"/>
              </w:rPr>
              <w:t>Th</w:t>
            </w:r>
            <w:r w:rsidR="009353C7" w:rsidRPr="00D14A81">
              <w:rPr>
                <w:rFonts w:cs="Arial"/>
                <w:bCs/>
                <w:sz w:val="20"/>
              </w:rPr>
              <w:t>e amendment</w:t>
            </w:r>
            <w:r w:rsidRPr="00D14A81">
              <w:rPr>
                <w:rFonts w:cs="Arial"/>
                <w:bCs/>
                <w:sz w:val="20"/>
              </w:rPr>
              <w:t xml:space="preserve"> is intended </w:t>
            </w:r>
            <w:r w:rsidR="00EC6709" w:rsidRPr="00D14A81">
              <w:rPr>
                <w:rFonts w:cs="Arial"/>
                <w:bCs/>
                <w:sz w:val="20"/>
              </w:rPr>
              <w:t xml:space="preserve">to </w:t>
            </w:r>
            <w:r w:rsidR="00465547" w:rsidRPr="00D14A81">
              <w:rPr>
                <w:rFonts w:cs="Arial"/>
                <w:bCs/>
                <w:sz w:val="20"/>
              </w:rPr>
              <w:t xml:space="preserve">increase flexibility </w:t>
            </w:r>
            <w:r w:rsidRPr="00D14A81">
              <w:rPr>
                <w:rFonts w:cs="Arial"/>
                <w:bCs/>
                <w:sz w:val="20"/>
              </w:rPr>
              <w:t>to accommodate</w:t>
            </w:r>
            <w:r w:rsidR="000626B9" w:rsidRPr="00D14A81">
              <w:rPr>
                <w:rFonts w:cs="Arial"/>
                <w:bCs/>
                <w:sz w:val="20"/>
              </w:rPr>
              <w:t xml:space="preserve"> the</w:t>
            </w:r>
            <w:r w:rsidRPr="00D14A81">
              <w:rPr>
                <w:rFonts w:cs="Arial"/>
                <w:bCs/>
                <w:sz w:val="20"/>
              </w:rPr>
              <w:t xml:space="preserve"> different </w:t>
            </w:r>
            <w:r w:rsidR="00BA1EC7" w:rsidRPr="00D14A81">
              <w:rPr>
                <w:rFonts w:cs="Arial"/>
                <w:bCs/>
                <w:sz w:val="20"/>
              </w:rPr>
              <w:t xml:space="preserve">information needs of </w:t>
            </w:r>
            <w:r w:rsidR="00785510" w:rsidRPr="00D14A81">
              <w:rPr>
                <w:rFonts w:cs="Arial"/>
                <w:bCs/>
                <w:sz w:val="20"/>
              </w:rPr>
              <w:t xml:space="preserve">different </w:t>
            </w:r>
            <w:r w:rsidRPr="00D14A81">
              <w:rPr>
                <w:rFonts w:cs="Arial"/>
                <w:bCs/>
                <w:sz w:val="20"/>
              </w:rPr>
              <w:t>stakeholder cohorts and align with the proposed best practice guidelines for quality and safety protocols under new r.9.</w:t>
            </w:r>
          </w:p>
          <w:p w14:paraId="69AC9321" w14:textId="27EF67F5" w:rsidR="00814E00" w:rsidRPr="00D14A81" w:rsidRDefault="00814E00" w:rsidP="009C6F8A">
            <w:pPr>
              <w:rPr>
                <w:rFonts w:cs="Arial"/>
                <w:bCs/>
                <w:sz w:val="20"/>
              </w:rPr>
            </w:pPr>
            <w:r w:rsidRPr="00D14A81">
              <w:rPr>
                <w:rFonts w:cs="Arial"/>
                <w:sz w:val="20"/>
              </w:rPr>
              <w:t>Until the Secretary</w:t>
            </w:r>
            <w:r w:rsidR="005D1344" w:rsidRPr="00D14A81">
              <w:rPr>
                <w:rFonts w:cs="Arial"/>
                <w:sz w:val="20"/>
              </w:rPr>
              <w:t xml:space="preserve"> determines </w:t>
            </w:r>
            <w:r w:rsidR="006F35AE" w:rsidRPr="00D14A81">
              <w:rPr>
                <w:rFonts w:cs="Arial"/>
                <w:sz w:val="20"/>
              </w:rPr>
              <w:t>how information in the protocols should be made available</w:t>
            </w:r>
            <w:r w:rsidRPr="00D14A81">
              <w:rPr>
                <w:rFonts w:cs="Arial"/>
                <w:sz w:val="20"/>
              </w:rPr>
              <w:t xml:space="preserve">, the current requirement to publish protocols on the HSE’s website will remain in place. The amendment will therefore not </w:t>
            </w:r>
            <w:r w:rsidR="0032083E" w:rsidRPr="00D14A81">
              <w:rPr>
                <w:rFonts w:cs="Arial"/>
                <w:sz w:val="20"/>
              </w:rPr>
              <w:t>introduce any immediate change</w:t>
            </w:r>
            <w:r w:rsidR="000E29DC" w:rsidRPr="00D14A81">
              <w:rPr>
                <w:rFonts w:cs="Arial"/>
                <w:sz w:val="20"/>
              </w:rPr>
              <w:t>s</w:t>
            </w:r>
            <w:r w:rsidR="0032083E" w:rsidRPr="00D14A81">
              <w:rPr>
                <w:rFonts w:cs="Arial"/>
                <w:sz w:val="20"/>
              </w:rPr>
              <w:t xml:space="preserve"> or </w:t>
            </w:r>
            <w:r w:rsidRPr="00D14A81">
              <w:rPr>
                <w:rFonts w:cs="Arial"/>
                <w:sz w:val="20"/>
              </w:rPr>
              <w:t xml:space="preserve">impose any new regulatory </w:t>
            </w:r>
            <w:r w:rsidR="00A60071" w:rsidRPr="00D14A81">
              <w:rPr>
                <w:rFonts w:cs="Arial"/>
                <w:sz w:val="20"/>
              </w:rPr>
              <w:t>obligations or administrative burden</w:t>
            </w:r>
            <w:r w:rsidRPr="00D14A81">
              <w:rPr>
                <w:rFonts w:cs="Arial"/>
                <w:sz w:val="20"/>
              </w:rPr>
              <w:t xml:space="preserve"> on HSEs.</w:t>
            </w:r>
            <w:r w:rsidRPr="00D14A81">
              <w:rPr>
                <w:rFonts w:cs="Arial"/>
                <w:bCs/>
                <w:sz w:val="20"/>
              </w:rPr>
              <w:t xml:space="preserve">  </w:t>
            </w:r>
          </w:p>
        </w:tc>
      </w:tr>
      <w:tr w:rsidR="00814E00" w:rsidRPr="00D66EE6" w14:paraId="0FF9B0AF" w14:textId="77777777" w:rsidTr="00D66EE6">
        <w:tc>
          <w:tcPr>
            <w:tcW w:w="288" w:type="pct"/>
            <w:shd w:val="clear" w:color="auto" w:fill="auto"/>
          </w:tcPr>
          <w:p w14:paraId="368E0622" w14:textId="77777777" w:rsidR="00814E00" w:rsidRPr="00D66EE6" w:rsidRDefault="00814E00" w:rsidP="00D037D3">
            <w:pPr>
              <w:rPr>
                <w:rFonts w:cs="Arial"/>
                <w:sz w:val="20"/>
              </w:rPr>
            </w:pPr>
            <w:r w:rsidRPr="00D66EE6">
              <w:rPr>
                <w:rFonts w:cs="Arial"/>
                <w:sz w:val="20"/>
              </w:rPr>
              <w:t>7A(3)</w:t>
            </w:r>
          </w:p>
          <w:p w14:paraId="3D6ADBB2" w14:textId="018E1674" w:rsidR="00814E00" w:rsidRPr="00D66EE6" w:rsidRDefault="00814E00" w:rsidP="00D037D3">
            <w:pPr>
              <w:rPr>
                <w:rFonts w:cs="Arial"/>
                <w:sz w:val="20"/>
              </w:rPr>
            </w:pPr>
            <w:r w:rsidRPr="00D66EE6">
              <w:rPr>
                <w:rFonts w:cs="Arial"/>
                <w:color w:val="FF0000"/>
                <w:sz w:val="20"/>
              </w:rPr>
              <w:t>8(3)</w:t>
            </w:r>
          </w:p>
        </w:tc>
        <w:tc>
          <w:tcPr>
            <w:tcW w:w="1570" w:type="pct"/>
            <w:shd w:val="clear" w:color="auto" w:fill="auto"/>
          </w:tcPr>
          <w:p w14:paraId="2DD15F1A" w14:textId="77777777" w:rsidR="00814E00" w:rsidRPr="00D66EE6" w:rsidRDefault="00814E00" w:rsidP="00131778">
            <w:pPr>
              <w:pStyle w:val="ListParagraph"/>
              <w:numPr>
                <w:ilvl w:val="0"/>
                <w:numId w:val="43"/>
              </w:numPr>
              <w:spacing w:before="160" w:after="160" w:line="276" w:lineRule="auto"/>
              <w:contextualSpacing/>
              <w:rPr>
                <w:rFonts w:ascii="Arial" w:hAnsi="Arial" w:cs="Arial"/>
                <w:sz w:val="20"/>
                <w:szCs w:val="20"/>
              </w:rPr>
            </w:pPr>
            <w:r w:rsidRPr="00D66EE6">
              <w:rPr>
                <w:rFonts w:ascii="Arial" w:hAnsi="Arial" w:cs="Arial"/>
                <w:sz w:val="20"/>
                <w:szCs w:val="20"/>
              </w:rPr>
              <w:t>The health service establishment protocols must include the following—</w:t>
            </w:r>
          </w:p>
          <w:p w14:paraId="543A3685" w14:textId="77777777" w:rsidR="00814E00" w:rsidRPr="00D66EE6" w:rsidRDefault="00814E00" w:rsidP="00131778">
            <w:pPr>
              <w:pStyle w:val="ListParagraph"/>
              <w:numPr>
                <w:ilvl w:val="1"/>
                <w:numId w:val="46"/>
              </w:numPr>
              <w:spacing w:before="160" w:after="160" w:line="276" w:lineRule="auto"/>
              <w:contextualSpacing/>
              <w:rPr>
                <w:rFonts w:ascii="Arial" w:hAnsi="Arial" w:cs="Arial"/>
                <w:sz w:val="20"/>
                <w:szCs w:val="20"/>
              </w:rPr>
            </w:pPr>
            <w:r w:rsidRPr="00D66EE6">
              <w:rPr>
                <w:rFonts w:ascii="Arial" w:hAnsi="Arial" w:cs="Arial"/>
                <w:sz w:val="20"/>
                <w:szCs w:val="20"/>
              </w:rPr>
              <w:t xml:space="preserve">processes for assessing every 3 years the credentials of each health professional practising at the health service establishment;  </w:t>
            </w:r>
          </w:p>
          <w:p w14:paraId="584A707F" w14:textId="77777777" w:rsidR="00814E00" w:rsidRPr="00D66EE6" w:rsidRDefault="00814E00" w:rsidP="00131778">
            <w:pPr>
              <w:pStyle w:val="ListParagraph"/>
              <w:numPr>
                <w:ilvl w:val="1"/>
                <w:numId w:val="46"/>
              </w:numPr>
              <w:spacing w:before="160" w:after="160" w:line="276" w:lineRule="auto"/>
              <w:contextualSpacing/>
              <w:rPr>
                <w:rFonts w:ascii="Arial" w:hAnsi="Arial" w:cs="Arial"/>
                <w:sz w:val="20"/>
                <w:szCs w:val="20"/>
              </w:rPr>
            </w:pPr>
            <w:r w:rsidRPr="00D66EE6">
              <w:rPr>
                <w:rFonts w:ascii="Arial" w:hAnsi="Arial" w:cs="Arial"/>
                <w:sz w:val="20"/>
                <w:szCs w:val="20"/>
              </w:rPr>
              <w:t>processes for setting the scope of practice for each health professional practising at the health service establishment;</w:t>
            </w:r>
          </w:p>
          <w:p w14:paraId="48454BFA" w14:textId="24289017" w:rsidR="00814E00" w:rsidRPr="00D66EE6" w:rsidRDefault="00814E00" w:rsidP="00131778">
            <w:pPr>
              <w:pStyle w:val="ListParagraph"/>
              <w:numPr>
                <w:ilvl w:val="1"/>
                <w:numId w:val="46"/>
              </w:numPr>
              <w:spacing w:before="160" w:after="160" w:line="276" w:lineRule="auto"/>
              <w:contextualSpacing/>
              <w:rPr>
                <w:rFonts w:ascii="Arial" w:hAnsi="Arial" w:cs="Arial"/>
                <w:sz w:val="20"/>
                <w:szCs w:val="20"/>
              </w:rPr>
            </w:pPr>
            <w:r w:rsidRPr="00D66EE6">
              <w:rPr>
                <w:rFonts w:ascii="Arial" w:hAnsi="Arial" w:cs="Arial"/>
                <w:sz w:val="20"/>
                <w:szCs w:val="20"/>
              </w:rPr>
              <w:t>processes for continually assessing the competence and performance of each health professional practising at the health service establishment;</w:t>
            </w:r>
          </w:p>
          <w:p w14:paraId="32365C5E" w14:textId="366AADB6" w:rsidR="00814E00" w:rsidRPr="00D66EE6" w:rsidRDefault="00814E00" w:rsidP="00131778">
            <w:pPr>
              <w:pStyle w:val="ListParagraph"/>
              <w:numPr>
                <w:ilvl w:val="1"/>
                <w:numId w:val="46"/>
              </w:numPr>
              <w:spacing w:before="160" w:after="160" w:line="276" w:lineRule="auto"/>
              <w:contextualSpacing/>
              <w:rPr>
                <w:rFonts w:ascii="Arial" w:hAnsi="Arial" w:cs="Arial"/>
                <w:sz w:val="20"/>
                <w:szCs w:val="20"/>
              </w:rPr>
            </w:pPr>
            <w:r w:rsidRPr="00D66EE6">
              <w:rPr>
                <w:rFonts w:ascii="Arial" w:hAnsi="Arial" w:cs="Arial"/>
                <w:sz w:val="20"/>
                <w:szCs w:val="20"/>
              </w:rPr>
              <w:lastRenderedPageBreak/>
              <w:t>processes for continually assessing and reviewing health services provided by each health professional at the health service establishment;</w:t>
            </w:r>
          </w:p>
          <w:p w14:paraId="33B9A82B" w14:textId="1BE4C47D" w:rsidR="00814E00" w:rsidRPr="00D66EE6" w:rsidRDefault="00814E00" w:rsidP="00131778">
            <w:pPr>
              <w:pStyle w:val="ListParagraph"/>
              <w:numPr>
                <w:ilvl w:val="1"/>
                <w:numId w:val="46"/>
              </w:numPr>
              <w:spacing w:before="160" w:after="160" w:line="276" w:lineRule="auto"/>
              <w:contextualSpacing/>
              <w:rPr>
                <w:rFonts w:ascii="Arial" w:hAnsi="Arial" w:cs="Arial"/>
                <w:sz w:val="20"/>
                <w:szCs w:val="20"/>
              </w:rPr>
            </w:pPr>
            <w:r w:rsidRPr="00D66EE6">
              <w:rPr>
                <w:rFonts w:ascii="Arial" w:hAnsi="Arial" w:cs="Arial"/>
                <w:sz w:val="20"/>
                <w:szCs w:val="20"/>
              </w:rPr>
              <w:t>processes for continually assessing the capacity of the health service establishment to provide safe, patient centred and appropriate health services to patients at each of its premises;</w:t>
            </w:r>
          </w:p>
          <w:p w14:paraId="323AEF33" w14:textId="5589F649" w:rsidR="00814E00" w:rsidRPr="00D66EE6" w:rsidRDefault="00814E00" w:rsidP="00131778">
            <w:pPr>
              <w:pStyle w:val="ListParagraph"/>
              <w:numPr>
                <w:ilvl w:val="1"/>
                <w:numId w:val="46"/>
              </w:numPr>
              <w:spacing w:before="160" w:after="160" w:line="276" w:lineRule="auto"/>
              <w:contextualSpacing/>
              <w:rPr>
                <w:rFonts w:ascii="Arial" w:hAnsi="Arial" w:cs="Arial"/>
                <w:sz w:val="20"/>
                <w:szCs w:val="20"/>
              </w:rPr>
            </w:pPr>
            <w:r w:rsidRPr="00D66EE6">
              <w:rPr>
                <w:rFonts w:ascii="Arial" w:hAnsi="Arial" w:cs="Arial"/>
                <w:sz w:val="20"/>
                <w:szCs w:val="20"/>
              </w:rPr>
              <w:t>setting the frequency of, and procedures for, meetings of any committees of the health service establishment with responsibility for the quality and safety of health services provided at, or from, the health service establishment;</w:t>
            </w:r>
          </w:p>
          <w:p w14:paraId="477B161A" w14:textId="77777777" w:rsidR="00814E00" w:rsidRPr="00D66EE6" w:rsidRDefault="00814E00" w:rsidP="0099024C">
            <w:pPr>
              <w:spacing w:before="160" w:after="160" w:line="276" w:lineRule="auto"/>
              <w:contextualSpacing/>
              <w:rPr>
                <w:rFonts w:cs="Arial"/>
                <w:sz w:val="20"/>
              </w:rPr>
            </w:pPr>
          </w:p>
        </w:tc>
        <w:tc>
          <w:tcPr>
            <w:tcW w:w="1571" w:type="pct"/>
            <w:shd w:val="clear" w:color="auto" w:fill="auto"/>
          </w:tcPr>
          <w:p w14:paraId="2CC1CBB2" w14:textId="77777777" w:rsidR="00814E00" w:rsidRPr="00D66EE6" w:rsidRDefault="00814E00" w:rsidP="00D037D3">
            <w:pPr>
              <w:rPr>
                <w:rFonts w:cs="Arial"/>
                <w:bCs/>
                <w:sz w:val="20"/>
              </w:rPr>
            </w:pPr>
            <w:r w:rsidRPr="00D66EE6">
              <w:rPr>
                <w:rFonts w:cs="Arial"/>
                <w:bCs/>
                <w:sz w:val="20"/>
              </w:rPr>
              <w:lastRenderedPageBreak/>
              <w:t>No amendments were canvassed in the RIS in relation to credentialing and scope of practice requirements.</w:t>
            </w:r>
          </w:p>
          <w:p w14:paraId="0B19E072" w14:textId="03ECC157" w:rsidR="00814E00" w:rsidRPr="00D66EE6" w:rsidRDefault="00814E00" w:rsidP="00D037D3">
            <w:pPr>
              <w:rPr>
                <w:rFonts w:cs="Arial"/>
                <w:sz w:val="20"/>
              </w:rPr>
            </w:pPr>
            <w:r w:rsidRPr="00D66EE6">
              <w:rPr>
                <w:rFonts w:cs="Arial"/>
                <w:sz w:val="20"/>
              </w:rPr>
              <w:t>Following the RIS, some stakeholders raised new concerns about credentialing and scope of practice:</w:t>
            </w:r>
          </w:p>
          <w:p w14:paraId="396AD1B6" w14:textId="77777777" w:rsidR="00325CBA" w:rsidRPr="00325CBA" w:rsidRDefault="00325CBA" w:rsidP="00325CBA">
            <w:pPr>
              <w:rPr>
                <w:rFonts w:cs="Arial"/>
                <w:b/>
                <w:bCs/>
                <w:sz w:val="20"/>
              </w:rPr>
            </w:pPr>
            <w:r w:rsidRPr="00325CBA">
              <w:rPr>
                <w:b/>
                <w:bCs/>
                <w:sz w:val="20"/>
              </w:rPr>
              <w:t xml:space="preserve">CHA/anonymous </w:t>
            </w:r>
          </w:p>
          <w:p w14:paraId="38DE3CE9" w14:textId="19745C41" w:rsidR="00814E00" w:rsidRPr="00D66EE6" w:rsidRDefault="00814E00" w:rsidP="00D037D3">
            <w:pPr>
              <w:rPr>
                <w:rFonts w:cs="Arial"/>
                <w:sz w:val="20"/>
              </w:rPr>
            </w:pPr>
            <w:r w:rsidRPr="00D66EE6">
              <w:rPr>
                <w:rFonts w:cs="Arial"/>
                <w:sz w:val="20"/>
              </w:rPr>
              <w:t xml:space="preserve">Raised a new concern with the current requirement for credentialing to occur every 3 years, and requested this be extended to 5 years, on the </w:t>
            </w:r>
            <w:r w:rsidRPr="00D66EE6">
              <w:rPr>
                <w:rFonts w:cs="Arial"/>
                <w:sz w:val="20"/>
              </w:rPr>
              <w:lastRenderedPageBreak/>
              <w:t>grounds that the national standard is 5 years and Victoria is the only jurisdiction that mandates 3 years.</w:t>
            </w:r>
          </w:p>
          <w:p w14:paraId="0C751817" w14:textId="77777777" w:rsidR="00814E00" w:rsidRPr="00D66EE6" w:rsidRDefault="00814E00" w:rsidP="007E3AC1">
            <w:pPr>
              <w:rPr>
                <w:rFonts w:cs="Arial"/>
                <w:b/>
                <w:bCs/>
                <w:sz w:val="20"/>
              </w:rPr>
            </w:pPr>
            <w:r w:rsidRPr="00D66EE6">
              <w:rPr>
                <w:rFonts w:cs="Arial"/>
                <w:b/>
                <w:bCs/>
                <w:sz w:val="20"/>
              </w:rPr>
              <w:t>ANMF</w:t>
            </w:r>
          </w:p>
          <w:p w14:paraId="6B961ABB" w14:textId="0D096E2E" w:rsidR="00814E00" w:rsidRPr="00D66EE6" w:rsidRDefault="00814E00" w:rsidP="007E3AC1">
            <w:pPr>
              <w:rPr>
                <w:rFonts w:cs="Arial"/>
                <w:sz w:val="20"/>
              </w:rPr>
            </w:pPr>
            <w:r w:rsidRPr="00D66EE6">
              <w:rPr>
                <w:rFonts w:cs="Arial"/>
                <w:sz w:val="20"/>
              </w:rPr>
              <w:t>Raised a new concern that nurses and midwives should not be included under rr.</w:t>
            </w:r>
            <w:r w:rsidR="0071669D">
              <w:rPr>
                <w:rFonts w:cs="Arial"/>
                <w:sz w:val="20"/>
              </w:rPr>
              <w:t>8</w:t>
            </w:r>
            <w:r w:rsidRPr="00D66EE6">
              <w:rPr>
                <w:rFonts w:cs="Arial"/>
                <w:sz w:val="20"/>
              </w:rPr>
              <w:t>(3)(a) and (b) credentialing and scope of practice requirements.</w:t>
            </w:r>
          </w:p>
          <w:p w14:paraId="04A63A51" w14:textId="485BEFF8" w:rsidR="00814E00" w:rsidRPr="00D66EE6" w:rsidRDefault="00814E00" w:rsidP="007E3AC1">
            <w:pPr>
              <w:rPr>
                <w:rFonts w:cs="Arial"/>
                <w:b/>
                <w:bCs/>
                <w:sz w:val="20"/>
              </w:rPr>
            </w:pPr>
            <w:r w:rsidRPr="00D66EE6">
              <w:rPr>
                <w:rFonts w:cs="Arial"/>
                <w:b/>
                <w:bCs/>
                <w:sz w:val="20"/>
              </w:rPr>
              <w:t>ASMIRT</w:t>
            </w:r>
          </w:p>
          <w:p w14:paraId="77148758" w14:textId="3559CED7" w:rsidR="00814E00" w:rsidRPr="00D66EE6" w:rsidRDefault="00814E00" w:rsidP="00131778">
            <w:pPr>
              <w:pStyle w:val="ListParagraph"/>
              <w:numPr>
                <w:ilvl w:val="0"/>
                <w:numId w:val="30"/>
              </w:numPr>
              <w:spacing w:before="160" w:after="160" w:line="276" w:lineRule="auto"/>
              <w:contextualSpacing/>
              <w:rPr>
                <w:rFonts w:ascii="Arial" w:hAnsi="Arial" w:cs="Arial"/>
                <w:sz w:val="20"/>
                <w:szCs w:val="20"/>
              </w:rPr>
            </w:pPr>
            <w:r w:rsidRPr="00D66EE6">
              <w:rPr>
                <w:rFonts w:ascii="Arial" w:hAnsi="Arial" w:cs="Arial"/>
                <w:sz w:val="20"/>
                <w:szCs w:val="20"/>
              </w:rPr>
              <w:t>In relation to credentialing, suggested 12 months for annual updated documents (e.g. Ahpra, radiation licence, CPR, etc)</w:t>
            </w:r>
          </w:p>
          <w:p w14:paraId="69993C38" w14:textId="4005D0EB" w:rsidR="00814E00" w:rsidRPr="00D66EE6" w:rsidRDefault="00814E00" w:rsidP="00131778">
            <w:pPr>
              <w:pStyle w:val="ListParagraph"/>
              <w:numPr>
                <w:ilvl w:val="0"/>
                <w:numId w:val="30"/>
              </w:numPr>
              <w:spacing w:before="160" w:after="160" w:line="276" w:lineRule="auto"/>
              <w:contextualSpacing/>
              <w:rPr>
                <w:rFonts w:ascii="Arial" w:hAnsi="Arial" w:cs="Arial"/>
                <w:sz w:val="20"/>
                <w:szCs w:val="20"/>
              </w:rPr>
            </w:pPr>
            <w:r w:rsidRPr="00D66EE6">
              <w:rPr>
                <w:rFonts w:ascii="Arial" w:hAnsi="Arial" w:cs="Arial"/>
                <w:sz w:val="20"/>
                <w:szCs w:val="20"/>
              </w:rPr>
              <w:t xml:space="preserve">Expressed concerns about how competence and performance is continually assessed – </w:t>
            </w:r>
            <w:r w:rsidR="00D24226">
              <w:rPr>
                <w:rFonts w:ascii="Arial" w:hAnsi="Arial" w:cs="Arial"/>
                <w:sz w:val="20"/>
                <w:szCs w:val="20"/>
              </w:rPr>
              <w:t>‘</w:t>
            </w:r>
            <w:r w:rsidRPr="00D66EE6">
              <w:rPr>
                <w:rFonts w:ascii="Arial" w:hAnsi="Arial" w:cs="Arial"/>
                <w:sz w:val="20"/>
                <w:szCs w:val="20"/>
              </w:rPr>
              <w:t>may be a little unrealistic</w:t>
            </w:r>
            <w:r w:rsidR="00D24226">
              <w:rPr>
                <w:rFonts w:ascii="Arial" w:hAnsi="Arial" w:cs="Arial"/>
                <w:sz w:val="20"/>
                <w:szCs w:val="20"/>
              </w:rPr>
              <w:t>’</w:t>
            </w:r>
            <w:r w:rsidRPr="00D66EE6">
              <w:rPr>
                <w:rFonts w:ascii="Arial" w:hAnsi="Arial" w:cs="Arial"/>
                <w:sz w:val="20"/>
                <w:szCs w:val="20"/>
              </w:rPr>
              <w:t>.</w:t>
            </w:r>
          </w:p>
          <w:p w14:paraId="36A816EC" w14:textId="18102D26" w:rsidR="00814E00" w:rsidRPr="00D66EE6" w:rsidRDefault="00814E00" w:rsidP="00131778">
            <w:pPr>
              <w:pStyle w:val="ListParagraph"/>
              <w:numPr>
                <w:ilvl w:val="0"/>
                <w:numId w:val="30"/>
              </w:numPr>
              <w:spacing w:before="160" w:after="160" w:line="276" w:lineRule="auto"/>
              <w:contextualSpacing/>
              <w:rPr>
                <w:rFonts w:ascii="Arial" w:hAnsi="Arial" w:cs="Arial"/>
                <w:sz w:val="20"/>
                <w:szCs w:val="20"/>
              </w:rPr>
            </w:pPr>
            <w:r w:rsidRPr="00D66EE6">
              <w:rPr>
                <w:rFonts w:ascii="Arial" w:hAnsi="Arial" w:cs="Arial"/>
                <w:sz w:val="20"/>
                <w:szCs w:val="20"/>
              </w:rPr>
              <w:t xml:space="preserve">Expressed </w:t>
            </w:r>
            <w:r w:rsidR="00D24226">
              <w:rPr>
                <w:rFonts w:ascii="Arial" w:hAnsi="Arial" w:cs="Arial"/>
                <w:sz w:val="20"/>
                <w:szCs w:val="20"/>
              </w:rPr>
              <w:t>‘</w:t>
            </w:r>
            <w:r w:rsidRPr="00D66EE6">
              <w:rPr>
                <w:rFonts w:ascii="Arial" w:hAnsi="Arial" w:cs="Arial"/>
                <w:sz w:val="20"/>
                <w:szCs w:val="20"/>
              </w:rPr>
              <w:t>concern at the assessment of individual practitioners and not systems</w:t>
            </w:r>
            <w:r w:rsidR="00D24226">
              <w:rPr>
                <w:rFonts w:ascii="Arial" w:hAnsi="Arial" w:cs="Arial"/>
                <w:sz w:val="20"/>
                <w:szCs w:val="20"/>
              </w:rPr>
              <w:t>’</w:t>
            </w:r>
            <w:r w:rsidRPr="00D66EE6">
              <w:rPr>
                <w:rFonts w:ascii="Arial" w:hAnsi="Arial" w:cs="Arial"/>
                <w:sz w:val="20"/>
                <w:szCs w:val="20"/>
              </w:rPr>
              <w:t>.</w:t>
            </w:r>
          </w:p>
          <w:p w14:paraId="0308372A" w14:textId="77777777" w:rsidR="00814E00" w:rsidRPr="00D66EE6" w:rsidRDefault="00814E00" w:rsidP="00D037D3">
            <w:pPr>
              <w:spacing w:before="160" w:after="160" w:line="276" w:lineRule="auto"/>
              <w:contextualSpacing/>
              <w:rPr>
                <w:rFonts w:cs="Arial"/>
                <w:sz w:val="20"/>
              </w:rPr>
            </w:pPr>
          </w:p>
          <w:p w14:paraId="56CAFB49" w14:textId="77777777" w:rsidR="00814E00" w:rsidRPr="00D66EE6" w:rsidRDefault="00814E00" w:rsidP="00D037D3">
            <w:pPr>
              <w:rPr>
                <w:rFonts w:cs="Arial"/>
                <w:sz w:val="20"/>
              </w:rPr>
            </w:pPr>
          </w:p>
        </w:tc>
        <w:tc>
          <w:tcPr>
            <w:tcW w:w="1571" w:type="pct"/>
            <w:shd w:val="clear" w:color="auto" w:fill="auto"/>
          </w:tcPr>
          <w:p w14:paraId="09856BE8" w14:textId="5D6BFCD2" w:rsidR="00814E00" w:rsidRPr="00D66EE6" w:rsidRDefault="00814E00" w:rsidP="00364B6F">
            <w:pPr>
              <w:rPr>
                <w:rFonts w:cs="Arial"/>
                <w:sz w:val="20"/>
              </w:rPr>
            </w:pPr>
            <w:r w:rsidRPr="00D66EE6">
              <w:rPr>
                <w:rFonts w:cs="Arial"/>
                <w:sz w:val="20"/>
              </w:rPr>
              <w:lastRenderedPageBreak/>
              <w:t xml:space="preserve">The </w:t>
            </w:r>
            <w:r w:rsidR="00C87601">
              <w:rPr>
                <w:rFonts w:cs="Arial"/>
                <w:sz w:val="20"/>
              </w:rPr>
              <w:t>department</w:t>
            </w:r>
            <w:r w:rsidRPr="00D66EE6">
              <w:rPr>
                <w:rFonts w:cs="Arial"/>
                <w:sz w:val="20"/>
              </w:rPr>
              <w:t xml:space="preserve"> has considered the </w:t>
            </w:r>
            <w:r w:rsidRPr="00D66EE6">
              <w:rPr>
                <w:rFonts w:cs="Arial"/>
                <w:b/>
                <w:bCs/>
                <w:sz w:val="20"/>
              </w:rPr>
              <w:t>CHA/anonymous</w:t>
            </w:r>
            <w:r w:rsidRPr="00D66EE6">
              <w:rPr>
                <w:rFonts w:cs="Arial"/>
                <w:sz w:val="20"/>
              </w:rPr>
              <w:t xml:space="preserve"> proposal to change the credentialing period from 3 years to 5 years and has decided to retain the current requirements for the following reasons: </w:t>
            </w:r>
          </w:p>
          <w:p w14:paraId="5F513020" w14:textId="4A148536" w:rsidR="00814E00" w:rsidRPr="00D66EE6" w:rsidRDefault="00814E00" w:rsidP="0093336A">
            <w:pPr>
              <w:rPr>
                <w:rFonts w:cs="Arial"/>
                <w:sz w:val="20"/>
              </w:rPr>
            </w:pPr>
            <w:r w:rsidRPr="00D66EE6">
              <w:rPr>
                <w:rFonts w:cs="Arial"/>
                <w:sz w:val="20"/>
              </w:rPr>
              <w:t xml:space="preserve">The NSQHS Standards do not specify a </w:t>
            </w:r>
            <w:r w:rsidRPr="00D66EE6">
              <w:rPr>
                <w:rFonts w:cs="Arial"/>
                <w:i/>
                <w:iCs/>
                <w:sz w:val="20"/>
              </w:rPr>
              <w:t>credentialing</w:t>
            </w:r>
            <w:r w:rsidRPr="00D66EE6">
              <w:rPr>
                <w:rFonts w:cs="Arial"/>
                <w:sz w:val="20"/>
              </w:rPr>
              <w:t xml:space="preserve"> frequency. The Commission’s </w:t>
            </w:r>
            <w:hyperlink r:id="rId24" w:history="1">
              <w:r w:rsidRPr="00D66EE6">
                <w:rPr>
                  <w:rStyle w:val="Hyperlink"/>
                  <w:rFonts w:cs="Arial"/>
                  <w:sz w:val="20"/>
                </w:rPr>
                <w:t xml:space="preserve">Credentialing health practitioners and defining their scope of </w:t>
              </w:r>
              <w:r w:rsidRPr="00D66EE6">
                <w:rPr>
                  <w:rStyle w:val="Hyperlink"/>
                  <w:rFonts w:cs="Arial"/>
                  <w:sz w:val="20"/>
                </w:rPr>
                <w:lastRenderedPageBreak/>
                <w:t>clinical practice: A guide for managers and practitioners</w:t>
              </w:r>
            </w:hyperlink>
            <w:r w:rsidR="00831F20" w:rsidRPr="00152C61">
              <w:rPr>
                <w:rStyle w:val="FootnoteReference"/>
              </w:rPr>
              <w:footnoteReference w:id="11"/>
            </w:r>
            <w:r w:rsidRPr="00152C61">
              <w:rPr>
                <w:rStyle w:val="FootnoteReference"/>
              </w:rPr>
              <w:t xml:space="preserve"> </w:t>
            </w:r>
            <w:r w:rsidRPr="00D66EE6">
              <w:rPr>
                <w:rFonts w:cs="Arial"/>
                <w:sz w:val="20"/>
              </w:rPr>
              <w:t>(which states it is ‘an ancillary guide only’ that ‘does not replace or supersede state, territory or organisational policies on credentialing’)</w:t>
            </w:r>
            <w:r w:rsidR="00882B22">
              <w:rPr>
                <w:rFonts w:cs="Arial"/>
                <w:sz w:val="20"/>
              </w:rPr>
              <w:t xml:space="preserve"> </w:t>
            </w:r>
            <w:r w:rsidRPr="00D66EE6">
              <w:rPr>
                <w:rFonts w:cs="Arial"/>
                <w:sz w:val="20"/>
              </w:rPr>
              <w:t xml:space="preserve">suggests that </w:t>
            </w:r>
            <w:r w:rsidRPr="00D66EE6">
              <w:rPr>
                <w:rFonts w:cs="Arial"/>
                <w:i/>
                <w:iCs/>
                <w:sz w:val="20"/>
              </w:rPr>
              <w:t>scope of practice</w:t>
            </w:r>
            <w:r w:rsidRPr="00D66EE6">
              <w:rPr>
                <w:rFonts w:cs="Arial"/>
                <w:sz w:val="20"/>
              </w:rPr>
              <w:t xml:space="preserve"> should be reviewed ‘at least every 5 years’. </w:t>
            </w:r>
          </w:p>
          <w:p w14:paraId="48B01923" w14:textId="7761BA4C" w:rsidR="00814E00" w:rsidRPr="00D66EE6" w:rsidRDefault="00814E00" w:rsidP="0093336A">
            <w:pPr>
              <w:rPr>
                <w:rFonts w:cs="Arial"/>
                <w:sz w:val="20"/>
              </w:rPr>
            </w:pPr>
            <w:r w:rsidRPr="00D66EE6">
              <w:rPr>
                <w:rFonts w:cs="Arial"/>
                <w:sz w:val="20"/>
              </w:rPr>
              <w:t>It is understood that the timeframe suggested in the Commission’s guide is a minimum baseline only and that the states should</w:t>
            </w:r>
            <w:r w:rsidR="00A52234">
              <w:rPr>
                <w:rFonts w:cs="Arial"/>
                <w:sz w:val="20"/>
              </w:rPr>
              <w:t xml:space="preserve"> </w:t>
            </w:r>
            <w:r w:rsidRPr="00D66EE6">
              <w:rPr>
                <w:rFonts w:cs="Arial"/>
                <w:sz w:val="20"/>
              </w:rPr>
              <w:t xml:space="preserve">prescribe their own timeframes to best suit their regulatory environment and healthcare system. </w:t>
            </w:r>
          </w:p>
          <w:p w14:paraId="5AEA7F0B" w14:textId="21B510CE" w:rsidR="00814E00" w:rsidRPr="00D66EE6" w:rsidRDefault="00814E00" w:rsidP="0099024C">
            <w:pPr>
              <w:rPr>
                <w:rFonts w:cs="Arial"/>
                <w:sz w:val="20"/>
              </w:rPr>
            </w:pPr>
            <w:r w:rsidRPr="00D66EE6">
              <w:rPr>
                <w:rFonts w:cs="Arial"/>
                <w:sz w:val="20"/>
              </w:rPr>
              <w:t>In Victoria, poor oversight of credentialing and clinicians working outside of scope is a consistent finding in SCV reviews dating back to 2017. This evidence reflects a causal link between avoidable harm and credentialing failures. Victoria will therefore retain the current 3-year requirement to address the systemic credentialing challenges and varied understanding and practice statewide amongst healthcare providers.</w:t>
            </w:r>
          </w:p>
          <w:p w14:paraId="627A6EF1" w14:textId="74DCE87A" w:rsidR="00814E00" w:rsidRPr="00D66EE6" w:rsidRDefault="00814E00" w:rsidP="0009236E">
            <w:pPr>
              <w:rPr>
                <w:rFonts w:cs="Arial"/>
                <w:sz w:val="20"/>
              </w:rPr>
            </w:pPr>
            <w:r w:rsidRPr="00D66EE6">
              <w:rPr>
                <w:rFonts w:cs="Arial"/>
                <w:sz w:val="20"/>
              </w:rPr>
              <w:t xml:space="preserve">In response to </w:t>
            </w:r>
            <w:r w:rsidRPr="00D66EE6">
              <w:rPr>
                <w:rFonts w:cs="Arial"/>
                <w:b/>
                <w:bCs/>
                <w:sz w:val="20"/>
              </w:rPr>
              <w:t>ANMF’</w:t>
            </w:r>
            <w:r w:rsidRPr="00D66EE6">
              <w:rPr>
                <w:rFonts w:cs="Arial"/>
                <w:sz w:val="20"/>
              </w:rPr>
              <w:t xml:space="preserve">s concern: </w:t>
            </w:r>
          </w:p>
          <w:p w14:paraId="0DFEF1F7" w14:textId="7C795A15" w:rsidR="00814E00" w:rsidRPr="00D66EE6" w:rsidRDefault="00814E00" w:rsidP="0099024C">
            <w:pPr>
              <w:rPr>
                <w:rFonts w:cs="Arial"/>
                <w:i/>
                <w:iCs/>
                <w:sz w:val="20"/>
              </w:rPr>
            </w:pPr>
            <w:r w:rsidRPr="00D66EE6">
              <w:rPr>
                <w:rFonts w:cs="Arial"/>
                <w:sz w:val="20"/>
              </w:rPr>
              <w:t xml:space="preserve">The current and proposed regulations relating to credentialing and scope of practice apply only to </w:t>
            </w:r>
            <w:r w:rsidRPr="00D66EE6">
              <w:rPr>
                <w:rFonts w:cs="Arial"/>
                <w:i/>
                <w:iCs/>
                <w:sz w:val="20"/>
              </w:rPr>
              <w:t>health professionals</w:t>
            </w:r>
            <w:r w:rsidRPr="00D66EE6">
              <w:rPr>
                <w:rFonts w:cs="Arial"/>
                <w:sz w:val="20"/>
              </w:rPr>
              <w:t>, defined in the Regulations as:</w:t>
            </w:r>
          </w:p>
          <w:p w14:paraId="08953F1D" w14:textId="77777777" w:rsidR="00814E00" w:rsidRPr="00D66EE6" w:rsidRDefault="00814E00" w:rsidP="00D037D3">
            <w:pPr>
              <w:ind w:left="360"/>
              <w:rPr>
                <w:rFonts w:cs="Arial"/>
                <w:i/>
                <w:iCs/>
                <w:sz w:val="20"/>
              </w:rPr>
            </w:pPr>
            <w:r w:rsidRPr="00D66EE6">
              <w:rPr>
                <w:rFonts w:cs="Arial"/>
                <w:i/>
                <w:iCs/>
                <w:sz w:val="20"/>
              </w:rPr>
              <w:t>a registered medical practitioner, a registered dental practitioner, a registered medical radiation practitioner or a registered podiatrist.</w:t>
            </w:r>
          </w:p>
          <w:p w14:paraId="60A2FFB8" w14:textId="012A39AA" w:rsidR="00814E00" w:rsidRPr="00D66EE6" w:rsidRDefault="00814E00" w:rsidP="0099024C">
            <w:pPr>
              <w:rPr>
                <w:rFonts w:cs="Arial"/>
                <w:sz w:val="20"/>
              </w:rPr>
            </w:pPr>
            <w:r w:rsidRPr="00D66EE6">
              <w:rPr>
                <w:rFonts w:cs="Arial"/>
                <w:sz w:val="20"/>
              </w:rPr>
              <w:t>Nurses and midwives are therefore out of scope of rr</w:t>
            </w:r>
            <w:r w:rsidR="006B6A1A">
              <w:rPr>
                <w:rFonts w:cs="Arial"/>
                <w:sz w:val="20"/>
              </w:rPr>
              <w:t>.</w:t>
            </w:r>
            <w:r w:rsidRPr="00D66EE6">
              <w:rPr>
                <w:rFonts w:cs="Arial"/>
                <w:sz w:val="20"/>
              </w:rPr>
              <w:t xml:space="preserve">8(3)(a) and (b). </w:t>
            </w:r>
          </w:p>
          <w:p w14:paraId="356D1F04" w14:textId="4BF2F0EB" w:rsidR="00814E00" w:rsidRPr="00D66EE6" w:rsidRDefault="00814E00" w:rsidP="00D037D3">
            <w:pPr>
              <w:rPr>
                <w:rFonts w:cs="Arial"/>
                <w:sz w:val="20"/>
              </w:rPr>
            </w:pPr>
            <w:r w:rsidRPr="00D66EE6">
              <w:rPr>
                <w:rFonts w:cs="Arial"/>
                <w:sz w:val="20"/>
              </w:rPr>
              <w:t xml:space="preserve">Note also that rr.32, 33 and 34 set out the requirements for qualifications and relevant experience of nurses and midwives. </w:t>
            </w:r>
          </w:p>
          <w:p w14:paraId="342E123D" w14:textId="77777777" w:rsidR="00814E00" w:rsidRPr="00D66EE6" w:rsidRDefault="00814E00" w:rsidP="00D037D3">
            <w:pPr>
              <w:rPr>
                <w:rFonts w:cs="Arial"/>
                <w:bCs/>
                <w:sz w:val="20"/>
              </w:rPr>
            </w:pPr>
            <w:r w:rsidRPr="00D66EE6">
              <w:rPr>
                <w:rFonts w:cs="Arial"/>
                <w:bCs/>
                <w:sz w:val="20"/>
              </w:rPr>
              <w:t xml:space="preserve">In response to </w:t>
            </w:r>
            <w:r w:rsidRPr="00D66EE6">
              <w:rPr>
                <w:rFonts w:cs="Arial"/>
                <w:b/>
                <w:sz w:val="20"/>
              </w:rPr>
              <w:t xml:space="preserve">ASMIRT’s </w:t>
            </w:r>
            <w:r w:rsidRPr="00D66EE6">
              <w:rPr>
                <w:rFonts w:cs="Arial"/>
                <w:bCs/>
                <w:sz w:val="20"/>
              </w:rPr>
              <w:t>feedback:</w:t>
            </w:r>
          </w:p>
          <w:p w14:paraId="74CC212C" w14:textId="64A037F8" w:rsidR="00814E00" w:rsidRPr="00D66EE6" w:rsidRDefault="00814E00" w:rsidP="00131778">
            <w:pPr>
              <w:pStyle w:val="ListParagraph"/>
              <w:numPr>
                <w:ilvl w:val="0"/>
                <w:numId w:val="30"/>
              </w:numPr>
              <w:spacing w:before="160" w:after="160" w:line="276" w:lineRule="auto"/>
              <w:contextualSpacing/>
              <w:rPr>
                <w:rFonts w:ascii="Arial" w:hAnsi="Arial" w:cs="Arial"/>
                <w:sz w:val="20"/>
                <w:szCs w:val="20"/>
              </w:rPr>
            </w:pPr>
            <w:r w:rsidRPr="00D66EE6">
              <w:rPr>
                <w:rFonts w:ascii="Arial" w:hAnsi="Arial" w:cs="Arial"/>
                <w:sz w:val="20"/>
                <w:szCs w:val="20"/>
              </w:rPr>
              <w:t>Verifying annual Ahpra registrations is common practice in HSEs. These checks would contribute to the comprehensive credentialing process to be undertaken at least every 3 years under r.8(3)(a), and to the processes for continually assessing the competence and performance of each professional practising at the HSE under r.8(3)(c).</w:t>
            </w:r>
          </w:p>
          <w:p w14:paraId="0FDA3C25" w14:textId="02F29E9A" w:rsidR="00814E00" w:rsidRPr="00D66EE6" w:rsidRDefault="00814E00" w:rsidP="00131778">
            <w:pPr>
              <w:pStyle w:val="ListParagraph"/>
              <w:numPr>
                <w:ilvl w:val="0"/>
                <w:numId w:val="30"/>
              </w:numPr>
              <w:spacing w:before="160" w:after="160" w:line="276" w:lineRule="auto"/>
              <w:contextualSpacing/>
              <w:rPr>
                <w:rFonts w:ascii="Arial" w:hAnsi="Arial" w:cs="Arial"/>
                <w:sz w:val="20"/>
                <w:szCs w:val="20"/>
              </w:rPr>
            </w:pPr>
            <w:r w:rsidRPr="00D66EE6">
              <w:rPr>
                <w:rFonts w:ascii="Arial" w:hAnsi="Arial" w:cs="Arial"/>
                <w:sz w:val="20"/>
                <w:szCs w:val="20"/>
              </w:rPr>
              <w:t xml:space="preserve">The requirement to undertake regular staff performance reviews is not unreasonable and is essential to ensuring safe healthcare. </w:t>
            </w:r>
          </w:p>
          <w:p w14:paraId="4416F0BE" w14:textId="2BC22F2A" w:rsidR="00814E00" w:rsidRPr="00D66EE6" w:rsidRDefault="00151A3B" w:rsidP="00131778">
            <w:pPr>
              <w:pStyle w:val="ListParagraph"/>
              <w:numPr>
                <w:ilvl w:val="0"/>
                <w:numId w:val="30"/>
              </w:numPr>
              <w:spacing w:before="160" w:after="160" w:line="276" w:lineRule="auto"/>
              <w:contextualSpacing/>
              <w:rPr>
                <w:rFonts w:ascii="Arial" w:hAnsi="Arial" w:cs="Arial"/>
                <w:bCs/>
                <w:sz w:val="20"/>
                <w:szCs w:val="20"/>
              </w:rPr>
            </w:pPr>
            <w:r>
              <w:rPr>
                <w:rFonts w:ascii="Arial" w:hAnsi="Arial" w:cs="Arial"/>
                <w:sz w:val="20"/>
                <w:szCs w:val="20"/>
              </w:rPr>
              <w:t xml:space="preserve">This Regulation </w:t>
            </w:r>
            <w:r w:rsidR="001F4A04">
              <w:rPr>
                <w:rFonts w:ascii="Arial" w:hAnsi="Arial" w:cs="Arial"/>
                <w:sz w:val="20"/>
                <w:szCs w:val="20"/>
              </w:rPr>
              <w:t xml:space="preserve">as a whole </w:t>
            </w:r>
            <w:r w:rsidR="00542EDE">
              <w:rPr>
                <w:rFonts w:ascii="Arial" w:hAnsi="Arial" w:cs="Arial"/>
                <w:sz w:val="20"/>
                <w:szCs w:val="20"/>
              </w:rPr>
              <w:t xml:space="preserve">is about systems and </w:t>
            </w:r>
            <w:r w:rsidR="00993B97" w:rsidRPr="00993B97">
              <w:rPr>
                <w:rFonts w:ascii="Arial" w:hAnsi="Arial" w:cs="Arial"/>
                <w:sz w:val="20"/>
                <w:szCs w:val="20"/>
              </w:rPr>
              <w:t>clinical governance</w:t>
            </w:r>
            <w:r w:rsidR="00104965">
              <w:rPr>
                <w:rFonts w:ascii="Arial" w:hAnsi="Arial" w:cs="Arial"/>
                <w:sz w:val="20"/>
                <w:szCs w:val="20"/>
              </w:rPr>
              <w:t xml:space="preserve"> a</w:t>
            </w:r>
            <w:r w:rsidR="00832250">
              <w:rPr>
                <w:rFonts w:ascii="Arial" w:hAnsi="Arial" w:cs="Arial"/>
                <w:sz w:val="20"/>
                <w:szCs w:val="20"/>
              </w:rPr>
              <w:t>t an organisational</w:t>
            </w:r>
            <w:r w:rsidR="00AA0BC6">
              <w:rPr>
                <w:rFonts w:ascii="Arial" w:hAnsi="Arial" w:cs="Arial"/>
                <w:sz w:val="20"/>
                <w:szCs w:val="20"/>
              </w:rPr>
              <w:t xml:space="preserve"> level</w:t>
            </w:r>
            <w:r w:rsidR="008F29E1">
              <w:rPr>
                <w:rFonts w:ascii="Arial" w:hAnsi="Arial" w:cs="Arial"/>
                <w:sz w:val="20"/>
                <w:szCs w:val="20"/>
              </w:rPr>
              <w:t>.</w:t>
            </w:r>
            <w:r w:rsidR="00DC4FA9" w:rsidRPr="00D66EE6">
              <w:rPr>
                <w:rFonts w:ascii="Arial" w:hAnsi="Arial" w:cs="Arial"/>
                <w:bCs/>
                <w:sz w:val="20"/>
                <w:szCs w:val="20"/>
              </w:rPr>
              <w:t xml:space="preserve"> </w:t>
            </w:r>
          </w:p>
        </w:tc>
      </w:tr>
      <w:tr w:rsidR="00814E00" w:rsidRPr="00D66EE6" w14:paraId="290295DD" w14:textId="77777777" w:rsidTr="00D66EE6">
        <w:tc>
          <w:tcPr>
            <w:tcW w:w="288" w:type="pct"/>
            <w:shd w:val="clear" w:color="auto" w:fill="auto"/>
          </w:tcPr>
          <w:p w14:paraId="1E7AD766" w14:textId="77777777" w:rsidR="00814E00" w:rsidRPr="00D66EE6" w:rsidRDefault="00814E00" w:rsidP="001F067C">
            <w:pPr>
              <w:rPr>
                <w:rFonts w:cs="Arial"/>
                <w:sz w:val="20"/>
              </w:rPr>
            </w:pPr>
            <w:r w:rsidRPr="00D66EE6">
              <w:rPr>
                <w:rFonts w:cs="Arial"/>
                <w:sz w:val="20"/>
              </w:rPr>
              <w:lastRenderedPageBreak/>
              <w:t>7A(3)</w:t>
            </w:r>
          </w:p>
          <w:p w14:paraId="74979B6C" w14:textId="69A622C4" w:rsidR="00814E00" w:rsidRPr="00D66EE6" w:rsidRDefault="00814E00" w:rsidP="001F067C">
            <w:pPr>
              <w:rPr>
                <w:rFonts w:cs="Arial"/>
                <w:sz w:val="20"/>
              </w:rPr>
            </w:pPr>
            <w:r w:rsidRPr="00D66EE6">
              <w:rPr>
                <w:rFonts w:cs="Arial"/>
                <w:color w:val="FF0000"/>
                <w:sz w:val="20"/>
              </w:rPr>
              <w:t>8(3)</w:t>
            </w:r>
          </w:p>
        </w:tc>
        <w:tc>
          <w:tcPr>
            <w:tcW w:w="1570" w:type="pct"/>
            <w:shd w:val="clear" w:color="auto" w:fill="auto"/>
          </w:tcPr>
          <w:p w14:paraId="58C8C273" w14:textId="77777777" w:rsidR="00814E00" w:rsidRPr="00D66EE6" w:rsidRDefault="00814E00" w:rsidP="00131778">
            <w:pPr>
              <w:pStyle w:val="ListParagraph"/>
              <w:numPr>
                <w:ilvl w:val="0"/>
                <w:numId w:val="47"/>
              </w:numPr>
              <w:spacing w:before="160" w:after="160" w:line="276" w:lineRule="auto"/>
              <w:contextualSpacing/>
              <w:rPr>
                <w:rFonts w:ascii="Arial" w:hAnsi="Arial" w:cs="Arial"/>
                <w:sz w:val="20"/>
                <w:szCs w:val="20"/>
              </w:rPr>
            </w:pPr>
            <w:r w:rsidRPr="00D66EE6">
              <w:rPr>
                <w:rFonts w:ascii="Arial" w:hAnsi="Arial" w:cs="Arial"/>
                <w:sz w:val="20"/>
                <w:szCs w:val="20"/>
              </w:rPr>
              <w:t>The health service establishment protocols must include the following—</w:t>
            </w:r>
          </w:p>
          <w:p w14:paraId="77328241" w14:textId="17838831" w:rsidR="00814E00" w:rsidRPr="00D66EE6" w:rsidRDefault="00814E00" w:rsidP="00131778">
            <w:pPr>
              <w:pStyle w:val="ListParagraph"/>
              <w:numPr>
                <w:ilvl w:val="1"/>
                <w:numId w:val="48"/>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 xml:space="preserve">on and from 28 February 2025, the description and allocation of safety and quality roles in relation to the health service establishment;                                             </w:t>
            </w:r>
          </w:p>
        </w:tc>
        <w:tc>
          <w:tcPr>
            <w:tcW w:w="1571" w:type="pct"/>
            <w:shd w:val="clear" w:color="auto" w:fill="auto"/>
          </w:tcPr>
          <w:p w14:paraId="670F7F4D" w14:textId="77777777" w:rsidR="00325CBA" w:rsidRPr="00325CBA" w:rsidRDefault="00325CBA" w:rsidP="00325CBA">
            <w:pPr>
              <w:rPr>
                <w:rFonts w:cs="Arial"/>
                <w:b/>
                <w:bCs/>
                <w:sz w:val="20"/>
              </w:rPr>
            </w:pPr>
            <w:r w:rsidRPr="00325CBA">
              <w:rPr>
                <w:b/>
                <w:bCs/>
                <w:sz w:val="20"/>
              </w:rPr>
              <w:t xml:space="preserve">CHA/anonymous </w:t>
            </w:r>
          </w:p>
          <w:p w14:paraId="45A65F81" w14:textId="37C61F9C" w:rsidR="00814E00" w:rsidRPr="00D66EE6" w:rsidRDefault="00814E00" w:rsidP="00131778">
            <w:pPr>
              <w:pStyle w:val="ListParagraph"/>
              <w:numPr>
                <w:ilvl w:val="0"/>
                <w:numId w:val="30"/>
              </w:numPr>
              <w:spacing w:before="160" w:after="160" w:line="276" w:lineRule="auto"/>
              <w:contextualSpacing/>
              <w:rPr>
                <w:rFonts w:ascii="Arial" w:hAnsi="Arial" w:cs="Arial"/>
                <w:sz w:val="20"/>
                <w:szCs w:val="20"/>
              </w:rPr>
            </w:pPr>
            <w:r w:rsidRPr="00D66EE6">
              <w:rPr>
                <w:rFonts w:ascii="Arial" w:hAnsi="Arial" w:cs="Arial"/>
                <w:sz w:val="20"/>
                <w:szCs w:val="20"/>
              </w:rPr>
              <w:t xml:space="preserve">Oppose the requirement to include the </w:t>
            </w:r>
            <w:r w:rsidRPr="004F0C36">
              <w:rPr>
                <w:rFonts w:ascii="Arial" w:hAnsi="Arial" w:cs="Arial"/>
                <w:i/>
                <w:iCs/>
                <w:sz w:val="20"/>
                <w:szCs w:val="20"/>
              </w:rPr>
              <w:t>description and allocation of safety and quality roles</w:t>
            </w:r>
            <w:r w:rsidRPr="00D66EE6">
              <w:rPr>
                <w:rFonts w:ascii="Arial" w:hAnsi="Arial" w:cs="Arial"/>
                <w:sz w:val="20"/>
                <w:szCs w:val="20"/>
              </w:rPr>
              <w:t xml:space="preserve"> because HSEs already notify the Regulator of key positions (DON, CEO).</w:t>
            </w:r>
          </w:p>
          <w:p w14:paraId="24CBED78" w14:textId="19B814DA" w:rsidR="00814E00" w:rsidRPr="00D66EE6" w:rsidRDefault="00814E00" w:rsidP="00131778">
            <w:pPr>
              <w:pStyle w:val="ListParagraph"/>
              <w:numPr>
                <w:ilvl w:val="0"/>
                <w:numId w:val="30"/>
              </w:numPr>
              <w:spacing w:before="160" w:after="160" w:line="276" w:lineRule="auto"/>
              <w:contextualSpacing/>
              <w:rPr>
                <w:rFonts w:ascii="Arial" w:hAnsi="Arial" w:cs="Arial"/>
                <w:sz w:val="20"/>
                <w:szCs w:val="20"/>
              </w:rPr>
            </w:pPr>
            <w:r w:rsidRPr="00D66EE6">
              <w:rPr>
                <w:rFonts w:ascii="Arial" w:hAnsi="Arial" w:cs="Arial"/>
                <w:sz w:val="20"/>
                <w:szCs w:val="20"/>
              </w:rPr>
              <w:lastRenderedPageBreak/>
              <w:t xml:space="preserve">Propose 12 months (not 6) for all new requirements under r.8(3) to commence due to </w:t>
            </w:r>
            <w:r w:rsidR="00565090">
              <w:rPr>
                <w:rFonts w:ascii="Arial" w:hAnsi="Arial" w:cs="Arial"/>
                <w:sz w:val="20"/>
                <w:szCs w:val="20"/>
              </w:rPr>
              <w:t>‘</w:t>
            </w:r>
            <w:r w:rsidRPr="00D66EE6">
              <w:rPr>
                <w:rFonts w:ascii="Arial" w:hAnsi="Arial" w:cs="Arial"/>
                <w:sz w:val="20"/>
                <w:szCs w:val="20"/>
              </w:rPr>
              <w:t>financial viability concerns of the private health industry</w:t>
            </w:r>
            <w:r w:rsidR="00565090">
              <w:rPr>
                <w:rFonts w:ascii="Arial" w:hAnsi="Arial" w:cs="Arial"/>
                <w:sz w:val="20"/>
                <w:szCs w:val="20"/>
              </w:rPr>
              <w:t>’</w:t>
            </w:r>
            <w:r w:rsidRPr="00D66EE6">
              <w:rPr>
                <w:rFonts w:ascii="Arial" w:hAnsi="Arial" w:cs="Arial"/>
                <w:sz w:val="20"/>
                <w:szCs w:val="20"/>
              </w:rPr>
              <w:t>.</w:t>
            </w:r>
          </w:p>
          <w:p w14:paraId="2CF95A21" w14:textId="77777777" w:rsidR="00814E00" w:rsidRPr="00D66EE6" w:rsidRDefault="00814E00" w:rsidP="00D31560">
            <w:pPr>
              <w:rPr>
                <w:rFonts w:cs="Arial"/>
                <w:b/>
                <w:bCs/>
                <w:sz w:val="20"/>
              </w:rPr>
            </w:pPr>
            <w:r w:rsidRPr="00D66EE6">
              <w:rPr>
                <w:rFonts w:cs="Arial"/>
                <w:b/>
                <w:bCs/>
                <w:sz w:val="20"/>
              </w:rPr>
              <w:t>ASMIRT</w:t>
            </w:r>
          </w:p>
          <w:p w14:paraId="7E5A1E9E" w14:textId="6EAF1875" w:rsidR="00814E00" w:rsidRPr="00D66EE6" w:rsidRDefault="00454421" w:rsidP="00127751">
            <w:pPr>
              <w:spacing w:before="160" w:after="160" w:line="276" w:lineRule="auto"/>
              <w:contextualSpacing/>
              <w:rPr>
                <w:rFonts w:cs="Arial"/>
                <w:sz w:val="20"/>
              </w:rPr>
            </w:pPr>
            <w:r>
              <w:rPr>
                <w:rFonts w:cs="Arial"/>
                <w:sz w:val="20"/>
              </w:rPr>
              <w:t>‘</w:t>
            </w:r>
            <w:r w:rsidR="00814E00" w:rsidRPr="00D66EE6">
              <w:rPr>
                <w:rFonts w:cs="Arial"/>
                <w:sz w:val="20"/>
              </w:rPr>
              <w:t>Ensure consideration is made of quality roles already established outside of nursing if applicable. Agree.</w:t>
            </w:r>
            <w:r>
              <w:rPr>
                <w:rFonts w:cs="Arial"/>
                <w:sz w:val="20"/>
              </w:rPr>
              <w:t>’</w:t>
            </w:r>
          </w:p>
          <w:p w14:paraId="1619D859" w14:textId="77777777" w:rsidR="00814E00" w:rsidRPr="00D66EE6" w:rsidRDefault="00814E00" w:rsidP="00D31560">
            <w:pPr>
              <w:spacing w:before="160" w:after="160" w:line="276" w:lineRule="auto"/>
              <w:contextualSpacing/>
              <w:rPr>
                <w:rFonts w:cs="Arial"/>
                <w:sz w:val="20"/>
              </w:rPr>
            </w:pPr>
          </w:p>
          <w:p w14:paraId="316F5B0D" w14:textId="77777777" w:rsidR="00814E00" w:rsidRPr="00D66EE6" w:rsidRDefault="00814E00" w:rsidP="001F067C">
            <w:pPr>
              <w:rPr>
                <w:rFonts w:cs="Arial"/>
                <w:b/>
                <w:bCs/>
                <w:sz w:val="20"/>
              </w:rPr>
            </w:pPr>
          </w:p>
        </w:tc>
        <w:tc>
          <w:tcPr>
            <w:tcW w:w="1571" w:type="pct"/>
            <w:shd w:val="clear" w:color="auto" w:fill="auto"/>
          </w:tcPr>
          <w:p w14:paraId="4A1C512C" w14:textId="5DC23418" w:rsidR="00814E00" w:rsidRPr="00D66EE6" w:rsidRDefault="00814E00" w:rsidP="00C02B2A">
            <w:pPr>
              <w:rPr>
                <w:rFonts w:cs="Arial"/>
                <w:sz w:val="20"/>
              </w:rPr>
            </w:pPr>
            <w:r w:rsidRPr="00D66EE6">
              <w:rPr>
                <w:rFonts w:cs="Arial"/>
                <w:bCs/>
                <w:sz w:val="20"/>
              </w:rPr>
              <w:lastRenderedPageBreak/>
              <w:t>In</w:t>
            </w:r>
            <w:r w:rsidRPr="00D66EE6">
              <w:rPr>
                <w:rFonts w:cs="Arial"/>
                <w:sz w:val="20"/>
              </w:rPr>
              <w:t xml:space="preserve"> response to </w:t>
            </w:r>
            <w:r w:rsidRPr="00D66EE6">
              <w:rPr>
                <w:rFonts w:cs="Arial"/>
                <w:b/>
                <w:bCs/>
                <w:sz w:val="20"/>
              </w:rPr>
              <w:t>CHA/anonymous:</w:t>
            </w:r>
            <w:r w:rsidRPr="00D66EE6">
              <w:rPr>
                <w:rFonts w:cs="Arial"/>
                <w:sz w:val="20"/>
              </w:rPr>
              <w:t xml:space="preserve"> </w:t>
            </w:r>
          </w:p>
          <w:p w14:paraId="3F78420E" w14:textId="6F5198B6" w:rsidR="00814E00" w:rsidRPr="00D66EE6" w:rsidRDefault="00814E00" w:rsidP="00131778">
            <w:pPr>
              <w:pStyle w:val="ListParagraph"/>
              <w:numPr>
                <w:ilvl w:val="0"/>
                <w:numId w:val="30"/>
              </w:numPr>
              <w:spacing w:before="160" w:after="160" w:line="276" w:lineRule="auto"/>
              <w:contextualSpacing/>
              <w:rPr>
                <w:rFonts w:ascii="Arial" w:hAnsi="Arial" w:cs="Arial"/>
                <w:sz w:val="20"/>
                <w:szCs w:val="20"/>
              </w:rPr>
            </w:pPr>
            <w:r w:rsidRPr="00D66EE6">
              <w:rPr>
                <w:rFonts w:ascii="Arial" w:hAnsi="Arial" w:cs="Arial"/>
                <w:sz w:val="20"/>
                <w:szCs w:val="20"/>
              </w:rPr>
              <w:t xml:space="preserve">The </w:t>
            </w:r>
            <w:r w:rsidR="00C87601">
              <w:rPr>
                <w:rFonts w:ascii="Arial" w:hAnsi="Arial" w:cs="Arial"/>
                <w:sz w:val="20"/>
                <w:szCs w:val="20"/>
              </w:rPr>
              <w:t>department</w:t>
            </w:r>
            <w:r w:rsidRPr="00D66EE6">
              <w:rPr>
                <w:rFonts w:ascii="Arial" w:hAnsi="Arial" w:cs="Arial"/>
                <w:sz w:val="20"/>
                <w:szCs w:val="20"/>
              </w:rPr>
              <w:t xml:space="preserve">’s view is that notifications about the appointment of individuals into key roles (such as DON and CEO) is not the same as requiring the quality and safety protocols to clearly articulate the </w:t>
            </w:r>
            <w:r w:rsidRPr="00D66EE6">
              <w:rPr>
                <w:rFonts w:ascii="Arial" w:hAnsi="Arial" w:cs="Arial"/>
                <w:sz w:val="20"/>
                <w:szCs w:val="20"/>
              </w:rPr>
              <w:lastRenderedPageBreak/>
              <w:t xml:space="preserve">responsibilities of these roles and how they are accountable for quality and safety at the HSE. The </w:t>
            </w:r>
            <w:r w:rsidR="00C87601">
              <w:rPr>
                <w:rFonts w:ascii="Arial" w:hAnsi="Arial" w:cs="Arial"/>
                <w:sz w:val="20"/>
                <w:szCs w:val="20"/>
              </w:rPr>
              <w:t>department</w:t>
            </w:r>
            <w:r w:rsidRPr="00D66EE6">
              <w:rPr>
                <w:rFonts w:ascii="Arial" w:hAnsi="Arial" w:cs="Arial"/>
                <w:sz w:val="20"/>
                <w:szCs w:val="20"/>
              </w:rPr>
              <w:t xml:space="preserve"> will proceed with the new Regulation as clarity about quality and safety roles and responsibilities within an HSE is a foundation of effective clinical governance. </w:t>
            </w:r>
          </w:p>
          <w:p w14:paraId="18296DB8" w14:textId="77777777" w:rsidR="00814E00" w:rsidRPr="00D66EE6" w:rsidRDefault="00814E00" w:rsidP="00C02B2A">
            <w:pPr>
              <w:pStyle w:val="ListParagraph"/>
              <w:spacing w:before="160" w:after="160" w:line="276" w:lineRule="auto"/>
              <w:ind w:left="360"/>
              <w:contextualSpacing/>
              <w:rPr>
                <w:rFonts w:ascii="Arial" w:hAnsi="Arial" w:cs="Arial"/>
                <w:sz w:val="20"/>
                <w:szCs w:val="20"/>
              </w:rPr>
            </w:pPr>
          </w:p>
          <w:p w14:paraId="1804E1C9" w14:textId="51BC34DA" w:rsidR="00814E00" w:rsidRPr="00D66EE6" w:rsidRDefault="00814E00" w:rsidP="002F369A">
            <w:pPr>
              <w:pStyle w:val="ListParagraph"/>
              <w:numPr>
                <w:ilvl w:val="0"/>
                <w:numId w:val="30"/>
              </w:numPr>
              <w:spacing w:before="160" w:after="160" w:line="276" w:lineRule="auto"/>
              <w:contextualSpacing/>
              <w:rPr>
                <w:rFonts w:cs="Arial"/>
                <w:sz w:val="20"/>
              </w:rPr>
            </w:pPr>
            <w:r w:rsidRPr="00D66EE6">
              <w:rPr>
                <w:rFonts w:ascii="Arial" w:hAnsi="Arial" w:cs="Arial"/>
                <w:sz w:val="20"/>
                <w:szCs w:val="20"/>
              </w:rPr>
              <w:t xml:space="preserve">The </w:t>
            </w:r>
            <w:r w:rsidR="00C87601">
              <w:rPr>
                <w:rFonts w:ascii="Arial" w:hAnsi="Arial" w:cs="Arial"/>
                <w:sz w:val="20"/>
                <w:szCs w:val="20"/>
              </w:rPr>
              <w:t>department</w:t>
            </w:r>
            <w:r w:rsidRPr="00D66EE6">
              <w:rPr>
                <w:rFonts w:ascii="Arial" w:hAnsi="Arial" w:cs="Arial"/>
                <w:sz w:val="20"/>
                <w:szCs w:val="20"/>
              </w:rPr>
              <w:t xml:space="preserve"> has considered and accepted the proposal for a 12-month commencement date for all new requirements under r.8(3). </w:t>
            </w:r>
            <w:r w:rsidRPr="00D66EE6">
              <w:rPr>
                <w:rFonts w:ascii="Arial" w:hAnsi="Arial" w:cs="Arial"/>
                <w:sz w:val="20"/>
                <w:szCs w:val="20"/>
              </w:rPr>
              <w:br/>
              <w:t xml:space="preserve">This will allow time for the sector to prepare for and implement these changes. This </w:t>
            </w:r>
            <w:r w:rsidR="00D71183">
              <w:rPr>
                <w:rFonts w:ascii="Arial" w:hAnsi="Arial" w:cs="Arial"/>
                <w:sz w:val="20"/>
                <w:szCs w:val="20"/>
              </w:rPr>
              <w:t>R</w:t>
            </w:r>
            <w:r w:rsidRPr="00D66EE6">
              <w:rPr>
                <w:rFonts w:ascii="Arial" w:hAnsi="Arial" w:cs="Arial"/>
                <w:sz w:val="20"/>
                <w:szCs w:val="20"/>
              </w:rPr>
              <w:t>egulation will now appear as:</w:t>
            </w:r>
            <w:r w:rsidRPr="00D66EE6">
              <w:rPr>
                <w:rFonts w:ascii="Arial" w:hAnsi="Arial" w:cs="Arial"/>
                <w:sz w:val="20"/>
                <w:szCs w:val="20"/>
              </w:rPr>
              <w:br/>
            </w:r>
            <w:r w:rsidRPr="00D66EE6">
              <w:rPr>
                <w:rFonts w:ascii="Arial" w:hAnsi="Arial" w:cs="Arial"/>
                <w:color w:val="FF0000"/>
                <w:sz w:val="20"/>
                <w:szCs w:val="20"/>
              </w:rPr>
              <w:t xml:space="preserve">(h) on and from </w:t>
            </w:r>
            <w:r w:rsidRPr="00D66EE6">
              <w:rPr>
                <w:rFonts w:ascii="Arial" w:hAnsi="Arial" w:cs="Arial"/>
                <w:strike/>
                <w:color w:val="FF0000"/>
                <w:sz w:val="20"/>
                <w:szCs w:val="20"/>
              </w:rPr>
              <w:t>28 February 2025</w:t>
            </w:r>
            <w:r w:rsidRPr="00D66EE6">
              <w:rPr>
                <w:rFonts w:ascii="Arial" w:hAnsi="Arial" w:cs="Arial"/>
                <w:color w:val="FF0000"/>
                <w:sz w:val="20"/>
                <w:szCs w:val="20"/>
              </w:rPr>
              <w:t xml:space="preserve"> 31 August 2025…</w:t>
            </w:r>
          </w:p>
        </w:tc>
      </w:tr>
      <w:tr w:rsidR="00814E00" w:rsidRPr="00D66EE6" w14:paraId="2AA950F1" w14:textId="77777777" w:rsidTr="00D66EE6">
        <w:trPr>
          <w:trHeight w:val="3000"/>
        </w:trPr>
        <w:tc>
          <w:tcPr>
            <w:tcW w:w="288" w:type="pct"/>
            <w:shd w:val="clear" w:color="auto" w:fill="auto"/>
          </w:tcPr>
          <w:p w14:paraId="675FB221" w14:textId="77777777" w:rsidR="00814E00" w:rsidRPr="00D66EE6" w:rsidRDefault="00814E00" w:rsidP="001308AD">
            <w:pPr>
              <w:rPr>
                <w:rFonts w:cs="Arial"/>
                <w:color w:val="FF0000"/>
                <w:sz w:val="20"/>
              </w:rPr>
            </w:pPr>
          </w:p>
        </w:tc>
        <w:tc>
          <w:tcPr>
            <w:tcW w:w="1570" w:type="pct"/>
            <w:shd w:val="clear" w:color="auto" w:fill="auto"/>
          </w:tcPr>
          <w:p w14:paraId="50119B27" w14:textId="77777777" w:rsidR="00814E00" w:rsidRPr="00D66EE6" w:rsidRDefault="00814E00" w:rsidP="00131778">
            <w:pPr>
              <w:pStyle w:val="ListParagraph"/>
              <w:numPr>
                <w:ilvl w:val="0"/>
                <w:numId w:val="49"/>
              </w:numPr>
              <w:spacing w:before="160" w:after="160" w:line="276" w:lineRule="auto"/>
              <w:contextualSpacing/>
              <w:rPr>
                <w:rFonts w:ascii="Arial" w:hAnsi="Arial" w:cs="Arial"/>
                <w:sz w:val="20"/>
                <w:szCs w:val="20"/>
              </w:rPr>
            </w:pPr>
            <w:r w:rsidRPr="00D66EE6">
              <w:rPr>
                <w:rFonts w:ascii="Arial" w:hAnsi="Arial" w:cs="Arial"/>
                <w:sz w:val="20"/>
                <w:szCs w:val="20"/>
              </w:rPr>
              <w:t>The health service establishment protocols must include the following—</w:t>
            </w:r>
          </w:p>
          <w:p w14:paraId="3BE6DFFB" w14:textId="77777777" w:rsidR="00814E00" w:rsidRPr="00D66EE6" w:rsidRDefault="00814E00" w:rsidP="00131778">
            <w:pPr>
              <w:pStyle w:val="ListParagraph"/>
              <w:numPr>
                <w:ilvl w:val="1"/>
                <w:numId w:val="48"/>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on and from 28 February 2025, having regard to the kind or kinds of health services being provided at, or from, the health service establishment, processes and procedures for—</w:t>
            </w:r>
          </w:p>
          <w:p w14:paraId="5D4186E9" w14:textId="6BC2CA37" w:rsidR="00814E00" w:rsidRPr="00D66EE6" w:rsidRDefault="00814E00" w:rsidP="00131778">
            <w:pPr>
              <w:pStyle w:val="ListParagraph"/>
              <w:numPr>
                <w:ilvl w:val="2"/>
                <w:numId w:val="48"/>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 xml:space="preserve">the availability of appropriate adjunct diagnostic services; </w:t>
            </w:r>
          </w:p>
        </w:tc>
        <w:tc>
          <w:tcPr>
            <w:tcW w:w="1571" w:type="pct"/>
            <w:shd w:val="clear" w:color="auto" w:fill="auto"/>
          </w:tcPr>
          <w:p w14:paraId="03FDE02C" w14:textId="77777777" w:rsidR="00325CBA" w:rsidRPr="00325CBA" w:rsidRDefault="00325CBA" w:rsidP="00325CBA">
            <w:pPr>
              <w:rPr>
                <w:rFonts w:cs="Arial"/>
                <w:b/>
                <w:bCs/>
                <w:sz w:val="20"/>
              </w:rPr>
            </w:pPr>
            <w:r w:rsidRPr="00325CBA">
              <w:rPr>
                <w:b/>
                <w:bCs/>
                <w:sz w:val="20"/>
              </w:rPr>
              <w:t xml:space="preserve">CHA/anonymous </w:t>
            </w:r>
          </w:p>
          <w:p w14:paraId="3BC39690" w14:textId="0D8260AB" w:rsidR="00814E00" w:rsidRPr="00D66EE6" w:rsidRDefault="00814E00" w:rsidP="001308AD">
            <w:pPr>
              <w:rPr>
                <w:rFonts w:cs="Arial"/>
                <w:sz w:val="20"/>
              </w:rPr>
            </w:pPr>
            <w:r w:rsidRPr="00D66EE6">
              <w:rPr>
                <w:rFonts w:cs="Arial"/>
                <w:sz w:val="20"/>
              </w:rPr>
              <w:t>Oppose the adjunct diagnostic services requirement because this is covered during AIP and whenever new prescribed services are added to registrations.</w:t>
            </w:r>
          </w:p>
          <w:p w14:paraId="289978E1" w14:textId="77777777" w:rsidR="00814E00" w:rsidRPr="00D66EE6" w:rsidRDefault="00814E00" w:rsidP="00471B65">
            <w:pPr>
              <w:rPr>
                <w:rFonts w:cs="Arial"/>
                <w:b/>
                <w:bCs/>
                <w:sz w:val="20"/>
              </w:rPr>
            </w:pPr>
            <w:r w:rsidRPr="00D66EE6">
              <w:rPr>
                <w:rFonts w:cs="Arial"/>
                <w:b/>
                <w:bCs/>
                <w:sz w:val="20"/>
              </w:rPr>
              <w:t>Healthscope</w:t>
            </w:r>
          </w:p>
          <w:p w14:paraId="22BF210A" w14:textId="2029F5EB" w:rsidR="00814E00" w:rsidRPr="00D66EE6" w:rsidRDefault="00814E00" w:rsidP="00471B65">
            <w:pPr>
              <w:rPr>
                <w:rFonts w:cs="Arial"/>
                <w:sz w:val="20"/>
              </w:rPr>
            </w:pPr>
            <w:r w:rsidRPr="00D66EE6">
              <w:rPr>
                <w:rFonts w:cs="Arial"/>
                <w:sz w:val="20"/>
              </w:rPr>
              <w:t>Does</w:t>
            </w:r>
            <w:r w:rsidRPr="00D66EE6">
              <w:rPr>
                <w:rFonts w:cs="Arial"/>
                <w:b/>
                <w:bCs/>
                <w:sz w:val="20"/>
              </w:rPr>
              <w:t xml:space="preserve"> </w:t>
            </w:r>
            <w:r w:rsidRPr="00D66EE6">
              <w:rPr>
                <w:rFonts w:cs="Arial"/>
                <w:sz w:val="20"/>
              </w:rPr>
              <w:t xml:space="preserve">not support the adjunct diagnostic services requirement as provision of diagnostic services is significantly different in </w:t>
            </w:r>
            <w:r w:rsidR="009E070F">
              <w:rPr>
                <w:rFonts w:cs="Arial"/>
                <w:sz w:val="20"/>
              </w:rPr>
              <w:t xml:space="preserve">the </w:t>
            </w:r>
            <w:r w:rsidRPr="00D66EE6">
              <w:rPr>
                <w:rFonts w:cs="Arial"/>
                <w:sz w:val="20"/>
              </w:rPr>
              <w:t xml:space="preserve">private </w:t>
            </w:r>
            <w:r w:rsidR="009E070F">
              <w:rPr>
                <w:rFonts w:cs="Arial"/>
                <w:sz w:val="20"/>
              </w:rPr>
              <w:t xml:space="preserve">sector </w:t>
            </w:r>
            <w:r w:rsidRPr="00D66EE6">
              <w:rPr>
                <w:rFonts w:cs="Arial"/>
                <w:sz w:val="20"/>
              </w:rPr>
              <w:t xml:space="preserve">than </w:t>
            </w:r>
            <w:r w:rsidR="009E070F">
              <w:rPr>
                <w:rFonts w:cs="Arial"/>
                <w:sz w:val="20"/>
              </w:rPr>
              <w:t xml:space="preserve">in </w:t>
            </w:r>
            <w:r w:rsidRPr="00D66EE6">
              <w:rPr>
                <w:rFonts w:cs="Arial"/>
                <w:sz w:val="20"/>
              </w:rPr>
              <w:t xml:space="preserve">public </w:t>
            </w:r>
            <w:r w:rsidR="009E070F">
              <w:rPr>
                <w:rFonts w:cs="Arial"/>
                <w:sz w:val="20"/>
              </w:rPr>
              <w:t>hospitals</w:t>
            </w:r>
            <w:r w:rsidR="003468E1">
              <w:rPr>
                <w:rFonts w:cs="Arial"/>
                <w:sz w:val="20"/>
              </w:rPr>
              <w:t>,</w:t>
            </w:r>
            <w:r w:rsidR="009E070F">
              <w:rPr>
                <w:rFonts w:cs="Arial"/>
                <w:sz w:val="20"/>
              </w:rPr>
              <w:t xml:space="preserve"> </w:t>
            </w:r>
            <w:r w:rsidRPr="00D66EE6">
              <w:rPr>
                <w:rFonts w:cs="Arial"/>
                <w:sz w:val="20"/>
              </w:rPr>
              <w:t xml:space="preserve">and </w:t>
            </w:r>
            <w:r w:rsidR="000A07F9">
              <w:rPr>
                <w:rFonts w:cs="Arial"/>
                <w:sz w:val="20"/>
              </w:rPr>
              <w:t xml:space="preserve">most </w:t>
            </w:r>
            <w:r w:rsidRPr="00D66EE6">
              <w:rPr>
                <w:rFonts w:cs="Arial"/>
                <w:sz w:val="20"/>
              </w:rPr>
              <w:t xml:space="preserve">are </w:t>
            </w:r>
            <w:r w:rsidR="000A07F9">
              <w:rPr>
                <w:rFonts w:cs="Arial"/>
                <w:sz w:val="20"/>
              </w:rPr>
              <w:t xml:space="preserve">independent </w:t>
            </w:r>
            <w:r w:rsidRPr="00D66EE6">
              <w:rPr>
                <w:rFonts w:cs="Arial"/>
                <w:sz w:val="20"/>
              </w:rPr>
              <w:t>third</w:t>
            </w:r>
            <w:r w:rsidR="000A07F9">
              <w:rPr>
                <w:rFonts w:cs="Arial"/>
                <w:sz w:val="20"/>
              </w:rPr>
              <w:t>-</w:t>
            </w:r>
            <w:r w:rsidRPr="00D66EE6">
              <w:rPr>
                <w:rFonts w:cs="Arial"/>
                <w:sz w:val="20"/>
              </w:rPr>
              <w:t xml:space="preserve">party providers. </w:t>
            </w:r>
            <w:r w:rsidR="00CC35FE">
              <w:rPr>
                <w:rFonts w:cs="Arial"/>
                <w:sz w:val="20"/>
              </w:rPr>
              <w:t>It would n</w:t>
            </w:r>
            <w:r w:rsidRPr="00D66EE6">
              <w:rPr>
                <w:rFonts w:cs="Arial"/>
                <w:sz w:val="20"/>
              </w:rPr>
              <w:t xml:space="preserve">ot </w:t>
            </w:r>
            <w:r w:rsidR="00CC35FE">
              <w:rPr>
                <w:rFonts w:cs="Arial"/>
                <w:sz w:val="20"/>
              </w:rPr>
              <w:t xml:space="preserve">be </w:t>
            </w:r>
            <w:r w:rsidRPr="00D66EE6">
              <w:rPr>
                <w:rFonts w:cs="Arial"/>
                <w:sz w:val="20"/>
              </w:rPr>
              <w:t xml:space="preserve">practical to have processes in place to verify the reliability, availability and timeliness of every adjunct service that sees our patients.  </w:t>
            </w:r>
          </w:p>
          <w:p w14:paraId="31C35661" w14:textId="5F322995" w:rsidR="00814E00" w:rsidRPr="00D66EE6" w:rsidRDefault="00814E00" w:rsidP="00950EC0">
            <w:pPr>
              <w:rPr>
                <w:rFonts w:cs="Arial"/>
                <w:b/>
                <w:sz w:val="20"/>
              </w:rPr>
            </w:pPr>
            <w:r w:rsidRPr="00D66EE6">
              <w:rPr>
                <w:rFonts w:cs="Arial"/>
                <w:b/>
                <w:bCs/>
                <w:sz w:val="20"/>
              </w:rPr>
              <w:t>ANMF</w:t>
            </w:r>
          </w:p>
          <w:p w14:paraId="2619E366" w14:textId="531E3B5F" w:rsidR="00814E00" w:rsidRPr="00D66EE6" w:rsidRDefault="00814E00" w:rsidP="002F369A">
            <w:pPr>
              <w:spacing w:before="160" w:after="160" w:line="276" w:lineRule="auto"/>
              <w:contextualSpacing/>
              <w:rPr>
                <w:rFonts w:cs="Arial"/>
                <w:b/>
                <w:bCs/>
                <w:sz w:val="20"/>
                <w:u w:val="single"/>
              </w:rPr>
            </w:pPr>
            <w:r w:rsidRPr="00D66EE6">
              <w:rPr>
                <w:rFonts w:cs="Arial"/>
                <w:sz w:val="20"/>
              </w:rPr>
              <w:t xml:space="preserve">Supports, consistent with previous submission </w:t>
            </w:r>
            <w:r w:rsidR="00CC35FE">
              <w:rPr>
                <w:rFonts w:cs="Arial"/>
                <w:sz w:val="20"/>
              </w:rPr>
              <w:t>‘</w:t>
            </w:r>
            <w:r w:rsidRPr="00D66EE6">
              <w:rPr>
                <w:rFonts w:cs="Arial"/>
                <w:sz w:val="20"/>
              </w:rPr>
              <w:t>timely access to high quality diagnostic serves is a critical element of providing safe patient care</w:t>
            </w:r>
            <w:r w:rsidR="00CC35FE">
              <w:rPr>
                <w:rFonts w:cs="Arial"/>
                <w:sz w:val="20"/>
              </w:rPr>
              <w:t>’</w:t>
            </w:r>
            <w:r w:rsidRPr="00D66EE6">
              <w:rPr>
                <w:rFonts w:cs="Arial"/>
                <w:sz w:val="20"/>
              </w:rPr>
              <w:t>.</w:t>
            </w:r>
          </w:p>
        </w:tc>
        <w:tc>
          <w:tcPr>
            <w:tcW w:w="1571" w:type="pct"/>
            <w:shd w:val="clear" w:color="auto" w:fill="auto"/>
          </w:tcPr>
          <w:p w14:paraId="2543D21C" w14:textId="782F74CC" w:rsidR="00814E00" w:rsidRPr="00D66EE6" w:rsidRDefault="00814E00" w:rsidP="00B52F5A">
            <w:pPr>
              <w:rPr>
                <w:rFonts w:cs="Arial"/>
                <w:sz w:val="20"/>
              </w:rPr>
            </w:pPr>
            <w:r w:rsidRPr="00D66EE6">
              <w:rPr>
                <w:rFonts w:cs="Arial"/>
                <w:sz w:val="20"/>
              </w:rPr>
              <w:t xml:space="preserve">In response to </w:t>
            </w:r>
            <w:r w:rsidRPr="00D66EE6">
              <w:rPr>
                <w:rFonts w:cs="Arial"/>
                <w:b/>
                <w:bCs/>
                <w:sz w:val="20"/>
              </w:rPr>
              <w:t>CHA/anonymous</w:t>
            </w:r>
            <w:r w:rsidRPr="00D66EE6">
              <w:rPr>
                <w:rFonts w:cs="Arial"/>
                <w:sz w:val="20"/>
              </w:rPr>
              <w:t xml:space="preserve"> and </w:t>
            </w:r>
            <w:r w:rsidRPr="00226A12">
              <w:rPr>
                <w:rFonts w:cs="Arial"/>
                <w:b/>
                <w:bCs/>
                <w:sz w:val="20"/>
              </w:rPr>
              <w:t>Healthscope</w:t>
            </w:r>
            <w:r w:rsidRPr="00D66EE6">
              <w:rPr>
                <w:rFonts w:cs="Arial"/>
                <w:b/>
                <w:bCs/>
                <w:sz w:val="20"/>
              </w:rPr>
              <w:t xml:space="preserve"> </w:t>
            </w:r>
            <w:r w:rsidRPr="00D66EE6">
              <w:rPr>
                <w:rFonts w:cs="Arial"/>
                <w:sz w:val="20"/>
              </w:rPr>
              <w:t>feedback about the adjunct</w:t>
            </w:r>
            <w:r w:rsidRPr="00D66EE6">
              <w:rPr>
                <w:rFonts w:cs="Arial"/>
                <w:b/>
                <w:bCs/>
                <w:sz w:val="20"/>
              </w:rPr>
              <w:t xml:space="preserve"> </w:t>
            </w:r>
            <w:r w:rsidRPr="00D66EE6">
              <w:rPr>
                <w:rFonts w:cs="Arial"/>
                <w:sz w:val="20"/>
              </w:rPr>
              <w:t xml:space="preserve">diagnostic services requirement, the intent is that HSEs regularly review and consider their arrangements with adjunct service providers to ensure they continue to be appropriate for the types of health services the HSE provides. Contracted adjunct services may be assessed as sufficient during AIP, but the </w:t>
            </w:r>
            <w:r w:rsidR="00C87601">
              <w:rPr>
                <w:rFonts w:cs="Arial"/>
                <w:sz w:val="20"/>
              </w:rPr>
              <w:t>department</w:t>
            </w:r>
            <w:r w:rsidRPr="00D66EE6">
              <w:rPr>
                <w:rFonts w:cs="Arial"/>
                <w:sz w:val="20"/>
              </w:rPr>
              <w:t xml:space="preserve"> expects that HSEs’ business practices would require contracts to be periodically renewed (as they would with any supplier, and regardless of whether the health service is public or private). The </w:t>
            </w:r>
            <w:r w:rsidR="00C87601">
              <w:rPr>
                <w:rFonts w:cs="Arial"/>
                <w:sz w:val="20"/>
              </w:rPr>
              <w:t>department</w:t>
            </w:r>
            <w:r w:rsidRPr="00D66EE6">
              <w:rPr>
                <w:rFonts w:cs="Arial"/>
                <w:sz w:val="20"/>
              </w:rPr>
              <w:t xml:space="preserve"> expects that HSEs would, at this time, review service quality and negotiate new SLAs if required. The </w:t>
            </w:r>
            <w:r w:rsidR="00C87601">
              <w:rPr>
                <w:rFonts w:cs="Arial"/>
                <w:sz w:val="20"/>
              </w:rPr>
              <w:t>department</w:t>
            </w:r>
            <w:r w:rsidRPr="00D66EE6">
              <w:rPr>
                <w:rFonts w:cs="Arial"/>
                <w:sz w:val="20"/>
              </w:rPr>
              <w:t xml:space="preserve"> will proceed with the new Regulation as it will allow the Regulator to check that periodic review of the adequacy of adjunct diagnostic services is formalised in a</w:t>
            </w:r>
            <w:r w:rsidR="0099616B">
              <w:rPr>
                <w:rFonts w:cs="Arial"/>
                <w:sz w:val="20"/>
              </w:rPr>
              <w:t>n</w:t>
            </w:r>
            <w:r w:rsidRPr="00D66EE6">
              <w:rPr>
                <w:rFonts w:cs="Arial"/>
                <w:sz w:val="20"/>
              </w:rPr>
              <w:t xml:space="preserve"> HSE’s quality and safety protocols.  </w:t>
            </w:r>
          </w:p>
          <w:p w14:paraId="4A3596F9" w14:textId="38ED2D90" w:rsidR="00814E00" w:rsidRPr="00D66EE6" w:rsidRDefault="00814E00" w:rsidP="001308AD">
            <w:pPr>
              <w:rPr>
                <w:rFonts w:cs="Arial"/>
                <w:sz w:val="20"/>
              </w:rPr>
            </w:pPr>
            <w:r w:rsidRPr="00D66EE6">
              <w:rPr>
                <w:rFonts w:cs="Arial"/>
                <w:sz w:val="20"/>
              </w:rPr>
              <w:t>As above, the commencement date will be changed to:</w:t>
            </w:r>
            <w:r w:rsidRPr="00D66EE6">
              <w:rPr>
                <w:rFonts w:cs="Arial"/>
                <w:sz w:val="20"/>
              </w:rPr>
              <w:br/>
            </w:r>
            <w:r w:rsidRPr="00D66EE6">
              <w:rPr>
                <w:rFonts w:cs="Arial"/>
                <w:color w:val="FF0000"/>
                <w:sz w:val="20"/>
              </w:rPr>
              <w:t xml:space="preserve">(i) on and from </w:t>
            </w:r>
            <w:r w:rsidRPr="00D66EE6">
              <w:rPr>
                <w:rFonts w:cs="Arial"/>
                <w:strike/>
                <w:color w:val="FF0000"/>
                <w:sz w:val="20"/>
              </w:rPr>
              <w:t>28 February 2025</w:t>
            </w:r>
            <w:r w:rsidRPr="00D66EE6">
              <w:rPr>
                <w:rFonts w:cs="Arial"/>
                <w:color w:val="FF0000"/>
                <w:sz w:val="20"/>
              </w:rPr>
              <w:t xml:space="preserve"> 31 August 2025…</w:t>
            </w:r>
            <w:r w:rsidRPr="00D66EE6">
              <w:rPr>
                <w:rFonts w:cs="Arial"/>
                <w:sz w:val="20"/>
              </w:rPr>
              <w:t xml:space="preserve"> </w:t>
            </w:r>
          </w:p>
        </w:tc>
      </w:tr>
      <w:tr w:rsidR="00814E00" w:rsidRPr="00D66EE6" w14:paraId="5787AEC4" w14:textId="77777777" w:rsidTr="00D66EE6">
        <w:trPr>
          <w:trHeight w:val="3000"/>
        </w:trPr>
        <w:tc>
          <w:tcPr>
            <w:tcW w:w="288" w:type="pct"/>
            <w:shd w:val="clear" w:color="auto" w:fill="auto"/>
          </w:tcPr>
          <w:p w14:paraId="4F2A38A0" w14:textId="77777777" w:rsidR="00814E00" w:rsidRPr="00D66EE6" w:rsidRDefault="00814E00" w:rsidP="001308AD">
            <w:pPr>
              <w:rPr>
                <w:rFonts w:cs="Arial"/>
                <w:color w:val="FF0000"/>
                <w:sz w:val="20"/>
              </w:rPr>
            </w:pPr>
          </w:p>
        </w:tc>
        <w:tc>
          <w:tcPr>
            <w:tcW w:w="1570" w:type="pct"/>
            <w:shd w:val="clear" w:color="auto" w:fill="auto"/>
          </w:tcPr>
          <w:p w14:paraId="777E37F1" w14:textId="77777777" w:rsidR="00814E00" w:rsidRPr="00D66EE6" w:rsidRDefault="00814E00" w:rsidP="00131778">
            <w:pPr>
              <w:pStyle w:val="ListParagraph"/>
              <w:numPr>
                <w:ilvl w:val="0"/>
                <w:numId w:val="50"/>
              </w:numPr>
              <w:spacing w:before="160" w:after="160" w:line="276" w:lineRule="auto"/>
              <w:contextualSpacing/>
              <w:rPr>
                <w:rFonts w:ascii="Arial" w:hAnsi="Arial" w:cs="Arial"/>
                <w:sz w:val="20"/>
                <w:szCs w:val="20"/>
              </w:rPr>
            </w:pPr>
            <w:r w:rsidRPr="00D66EE6">
              <w:rPr>
                <w:rFonts w:ascii="Arial" w:hAnsi="Arial" w:cs="Arial"/>
                <w:sz w:val="20"/>
                <w:szCs w:val="20"/>
              </w:rPr>
              <w:t>The health service establishment protocols must include the following—</w:t>
            </w:r>
          </w:p>
          <w:p w14:paraId="5181C496" w14:textId="77777777" w:rsidR="00814E00" w:rsidRPr="00D66EE6" w:rsidRDefault="00814E00" w:rsidP="00131778">
            <w:pPr>
              <w:pStyle w:val="ListParagraph"/>
              <w:numPr>
                <w:ilvl w:val="1"/>
                <w:numId w:val="51"/>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on and from 28 February 2025, having regard to the kind or kinds of health services being provided at, or from, the health service establishment, processes and procedures for—</w:t>
            </w:r>
          </w:p>
          <w:p w14:paraId="21CB3BB3" w14:textId="7E04BE8D" w:rsidR="00814E00" w:rsidRPr="00D66EE6" w:rsidRDefault="00814E00" w:rsidP="00131778">
            <w:pPr>
              <w:pStyle w:val="ListParagraph"/>
              <w:numPr>
                <w:ilvl w:val="2"/>
                <w:numId w:val="57"/>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 xml:space="preserve">review of adverse patient safety events, including participation of all relevant personnel in the review (whether employees or not); </w:t>
            </w:r>
          </w:p>
        </w:tc>
        <w:tc>
          <w:tcPr>
            <w:tcW w:w="1571" w:type="pct"/>
            <w:shd w:val="clear" w:color="auto" w:fill="auto"/>
          </w:tcPr>
          <w:p w14:paraId="223D7909" w14:textId="77777777" w:rsidR="002A4243" w:rsidRPr="00325CBA" w:rsidRDefault="002A4243" w:rsidP="002A4243">
            <w:pPr>
              <w:rPr>
                <w:rFonts w:cs="Arial"/>
                <w:b/>
                <w:bCs/>
                <w:sz w:val="20"/>
              </w:rPr>
            </w:pPr>
            <w:r w:rsidRPr="00325CBA">
              <w:rPr>
                <w:b/>
                <w:bCs/>
                <w:sz w:val="20"/>
              </w:rPr>
              <w:t xml:space="preserve">CHA/anonymous </w:t>
            </w:r>
          </w:p>
          <w:p w14:paraId="1CF12754" w14:textId="5D1F0C37" w:rsidR="00814E00" w:rsidRPr="00D66EE6" w:rsidRDefault="00814E00" w:rsidP="00471B65">
            <w:pPr>
              <w:rPr>
                <w:rFonts w:cs="Arial"/>
                <w:sz w:val="20"/>
              </w:rPr>
            </w:pPr>
            <w:r w:rsidRPr="00D66EE6">
              <w:rPr>
                <w:rFonts w:cs="Arial"/>
                <w:sz w:val="20"/>
              </w:rPr>
              <w:t>Oppose the review of adverse patient safety events requirement because this is covered by Duty of Candour requirements in the Act.</w:t>
            </w:r>
          </w:p>
          <w:p w14:paraId="6A7E7211" w14:textId="77777777" w:rsidR="00814E00" w:rsidRPr="00D66EE6" w:rsidRDefault="00814E00" w:rsidP="00973DE7">
            <w:pPr>
              <w:rPr>
                <w:rFonts w:cs="Arial"/>
                <w:b/>
                <w:bCs/>
                <w:sz w:val="20"/>
              </w:rPr>
            </w:pPr>
            <w:r w:rsidRPr="00D66EE6">
              <w:rPr>
                <w:rFonts w:cs="Arial"/>
                <w:b/>
                <w:bCs/>
                <w:sz w:val="20"/>
              </w:rPr>
              <w:t>ANMF</w:t>
            </w:r>
          </w:p>
          <w:p w14:paraId="0FEAEAFE" w14:textId="2C1AEDAB" w:rsidR="00814E00" w:rsidRPr="00D66EE6" w:rsidRDefault="00814E00" w:rsidP="00973DE7">
            <w:pPr>
              <w:spacing w:before="160" w:after="160" w:line="276" w:lineRule="auto"/>
              <w:contextualSpacing/>
              <w:rPr>
                <w:rFonts w:cs="Arial"/>
                <w:b/>
                <w:sz w:val="20"/>
              </w:rPr>
            </w:pPr>
            <w:r w:rsidRPr="00D66EE6">
              <w:rPr>
                <w:rFonts w:cs="Arial"/>
                <w:sz w:val="20"/>
              </w:rPr>
              <w:t xml:space="preserve">Recommend strengthening </w:t>
            </w:r>
            <w:r w:rsidR="001C72E8">
              <w:rPr>
                <w:rFonts w:cs="Arial"/>
                <w:sz w:val="20"/>
              </w:rPr>
              <w:t xml:space="preserve">the requirements </w:t>
            </w:r>
            <w:r w:rsidRPr="00D66EE6">
              <w:rPr>
                <w:rFonts w:cs="Arial"/>
                <w:sz w:val="20"/>
              </w:rPr>
              <w:t>to align with those set out by SCV that apply to public sector, namely SDC and review and reporting of patient events. Does not support a two-tiered system with lesser compliance obligations on the private sector.</w:t>
            </w:r>
          </w:p>
          <w:p w14:paraId="73DB49D8" w14:textId="1CB11DEF" w:rsidR="00814E00" w:rsidRPr="00D66EE6" w:rsidRDefault="00814E00" w:rsidP="00471B65">
            <w:pPr>
              <w:rPr>
                <w:rFonts w:cs="Arial"/>
                <w:b/>
                <w:bCs/>
                <w:sz w:val="20"/>
                <w:u w:val="single"/>
              </w:rPr>
            </w:pPr>
          </w:p>
        </w:tc>
        <w:tc>
          <w:tcPr>
            <w:tcW w:w="1571" w:type="pct"/>
            <w:shd w:val="clear" w:color="auto" w:fill="auto"/>
          </w:tcPr>
          <w:p w14:paraId="1B569F27" w14:textId="77777777" w:rsidR="00814E00" w:rsidRPr="00D66EE6" w:rsidRDefault="00814E00" w:rsidP="00487F3C">
            <w:pPr>
              <w:rPr>
                <w:rFonts w:cs="Arial"/>
                <w:sz w:val="20"/>
              </w:rPr>
            </w:pPr>
            <w:r w:rsidRPr="00D66EE6">
              <w:rPr>
                <w:rFonts w:cs="Arial"/>
                <w:sz w:val="20"/>
              </w:rPr>
              <w:t xml:space="preserve">In response to </w:t>
            </w:r>
            <w:r w:rsidRPr="00D66EE6">
              <w:rPr>
                <w:rFonts w:cs="Arial"/>
                <w:b/>
                <w:bCs/>
                <w:sz w:val="20"/>
              </w:rPr>
              <w:t>CHA/anonymous</w:t>
            </w:r>
            <w:r w:rsidRPr="00D66EE6">
              <w:rPr>
                <w:rFonts w:cs="Arial"/>
                <w:sz w:val="20"/>
              </w:rPr>
              <w:t xml:space="preserve"> feedback about review of adverse patient safety events, a requirement to include processes for these reviews in the quality and safety protocols:</w:t>
            </w:r>
          </w:p>
          <w:p w14:paraId="0B285415" w14:textId="51A718D0" w:rsidR="00814E00" w:rsidRPr="00D66EE6" w:rsidRDefault="00814E00" w:rsidP="00131778">
            <w:pPr>
              <w:pStyle w:val="ListParagraph"/>
              <w:numPr>
                <w:ilvl w:val="0"/>
                <w:numId w:val="30"/>
              </w:numPr>
              <w:spacing w:before="160" w:after="160" w:line="276" w:lineRule="auto"/>
              <w:contextualSpacing/>
              <w:rPr>
                <w:rFonts w:ascii="Arial" w:hAnsi="Arial" w:cs="Arial"/>
                <w:sz w:val="20"/>
                <w:szCs w:val="20"/>
              </w:rPr>
            </w:pPr>
            <w:r w:rsidRPr="00D66EE6">
              <w:rPr>
                <w:rFonts w:ascii="Arial" w:hAnsi="Arial" w:cs="Arial"/>
                <w:sz w:val="20"/>
                <w:szCs w:val="20"/>
              </w:rPr>
              <w:t xml:space="preserve">aligns with Duty of Candour requirements; </w:t>
            </w:r>
          </w:p>
          <w:p w14:paraId="59C4254C" w14:textId="6E9937A9" w:rsidR="00814E00" w:rsidRPr="00D66EE6" w:rsidRDefault="00814E00" w:rsidP="00131778">
            <w:pPr>
              <w:pStyle w:val="ListParagraph"/>
              <w:numPr>
                <w:ilvl w:val="0"/>
                <w:numId w:val="30"/>
              </w:numPr>
              <w:spacing w:before="160" w:after="160" w:line="276" w:lineRule="auto"/>
              <w:contextualSpacing/>
              <w:rPr>
                <w:rFonts w:ascii="Arial" w:hAnsi="Arial" w:cs="Arial"/>
                <w:sz w:val="20"/>
                <w:szCs w:val="20"/>
              </w:rPr>
            </w:pPr>
            <w:r w:rsidRPr="00D66EE6">
              <w:rPr>
                <w:rFonts w:ascii="Arial" w:hAnsi="Arial" w:cs="Arial"/>
                <w:sz w:val="20"/>
                <w:szCs w:val="20"/>
              </w:rPr>
              <w:t xml:space="preserve">makes the process cohesive and transparent; and </w:t>
            </w:r>
          </w:p>
          <w:p w14:paraId="752BF6D4" w14:textId="77777777" w:rsidR="00814E00" w:rsidRPr="00D66EE6" w:rsidRDefault="00814E00" w:rsidP="00131778">
            <w:pPr>
              <w:pStyle w:val="ListParagraph"/>
              <w:numPr>
                <w:ilvl w:val="0"/>
                <w:numId w:val="30"/>
              </w:numPr>
              <w:spacing w:before="160" w:after="160" w:line="276" w:lineRule="auto"/>
              <w:contextualSpacing/>
              <w:rPr>
                <w:rFonts w:ascii="Arial" w:hAnsi="Arial" w:cs="Arial"/>
                <w:sz w:val="20"/>
                <w:szCs w:val="20"/>
              </w:rPr>
            </w:pPr>
            <w:r w:rsidRPr="00D66EE6">
              <w:rPr>
                <w:rFonts w:ascii="Arial" w:hAnsi="Arial" w:cs="Arial"/>
                <w:sz w:val="20"/>
                <w:szCs w:val="20"/>
              </w:rPr>
              <w:t xml:space="preserve">gives the Regulator a mechanism to check that HSEs are prepared and able to conduct fulsome reviews of adverse events, if required, and with the participation of non-employees. </w:t>
            </w:r>
          </w:p>
          <w:p w14:paraId="0EF728DB" w14:textId="1D48B9A4" w:rsidR="00814E00" w:rsidRPr="00D66EE6" w:rsidRDefault="00814E00" w:rsidP="00A0215F">
            <w:pPr>
              <w:spacing w:before="160" w:after="160" w:line="276" w:lineRule="auto"/>
              <w:contextualSpacing/>
              <w:rPr>
                <w:rFonts w:cs="Arial"/>
                <w:sz w:val="20"/>
              </w:rPr>
            </w:pPr>
            <w:r w:rsidRPr="00D66EE6">
              <w:rPr>
                <w:rFonts w:cs="Arial"/>
                <w:sz w:val="20"/>
              </w:rPr>
              <w:t xml:space="preserve">In response to </w:t>
            </w:r>
            <w:r w:rsidRPr="00D66EE6">
              <w:rPr>
                <w:rFonts w:cs="Arial"/>
                <w:b/>
                <w:bCs/>
                <w:sz w:val="20"/>
              </w:rPr>
              <w:t xml:space="preserve">ANMF’s </w:t>
            </w:r>
            <w:r w:rsidRPr="00D66EE6">
              <w:rPr>
                <w:rFonts w:cs="Arial"/>
                <w:sz w:val="20"/>
              </w:rPr>
              <w:t>feedback, the proposed amendments have been designed to align with SCV’s policies and frameworks. As discussed below, the new power under r.10 will allow the Secretary to review HSEs’ quality and safety protocols by reference to best practice guidelines</w:t>
            </w:r>
            <w:r w:rsidR="00B11137">
              <w:rPr>
                <w:rFonts w:cs="Arial"/>
                <w:sz w:val="20"/>
              </w:rPr>
              <w:t>.</w:t>
            </w:r>
            <w:r w:rsidR="00B11137">
              <w:t xml:space="preserve"> T</w:t>
            </w:r>
            <w:r w:rsidR="00B11137" w:rsidRPr="00B11137">
              <w:rPr>
                <w:rFonts w:cs="Arial"/>
                <w:sz w:val="20"/>
              </w:rPr>
              <w:t>he department will continue to work closely with SCV, and where needed consult with the sector and relevant stakeholders, to consider alignment between existing SCV resources and regulatory requirements for private sector facilities</w:t>
            </w:r>
            <w:r w:rsidR="00F854AE">
              <w:rPr>
                <w:rFonts w:cs="Arial"/>
                <w:sz w:val="20"/>
              </w:rPr>
              <w:t>.</w:t>
            </w:r>
            <w:r w:rsidRPr="00D66EE6">
              <w:rPr>
                <w:rFonts w:cs="Arial"/>
                <w:sz w:val="20"/>
              </w:rPr>
              <w:t xml:space="preserve">   </w:t>
            </w:r>
          </w:p>
          <w:p w14:paraId="3EACDA01" w14:textId="21EC3B6F" w:rsidR="00814E00" w:rsidRPr="00D66EE6" w:rsidRDefault="00814E00" w:rsidP="005D4AA0">
            <w:pPr>
              <w:spacing w:before="240"/>
              <w:rPr>
                <w:rFonts w:cs="Arial"/>
                <w:b/>
                <w:bCs/>
                <w:sz w:val="20"/>
              </w:rPr>
            </w:pPr>
            <w:r w:rsidRPr="00D66EE6">
              <w:rPr>
                <w:rFonts w:cs="Arial"/>
                <w:sz w:val="20"/>
              </w:rPr>
              <w:lastRenderedPageBreak/>
              <w:t>As above, the commencement date will be changed to:</w:t>
            </w:r>
            <w:r w:rsidRPr="00D66EE6">
              <w:rPr>
                <w:rFonts w:cs="Arial"/>
                <w:sz w:val="20"/>
              </w:rPr>
              <w:br/>
            </w:r>
            <w:r w:rsidRPr="00D66EE6">
              <w:rPr>
                <w:rFonts w:cs="Arial"/>
                <w:color w:val="FF0000"/>
                <w:sz w:val="20"/>
              </w:rPr>
              <w:t xml:space="preserve">(i) on and from </w:t>
            </w:r>
            <w:r w:rsidRPr="00D66EE6">
              <w:rPr>
                <w:rFonts w:cs="Arial"/>
                <w:strike/>
                <w:color w:val="FF0000"/>
                <w:sz w:val="20"/>
              </w:rPr>
              <w:t>28 February 2025</w:t>
            </w:r>
            <w:r w:rsidRPr="00D66EE6">
              <w:rPr>
                <w:rFonts w:cs="Arial"/>
                <w:color w:val="FF0000"/>
                <w:sz w:val="20"/>
              </w:rPr>
              <w:t xml:space="preserve"> 31 August 2025…</w:t>
            </w:r>
          </w:p>
        </w:tc>
      </w:tr>
      <w:tr w:rsidR="00814E00" w:rsidRPr="00D66EE6" w14:paraId="3327A81F" w14:textId="77777777" w:rsidTr="00D66EE6">
        <w:trPr>
          <w:trHeight w:val="3000"/>
        </w:trPr>
        <w:tc>
          <w:tcPr>
            <w:tcW w:w="288" w:type="pct"/>
            <w:shd w:val="clear" w:color="auto" w:fill="auto"/>
          </w:tcPr>
          <w:p w14:paraId="6D4C483D" w14:textId="77777777" w:rsidR="00814E00" w:rsidRPr="00D66EE6" w:rsidRDefault="00814E00" w:rsidP="001308AD">
            <w:pPr>
              <w:rPr>
                <w:rFonts w:cs="Arial"/>
                <w:color w:val="FF0000"/>
                <w:sz w:val="20"/>
              </w:rPr>
            </w:pPr>
          </w:p>
        </w:tc>
        <w:tc>
          <w:tcPr>
            <w:tcW w:w="1570" w:type="pct"/>
            <w:shd w:val="clear" w:color="auto" w:fill="auto"/>
          </w:tcPr>
          <w:p w14:paraId="678C159D" w14:textId="77777777" w:rsidR="00814E00" w:rsidRPr="00D66EE6" w:rsidRDefault="00814E00" w:rsidP="00131778">
            <w:pPr>
              <w:pStyle w:val="ListParagraph"/>
              <w:numPr>
                <w:ilvl w:val="0"/>
                <w:numId w:val="52"/>
              </w:numPr>
              <w:spacing w:before="160" w:after="160" w:line="276" w:lineRule="auto"/>
              <w:contextualSpacing/>
              <w:rPr>
                <w:rFonts w:ascii="Arial" w:hAnsi="Arial" w:cs="Arial"/>
                <w:sz w:val="20"/>
                <w:szCs w:val="20"/>
              </w:rPr>
            </w:pPr>
            <w:r w:rsidRPr="00D66EE6">
              <w:rPr>
                <w:rFonts w:ascii="Arial" w:hAnsi="Arial" w:cs="Arial"/>
                <w:sz w:val="20"/>
                <w:szCs w:val="20"/>
              </w:rPr>
              <w:t>The health service establishment protocols must include the following—</w:t>
            </w:r>
          </w:p>
          <w:p w14:paraId="04261C8D" w14:textId="77777777" w:rsidR="00814E00" w:rsidRPr="00D66EE6" w:rsidRDefault="00814E00" w:rsidP="00131778">
            <w:pPr>
              <w:pStyle w:val="ListParagraph"/>
              <w:numPr>
                <w:ilvl w:val="1"/>
                <w:numId w:val="53"/>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on and from 28 February 2025, having regard to the kind or kinds of health services being provided at, or from, the health service establishment, processes and procedures for—</w:t>
            </w:r>
          </w:p>
          <w:p w14:paraId="227C41CD" w14:textId="6A4D757C" w:rsidR="00814E00" w:rsidRPr="00D66EE6" w:rsidRDefault="00814E00" w:rsidP="00131778">
            <w:pPr>
              <w:pStyle w:val="ListParagraph"/>
              <w:numPr>
                <w:ilvl w:val="2"/>
                <w:numId w:val="54"/>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addressing the specific needs of Aboriginal persons;</w:t>
            </w:r>
          </w:p>
        </w:tc>
        <w:tc>
          <w:tcPr>
            <w:tcW w:w="1571" w:type="pct"/>
            <w:shd w:val="clear" w:color="auto" w:fill="auto"/>
          </w:tcPr>
          <w:p w14:paraId="4C6D9579" w14:textId="77777777" w:rsidR="00597C28" w:rsidRPr="00325CBA" w:rsidRDefault="00597C28" w:rsidP="00597C28">
            <w:pPr>
              <w:rPr>
                <w:rFonts w:cs="Arial"/>
                <w:b/>
                <w:bCs/>
                <w:sz w:val="20"/>
              </w:rPr>
            </w:pPr>
            <w:r w:rsidRPr="00325CBA">
              <w:rPr>
                <w:b/>
                <w:bCs/>
                <w:sz w:val="20"/>
              </w:rPr>
              <w:t xml:space="preserve">CHA/anonymous </w:t>
            </w:r>
          </w:p>
          <w:p w14:paraId="6D8FF840" w14:textId="0B7E5B6C" w:rsidR="00814E00" w:rsidRPr="00D66EE6" w:rsidRDefault="004248D1" w:rsidP="00471B65">
            <w:pPr>
              <w:spacing w:before="160" w:after="160" w:line="276" w:lineRule="auto"/>
              <w:contextualSpacing/>
              <w:rPr>
                <w:rFonts w:cs="Arial"/>
                <w:sz w:val="20"/>
              </w:rPr>
            </w:pPr>
            <w:r>
              <w:rPr>
                <w:rFonts w:cs="Arial"/>
                <w:sz w:val="20"/>
              </w:rPr>
              <w:t xml:space="preserve">Oppose </w:t>
            </w:r>
            <w:r w:rsidR="00BC0CAD">
              <w:rPr>
                <w:rFonts w:cs="Arial"/>
                <w:sz w:val="20"/>
              </w:rPr>
              <w:t xml:space="preserve">the </w:t>
            </w:r>
            <w:r w:rsidR="00613901">
              <w:rPr>
                <w:rFonts w:cs="Arial"/>
                <w:sz w:val="20"/>
              </w:rPr>
              <w:t xml:space="preserve">amendment </w:t>
            </w:r>
            <w:r w:rsidR="00BC0CAD">
              <w:rPr>
                <w:rFonts w:cs="Arial"/>
                <w:sz w:val="20"/>
              </w:rPr>
              <w:t>on the grounds that it is</w:t>
            </w:r>
            <w:r w:rsidR="00613901">
              <w:rPr>
                <w:rFonts w:cs="Arial"/>
                <w:sz w:val="20"/>
              </w:rPr>
              <w:t xml:space="preserve"> u</w:t>
            </w:r>
            <w:r w:rsidR="00814E00" w:rsidRPr="00D66EE6">
              <w:rPr>
                <w:rFonts w:cs="Arial"/>
                <w:sz w:val="20"/>
              </w:rPr>
              <w:t xml:space="preserve">nnecessary and duplicative as </w:t>
            </w:r>
            <w:r w:rsidR="00BC0CAD">
              <w:rPr>
                <w:rFonts w:cs="Arial"/>
                <w:sz w:val="20"/>
              </w:rPr>
              <w:t xml:space="preserve">it is </w:t>
            </w:r>
            <w:r w:rsidR="00814E00" w:rsidRPr="00D66EE6">
              <w:rPr>
                <w:rFonts w:cs="Arial"/>
                <w:sz w:val="20"/>
              </w:rPr>
              <w:t>covered by the NSQHS Standards.</w:t>
            </w:r>
          </w:p>
          <w:p w14:paraId="5FE6B7F9" w14:textId="77777777" w:rsidR="00814E00" w:rsidRPr="00D66EE6" w:rsidRDefault="00814E00" w:rsidP="00471B65">
            <w:pPr>
              <w:spacing w:before="160" w:after="160" w:line="276" w:lineRule="auto"/>
              <w:contextualSpacing/>
              <w:rPr>
                <w:rFonts w:cs="Arial"/>
                <w:sz w:val="20"/>
              </w:rPr>
            </w:pPr>
          </w:p>
          <w:p w14:paraId="253EA569" w14:textId="77777777" w:rsidR="00814E00" w:rsidRPr="00D66EE6" w:rsidRDefault="00814E00" w:rsidP="00471B65">
            <w:pPr>
              <w:rPr>
                <w:rFonts w:cs="Arial"/>
                <w:b/>
                <w:bCs/>
                <w:sz w:val="20"/>
              </w:rPr>
            </w:pPr>
            <w:r w:rsidRPr="00D66EE6">
              <w:rPr>
                <w:rFonts w:cs="Arial"/>
                <w:b/>
                <w:bCs/>
                <w:sz w:val="20"/>
              </w:rPr>
              <w:t>ASMIRT</w:t>
            </w:r>
          </w:p>
          <w:p w14:paraId="6EB7CAD4" w14:textId="12DAD2D9" w:rsidR="00814E00" w:rsidRPr="00D66EE6" w:rsidRDefault="00814E00" w:rsidP="00471B65">
            <w:pPr>
              <w:spacing w:before="160" w:after="160" w:line="276" w:lineRule="auto"/>
              <w:contextualSpacing/>
              <w:rPr>
                <w:rFonts w:cs="Arial"/>
                <w:sz w:val="20"/>
              </w:rPr>
            </w:pPr>
            <w:r w:rsidRPr="00D66EE6">
              <w:rPr>
                <w:rFonts w:cs="Arial"/>
                <w:sz w:val="20"/>
              </w:rPr>
              <w:t>Seeks clarity as example of positive discrimination.</w:t>
            </w:r>
          </w:p>
          <w:p w14:paraId="3D228465" w14:textId="77777777" w:rsidR="00814E00" w:rsidRPr="00D66EE6" w:rsidRDefault="00814E00" w:rsidP="001308AD">
            <w:pPr>
              <w:rPr>
                <w:rFonts w:cs="Arial"/>
                <w:b/>
                <w:bCs/>
                <w:sz w:val="20"/>
                <w:u w:val="single"/>
              </w:rPr>
            </w:pPr>
          </w:p>
        </w:tc>
        <w:tc>
          <w:tcPr>
            <w:tcW w:w="1571" w:type="pct"/>
            <w:shd w:val="clear" w:color="auto" w:fill="auto"/>
          </w:tcPr>
          <w:p w14:paraId="0FD6F94D" w14:textId="60710FFC" w:rsidR="00814E00" w:rsidRPr="00D66EE6" w:rsidRDefault="00814E00" w:rsidP="001308AD">
            <w:pPr>
              <w:rPr>
                <w:rFonts w:cs="Arial"/>
                <w:sz w:val="20"/>
              </w:rPr>
            </w:pPr>
            <w:r w:rsidRPr="00D66EE6">
              <w:rPr>
                <w:rFonts w:cs="Arial"/>
                <w:sz w:val="20"/>
              </w:rPr>
              <w:t xml:space="preserve">In response to </w:t>
            </w:r>
            <w:r w:rsidRPr="00D66EE6">
              <w:rPr>
                <w:rFonts w:cs="Arial"/>
                <w:b/>
                <w:bCs/>
                <w:sz w:val="20"/>
              </w:rPr>
              <w:t>CHA/anonymous</w:t>
            </w:r>
            <w:r w:rsidRPr="00D66EE6">
              <w:rPr>
                <w:rFonts w:cs="Arial"/>
                <w:sz w:val="20"/>
              </w:rPr>
              <w:t xml:space="preserve">, as detailed above, the proposed Regulations are intended to align with, and in some cases extend, the minimum requirements in the NSQHS Standards to reflect Victoria’s healthcare system, priorities, and issues of concern. The Regulations also give the </w:t>
            </w:r>
            <w:r w:rsidR="00C87601">
              <w:rPr>
                <w:rFonts w:cs="Arial"/>
                <w:sz w:val="20"/>
              </w:rPr>
              <w:t>department</w:t>
            </w:r>
            <w:r w:rsidRPr="00D66EE6">
              <w:rPr>
                <w:rFonts w:cs="Arial"/>
                <w:sz w:val="20"/>
              </w:rPr>
              <w:t xml:space="preserve"> improved oversight of HSEs’ clinical governance arrangements, along with tools to address non-compliance, (noting that these are not available to the Commission as it is not a regulator).</w:t>
            </w:r>
          </w:p>
          <w:p w14:paraId="135F6910" w14:textId="1682CCBF" w:rsidR="00814E00" w:rsidRPr="00D66EE6" w:rsidRDefault="00814E00" w:rsidP="001308AD">
            <w:pPr>
              <w:rPr>
                <w:rFonts w:cs="Arial"/>
                <w:sz w:val="20"/>
              </w:rPr>
            </w:pPr>
            <w:r w:rsidRPr="00D66EE6">
              <w:rPr>
                <w:rFonts w:cs="Arial"/>
                <w:sz w:val="20"/>
              </w:rPr>
              <w:t xml:space="preserve">In response to </w:t>
            </w:r>
            <w:r w:rsidRPr="00D66EE6">
              <w:rPr>
                <w:rFonts w:cs="Arial"/>
                <w:b/>
                <w:bCs/>
                <w:sz w:val="20"/>
              </w:rPr>
              <w:t xml:space="preserve">ASMIRT’s </w:t>
            </w:r>
            <w:r w:rsidRPr="00D66EE6">
              <w:rPr>
                <w:rFonts w:cs="Arial"/>
                <w:sz w:val="20"/>
              </w:rPr>
              <w:t xml:space="preserve">feedback, the proposed amendment reflects the Victorian government’s recognition of the unique status of Aboriginal persons. </w:t>
            </w:r>
          </w:p>
          <w:p w14:paraId="703DE7FC" w14:textId="0E313F75" w:rsidR="00814E00" w:rsidRPr="00D66EE6" w:rsidRDefault="00814E00" w:rsidP="001308AD">
            <w:pPr>
              <w:rPr>
                <w:rFonts w:cs="Arial"/>
                <w:sz w:val="20"/>
              </w:rPr>
            </w:pPr>
            <w:r w:rsidRPr="00D66EE6">
              <w:rPr>
                <w:rFonts w:cs="Arial"/>
                <w:sz w:val="20"/>
              </w:rPr>
              <w:t>As above, the commencement date will be changed to:</w:t>
            </w:r>
            <w:r w:rsidRPr="00D66EE6">
              <w:rPr>
                <w:rFonts w:cs="Arial"/>
                <w:sz w:val="20"/>
              </w:rPr>
              <w:br/>
            </w:r>
            <w:r w:rsidRPr="00D66EE6">
              <w:rPr>
                <w:rFonts w:cs="Arial"/>
                <w:color w:val="FF0000"/>
                <w:sz w:val="20"/>
              </w:rPr>
              <w:t xml:space="preserve">(i) on and from </w:t>
            </w:r>
            <w:r w:rsidRPr="00D66EE6">
              <w:rPr>
                <w:rFonts w:cs="Arial"/>
                <w:strike/>
                <w:color w:val="FF0000"/>
                <w:sz w:val="20"/>
              </w:rPr>
              <w:t>28 February 2025</w:t>
            </w:r>
            <w:r w:rsidRPr="00D66EE6">
              <w:rPr>
                <w:rFonts w:cs="Arial"/>
                <w:color w:val="FF0000"/>
                <w:sz w:val="20"/>
              </w:rPr>
              <w:t xml:space="preserve"> 31 August 2025…</w:t>
            </w:r>
          </w:p>
        </w:tc>
      </w:tr>
      <w:tr w:rsidR="00814E00" w:rsidRPr="00D66EE6" w14:paraId="36CB67A4" w14:textId="77777777" w:rsidTr="00D66EE6">
        <w:trPr>
          <w:trHeight w:val="3000"/>
        </w:trPr>
        <w:tc>
          <w:tcPr>
            <w:tcW w:w="288" w:type="pct"/>
            <w:shd w:val="clear" w:color="auto" w:fill="auto"/>
          </w:tcPr>
          <w:p w14:paraId="5C3F2785" w14:textId="77777777" w:rsidR="00814E00" w:rsidRPr="00D66EE6" w:rsidRDefault="00814E00" w:rsidP="001308AD">
            <w:pPr>
              <w:rPr>
                <w:rFonts w:cs="Arial"/>
                <w:color w:val="FF0000"/>
                <w:sz w:val="20"/>
              </w:rPr>
            </w:pPr>
          </w:p>
        </w:tc>
        <w:tc>
          <w:tcPr>
            <w:tcW w:w="1570" w:type="pct"/>
            <w:shd w:val="clear" w:color="auto" w:fill="auto"/>
          </w:tcPr>
          <w:p w14:paraId="46372929" w14:textId="77777777" w:rsidR="00814E00" w:rsidRPr="00D66EE6" w:rsidRDefault="00814E00" w:rsidP="00131778">
            <w:pPr>
              <w:pStyle w:val="ListParagraph"/>
              <w:numPr>
                <w:ilvl w:val="0"/>
                <w:numId w:val="55"/>
              </w:numPr>
              <w:spacing w:before="160" w:after="160" w:line="276" w:lineRule="auto"/>
              <w:contextualSpacing/>
              <w:rPr>
                <w:rFonts w:ascii="Arial" w:hAnsi="Arial" w:cs="Arial"/>
                <w:sz w:val="20"/>
                <w:szCs w:val="20"/>
              </w:rPr>
            </w:pPr>
            <w:r w:rsidRPr="00D66EE6">
              <w:rPr>
                <w:rFonts w:ascii="Arial" w:hAnsi="Arial" w:cs="Arial"/>
                <w:sz w:val="20"/>
                <w:szCs w:val="20"/>
              </w:rPr>
              <w:t>The health service establishment protocols must include the following—</w:t>
            </w:r>
          </w:p>
          <w:p w14:paraId="0CE38200" w14:textId="77777777" w:rsidR="00814E00" w:rsidRPr="00D66EE6" w:rsidRDefault="00814E00" w:rsidP="00131778">
            <w:pPr>
              <w:pStyle w:val="ListParagraph"/>
              <w:numPr>
                <w:ilvl w:val="1"/>
                <w:numId w:val="56"/>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on and from 28 February 2025, having regard to the kind or kinds of health services being provided at, or from, the health service establishment, processes and procedures for—</w:t>
            </w:r>
          </w:p>
          <w:p w14:paraId="7DDC0390" w14:textId="6F543789" w:rsidR="00814E00" w:rsidRPr="00D66EE6" w:rsidRDefault="00814E00" w:rsidP="00131778">
            <w:pPr>
              <w:pStyle w:val="ListParagraph"/>
              <w:numPr>
                <w:ilvl w:val="2"/>
                <w:numId w:val="54"/>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 xml:space="preserve">recognising and responding to deteriorations in the condition of patients.             </w:t>
            </w:r>
          </w:p>
        </w:tc>
        <w:tc>
          <w:tcPr>
            <w:tcW w:w="1571" w:type="pct"/>
            <w:shd w:val="clear" w:color="auto" w:fill="auto"/>
          </w:tcPr>
          <w:p w14:paraId="2CF0A541" w14:textId="77777777" w:rsidR="009A3D7D" w:rsidRPr="00325CBA" w:rsidRDefault="009A3D7D" w:rsidP="009A3D7D">
            <w:pPr>
              <w:rPr>
                <w:rFonts w:cs="Arial"/>
                <w:b/>
                <w:bCs/>
                <w:sz w:val="20"/>
              </w:rPr>
            </w:pPr>
            <w:r w:rsidRPr="00325CBA">
              <w:rPr>
                <w:b/>
                <w:bCs/>
                <w:sz w:val="20"/>
              </w:rPr>
              <w:t xml:space="preserve">CHA/anonymous </w:t>
            </w:r>
          </w:p>
          <w:p w14:paraId="7C392DAC" w14:textId="68216234" w:rsidR="00814E00" w:rsidRDefault="00091282" w:rsidP="00091282">
            <w:pPr>
              <w:spacing w:before="160" w:after="160" w:line="276" w:lineRule="auto"/>
              <w:contextualSpacing/>
              <w:rPr>
                <w:rFonts w:cs="Arial"/>
                <w:sz w:val="20"/>
              </w:rPr>
            </w:pPr>
            <w:r>
              <w:rPr>
                <w:rFonts w:cs="Arial"/>
                <w:sz w:val="20"/>
              </w:rPr>
              <w:t>Oppose the amendment on the grounds that it is u</w:t>
            </w:r>
            <w:r w:rsidRPr="00D66EE6">
              <w:rPr>
                <w:rFonts w:cs="Arial"/>
                <w:sz w:val="20"/>
              </w:rPr>
              <w:t xml:space="preserve">nnecessary and duplicative as </w:t>
            </w:r>
            <w:r>
              <w:rPr>
                <w:rFonts w:cs="Arial"/>
                <w:sz w:val="20"/>
              </w:rPr>
              <w:t xml:space="preserve">it is </w:t>
            </w:r>
            <w:r w:rsidRPr="00D66EE6">
              <w:rPr>
                <w:rFonts w:cs="Arial"/>
                <w:sz w:val="20"/>
              </w:rPr>
              <w:t>covered by the NSQHS Standards.</w:t>
            </w:r>
          </w:p>
          <w:p w14:paraId="0C646600" w14:textId="77777777" w:rsidR="00091282" w:rsidRPr="00D66EE6" w:rsidRDefault="00091282" w:rsidP="00091282">
            <w:pPr>
              <w:spacing w:before="160" w:after="160" w:line="276" w:lineRule="auto"/>
              <w:contextualSpacing/>
              <w:rPr>
                <w:rFonts w:cs="Arial"/>
                <w:b/>
                <w:bCs/>
                <w:sz w:val="20"/>
              </w:rPr>
            </w:pPr>
          </w:p>
          <w:p w14:paraId="34BBB155" w14:textId="695EBF26" w:rsidR="00814E00" w:rsidRPr="00D66EE6" w:rsidRDefault="00814E00" w:rsidP="001308AD">
            <w:pPr>
              <w:rPr>
                <w:rFonts w:cs="Arial"/>
                <w:b/>
                <w:bCs/>
                <w:sz w:val="20"/>
              </w:rPr>
            </w:pPr>
            <w:r w:rsidRPr="00D66EE6">
              <w:rPr>
                <w:rFonts w:cs="Arial"/>
                <w:b/>
                <w:bCs/>
                <w:sz w:val="20"/>
              </w:rPr>
              <w:t>ANMF</w:t>
            </w:r>
          </w:p>
          <w:p w14:paraId="7454912F" w14:textId="3D96A188" w:rsidR="00814E00" w:rsidRPr="00D66EE6" w:rsidRDefault="00814E00" w:rsidP="00AD42B1">
            <w:pPr>
              <w:spacing w:before="160" w:after="160" w:line="276" w:lineRule="auto"/>
              <w:contextualSpacing/>
              <w:rPr>
                <w:rFonts w:cs="Arial"/>
                <w:sz w:val="20"/>
              </w:rPr>
            </w:pPr>
            <w:r w:rsidRPr="00D66EE6">
              <w:rPr>
                <w:rFonts w:cs="Arial"/>
                <w:sz w:val="20"/>
              </w:rPr>
              <w:t xml:space="preserve">Supports purpose, but recommends that systems, processes and nomenclature align with </w:t>
            </w:r>
            <w:r w:rsidRPr="00D66EE6">
              <w:rPr>
                <w:rFonts w:cs="Arial"/>
                <w:i/>
                <w:sz w:val="20"/>
              </w:rPr>
              <w:t>Safer</w:t>
            </w:r>
            <w:r w:rsidRPr="00D66EE6">
              <w:rPr>
                <w:rFonts w:cs="Arial"/>
                <w:i/>
                <w:iCs/>
                <w:sz w:val="20"/>
              </w:rPr>
              <w:t xml:space="preserve"> </w:t>
            </w:r>
            <w:r w:rsidRPr="00D66EE6">
              <w:rPr>
                <w:rFonts w:cs="Arial"/>
                <w:i/>
                <w:sz w:val="20"/>
              </w:rPr>
              <w:t>Care Victoria Recognising and responding to the</w:t>
            </w:r>
            <w:r w:rsidRPr="00D66EE6">
              <w:rPr>
                <w:rFonts w:cs="Arial"/>
                <w:i/>
                <w:iCs/>
                <w:sz w:val="20"/>
              </w:rPr>
              <w:t xml:space="preserve"> </w:t>
            </w:r>
            <w:r w:rsidRPr="00D66EE6">
              <w:rPr>
                <w:rFonts w:cs="Arial"/>
                <w:i/>
                <w:sz w:val="20"/>
              </w:rPr>
              <w:t xml:space="preserve">deteriorating patient. Clinical Engagement in recognition and response systems Framework </w:t>
            </w:r>
            <w:r w:rsidRPr="00D66EE6">
              <w:rPr>
                <w:rFonts w:cs="Arial"/>
                <w:sz w:val="20"/>
              </w:rPr>
              <w:t xml:space="preserve">(State of Victorian 2020). </w:t>
            </w:r>
          </w:p>
          <w:p w14:paraId="5D1B88A4" w14:textId="057480E2" w:rsidR="00814E00" w:rsidRPr="00D66EE6" w:rsidRDefault="00814E00" w:rsidP="00565113">
            <w:pPr>
              <w:rPr>
                <w:rFonts w:cs="Arial"/>
                <w:sz w:val="20"/>
              </w:rPr>
            </w:pPr>
            <w:r w:rsidRPr="00D66EE6">
              <w:rPr>
                <w:rFonts w:cs="Arial"/>
                <w:sz w:val="20"/>
              </w:rPr>
              <w:t xml:space="preserve">Therefore suggest amending to: </w:t>
            </w:r>
            <w:r w:rsidRPr="00D66EE6">
              <w:rPr>
                <w:rFonts w:cs="Arial"/>
                <w:i/>
                <w:sz w:val="20"/>
              </w:rPr>
              <w:t>recognising and responding to the deteriorating patient</w:t>
            </w:r>
            <w:r w:rsidRPr="00D66EE6">
              <w:rPr>
                <w:rFonts w:cs="Arial"/>
                <w:sz w:val="20"/>
              </w:rPr>
              <w:t xml:space="preserve"> </w:t>
            </w:r>
          </w:p>
          <w:p w14:paraId="131F956A" w14:textId="77777777" w:rsidR="00814E00" w:rsidRPr="00D66EE6" w:rsidRDefault="00814E00" w:rsidP="001308AD">
            <w:pPr>
              <w:rPr>
                <w:rFonts w:cs="Arial"/>
                <w:b/>
                <w:bCs/>
                <w:sz w:val="20"/>
                <w:u w:val="single"/>
              </w:rPr>
            </w:pPr>
          </w:p>
        </w:tc>
        <w:tc>
          <w:tcPr>
            <w:tcW w:w="1571" w:type="pct"/>
            <w:shd w:val="clear" w:color="auto" w:fill="auto"/>
          </w:tcPr>
          <w:p w14:paraId="449C2ACF" w14:textId="63E07DE6" w:rsidR="00814E00" w:rsidRPr="00D66EE6" w:rsidRDefault="00814E00" w:rsidP="001308AD">
            <w:pPr>
              <w:rPr>
                <w:rFonts w:cs="Arial"/>
                <w:sz w:val="20"/>
              </w:rPr>
            </w:pPr>
            <w:r w:rsidRPr="00D66EE6">
              <w:rPr>
                <w:rFonts w:cs="Arial"/>
                <w:sz w:val="20"/>
              </w:rPr>
              <w:t xml:space="preserve">In response to </w:t>
            </w:r>
            <w:r w:rsidRPr="00D66EE6">
              <w:rPr>
                <w:rFonts w:cs="Arial"/>
                <w:b/>
                <w:bCs/>
                <w:sz w:val="20"/>
              </w:rPr>
              <w:t>CHA/anonymous</w:t>
            </w:r>
            <w:r w:rsidRPr="00D66EE6">
              <w:rPr>
                <w:rFonts w:cs="Arial"/>
                <w:sz w:val="20"/>
              </w:rPr>
              <w:t xml:space="preserve">, as detailed above, the proposed Regulations are intended to align with, and in some cases extend, the minimum requirements in the NSQHS Standards to reflect Victoria’s healthcare system, priorities, and issues of concern. The Regulations also give the </w:t>
            </w:r>
            <w:r w:rsidR="00C87601">
              <w:rPr>
                <w:rFonts w:cs="Arial"/>
                <w:sz w:val="20"/>
              </w:rPr>
              <w:t>department</w:t>
            </w:r>
            <w:r w:rsidRPr="00D66EE6">
              <w:rPr>
                <w:rFonts w:cs="Arial"/>
                <w:sz w:val="20"/>
              </w:rPr>
              <w:t xml:space="preserve"> improved oversight of HSEs’ clinical governance arrangements, along with tools to address non-compliance, (noting that these are not available to the Commission as it is not a regulator).</w:t>
            </w:r>
          </w:p>
          <w:p w14:paraId="0D91E214" w14:textId="7624D9FB" w:rsidR="00814E00" w:rsidRPr="00D66EE6" w:rsidRDefault="00814E00" w:rsidP="001308AD">
            <w:pPr>
              <w:rPr>
                <w:rFonts w:cs="Arial"/>
                <w:sz w:val="20"/>
              </w:rPr>
            </w:pPr>
            <w:r w:rsidRPr="00D66EE6">
              <w:rPr>
                <w:rFonts w:cs="Arial"/>
                <w:sz w:val="20"/>
              </w:rPr>
              <w:t xml:space="preserve">In response to </w:t>
            </w:r>
            <w:r w:rsidRPr="00D66EE6">
              <w:rPr>
                <w:rFonts w:cs="Arial"/>
                <w:b/>
                <w:bCs/>
                <w:sz w:val="20"/>
              </w:rPr>
              <w:t>ANMF’s</w:t>
            </w:r>
            <w:r w:rsidRPr="00D66EE6">
              <w:rPr>
                <w:rFonts w:cs="Arial"/>
                <w:sz w:val="20"/>
              </w:rPr>
              <w:t xml:space="preserve"> feedback, the proposed amendments have been designed to align with SCV’s policies and frameworks</w:t>
            </w:r>
            <w:r w:rsidR="00BE1D34">
              <w:rPr>
                <w:rFonts w:cs="Arial"/>
                <w:sz w:val="20"/>
              </w:rPr>
              <w:t>.</w:t>
            </w:r>
            <w:r w:rsidRPr="00D66EE6">
              <w:rPr>
                <w:rFonts w:cs="Arial"/>
                <w:sz w:val="20"/>
              </w:rPr>
              <w:t xml:space="preserve"> As SCV’s </w:t>
            </w:r>
            <w:r w:rsidRPr="00D66EE6">
              <w:rPr>
                <w:rFonts w:cs="Arial"/>
                <w:i/>
                <w:iCs/>
                <w:sz w:val="20"/>
              </w:rPr>
              <w:t>Recognising and responding to the deteriorating patient. Clinical Engagement in recognition and response systems Framework</w:t>
            </w:r>
            <w:r w:rsidRPr="00D66EE6">
              <w:rPr>
                <w:rFonts w:cs="Arial"/>
                <w:sz w:val="20"/>
              </w:rPr>
              <w:t xml:space="preserve"> is not prescribed for the private sector, precise matching of terminology is not </w:t>
            </w:r>
            <w:r w:rsidR="00C56941">
              <w:rPr>
                <w:rFonts w:cs="Arial"/>
                <w:sz w:val="20"/>
              </w:rPr>
              <w:t>required</w:t>
            </w:r>
            <w:r w:rsidRPr="00D66EE6">
              <w:rPr>
                <w:rFonts w:cs="Arial"/>
                <w:sz w:val="20"/>
              </w:rPr>
              <w:t xml:space="preserve"> in this </w:t>
            </w:r>
            <w:r w:rsidR="00C56941">
              <w:rPr>
                <w:rFonts w:cs="Arial"/>
                <w:sz w:val="20"/>
              </w:rPr>
              <w:t>R</w:t>
            </w:r>
            <w:r w:rsidRPr="00D66EE6">
              <w:rPr>
                <w:rFonts w:cs="Arial"/>
                <w:sz w:val="20"/>
              </w:rPr>
              <w:t xml:space="preserve">egulation. </w:t>
            </w:r>
          </w:p>
          <w:p w14:paraId="3DB3B7BC" w14:textId="0B094E17" w:rsidR="00814E00" w:rsidRPr="00D66EE6" w:rsidRDefault="00814E00" w:rsidP="001308AD">
            <w:pPr>
              <w:rPr>
                <w:rFonts w:cs="Arial"/>
                <w:sz w:val="20"/>
              </w:rPr>
            </w:pPr>
            <w:r w:rsidRPr="00D66EE6">
              <w:rPr>
                <w:rFonts w:cs="Arial"/>
                <w:sz w:val="20"/>
              </w:rPr>
              <w:t>As above, the commencement date will be changed to:</w:t>
            </w:r>
            <w:r w:rsidRPr="00D66EE6">
              <w:rPr>
                <w:rFonts w:cs="Arial"/>
                <w:sz w:val="20"/>
              </w:rPr>
              <w:br/>
            </w:r>
            <w:r w:rsidRPr="00D66EE6">
              <w:rPr>
                <w:rFonts w:cs="Arial"/>
                <w:color w:val="FF0000"/>
                <w:sz w:val="20"/>
              </w:rPr>
              <w:t xml:space="preserve">(i) on and from </w:t>
            </w:r>
            <w:r w:rsidRPr="00D66EE6">
              <w:rPr>
                <w:rFonts w:cs="Arial"/>
                <w:strike/>
                <w:color w:val="FF0000"/>
                <w:sz w:val="20"/>
              </w:rPr>
              <w:t>28 February 2025</w:t>
            </w:r>
            <w:r w:rsidRPr="00D66EE6">
              <w:rPr>
                <w:rFonts w:cs="Arial"/>
                <w:color w:val="FF0000"/>
                <w:sz w:val="20"/>
              </w:rPr>
              <w:t xml:space="preserve"> 31 August 2025…</w:t>
            </w:r>
          </w:p>
        </w:tc>
      </w:tr>
      <w:tr w:rsidR="00814E00" w:rsidRPr="00D66EE6" w14:paraId="4971D87D" w14:textId="77777777" w:rsidTr="00D66EE6">
        <w:trPr>
          <w:trHeight w:val="3000"/>
        </w:trPr>
        <w:tc>
          <w:tcPr>
            <w:tcW w:w="288" w:type="pct"/>
            <w:shd w:val="clear" w:color="auto" w:fill="auto"/>
            <w:hideMark/>
          </w:tcPr>
          <w:p w14:paraId="3F01858A" w14:textId="77777777" w:rsidR="00814E00" w:rsidRPr="00D66EE6" w:rsidRDefault="00814E00" w:rsidP="001308AD">
            <w:pPr>
              <w:rPr>
                <w:rFonts w:cs="Arial"/>
                <w:color w:val="FF0000"/>
                <w:sz w:val="20"/>
              </w:rPr>
            </w:pPr>
            <w:r w:rsidRPr="00D66EE6">
              <w:rPr>
                <w:rFonts w:cs="Arial"/>
                <w:color w:val="FF0000"/>
                <w:sz w:val="20"/>
              </w:rPr>
              <w:lastRenderedPageBreak/>
              <w:t>NEW</w:t>
            </w:r>
          </w:p>
          <w:p w14:paraId="386CDFDE" w14:textId="77777777" w:rsidR="00814E00" w:rsidRPr="00D66EE6" w:rsidRDefault="00814E00" w:rsidP="001308AD">
            <w:pPr>
              <w:rPr>
                <w:rFonts w:cs="Arial"/>
                <w:sz w:val="20"/>
              </w:rPr>
            </w:pPr>
            <w:r w:rsidRPr="00D66EE6">
              <w:rPr>
                <w:rFonts w:cs="Arial"/>
                <w:color w:val="FF0000"/>
                <w:sz w:val="20"/>
              </w:rPr>
              <w:t>9</w:t>
            </w:r>
          </w:p>
        </w:tc>
        <w:tc>
          <w:tcPr>
            <w:tcW w:w="1570" w:type="pct"/>
            <w:shd w:val="clear" w:color="auto" w:fill="auto"/>
            <w:hideMark/>
          </w:tcPr>
          <w:p w14:paraId="43D50E3B" w14:textId="77777777" w:rsidR="00814E00" w:rsidRPr="00D66EE6" w:rsidRDefault="00814E00" w:rsidP="001308AD">
            <w:pPr>
              <w:rPr>
                <w:rFonts w:cs="Arial"/>
                <w:color w:val="FF0000"/>
                <w:sz w:val="20"/>
              </w:rPr>
            </w:pPr>
            <w:r w:rsidRPr="00D66EE6">
              <w:rPr>
                <w:rFonts w:cs="Arial"/>
                <w:b/>
                <w:color w:val="FF0000"/>
                <w:sz w:val="20"/>
              </w:rPr>
              <w:t>Determination of quality and safety guidelines</w:t>
            </w:r>
            <w:r w:rsidRPr="00D66EE6" w:rsidDel="0003113E">
              <w:rPr>
                <w:rFonts w:cs="Arial"/>
                <w:b/>
                <w:color w:val="FF0000"/>
                <w:sz w:val="20"/>
              </w:rPr>
              <w:t xml:space="preserve"> </w:t>
            </w:r>
          </w:p>
          <w:p w14:paraId="5F8FCB51" w14:textId="77777777" w:rsidR="00814E00" w:rsidRPr="00D66EE6" w:rsidRDefault="00814E00" w:rsidP="00131778">
            <w:pPr>
              <w:pStyle w:val="ListParagraph"/>
              <w:numPr>
                <w:ilvl w:val="0"/>
                <w:numId w:val="14"/>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The Secretary may determine approved quality and safety guidelines in relation to the health service establishment protocols for quality and safety set out in regulation 8.</w:t>
            </w:r>
          </w:p>
          <w:p w14:paraId="2A77D31F" w14:textId="77777777" w:rsidR="00814E00" w:rsidRPr="00D66EE6" w:rsidRDefault="00814E00" w:rsidP="00131778">
            <w:pPr>
              <w:pStyle w:val="ListParagraph"/>
              <w:numPr>
                <w:ilvl w:val="0"/>
                <w:numId w:val="14"/>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The Secretary must cause a notice of a determination under subregulation (1) to be published—</w:t>
            </w:r>
          </w:p>
          <w:p w14:paraId="51EB06EE" w14:textId="77777777" w:rsidR="00814E00" w:rsidRPr="00D66EE6" w:rsidRDefault="00814E00" w:rsidP="00131778">
            <w:pPr>
              <w:pStyle w:val="ListParagraph"/>
              <w:numPr>
                <w:ilvl w:val="1"/>
                <w:numId w:val="14"/>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in the Government Gazette; and</w:t>
            </w:r>
          </w:p>
          <w:p w14:paraId="4075BAEB" w14:textId="77777777" w:rsidR="00814E00" w:rsidRPr="00D66EE6" w:rsidRDefault="00814E00" w:rsidP="00131778">
            <w:pPr>
              <w:pStyle w:val="ListParagraph"/>
              <w:numPr>
                <w:ilvl w:val="1"/>
                <w:numId w:val="14"/>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on the Department’s Internet site.</w:t>
            </w:r>
          </w:p>
          <w:p w14:paraId="7F9096C5" w14:textId="1D4ACAF7" w:rsidR="00814E00" w:rsidRPr="00D66EE6" w:rsidRDefault="00814E00" w:rsidP="00131778">
            <w:pPr>
              <w:pStyle w:val="ListParagraph"/>
              <w:numPr>
                <w:ilvl w:val="0"/>
                <w:numId w:val="14"/>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A notice of a determination of approved quality and safety guideline</w:t>
            </w:r>
            <w:r w:rsidR="00314B90">
              <w:rPr>
                <w:rFonts w:ascii="Arial" w:hAnsi="Arial" w:cs="Arial"/>
                <w:color w:val="FF0000"/>
                <w:sz w:val="20"/>
                <w:szCs w:val="20"/>
              </w:rPr>
              <w:t>s</w:t>
            </w:r>
            <w:r w:rsidRPr="00D66EE6">
              <w:rPr>
                <w:rFonts w:ascii="Arial" w:hAnsi="Arial" w:cs="Arial"/>
                <w:color w:val="FF0000"/>
                <w:sz w:val="20"/>
                <w:szCs w:val="20"/>
              </w:rPr>
              <w:t xml:space="preserve"> must state—</w:t>
            </w:r>
          </w:p>
          <w:p w14:paraId="68F4F5C1" w14:textId="0CF4217D" w:rsidR="00814E00" w:rsidRPr="00D66EE6" w:rsidRDefault="00814E00" w:rsidP="00131778">
            <w:pPr>
              <w:pStyle w:val="ListParagraph"/>
              <w:numPr>
                <w:ilvl w:val="1"/>
                <w:numId w:val="14"/>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where a copy of the approved quality and safety guideline</w:t>
            </w:r>
            <w:r w:rsidR="00B45037">
              <w:rPr>
                <w:rFonts w:ascii="Arial" w:hAnsi="Arial" w:cs="Arial"/>
                <w:color w:val="FF0000"/>
                <w:sz w:val="20"/>
                <w:szCs w:val="20"/>
              </w:rPr>
              <w:t>s</w:t>
            </w:r>
            <w:r w:rsidRPr="00D66EE6">
              <w:rPr>
                <w:rFonts w:ascii="Arial" w:hAnsi="Arial" w:cs="Arial"/>
                <w:color w:val="FF0000"/>
                <w:sz w:val="20"/>
                <w:szCs w:val="20"/>
              </w:rPr>
              <w:t xml:space="preserve"> may be obtained; and</w:t>
            </w:r>
          </w:p>
          <w:p w14:paraId="1884E66D" w14:textId="594D91D3" w:rsidR="00814E00" w:rsidRPr="00D66EE6" w:rsidRDefault="00814E00" w:rsidP="00131778">
            <w:pPr>
              <w:pStyle w:val="ListParagraph"/>
              <w:numPr>
                <w:ilvl w:val="1"/>
                <w:numId w:val="14"/>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the date on which the approved quality and safety guideline</w:t>
            </w:r>
            <w:r w:rsidR="00B45037">
              <w:rPr>
                <w:rFonts w:ascii="Arial" w:hAnsi="Arial" w:cs="Arial"/>
                <w:color w:val="FF0000"/>
                <w:sz w:val="20"/>
                <w:szCs w:val="20"/>
              </w:rPr>
              <w:t>s</w:t>
            </w:r>
            <w:r w:rsidRPr="00D66EE6">
              <w:rPr>
                <w:rFonts w:ascii="Arial" w:hAnsi="Arial" w:cs="Arial"/>
                <w:color w:val="FF0000"/>
                <w:sz w:val="20"/>
                <w:szCs w:val="20"/>
              </w:rPr>
              <w:t xml:space="preserve"> take effect.</w:t>
            </w:r>
          </w:p>
        </w:tc>
        <w:tc>
          <w:tcPr>
            <w:tcW w:w="1571" w:type="pct"/>
            <w:shd w:val="clear" w:color="auto" w:fill="auto"/>
            <w:hideMark/>
          </w:tcPr>
          <w:p w14:paraId="61D6F2D0" w14:textId="77777777" w:rsidR="005D5ED8" w:rsidRPr="00325CBA" w:rsidRDefault="005D5ED8" w:rsidP="005D5ED8">
            <w:pPr>
              <w:rPr>
                <w:rFonts w:cs="Arial"/>
                <w:b/>
                <w:bCs/>
                <w:sz w:val="20"/>
              </w:rPr>
            </w:pPr>
            <w:r w:rsidRPr="00325CBA">
              <w:rPr>
                <w:b/>
                <w:bCs/>
                <w:sz w:val="20"/>
              </w:rPr>
              <w:t xml:space="preserve">CHA/anonymous </w:t>
            </w:r>
          </w:p>
          <w:p w14:paraId="312D98F2" w14:textId="77777777" w:rsidR="00814E00" w:rsidRPr="00D66EE6" w:rsidRDefault="00814E00" w:rsidP="001308AD">
            <w:pPr>
              <w:rPr>
                <w:rFonts w:cs="Arial"/>
                <w:sz w:val="20"/>
              </w:rPr>
            </w:pPr>
            <w:r w:rsidRPr="00D66EE6">
              <w:rPr>
                <w:rFonts w:cs="Arial"/>
                <w:sz w:val="20"/>
              </w:rPr>
              <w:t>Oppose proposed quality and safety guidelines on the grounds that:</w:t>
            </w:r>
          </w:p>
          <w:p w14:paraId="6BD000F5" w14:textId="1611E9C1" w:rsidR="00814E00" w:rsidRPr="00D66EE6" w:rsidRDefault="002D45C7" w:rsidP="00131778">
            <w:pPr>
              <w:pStyle w:val="ListParagraph"/>
              <w:numPr>
                <w:ilvl w:val="0"/>
                <w:numId w:val="30"/>
              </w:numPr>
              <w:spacing w:before="160" w:after="160" w:line="276" w:lineRule="auto"/>
              <w:contextualSpacing/>
              <w:rPr>
                <w:rFonts w:ascii="Arial" w:hAnsi="Arial" w:cs="Arial"/>
                <w:sz w:val="20"/>
                <w:szCs w:val="20"/>
              </w:rPr>
            </w:pPr>
            <w:r>
              <w:rPr>
                <w:rFonts w:ascii="Arial" w:hAnsi="Arial" w:cs="Arial"/>
                <w:sz w:val="20"/>
                <w:szCs w:val="20"/>
              </w:rPr>
              <w:t>‘</w:t>
            </w:r>
            <w:r w:rsidR="00814E00" w:rsidRPr="00D66EE6">
              <w:rPr>
                <w:rFonts w:ascii="Arial" w:hAnsi="Arial" w:cs="Arial"/>
                <w:sz w:val="20"/>
                <w:szCs w:val="20"/>
              </w:rPr>
              <w:t>Clinicians are required to adhere to best practice that is determined on research / evidence. We encourage the implementation of evidence-based practices based on the evolution of available research and evidence published by appropriate institutions, Colleges and/or subject matter experts.</w:t>
            </w:r>
            <w:r>
              <w:rPr>
                <w:rFonts w:ascii="Arial" w:hAnsi="Arial" w:cs="Arial"/>
                <w:sz w:val="20"/>
                <w:szCs w:val="20"/>
              </w:rPr>
              <w:t>’</w:t>
            </w:r>
            <w:r w:rsidR="00814E00" w:rsidRPr="00D66EE6">
              <w:rPr>
                <w:rFonts w:ascii="Arial" w:hAnsi="Arial" w:cs="Arial"/>
                <w:sz w:val="20"/>
                <w:szCs w:val="20"/>
              </w:rPr>
              <w:t xml:space="preserve"> </w:t>
            </w:r>
          </w:p>
          <w:p w14:paraId="0801199B" w14:textId="6FB31A5A" w:rsidR="00814E00" w:rsidRPr="00D66EE6" w:rsidRDefault="00814E00" w:rsidP="00131778">
            <w:pPr>
              <w:pStyle w:val="ListParagraph"/>
              <w:numPr>
                <w:ilvl w:val="0"/>
                <w:numId w:val="30"/>
              </w:numPr>
              <w:spacing w:before="160" w:after="160" w:line="276" w:lineRule="auto"/>
              <w:contextualSpacing/>
              <w:rPr>
                <w:rFonts w:ascii="Arial" w:hAnsi="Arial" w:cs="Arial"/>
                <w:sz w:val="20"/>
                <w:szCs w:val="20"/>
              </w:rPr>
            </w:pPr>
            <w:r w:rsidRPr="00D66EE6">
              <w:rPr>
                <w:rFonts w:ascii="Arial" w:hAnsi="Arial" w:cs="Arial"/>
                <w:sz w:val="20"/>
                <w:szCs w:val="20"/>
              </w:rPr>
              <w:t xml:space="preserve">The NSQHS Standards are sufficient and the Regulations should not duplicate these requirements. </w:t>
            </w:r>
          </w:p>
          <w:p w14:paraId="66C81DD0" w14:textId="77777777" w:rsidR="00814E00" w:rsidRPr="00D66EE6" w:rsidRDefault="00814E00" w:rsidP="00EA087A">
            <w:pPr>
              <w:spacing w:line="276" w:lineRule="auto"/>
              <w:rPr>
                <w:rFonts w:cs="Arial"/>
                <w:b/>
                <w:bCs/>
                <w:sz w:val="20"/>
              </w:rPr>
            </w:pPr>
            <w:r w:rsidRPr="00D66EE6">
              <w:rPr>
                <w:rFonts w:cs="Arial"/>
                <w:b/>
                <w:bCs/>
                <w:sz w:val="20"/>
              </w:rPr>
              <w:t xml:space="preserve">Healthscope </w:t>
            </w:r>
          </w:p>
          <w:p w14:paraId="262C8FC1" w14:textId="57AF266E" w:rsidR="00814E00" w:rsidRPr="00D66EE6" w:rsidRDefault="00814E00" w:rsidP="00EA087A">
            <w:pPr>
              <w:spacing w:line="276" w:lineRule="auto"/>
              <w:rPr>
                <w:rFonts w:cs="Arial"/>
                <w:sz w:val="20"/>
              </w:rPr>
            </w:pPr>
            <w:r w:rsidRPr="00D66EE6">
              <w:rPr>
                <w:rFonts w:cs="Arial"/>
                <w:sz w:val="20"/>
              </w:rPr>
              <w:t>Does not support the establishment of Victorian-specific quality and safety guidelines. Where national guidelines are in place, this would unnecessarily duplicate and frustrate the national approach.</w:t>
            </w:r>
          </w:p>
          <w:p w14:paraId="0B3A8535" w14:textId="77777777" w:rsidR="00814E00" w:rsidRPr="00D66EE6" w:rsidRDefault="00814E00" w:rsidP="00EA087A">
            <w:pPr>
              <w:rPr>
                <w:rFonts w:cs="Arial"/>
                <w:b/>
                <w:bCs/>
                <w:sz w:val="20"/>
              </w:rPr>
            </w:pPr>
            <w:r w:rsidRPr="00D66EE6">
              <w:rPr>
                <w:rFonts w:cs="Arial"/>
                <w:b/>
                <w:bCs/>
                <w:sz w:val="20"/>
              </w:rPr>
              <w:t xml:space="preserve">ASMIRT </w:t>
            </w:r>
          </w:p>
          <w:p w14:paraId="692BD17D" w14:textId="756222AC" w:rsidR="00814E00" w:rsidRPr="00D66EE6" w:rsidRDefault="00814E00" w:rsidP="00EA087A">
            <w:pPr>
              <w:rPr>
                <w:rFonts w:cs="Arial"/>
                <w:sz w:val="20"/>
              </w:rPr>
            </w:pPr>
            <w:r w:rsidRPr="00D66EE6">
              <w:rPr>
                <w:rFonts w:cs="Arial"/>
                <w:sz w:val="20"/>
              </w:rPr>
              <w:t>Best practice guidelines are difficult to implement in medical imaging if unsupported by Medicare.</w:t>
            </w:r>
          </w:p>
          <w:p w14:paraId="40F50578" w14:textId="77777777" w:rsidR="00814E00" w:rsidRPr="00D66EE6" w:rsidRDefault="00814E00" w:rsidP="001308AD">
            <w:pPr>
              <w:spacing w:line="276" w:lineRule="auto"/>
              <w:rPr>
                <w:rFonts w:cs="Arial"/>
                <w:b/>
                <w:bCs/>
                <w:sz w:val="20"/>
              </w:rPr>
            </w:pPr>
            <w:r w:rsidRPr="00D66EE6">
              <w:rPr>
                <w:rFonts w:cs="Arial"/>
                <w:b/>
                <w:bCs/>
                <w:sz w:val="20"/>
              </w:rPr>
              <w:t>ANMF</w:t>
            </w:r>
          </w:p>
          <w:p w14:paraId="2B315FC8" w14:textId="2BC23BEA" w:rsidR="00814E00" w:rsidRPr="00D66EE6" w:rsidRDefault="00814E00" w:rsidP="001308AD">
            <w:pPr>
              <w:spacing w:line="276" w:lineRule="auto"/>
              <w:rPr>
                <w:rFonts w:cs="Arial"/>
                <w:sz w:val="20"/>
              </w:rPr>
            </w:pPr>
            <w:r w:rsidRPr="00D66EE6">
              <w:rPr>
                <w:rFonts w:cs="Arial"/>
                <w:sz w:val="20"/>
              </w:rPr>
              <w:t xml:space="preserve">Supports the development but is unclear on whether the intent is to have one set of overarching guidelines or whether these can be developed by each HSE. For consistency, to reduce duplication and impost to HSEs, ANMF recommends the former.  </w:t>
            </w:r>
          </w:p>
          <w:p w14:paraId="20344E01" w14:textId="77777777" w:rsidR="00814E00" w:rsidRPr="00D66EE6" w:rsidRDefault="00814E00" w:rsidP="001308AD">
            <w:pPr>
              <w:rPr>
                <w:rFonts w:cs="Arial"/>
                <w:sz w:val="20"/>
              </w:rPr>
            </w:pPr>
          </w:p>
        </w:tc>
        <w:tc>
          <w:tcPr>
            <w:tcW w:w="1571" w:type="pct"/>
            <w:shd w:val="clear" w:color="auto" w:fill="auto"/>
          </w:tcPr>
          <w:p w14:paraId="11A147BF" w14:textId="5F7B1824" w:rsidR="00814E00" w:rsidRPr="00D66EE6" w:rsidRDefault="00814E00" w:rsidP="001308AD">
            <w:pPr>
              <w:rPr>
                <w:rFonts w:cs="Arial"/>
                <w:sz w:val="20"/>
              </w:rPr>
            </w:pPr>
            <w:r w:rsidRPr="00D66EE6">
              <w:rPr>
                <w:rFonts w:cs="Arial"/>
                <w:sz w:val="20"/>
              </w:rPr>
              <w:t xml:space="preserve">In response to </w:t>
            </w:r>
            <w:r w:rsidRPr="00D66EE6">
              <w:rPr>
                <w:rFonts w:cs="Arial"/>
                <w:b/>
                <w:bCs/>
                <w:sz w:val="20"/>
              </w:rPr>
              <w:t xml:space="preserve">CHA/anonymous </w:t>
            </w:r>
            <w:r w:rsidRPr="00D66EE6">
              <w:rPr>
                <w:rFonts w:cs="Arial"/>
                <w:sz w:val="20"/>
              </w:rPr>
              <w:t xml:space="preserve">feedback, it appears that the intended scope of the proposed guidelines has been misunderstood. To clarify, the quality and safety guidelines are limited to </w:t>
            </w:r>
            <w:r w:rsidRPr="00D66EE6">
              <w:rPr>
                <w:rFonts w:cs="Arial"/>
                <w:i/>
                <w:iCs/>
                <w:sz w:val="20"/>
              </w:rPr>
              <w:t>quality and safety protocols</w:t>
            </w:r>
            <w:r w:rsidRPr="00D66EE6">
              <w:rPr>
                <w:rFonts w:cs="Arial"/>
                <w:sz w:val="20"/>
              </w:rPr>
              <w:t xml:space="preserve"> only (i.e. the elements covered by r.8), which would apply at an organisational level – for example, best practice systems and processes for credentialing, allocating quality and safety roles, reviewing APSEs, etc. The proposed guidelines would not cover specific clinical practices, treatments, procedures, pathways, etc, or the clinical practices of individual practitioners. </w:t>
            </w:r>
          </w:p>
          <w:p w14:paraId="734A1385" w14:textId="6C752DA7" w:rsidR="00814E00" w:rsidRPr="00D66EE6" w:rsidRDefault="00814E00" w:rsidP="001308AD">
            <w:pPr>
              <w:rPr>
                <w:rFonts w:cs="Arial"/>
                <w:sz w:val="20"/>
              </w:rPr>
            </w:pPr>
            <w:r w:rsidRPr="00D66EE6">
              <w:rPr>
                <w:rFonts w:cs="Arial"/>
                <w:sz w:val="20"/>
              </w:rPr>
              <w:t xml:space="preserve">To illustrate, examples of best practice guidelines determined by the Secretary could include SCV’s </w:t>
            </w:r>
            <w:hyperlink r:id="rId25" w:history="1">
              <w:r w:rsidRPr="00D66EE6">
                <w:rPr>
                  <w:rStyle w:val="Hyperlink"/>
                  <w:rFonts w:cs="Arial"/>
                  <w:sz w:val="20"/>
                </w:rPr>
                <w:t>Clinical Governance Framework</w:t>
              </w:r>
            </w:hyperlink>
            <w:r w:rsidR="00E47AB6" w:rsidRPr="008A373C">
              <w:rPr>
                <w:rStyle w:val="FootnoteReference"/>
              </w:rPr>
              <w:footnoteReference w:id="12"/>
            </w:r>
            <w:r w:rsidRPr="008A373C">
              <w:rPr>
                <w:rStyle w:val="FootnoteReference"/>
              </w:rPr>
              <w:t xml:space="preserve"> </w:t>
            </w:r>
            <w:r w:rsidRPr="00D66EE6">
              <w:rPr>
                <w:rFonts w:cs="Arial"/>
                <w:sz w:val="20"/>
              </w:rPr>
              <w:t xml:space="preserve">and </w:t>
            </w:r>
            <w:hyperlink r:id="rId26" w:history="1">
              <w:r w:rsidRPr="00D66EE6">
                <w:rPr>
                  <w:rStyle w:val="Hyperlink"/>
                  <w:rFonts w:cs="Arial"/>
                  <w:sz w:val="20"/>
                </w:rPr>
                <w:t>Credentialing and scope of clinical practice for senior medical practitioners policy</w:t>
              </w:r>
            </w:hyperlink>
            <w:r w:rsidR="00E47AB6" w:rsidRPr="008A373C">
              <w:rPr>
                <w:rStyle w:val="FootnoteReference"/>
              </w:rPr>
              <w:footnoteReference w:id="13"/>
            </w:r>
            <w:r w:rsidRPr="008A373C">
              <w:rPr>
                <w:rStyle w:val="FootnoteReference"/>
              </w:rPr>
              <w:t xml:space="preserve"> </w:t>
            </w:r>
            <w:r w:rsidRPr="00D66EE6">
              <w:rPr>
                <w:rFonts w:cs="Arial"/>
                <w:sz w:val="20"/>
              </w:rPr>
              <w:t xml:space="preserve">(noting that these would be updated and consulted on first). Other guidelines developed by SCV related to specific areas of clinical practice </w:t>
            </w:r>
            <w:r w:rsidR="00F821F8">
              <w:rPr>
                <w:rFonts w:cs="Arial"/>
                <w:sz w:val="20"/>
              </w:rPr>
              <w:t>are</w:t>
            </w:r>
            <w:r w:rsidRPr="00D66EE6">
              <w:rPr>
                <w:rFonts w:cs="Arial"/>
                <w:sz w:val="20"/>
              </w:rPr>
              <w:t xml:space="preserve"> not within scope for the Secretary to nominate as guidelines under r.9. </w:t>
            </w:r>
          </w:p>
          <w:p w14:paraId="4BA10CD4" w14:textId="79244A10" w:rsidR="00814E00" w:rsidRPr="00D66EE6" w:rsidRDefault="00814E00" w:rsidP="001308AD">
            <w:pPr>
              <w:rPr>
                <w:rFonts w:cs="Arial"/>
                <w:sz w:val="20"/>
              </w:rPr>
            </w:pPr>
            <w:r w:rsidRPr="00D66EE6">
              <w:rPr>
                <w:rFonts w:cs="Arial"/>
                <w:sz w:val="20"/>
              </w:rPr>
              <w:t xml:space="preserve">The </w:t>
            </w:r>
            <w:r w:rsidR="00C87601">
              <w:rPr>
                <w:rFonts w:cs="Arial"/>
                <w:sz w:val="20"/>
              </w:rPr>
              <w:t>department</w:t>
            </w:r>
            <w:r w:rsidRPr="00D66EE6">
              <w:rPr>
                <w:rFonts w:cs="Arial"/>
                <w:sz w:val="20"/>
              </w:rPr>
              <w:t xml:space="preserve"> </w:t>
            </w:r>
            <w:r w:rsidR="00AE3F5F">
              <w:rPr>
                <w:rFonts w:cs="Arial"/>
                <w:sz w:val="20"/>
              </w:rPr>
              <w:t>reiterates</w:t>
            </w:r>
            <w:r w:rsidRPr="00D66EE6">
              <w:rPr>
                <w:rFonts w:cs="Arial"/>
                <w:sz w:val="20"/>
              </w:rPr>
              <w:t xml:space="preserve"> that before any guidelines are determined by the Secretary under r.9, further targeted consultation with the private sector </w:t>
            </w:r>
            <w:r w:rsidR="005020F3">
              <w:rPr>
                <w:rFonts w:cs="Arial"/>
                <w:sz w:val="20"/>
              </w:rPr>
              <w:t xml:space="preserve">and other stakeholders </w:t>
            </w:r>
            <w:r w:rsidRPr="00D66EE6">
              <w:rPr>
                <w:rFonts w:cs="Arial"/>
                <w:sz w:val="20"/>
              </w:rPr>
              <w:t>will occur to ensure they are fit for purpose.</w:t>
            </w:r>
          </w:p>
          <w:p w14:paraId="5FF03D83" w14:textId="0FBD0625" w:rsidR="00814E00" w:rsidRPr="00D66EE6" w:rsidRDefault="00814E00" w:rsidP="001308AD">
            <w:pPr>
              <w:rPr>
                <w:rFonts w:cs="Arial"/>
                <w:sz w:val="20"/>
              </w:rPr>
            </w:pPr>
            <w:r w:rsidRPr="00D66EE6">
              <w:rPr>
                <w:rFonts w:cs="Arial"/>
                <w:sz w:val="20"/>
              </w:rPr>
              <w:t xml:space="preserve">In response to </w:t>
            </w:r>
            <w:r w:rsidRPr="00D66EE6">
              <w:rPr>
                <w:rFonts w:cs="Arial"/>
                <w:b/>
                <w:bCs/>
                <w:sz w:val="20"/>
              </w:rPr>
              <w:t xml:space="preserve">ASMIRT’s </w:t>
            </w:r>
            <w:r w:rsidRPr="00D66EE6">
              <w:rPr>
                <w:rFonts w:cs="Arial"/>
                <w:sz w:val="20"/>
              </w:rPr>
              <w:t xml:space="preserve">feedback, the guidelines under r.9 will relate to best practice clinical governance (i.e. quality and safety protocols), not guidance for specific clinical or diagnostic areas. </w:t>
            </w:r>
          </w:p>
          <w:p w14:paraId="0CF330FC" w14:textId="5B6A0E77" w:rsidR="00814E00" w:rsidRPr="00D66EE6" w:rsidRDefault="00814E00" w:rsidP="00E423E7">
            <w:pPr>
              <w:rPr>
                <w:rFonts w:cs="Arial"/>
                <w:sz w:val="20"/>
              </w:rPr>
            </w:pPr>
            <w:r w:rsidRPr="00D66EE6">
              <w:rPr>
                <w:rFonts w:cs="Arial"/>
                <w:sz w:val="20"/>
              </w:rPr>
              <w:t xml:space="preserve">In response to </w:t>
            </w:r>
            <w:r w:rsidRPr="00D66EE6">
              <w:rPr>
                <w:rFonts w:cs="Arial"/>
                <w:b/>
                <w:bCs/>
                <w:sz w:val="20"/>
              </w:rPr>
              <w:t xml:space="preserve">ANMF’s </w:t>
            </w:r>
            <w:r w:rsidRPr="00D66EE6">
              <w:rPr>
                <w:rFonts w:cs="Arial"/>
                <w:sz w:val="20"/>
              </w:rPr>
              <w:t xml:space="preserve">feedback, the </w:t>
            </w:r>
            <w:r w:rsidR="00C87601">
              <w:rPr>
                <w:rFonts w:cs="Arial"/>
                <w:sz w:val="20"/>
              </w:rPr>
              <w:t>department</w:t>
            </w:r>
            <w:r w:rsidRPr="00D66EE6">
              <w:rPr>
                <w:rFonts w:cs="Arial"/>
                <w:sz w:val="20"/>
              </w:rPr>
              <w:t xml:space="preserve"> confirms that any guideline determined by the Secretary will be designed to apply broadly across the private sector and will not be developed by individual HSEs.</w:t>
            </w:r>
          </w:p>
        </w:tc>
      </w:tr>
      <w:tr w:rsidR="00814E00" w:rsidRPr="00D66EE6" w14:paraId="2F01E921" w14:textId="77777777" w:rsidTr="00D66EE6">
        <w:trPr>
          <w:trHeight w:val="3119"/>
        </w:trPr>
        <w:tc>
          <w:tcPr>
            <w:tcW w:w="288" w:type="pct"/>
            <w:shd w:val="clear" w:color="auto" w:fill="auto"/>
            <w:hideMark/>
          </w:tcPr>
          <w:p w14:paraId="2F8B1352" w14:textId="77777777" w:rsidR="00814E00" w:rsidRPr="00D66EE6" w:rsidRDefault="00814E00" w:rsidP="001308AD">
            <w:pPr>
              <w:rPr>
                <w:rFonts w:cs="Arial"/>
                <w:color w:val="FF0000"/>
                <w:sz w:val="20"/>
              </w:rPr>
            </w:pPr>
            <w:r w:rsidRPr="00D66EE6">
              <w:rPr>
                <w:rFonts w:cs="Arial"/>
                <w:color w:val="FF0000"/>
                <w:sz w:val="20"/>
              </w:rPr>
              <w:t>NEW</w:t>
            </w:r>
          </w:p>
          <w:p w14:paraId="0570F773" w14:textId="77777777" w:rsidR="00814E00" w:rsidRPr="00D66EE6" w:rsidRDefault="00814E00" w:rsidP="001308AD">
            <w:pPr>
              <w:rPr>
                <w:rFonts w:cs="Arial"/>
                <w:sz w:val="20"/>
              </w:rPr>
            </w:pPr>
            <w:r w:rsidRPr="00D66EE6">
              <w:rPr>
                <w:rFonts w:cs="Arial"/>
                <w:color w:val="FF0000"/>
                <w:sz w:val="20"/>
              </w:rPr>
              <w:t>10</w:t>
            </w:r>
          </w:p>
        </w:tc>
        <w:tc>
          <w:tcPr>
            <w:tcW w:w="1570" w:type="pct"/>
            <w:shd w:val="clear" w:color="auto" w:fill="auto"/>
            <w:hideMark/>
          </w:tcPr>
          <w:p w14:paraId="59D1B544" w14:textId="77777777" w:rsidR="00814E00" w:rsidRPr="00D66EE6" w:rsidRDefault="00814E00" w:rsidP="001308AD">
            <w:pPr>
              <w:rPr>
                <w:rFonts w:cs="Arial"/>
                <w:sz w:val="20"/>
              </w:rPr>
            </w:pPr>
            <w:r w:rsidRPr="00D66EE6">
              <w:rPr>
                <w:rFonts w:cs="Arial"/>
                <w:b/>
                <w:color w:val="FF0000"/>
                <w:sz w:val="20"/>
              </w:rPr>
              <w:t>Review of health service establishment protocols for quality and safety</w:t>
            </w:r>
          </w:p>
          <w:p w14:paraId="5D23DE46" w14:textId="77777777" w:rsidR="00814E00" w:rsidRPr="00D66EE6" w:rsidRDefault="00814E00" w:rsidP="00131778">
            <w:pPr>
              <w:pStyle w:val="ListParagraph"/>
              <w:numPr>
                <w:ilvl w:val="0"/>
                <w:numId w:val="15"/>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On and from 31 August 2025, the Secretary may determine to conduct a review of the health service establishment protocols for quality and safety prepared by a health service establishment under regulation 8(1).</w:t>
            </w:r>
          </w:p>
          <w:p w14:paraId="441304D6" w14:textId="77777777" w:rsidR="00814E00" w:rsidRPr="00D66EE6" w:rsidRDefault="00814E00" w:rsidP="00131778">
            <w:pPr>
              <w:pStyle w:val="ListParagraph"/>
              <w:numPr>
                <w:ilvl w:val="0"/>
                <w:numId w:val="15"/>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The Secretary may, after conducting a review of a health service establishment’s protocols for quality and safety, determine to issue a written direction to the proprietor of that health service establishment to update the protocols for quality and safety in the manner directed by the Secretary.</w:t>
            </w:r>
          </w:p>
          <w:p w14:paraId="28AD64AE" w14:textId="77777777" w:rsidR="00814E00" w:rsidRPr="00D66EE6" w:rsidRDefault="00814E00" w:rsidP="00131778">
            <w:pPr>
              <w:pStyle w:val="ListParagraph"/>
              <w:numPr>
                <w:ilvl w:val="0"/>
                <w:numId w:val="15"/>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 xml:space="preserve">The Secretary may determine to issue a written direction to the proprietor of a health service establishment if the Secretary considers </w:t>
            </w:r>
            <w:r w:rsidRPr="00D66EE6">
              <w:rPr>
                <w:rFonts w:ascii="Arial" w:hAnsi="Arial" w:cs="Arial"/>
                <w:color w:val="FF0000"/>
                <w:sz w:val="20"/>
                <w:szCs w:val="20"/>
              </w:rPr>
              <w:lastRenderedPageBreak/>
              <w:t>that the protocols for quality and safety of that health service establishment—</w:t>
            </w:r>
          </w:p>
          <w:p w14:paraId="1EFC2002" w14:textId="77777777" w:rsidR="00814E00" w:rsidRPr="00D66EE6" w:rsidRDefault="00814E00" w:rsidP="00131778">
            <w:pPr>
              <w:pStyle w:val="ListParagraph"/>
              <w:numPr>
                <w:ilvl w:val="1"/>
                <w:numId w:val="15"/>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are inconsistent with the Act or these Regulations; or</w:t>
            </w:r>
          </w:p>
          <w:p w14:paraId="4964BA6D" w14:textId="77777777" w:rsidR="00814E00" w:rsidRPr="00D66EE6" w:rsidRDefault="00814E00" w:rsidP="00131778">
            <w:pPr>
              <w:pStyle w:val="ListParagraph"/>
              <w:numPr>
                <w:ilvl w:val="1"/>
                <w:numId w:val="15"/>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 xml:space="preserve">are otherwise inadequate for ensuring the quality and safety of health services provided at, or from, the health service establishment. </w:t>
            </w:r>
          </w:p>
          <w:p w14:paraId="3850CF4D" w14:textId="77777777" w:rsidR="00814E00" w:rsidRPr="00D66EE6" w:rsidRDefault="00814E00" w:rsidP="00131778">
            <w:pPr>
              <w:pStyle w:val="ListParagraph"/>
              <w:numPr>
                <w:ilvl w:val="0"/>
                <w:numId w:val="15"/>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In conducting a review of health service establishment protocols for quality and safety, the Secretary may have regard to an approved quality and safety guideline referred to in regulation 9(1).</w:t>
            </w:r>
          </w:p>
          <w:p w14:paraId="0F2D7F70" w14:textId="77777777" w:rsidR="00814E00" w:rsidRPr="00D66EE6" w:rsidRDefault="00814E00" w:rsidP="00131778">
            <w:pPr>
              <w:pStyle w:val="ListParagraph"/>
              <w:numPr>
                <w:ilvl w:val="0"/>
                <w:numId w:val="15"/>
              </w:numPr>
              <w:spacing w:before="160" w:after="160" w:line="276" w:lineRule="auto"/>
              <w:contextualSpacing/>
              <w:rPr>
                <w:rFonts w:ascii="Arial" w:hAnsi="Arial" w:cs="Arial"/>
                <w:sz w:val="20"/>
                <w:szCs w:val="20"/>
              </w:rPr>
            </w:pPr>
            <w:r w:rsidRPr="00D66EE6">
              <w:rPr>
                <w:rFonts w:ascii="Arial" w:hAnsi="Arial" w:cs="Arial"/>
                <w:color w:val="FF0000"/>
                <w:sz w:val="20"/>
                <w:szCs w:val="20"/>
              </w:rPr>
              <w:t>The proprietor of a health service establishment must ensure that a written direction of the Secretary to update the health service establishment’s protocols for quality and safety is complied with.</w:t>
            </w:r>
          </w:p>
        </w:tc>
        <w:tc>
          <w:tcPr>
            <w:tcW w:w="1571" w:type="pct"/>
            <w:shd w:val="clear" w:color="auto" w:fill="auto"/>
            <w:hideMark/>
          </w:tcPr>
          <w:p w14:paraId="4102BF36" w14:textId="77777777" w:rsidR="004E33A3" w:rsidRPr="00325CBA" w:rsidRDefault="004E33A3" w:rsidP="004E33A3">
            <w:pPr>
              <w:rPr>
                <w:rFonts w:cs="Arial"/>
                <w:b/>
                <w:bCs/>
                <w:sz w:val="20"/>
              </w:rPr>
            </w:pPr>
            <w:r w:rsidRPr="00325CBA">
              <w:rPr>
                <w:b/>
                <w:bCs/>
                <w:sz w:val="20"/>
              </w:rPr>
              <w:lastRenderedPageBreak/>
              <w:t xml:space="preserve">CHA/anonymous </w:t>
            </w:r>
          </w:p>
          <w:p w14:paraId="64D6053F" w14:textId="31B12FBD" w:rsidR="00814E00" w:rsidRPr="00D66EE6" w:rsidRDefault="00814E00" w:rsidP="00131778">
            <w:pPr>
              <w:pStyle w:val="ListParagraph"/>
              <w:numPr>
                <w:ilvl w:val="0"/>
                <w:numId w:val="30"/>
              </w:numPr>
              <w:spacing w:before="160" w:after="160" w:line="276" w:lineRule="auto"/>
              <w:contextualSpacing/>
              <w:rPr>
                <w:rFonts w:ascii="Arial" w:hAnsi="Arial" w:cs="Arial"/>
                <w:sz w:val="20"/>
                <w:szCs w:val="20"/>
              </w:rPr>
            </w:pPr>
            <w:r w:rsidRPr="00D66EE6">
              <w:rPr>
                <w:rFonts w:ascii="Arial" w:hAnsi="Arial" w:cs="Arial"/>
                <w:sz w:val="20"/>
                <w:szCs w:val="20"/>
              </w:rPr>
              <w:t>Propose 18 months (not 12) for the Secretary’s review power to commence.</w:t>
            </w:r>
          </w:p>
          <w:p w14:paraId="0A65CF1E" w14:textId="3431C75F" w:rsidR="00814E00" w:rsidRPr="00D66EE6" w:rsidRDefault="00814E00" w:rsidP="00131778">
            <w:pPr>
              <w:pStyle w:val="ListParagraph"/>
              <w:numPr>
                <w:ilvl w:val="0"/>
                <w:numId w:val="36"/>
              </w:numPr>
              <w:spacing w:before="160" w:after="160" w:line="276" w:lineRule="auto"/>
              <w:contextualSpacing/>
              <w:rPr>
                <w:rFonts w:ascii="Arial" w:hAnsi="Arial" w:cs="Arial"/>
                <w:sz w:val="20"/>
                <w:szCs w:val="20"/>
              </w:rPr>
            </w:pPr>
            <w:r w:rsidRPr="00D66EE6">
              <w:rPr>
                <w:rFonts w:ascii="Arial" w:hAnsi="Arial" w:cs="Arial"/>
                <w:sz w:val="20"/>
                <w:szCs w:val="20"/>
              </w:rPr>
              <w:t>Oppose rr.10(1), (2) and (4)</w:t>
            </w:r>
            <w:r w:rsidRPr="00D66EE6">
              <w:rPr>
                <w:rFonts w:ascii="Arial" w:hAnsi="Arial" w:cs="Arial"/>
                <w:b/>
                <w:bCs/>
                <w:sz w:val="20"/>
                <w:szCs w:val="20"/>
              </w:rPr>
              <w:t xml:space="preserve"> </w:t>
            </w:r>
            <w:r w:rsidRPr="00D66EE6">
              <w:rPr>
                <w:rFonts w:ascii="Arial" w:hAnsi="Arial" w:cs="Arial"/>
                <w:sz w:val="20"/>
                <w:szCs w:val="20"/>
              </w:rPr>
              <w:t xml:space="preserve">regarding the Secretary conducting a review on the grounds that accreditation processes (including 3-yearly and short notice assessments, and annual attestations by senior management) are sufficient and additional compliance assessments by the Regulator are duplicative and unnecessary. </w:t>
            </w:r>
          </w:p>
          <w:p w14:paraId="7A0FC8C1" w14:textId="62D18E33" w:rsidR="00814E00" w:rsidRPr="00D66EE6" w:rsidRDefault="00814E00" w:rsidP="00131778">
            <w:pPr>
              <w:pStyle w:val="ListParagraph"/>
              <w:numPr>
                <w:ilvl w:val="0"/>
                <w:numId w:val="30"/>
              </w:numPr>
              <w:spacing w:before="160" w:after="160" w:line="276" w:lineRule="auto"/>
              <w:contextualSpacing/>
              <w:rPr>
                <w:rFonts w:ascii="Arial" w:hAnsi="Arial" w:cs="Arial"/>
                <w:sz w:val="20"/>
                <w:szCs w:val="20"/>
              </w:rPr>
            </w:pPr>
            <w:r w:rsidRPr="00D66EE6">
              <w:rPr>
                <w:rFonts w:ascii="Arial" w:hAnsi="Arial" w:cs="Arial"/>
                <w:sz w:val="20"/>
                <w:szCs w:val="20"/>
              </w:rPr>
              <w:t>No concerns with the wording of r.10(3) regarding the Secretary issuing a direction provided</w:t>
            </w:r>
            <w:r w:rsidR="00B5235D">
              <w:rPr>
                <w:rFonts w:ascii="Arial" w:hAnsi="Arial" w:cs="Arial"/>
                <w:sz w:val="20"/>
                <w:szCs w:val="20"/>
              </w:rPr>
              <w:t xml:space="preserve"> that:</w:t>
            </w:r>
          </w:p>
          <w:p w14:paraId="4A95925E" w14:textId="4EFFB3FB" w:rsidR="00814E00" w:rsidRPr="00D66EE6" w:rsidRDefault="00814E00" w:rsidP="00131778">
            <w:pPr>
              <w:pStyle w:val="ListParagraph"/>
              <w:numPr>
                <w:ilvl w:val="1"/>
                <w:numId w:val="30"/>
              </w:numPr>
              <w:spacing w:before="160" w:after="160" w:line="276" w:lineRule="auto"/>
              <w:contextualSpacing/>
              <w:rPr>
                <w:rFonts w:ascii="Arial" w:hAnsi="Arial" w:cs="Arial"/>
                <w:sz w:val="20"/>
                <w:szCs w:val="20"/>
              </w:rPr>
            </w:pPr>
            <w:r w:rsidRPr="00D66EE6">
              <w:rPr>
                <w:rFonts w:ascii="Arial" w:hAnsi="Arial" w:cs="Arial"/>
                <w:sz w:val="20"/>
                <w:szCs w:val="20"/>
              </w:rPr>
              <w:t xml:space="preserve">the direction does not </w:t>
            </w:r>
            <w:r w:rsidR="00BF1A7A">
              <w:rPr>
                <w:rFonts w:ascii="Arial" w:hAnsi="Arial" w:cs="Arial"/>
                <w:sz w:val="20"/>
                <w:szCs w:val="20"/>
              </w:rPr>
              <w:t>‘</w:t>
            </w:r>
            <w:r w:rsidRPr="00D66EE6">
              <w:rPr>
                <w:rFonts w:ascii="Arial" w:hAnsi="Arial" w:cs="Arial"/>
                <w:sz w:val="20"/>
                <w:szCs w:val="20"/>
              </w:rPr>
              <w:t>duplicate, cause conflict with or undermine the National Standards</w:t>
            </w:r>
            <w:r w:rsidR="00BF1A7A">
              <w:rPr>
                <w:rFonts w:ascii="Arial" w:hAnsi="Arial" w:cs="Arial"/>
                <w:sz w:val="20"/>
                <w:szCs w:val="20"/>
              </w:rPr>
              <w:t>’</w:t>
            </w:r>
            <w:r w:rsidRPr="00D66EE6">
              <w:rPr>
                <w:rFonts w:ascii="Arial" w:hAnsi="Arial" w:cs="Arial"/>
                <w:sz w:val="20"/>
                <w:szCs w:val="20"/>
              </w:rPr>
              <w:t>.</w:t>
            </w:r>
          </w:p>
          <w:p w14:paraId="671CFC88" w14:textId="0A62AB71" w:rsidR="00814E00" w:rsidRPr="00D66EE6" w:rsidRDefault="00814E00" w:rsidP="00131778">
            <w:pPr>
              <w:pStyle w:val="ListParagraph"/>
              <w:numPr>
                <w:ilvl w:val="1"/>
                <w:numId w:val="30"/>
              </w:numPr>
              <w:spacing w:before="160" w:after="160" w:line="276" w:lineRule="auto"/>
              <w:contextualSpacing/>
              <w:rPr>
                <w:rFonts w:ascii="Arial" w:hAnsi="Arial" w:cs="Arial"/>
                <w:sz w:val="20"/>
                <w:szCs w:val="20"/>
              </w:rPr>
            </w:pPr>
            <w:r w:rsidRPr="00D66EE6">
              <w:rPr>
                <w:rFonts w:ascii="Arial" w:hAnsi="Arial" w:cs="Arial"/>
                <w:sz w:val="20"/>
                <w:szCs w:val="20"/>
              </w:rPr>
              <w:lastRenderedPageBreak/>
              <w:t xml:space="preserve">the direction includes the concern, rationale, legal basis, expected compliance/necessary actions, timeframe </w:t>
            </w:r>
            <w:r w:rsidR="00BF1A7A">
              <w:rPr>
                <w:rFonts w:ascii="Arial" w:hAnsi="Arial" w:cs="Arial"/>
                <w:sz w:val="20"/>
                <w:szCs w:val="20"/>
              </w:rPr>
              <w:t>‘</w:t>
            </w:r>
            <w:r w:rsidRPr="00D66EE6">
              <w:rPr>
                <w:rFonts w:ascii="Arial" w:hAnsi="Arial" w:cs="Arial"/>
                <w:sz w:val="20"/>
                <w:szCs w:val="20"/>
              </w:rPr>
              <w:t xml:space="preserve">for the health service to provide a response to alleged concerns and corresponding direction(s) </w:t>
            </w:r>
            <w:r w:rsidRPr="00D66EE6">
              <w:rPr>
                <w:rFonts w:ascii="Arial" w:hAnsi="Arial" w:cs="Arial"/>
                <w:b/>
                <w:sz w:val="20"/>
                <w:szCs w:val="20"/>
              </w:rPr>
              <w:t>prior to</w:t>
            </w:r>
            <w:r w:rsidRPr="00D66EE6">
              <w:rPr>
                <w:rFonts w:ascii="Arial" w:hAnsi="Arial" w:cs="Arial"/>
                <w:sz w:val="20"/>
                <w:szCs w:val="20"/>
              </w:rPr>
              <w:t xml:space="preserve"> the direction being in effect</w:t>
            </w:r>
            <w:r w:rsidR="00BF1A7A">
              <w:rPr>
                <w:rFonts w:ascii="Arial" w:hAnsi="Arial" w:cs="Arial"/>
                <w:sz w:val="20"/>
                <w:szCs w:val="20"/>
              </w:rPr>
              <w:t>’</w:t>
            </w:r>
            <w:r w:rsidRPr="00D66EE6">
              <w:rPr>
                <w:rFonts w:ascii="Arial" w:hAnsi="Arial" w:cs="Arial"/>
                <w:sz w:val="20"/>
                <w:szCs w:val="20"/>
              </w:rPr>
              <w:t xml:space="preserve">, appeals process. </w:t>
            </w:r>
          </w:p>
          <w:p w14:paraId="5E10EC2F" w14:textId="77777777" w:rsidR="00814E00" w:rsidRPr="00D66EE6" w:rsidRDefault="00814E00" w:rsidP="00131778">
            <w:pPr>
              <w:pStyle w:val="ListParagraph"/>
              <w:numPr>
                <w:ilvl w:val="1"/>
                <w:numId w:val="30"/>
              </w:numPr>
              <w:spacing w:before="160" w:after="160" w:line="276" w:lineRule="auto"/>
              <w:contextualSpacing/>
              <w:rPr>
                <w:rFonts w:ascii="Arial" w:hAnsi="Arial" w:cs="Arial"/>
                <w:sz w:val="20"/>
                <w:szCs w:val="20"/>
              </w:rPr>
            </w:pPr>
            <w:r w:rsidRPr="00D66EE6">
              <w:rPr>
                <w:rFonts w:ascii="Arial" w:hAnsi="Arial" w:cs="Arial"/>
                <w:sz w:val="20"/>
                <w:szCs w:val="20"/>
              </w:rPr>
              <w:t>where modern practice conflicts with historic legislation, a pragmatic (non-punitive) approach is taken.</w:t>
            </w:r>
          </w:p>
          <w:p w14:paraId="4A41ADCD" w14:textId="13E61FFC" w:rsidR="00814E00" w:rsidRPr="00D66EE6" w:rsidRDefault="00814E00" w:rsidP="00131778">
            <w:pPr>
              <w:pStyle w:val="ListParagraph"/>
              <w:numPr>
                <w:ilvl w:val="0"/>
                <w:numId w:val="31"/>
              </w:numPr>
              <w:spacing w:before="160" w:after="160" w:line="276" w:lineRule="auto"/>
              <w:contextualSpacing/>
              <w:rPr>
                <w:rFonts w:ascii="Arial" w:hAnsi="Arial" w:cs="Arial"/>
                <w:sz w:val="20"/>
                <w:szCs w:val="20"/>
              </w:rPr>
            </w:pPr>
            <w:r w:rsidRPr="00D66EE6">
              <w:rPr>
                <w:rFonts w:ascii="Arial" w:hAnsi="Arial" w:cs="Arial"/>
                <w:sz w:val="20"/>
                <w:szCs w:val="20"/>
              </w:rPr>
              <w:t>No concerns with wording of r.10(5) requiring compliance with a direction.</w:t>
            </w:r>
          </w:p>
          <w:p w14:paraId="5F50130B" w14:textId="77777777" w:rsidR="00814E00" w:rsidRPr="00D66EE6" w:rsidRDefault="00814E00" w:rsidP="001308AD">
            <w:pPr>
              <w:rPr>
                <w:rFonts w:cs="Arial"/>
                <w:b/>
                <w:bCs/>
                <w:sz w:val="20"/>
              </w:rPr>
            </w:pPr>
            <w:r w:rsidRPr="00D66EE6">
              <w:rPr>
                <w:rFonts w:cs="Arial"/>
                <w:b/>
                <w:bCs/>
                <w:sz w:val="20"/>
              </w:rPr>
              <w:t>Healthscope</w:t>
            </w:r>
          </w:p>
          <w:p w14:paraId="1DF78735" w14:textId="12CA0AE5" w:rsidR="00814E00" w:rsidRPr="00D66EE6" w:rsidRDefault="00814E00" w:rsidP="001308AD">
            <w:pPr>
              <w:rPr>
                <w:rFonts w:cs="Arial"/>
                <w:sz w:val="20"/>
              </w:rPr>
            </w:pPr>
            <w:r w:rsidRPr="00D66EE6">
              <w:rPr>
                <w:rFonts w:cs="Arial"/>
                <w:sz w:val="20"/>
              </w:rPr>
              <w:t xml:space="preserve">Encourages the </w:t>
            </w:r>
            <w:r w:rsidR="00C87601">
              <w:rPr>
                <w:rFonts w:cs="Arial"/>
                <w:sz w:val="20"/>
              </w:rPr>
              <w:t>department</w:t>
            </w:r>
            <w:r w:rsidRPr="00D66EE6">
              <w:rPr>
                <w:rFonts w:cs="Arial"/>
                <w:sz w:val="20"/>
              </w:rPr>
              <w:t xml:space="preserve"> to be mindful of prohibitively short timelines in conducting reviews, and to work directly with the HSE to set out a mutually agreed progress timeline to ensure the HSE can provide the most complete information possible to support the review, but also acknowledging administrative burden will require allocation of significant resourcing. </w:t>
            </w:r>
          </w:p>
          <w:p w14:paraId="3C0AB98C" w14:textId="77777777" w:rsidR="00814E00" w:rsidRPr="00D66EE6" w:rsidRDefault="00814E00" w:rsidP="001308AD">
            <w:pPr>
              <w:rPr>
                <w:rFonts w:cs="Arial"/>
                <w:sz w:val="20"/>
              </w:rPr>
            </w:pPr>
            <w:r w:rsidRPr="00D66EE6">
              <w:rPr>
                <w:rFonts w:cs="Arial"/>
                <w:sz w:val="20"/>
              </w:rPr>
              <w:t>Also encourages a limit to the number of reviews conducted within a set timeframe to ensure compliance without significant repeat burden on the HSE.</w:t>
            </w:r>
          </w:p>
          <w:p w14:paraId="027CF9AB" w14:textId="77777777" w:rsidR="00814E00" w:rsidRPr="00D66EE6" w:rsidRDefault="00814E00" w:rsidP="001308AD">
            <w:pPr>
              <w:rPr>
                <w:rFonts w:cs="Arial"/>
                <w:b/>
                <w:bCs/>
                <w:sz w:val="20"/>
              </w:rPr>
            </w:pPr>
            <w:r w:rsidRPr="00D66EE6">
              <w:rPr>
                <w:rFonts w:cs="Arial"/>
                <w:b/>
                <w:bCs/>
                <w:sz w:val="20"/>
              </w:rPr>
              <w:t>ANMF</w:t>
            </w:r>
          </w:p>
          <w:p w14:paraId="0F82C561" w14:textId="2DF69D06" w:rsidR="00814E00" w:rsidRPr="00D66EE6" w:rsidRDefault="00814E00" w:rsidP="001308AD">
            <w:pPr>
              <w:rPr>
                <w:rFonts w:cs="Arial"/>
                <w:b/>
                <w:bCs/>
                <w:sz w:val="20"/>
                <w:u w:val="single"/>
              </w:rPr>
            </w:pPr>
            <w:r w:rsidRPr="00D66EE6">
              <w:rPr>
                <w:rFonts w:cs="Arial"/>
                <w:sz w:val="20"/>
              </w:rPr>
              <w:t>Supportive of proposed amendments.</w:t>
            </w:r>
          </w:p>
          <w:p w14:paraId="26DACCD2" w14:textId="77777777" w:rsidR="00814E00" w:rsidRPr="00D66EE6" w:rsidRDefault="00814E00" w:rsidP="001308AD">
            <w:pPr>
              <w:rPr>
                <w:rFonts w:cs="Arial"/>
                <w:sz w:val="20"/>
              </w:rPr>
            </w:pPr>
          </w:p>
        </w:tc>
        <w:tc>
          <w:tcPr>
            <w:tcW w:w="1571" w:type="pct"/>
            <w:shd w:val="clear" w:color="auto" w:fill="auto"/>
          </w:tcPr>
          <w:p w14:paraId="7FFC78C6" w14:textId="4B119F07" w:rsidR="00814E00" w:rsidRPr="00F33B6F" w:rsidRDefault="00814E00" w:rsidP="006D32B7">
            <w:pPr>
              <w:rPr>
                <w:rFonts w:cs="Arial"/>
                <w:sz w:val="20"/>
              </w:rPr>
            </w:pPr>
            <w:r w:rsidRPr="00D66EE6">
              <w:rPr>
                <w:rFonts w:cs="Arial"/>
                <w:sz w:val="20"/>
              </w:rPr>
              <w:lastRenderedPageBreak/>
              <w:t xml:space="preserve">In response to </w:t>
            </w:r>
            <w:r w:rsidRPr="00D66EE6">
              <w:rPr>
                <w:rFonts w:cs="Arial"/>
                <w:b/>
                <w:bCs/>
                <w:sz w:val="20"/>
              </w:rPr>
              <w:t>CHA/anonymous</w:t>
            </w:r>
            <w:r w:rsidR="00F33B6F">
              <w:rPr>
                <w:rFonts w:cs="Arial"/>
                <w:sz w:val="20"/>
              </w:rPr>
              <w:t xml:space="preserve"> feedback:</w:t>
            </w:r>
          </w:p>
          <w:p w14:paraId="7340CE70" w14:textId="583DE41E" w:rsidR="00814E00" w:rsidRPr="00D66EE6" w:rsidRDefault="00814E00" w:rsidP="00131778">
            <w:pPr>
              <w:pStyle w:val="ListParagraph"/>
              <w:numPr>
                <w:ilvl w:val="0"/>
                <w:numId w:val="31"/>
              </w:numPr>
              <w:spacing w:before="160" w:after="160" w:line="276" w:lineRule="auto"/>
              <w:contextualSpacing/>
              <w:rPr>
                <w:rFonts w:ascii="Arial" w:hAnsi="Arial" w:cs="Arial"/>
                <w:sz w:val="20"/>
                <w:szCs w:val="20"/>
              </w:rPr>
            </w:pPr>
            <w:r w:rsidRPr="00D66EE6">
              <w:rPr>
                <w:rFonts w:ascii="Arial" w:hAnsi="Arial" w:cs="Arial"/>
                <w:sz w:val="20"/>
                <w:szCs w:val="20"/>
              </w:rPr>
              <w:t xml:space="preserve">The </w:t>
            </w:r>
            <w:r w:rsidR="00C87601">
              <w:rPr>
                <w:rFonts w:ascii="Arial" w:hAnsi="Arial" w:cs="Arial"/>
                <w:sz w:val="20"/>
                <w:szCs w:val="20"/>
              </w:rPr>
              <w:t>department</w:t>
            </w:r>
            <w:r w:rsidRPr="00D66EE6">
              <w:rPr>
                <w:rFonts w:ascii="Arial" w:hAnsi="Arial" w:cs="Arial"/>
                <w:sz w:val="20"/>
                <w:szCs w:val="20"/>
              </w:rPr>
              <w:t xml:space="preserve"> has considered and accepted the proposal for an 18-month commencement date (rather than 12-month) for the Secretary’s review power under r.10. This will allow time for the sector to implement the new quality and safety protocols requirements under r.8 (which will take effect from 31 August 2025) and will allow time for the Regulator to develop and publish operational guidance on how it will conduct reviews. Accordingly, r.10 will now appear as:</w:t>
            </w:r>
            <w:r w:rsidRPr="00D66EE6">
              <w:rPr>
                <w:rFonts w:ascii="Arial" w:hAnsi="Arial" w:cs="Arial"/>
                <w:sz w:val="20"/>
                <w:szCs w:val="20"/>
              </w:rPr>
              <w:br/>
            </w:r>
            <w:r w:rsidRPr="00D66EE6">
              <w:rPr>
                <w:rFonts w:ascii="Arial" w:hAnsi="Arial" w:cs="Arial"/>
                <w:color w:val="FF0000"/>
                <w:sz w:val="20"/>
                <w:szCs w:val="20"/>
              </w:rPr>
              <w:t xml:space="preserve">(1) On and from </w:t>
            </w:r>
            <w:r w:rsidRPr="00D66EE6">
              <w:rPr>
                <w:rFonts w:ascii="Arial" w:hAnsi="Arial" w:cs="Arial"/>
                <w:strike/>
                <w:color w:val="FF0000"/>
                <w:sz w:val="20"/>
                <w:szCs w:val="20"/>
              </w:rPr>
              <w:t>31 August 2025</w:t>
            </w:r>
            <w:r w:rsidRPr="00D66EE6">
              <w:rPr>
                <w:rFonts w:ascii="Arial" w:hAnsi="Arial" w:cs="Arial"/>
                <w:color w:val="FF0000"/>
                <w:sz w:val="20"/>
                <w:szCs w:val="20"/>
              </w:rPr>
              <w:t xml:space="preserve"> 28 February 2026…</w:t>
            </w:r>
          </w:p>
          <w:p w14:paraId="1793FB20" w14:textId="77777777" w:rsidR="00814E00" w:rsidRPr="00D66EE6" w:rsidRDefault="00814E00" w:rsidP="00131778">
            <w:pPr>
              <w:pStyle w:val="ListParagraph"/>
              <w:numPr>
                <w:ilvl w:val="0"/>
                <w:numId w:val="31"/>
              </w:numPr>
              <w:spacing w:before="160" w:after="160" w:line="276" w:lineRule="auto"/>
              <w:contextualSpacing/>
              <w:rPr>
                <w:rFonts w:ascii="Arial" w:hAnsi="Arial" w:cs="Arial"/>
                <w:sz w:val="20"/>
                <w:szCs w:val="20"/>
              </w:rPr>
            </w:pPr>
            <w:r w:rsidRPr="00D66EE6">
              <w:rPr>
                <w:rFonts w:ascii="Arial" w:hAnsi="Arial" w:cs="Arial"/>
                <w:sz w:val="20"/>
                <w:szCs w:val="20"/>
              </w:rPr>
              <w:t>Accreditation is a point-in-time assessment and cannot assure continuous adherence to the NSQHS Standards.</w:t>
            </w:r>
          </w:p>
          <w:p w14:paraId="647E3D69" w14:textId="74693D6E" w:rsidR="00814E00" w:rsidRPr="00D66EE6" w:rsidRDefault="00814E00" w:rsidP="00131778">
            <w:pPr>
              <w:pStyle w:val="ListParagraph"/>
              <w:numPr>
                <w:ilvl w:val="0"/>
                <w:numId w:val="31"/>
              </w:numPr>
              <w:spacing w:before="160" w:after="160" w:line="276" w:lineRule="auto"/>
              <w:contextualSpacing/>
              <w:rPr>
                <w:rFonts w:ascii="Arial" w:hAnsi="Arial" w:cs="Arial"/>
                <w:sz w:val="20"/>
                <w:szCs w:val="20"/>
              </w:rPr>
            </w:pPr>
            <w:r w:rsidRPr="00D66EE6">
              <w:rPr>
                <w:rFonts w:ascii="Arial" w:hAnsi="Arial" w:cs="Arial"/>
                <w:sz w:val="20"/>
                <w:szCs w:val="20"/>
              </w:rPr>
              <w:t xml:space="preserve">The new review power under r.10 is being introduced to improve oversight of facilities’ systems for managing core safety issues, and to </w:t>
            </w:r>
            <w:r w:rsidRPr="00D66EE6">
              <w:rPr>
                <w:rFonts w:ascii="Arial" w:hAnsi="Arial" w:cs="Arial"/>
                <w:sz w:val="20"/>
                <w:szCs w:val="20"/>
              </w:rPr>
              <w:lastRenderedPageBreak/>
              <w:t xml:space="preserve">identify and address inadequate arrangements and associated risk, including any non-compliance with the Act and Regulations. It will allow a flexible, transparent and nuanced approach, as reviews will be conducted on a facility-by-facility basis. </w:t>
            </w:r>
          </w:p>
          <w:p w14:paraId="6509DF27" w14:textId="2BB41FAB" w:rsidR="003736CF" w:rsidRDefault="00814E00" w:rsidP="00131778">
            <w:pPr>
              <w:pStyle w:val="ListParagraph"/>
              <w:numPr>
                <w:ilvl w:val="0"/>
                <w:numId w:val="31"/>
              </w:numPr>
              <w:spacing w:before="160" w:after="160" w:line="276" w:lineRule="auto"/>
              <w:contextualSpacing/>
              <w:rPr>
                <w:rFonts w:ascii="Arial" w:hAnsi="Arial" w:cs="Arial"/>
                <w:sz w:val="20"/>
                <w:szCs w:val="20"/>
              </w:rPr>
            </w:pPr>
            <w:r w:rsidRPr="00D66EE6">
              <w:rPr>
                <w:rFonts w:ascii="Arial" w:hAnsi="Arial" w:cs="Arial"/>
                <w:sz w:val="20"/>
                <w:szCs w:val="20"/>
              </w:rPr>
              <w:t xml:space="preserve">Regarding the form and content of a direction, the Secretary will only be able to issue a direction following a review, which will require extensive communication between the Regulator and the HSE. The </w:t>
            </w:r>
            <w:r w:rsidR="00853E69">
              <w:rPr>
                <w:rFonts w:ascii="Arial" w:hAnsi="Arial" w:cs="Arial"/>
                <w:sz w:val="20"/>
                <w:szCs w:val="20"/>
              </w:rPr>
              <w:t>targeted</w:t>
            </w:r>
            <w:r w:rsidRPr="00D66EE6">
              <w:rPr>
                <w:rFonts w:ascii="Arial" w:hAnsi="Arial" w:cs="Arial"/>
                <w:sz w:val="20"/>
                <w:szCs w:val="20"/>
              </w:rPr>
              <w:t xml:space="preserve"> review process means that natural justice principles will necessarily apply when the Sec</w:t>
            </w:r>
            <w:r w:rsidR="0096610E">
              <w:rPr>
                <w:rFonts w:ascii="Arial" w:hAnsi="Arial" w:cs="Arial"/>
                <w:sz w:val="20"/>
                <w:szCs w:val="20"/>
              </w:rPr>
              <w:t>retary</w:t>
            </w:r>
            <w:r w:rsidRPr="00D66EE6">
              <w:rPr>
                <w:rFonts w:ascii="Arial" w:hAnsi="Arial" w:cs="Arial"/>
                <w:sz w:val="20"/>
                <w:szCs w:val="20"/>
              </w:rPr>
              <w:t xml:space="preserve"> issues a direction as a result of that review. The delayed commencement of this power will also allow time for the Regulator to develop operational guidance on how it will conduct reviews and issue directions</w:t>
            </w:r>
            <w:r w:rsidR="00D050AF">
              <w:rPr>
                <w:rFonts w:ascii="Arial" w:hAnsi="Arial" w:cs="Arial"/>
                <w:sz w:val="20"/>
                <w:szCs w:val="20"/>
              </w:rPr>
              <w:t xml:space="preserve">, including how it will </w:t>
            </w:r>
            <w:r w:rsidR="007208AB">
              <w:rPr>
                <w:rFonts w:ascii="Arial" w:hAnsi="Arial" w:cs="Arial"/>
                <w:sz w:val="20"/>
                <w:szCs w:val="20"/>
              </w:rPr>
              <w:t>cover</w:t>
            </w:r>
            <w:r w:rsidRPr="00D66EE6">
              <w:rPr>
                <w:rFonts w:ascii="Arial" w:hAnsi="Arial" w:cs="Arial"/>
                <w:sz w:val="20"/>
                <w:szCs w:val="20"/>
              </w:rPr>
              <w:t xml:space="preserve"> </w:t>
            </w:r>
            <w:r w:rsidR="007208AB">
              <w:rPr>
                <w:rFonts w:ascii="Arial" w:hAnsi="Arial" w:cs="Arial"/>
                <w:sz w:val="20"/>
                <w:szCs w:val="20"/>
              </w:rPr>
              <w:t>t</w:t>
            </w:r>
            <w:r w:rsidRPr="00D66EE6">
              <w:rPr>
                <w:rFonts w:ascii="Arial" w:hAnsi="Arial" w:cs="Arial"/>
                <w:sz w:val="20"/>
                <w:szCs w:val="20"/>
              </w:rPr>
              <w:t>he elements raised in the feedback</w:t>
            </w:r>
            <w:r w:rsidR="007208AB">
              <w:rPr>
                <w:rFonts w:ascii="Arial" w:hAnsi="Arial" w:cs="Arial"/>
                <w:sz w:val="20"/>
                <w:szCs w:val="20"/>
              </w:rPr>
              <w:t>.</w:t>
            </w:r>
          </w:p>
          <w:p w14:paraId="5E3A5A89" w14:textId="08B0EEC8" w:rsidR="00814E00" w:rsidRPr="003736CF" w:rsidRDefault="003736CF" w:rsidP="003736CF">
            <w:pPr>
              <w:spacing w:before="160" w:after="160" w:line="276" w:lineRule="auto"/>
              <w:contextualSpacing/>
              <w:rPr>
                <w:rFonts w:cs="Arial"/>
                <w:b/>
                <w:bCs/>
                <w:sz w:val="20"/>
              </w:rPr>
            </w:pPr>
            <w:r>
              <w:rPr>
                <w:rFonts w:cs="Arial"/>
                <w:sz w:val="20"/>
              </w:rPr>
              <w:t xml:space="preserve">In response to </w:t>
            </w:r>
            <w:r w:rsidRPr="003736CF">
              <w:rPr>
                <w:rFonts w:cs="Arial"/>
                <w:b/>
                <w:bCs/>
                <w:sz w:val="20"/>
              </w:rPr>
              <w:t>Healthscope’s</w:t>
            </w:r>
            <w:r w:rsidR="00814E00" w:rsidRPr="003736CF">
              <w:rPr>
                <w:rFonts w:cs="Arial"/>
                <w:sz w:val="20"/>
              </w:rPr>
              <w:t xml:space="preserve"> </w:t>
            </w:r>
            <w:r w:rsidRPr="003736CF">
              <w:rPr>
                <w:rFonts w:cs="Arial"/>
                <w:sz w:val="20"/>
              </w:rPr>
              <w:t>feedback:</w:t>
            </w:r>
          </w:p>
          <w:p w14:paraId="0012098B" w14:textId="6B21851F" w:rsidR="00814E00" w:rsidRPr="00D66EE6" w:rsidRDefault="003736CF" w:rsidP="00131778">
            <w:pPr>
              <w:pStyle w:val="ListParagraph"/>
              <w:numPr>
                <w:ilvl w:val="0"/>
                <w:numId w:val="31"/>
              </w:numPr>
              <w:spacing w:before="160" w:after="160" w:line="276" w:lineRule="auto"/>
              <w:contextualSpacing/>
              <w:rPr>
                <w:rFonts w:ascii="Arial" w:hAnsi="Arial" w:cs="Arial"/>
                <w:sz w:val="20"/>
                <w:szCs w:val="20"/>
              </w:rPr>
            </w:pPr>
            <w:r>
              <w:rPr>
                <w:rFonts w:ascii="Arial" w:hAnsi="Arial" w:cs="Arial"/>
                <w:sz w:val="20"/>
                <w:szCs w:val="20"/>
              </w:rPr>
              <w:t>T</w:t>
            </w:r>
            <w:r w:rsidR="00814E00" w:rsidRPr="00D66EE6">
              <w:rPr>
                <w:rFonts w:ascii="Arial" w:hAnsi="Arial" w:cs="Arial"/>
                <w:sz w:val="20"/>
                <w:szCs w:val="20"/>
              </w:rPr>
              <w:t xml:space="preserve">imeframes and frequency of reviews will be addressed in the Regulator’s operational guidance discussed above rather than </w:t>
            </w:r>
            <w:r w:rsidR="002027D4">
              <w:rPr>
                <w:rFonts w:ascii="Arial" w:hAnsi="Arial" w:cs="Arial"/>
                <w:sz w:val="20"/>
                <w:szCs w:val="20"/>
              </w:rPr>
              <w:t xml:space="preserve">specified </w:t>
            </w:r>
            <w:r w:rsidR="00814E00" w:rsidRPr="00D66EE6">
              <w:rPr>
                <w:rFonts w:ascii="Arial" w:hAnsi="Arial" w:cs="Arial"/>
                <w:sz w:val="20"/>
                <w:szCs w:val="20"/>
              </w:rPr>
              <w:t xml:space="preserve">in the Regulations. </w:t>
            </w:r>
          </w:p>
        </w:tc>
      </w:tr>
      <w:tr w:rsidR="00814E00" w:rsidRPr="00D66EE6" w14:paraId="6BFE18FF" w14:textId="77777777" w:rsidTr="00D66EE6">
        <w:trPr>
          <w:trHeight w:val="3119"/>
        </w:trPr>
        <w:tc>
          <w:tcPr>
            <w:tcW w:w="288" w:type="pct"/>
          </w:tcPr>
          <w:p w14:paraId="77596EF3" w14:textId="77777777" w:rsidR="00814E00" w:rsidRPr="00D66EE6" w:rsidRDefault="00814E00" w:rsidP="001308AD">
            <w:pPr>
              <w:rPr>
                <w:rFonts w:cs="Arial"/>
                <w:sz w:val="20"/>
              </w:rPr>
            </w:pPr>
            <w:r w:rsidRPr="00D66EE6">
              <w:rPr>
                <w:rFonts w:cs="Arial"/>
                <w:sz w:val="20"/>
              </w:rPr>
              <w:lastRenderedPageBreak/>
              <w:t>8(2)</w:t>
            </w:r>
          </w:p>
          <w:p w14:paraId="3D0269EC" w14:textId="77777777" w:rsidR="00814E00" w:rsidRPr="00D66EE6" w:rsidRDefault="00814E00" w:rsidP="001308AD">
            <w:pPr>
              <w:rPr>
                <w:rFonts w:cs="Arial"/>
                <w:color w:val="FF0000"/>
                <w:sz w:val="20"/>
              </w:rPr>
            </w:pPr>
            <w:r w:rsidRPr="00D66EE6">
              <w:rPr>
                <w:rFonts w:cs="Arial"/>
                <w:color w:val="FF0000"/>
                <w:sz w:val="20"/>
              </w:rPr>
              <w:t>11(2)</w:t>
            </w:r>
          </w:p>
        </w:tc>
        <w:tc>
          <w:tcPr>
            <w:tcW w:w="1570" w:type="pct"/>
          </w:tcPr>
          <w:p w14:paraId="20A65023" w14:textId="77777777" w:rsidR="00814E00" w:rsidRPr="00D66EE6" w:rsidRDefault="00814E00" w:rsidP="001308AD">
            <w:pPr>
              <w:spacing w:after="160" w:line="259" w:lineRule="auto"/>
              <w:rPr>
                <w:rFonts w:eastAsia="Calibri" w:cs="Arial"/>
                <w:b/>
                <w:kern w:val="2"/>
                <w:sz w:val="20"/>
                <w14:ligatures w14:val="standardContextual"/>
              </w:rPr>
            </w:pPr>
            <w:r w:rsidRPr="00D66EE6">
              <w:rPr>
                <w:rFonts w:eastAsia="Calibri" w:cs="Arial"/>
                <w:b/>
                <w:kern w:val="2"/>
                <w:sz w:val="20"/>
                <w14:ligatures w14:val="standardContextual"/>
              </w:rPr>
              <w:t>Application for approval in principle</w:t>
            </w:r>
          </w:p>
          <w:p w14:paraId="275D1A8B" w14:textId="77777777" w:rsidR="00814E00" w:rsidRPr="00D66EE6" w:rsidRDefault="00814E00" w:rsidP="00131778">
            <w:pPr>
              <w:pStyle w:val="ListParagraph"/>
              <w:numPr>
                <w:ilvl w:val="0"/>
                <w:numId w:val="16"/>
              </w:numPr>
              <w:spacing w:before="160" w:after="160" w:line="276" w:lineRule="auto"/>
              <w:contextualSpacing/>
              <w:rPr>
                <w:rFonts w:ascii="Arial" w:hAnsi="Arial" w:cs="Arial"/>
                <w:b/>
                <w:color w:val="FF0000"/>
                <w:sz w:val="20"/>
                <w:szCs w:val="20"/>
              </w:rPr>
            </w:pPr>
            <w:r w:rsidRPr="00D66EE6">
              <w:rPr>
                <w:rFonts w:ascii="Arial" w:hAnsi="Arial" w:cs="Arial"/>
                <w:sz w:val="20"/>
                <w:szCs w:val="20"/>
              </w:rPr>
              <w:t>For the purposes of section 70(2)(b) of the Act, the following fees are prescribed—</w:t>
            </w:r>
          </w:p>
          <w:p w14:paraId="39D01971" w14:textId="77777777" w:rsidR="00814E00" w:rsidRPr="00D66EE6" w:rsidRDefault="00814E00" w:rsidP="00131778">
            <w:pPr>
              <w:pStyle w:val="ListParagraph"/>
              <w:numPr>
                <w:ilvl w:val="1"/>
                <w:numId w:val="16"/>
              </w:numPr>
              <w:spacing w:before="160" w:after="160" w:line="276" w:lineRule="auto"/>
              <w:contextualSpacing/>
              <w:rPr>
                <w:rFonts w:ascii="Arial" w:hAnsi="Arial" w:cs="Arial"/>
                <w:b/>
                <w:color w:val="FF0000"/>
                <w:sz w:val="20"/>
                <w:szCs w:val="20"/>
              </w:rPr>
            </w:pPr>
            <w:r w:rsidRPr="00D66EE6">
              <w:rPr>
                <w:rFonts w:ascii="Arial" w:hAnsi="Arial" w:cs="Arial"/>
                <w:color w:val="FF0000"/>
                <w:sz w:val="20"/>
                <w:szCs w:val="20"/>
              </w:rPr>
              <w:t>for an application for approval in principle to use particular land or premises as a private hospital or day procedure centre—325 fee units;</w:t>
            </w:r>
          </w:p>
          <w:p w14:paraId="7F6CE0CF" w14:textId="77777777" w:rsidR="00814E00" w:rsidRPr="00D66EE6" w:rsidRDefault="00814E00" w:rsidP="00131778">
            <w:pPr>
              <w:pStyle w:val="ListParagraph"/>
              <w:numPr>
                <w:ilvl w:val="1"/>
                <w:numId w:val="16"/>
              </w:numPr>
              <w:spacing w:before="160" w:after="160" w:line="276" w:lineRule="auto"/>
              <w:contextualSpacing/>
              <w:rPr>
                <w:rFonts w:ascii="Arial" w:hAnsi="Arial" w:cs="Arial"/>
                <w:b/>
                <w:color w:val="FF0000"/>
                <w:sz w:val="20"/>
                <w:szCs w:val="20"/>
              </w:rPr>
            </w:pPr>
            <w:r w:rsidRPr="00D66EE6">
              <w:rPr>
                <w:rFonts w:ascii="Arial" w:hAnsi="Arial" w:cs="Arial"/>
                <w:sz w:val="20"/>
                <w:szCs w:val="20"/>
              </w:rPr>
              <w:t xml:space="preserve">for an application </w:t>
            </w:r>
            <w:r w:rsidRPr="00D66EE6">
              <w:rPr>
                <w:rFonts w:ascii="Arial" w:hAnsi="Arial" w:cs="Arial"/>
                <w:color w:val="FF0000"/>
                <w:sz w:val="20"/>
                <w:szCs w:val="20"/>
              </w:rPr>
              <w:t xml:space="preserve">for approval in principle </w:t>
            </w:r>
            <w:r w:rsidRPr="00D66EE6">
              <w:rPr>
                <w:rFonts w:ascii="Arial" w:hAnsi="Arial" w:cs="Arial"/>
                <w:sz w:val="20"/>
                <w:szCs w:val="20"/>
              </w:rPr>
              <w:t>to construct premises for use as a private hospital—325 fee units;</w:t>
            </w:r>
          </w:p>
          <w:p w14:paraId="0EF96076" w14:textId="77777777" w:rsidR="00814E00" w:rsidRPr="00D66EE6" w:rsidRDefault="00814E00" w:rsidP="00131778">
            <w:pPr>
              <w:pStyle w:val="ListParagraph"/>
              <w:numPr>
                <w:ilvl w:val="1"/>
                <w:numId w:val="16"/>
              </w:numPr>
              <w:spacing w:before="160" w:after="160" w:line="276" w:lineRule="auto"/>
              <w:contextualSpacing/>
              <w:rPr>
                <w:rFonts w:ascii="Arial" w:hAnsi="Arial" w:cs="Arial"/>
                <w:b/>
                <w:color w:val="FF0000"/>
                <w:sz w:val="20"/>
                <w:szCs w:val="20"/>
              </w:rPr>
            </w:pPr>
            <w:r w:rsidRPr="00D66EE6">
              <w:rPr>
                <w:rFonts w:ascii="Arial" w:hAnsi="Arial" w:cs="Arial"/>
                <w:sz w:val="20"/>
                <w:szCs w:val="20"/>
              </w:rPr>
              <w:t xml:space="preserve">for an application </w:t>
            </w:r>
            <w:r w:rsidRPr="00D66EE6">
              <w:rPr>
                <w:rFonts w:ascii="Arial" w:hAnsi="Arial" w:cs="Arial"/>
                <w:color w:val="FF0000"/>
                <w:sz w:val="20"/>
                <w:szCs w:val="20"/>
              </w:rPr>
              <w:t xml:space="preserve">for approval in principle </w:t>
            </w:r>
            <w:r w:rsidRPr="00D66EE6">
              <w:rPr>
                <w:rFonts w:ascii="Arial" w:hAnsi="Arial" w:cs="Arial"/>
                <w:sz w:val="20"/>
                <w:szCs w:val="20"/>
              </w:rPr>
              <w:t>to make alterations or extensions to a premises used or proposed to be used as a private hospital—290 fee units;</w:t>
            </w:r>
          </w:p>
          <w:p w14:paraId="0FF63AB4" w14:textId="77777777" w:rsidR="00814E00" w:rsidRPr="00D66EE6" w:rsidRDefault="00814E00" w:rsidP="00131778">
            <w:pPr>
              <w:pStyle w:val="ListParagraph"/>
              <w:numPr>
                <w:ilvl w:val="1"/>
                <w:numId w:val="16"/>
              </w:numPr>
              <w:spacing w:before="160" w:after="160" w:line="276" w:lineRule="auto"/>
              <w:contextualSpacing/>
              <w:rPr>
                <w:rFonts w:ascii="Arial" w:hAnsi="Arial" w:cs="Arial"/>
                <w:b/>
                <w:color w:val="FF0000"/>
                <w:sz w:val="20"/>
                <w:szCs w:val="20"/>
              </w:rPr>
            </w:pPr>
            <w:r w:rsidRPr="00D66EE6">
              <w:rPr>
                <w:rFonts w:ascii="Arial" w:hAnsi="Arial" w:cs="Arial"/>
                <w:sz w:val="20"/>
                <w:szCs w:val="20"/>
              </w:rPr>
              <w:t xml:space="preserve">for an application </w:t>
            </w:r>
            <w:r w:rsidRPr="00D66EE6">
              <w:rPr>
                <w:rFonts w:ascii="Arial" w:hAnsi="Arial" w:cs="Arial"/>
                <w:color w:val="FF0000"/>
                <w:sz w:val="20"/>
                <w:szCs w:val="20"/>
              </w:rPr>
              <w:t xml:space="preserve">for approval in principle </w:t>
            </w:r>
            <w:r w:rsidRPr="00D66EE6">
              <w:rPr>
                <w:rFonts w:ascii="Arial" w:hAnsi="Arial" w:cs="Arial"/>
                <w:sz w:val="20"/>
                <w:szCs w:val="20"/>
              </w:rPr>
              <w:t xml:space="preserve">to construct premises for use as a day procedure centre—285 fee units; </w:t>
            </w:r>
          </w:p>
          <w:p w14:paraId="7436C8D4" w14:textId="77777777" w:rsidR="00814E00" w:rsidRPr="00D66EE6" w:rsidRDefault="00814E00" w:rsidP="00131778">
            <w:pPr>
              <w:pStyle w:val="ListParagraph"/>
              <w:numPr>
                <w:ilvl w:val="1"/>
                <w:numId w:val="16"/>
              </w:numPr>
              <w:spacing w:before="160" w:after="160" w:line="276" w:lineRule="auto"/>
              <w:contextualSpacing/>
              <w:rPr>
                <w:rFonts w:ascii="Arial" w:hAnsi="Arial" w:cs="Arial"/>
                <w:b/>
                <w:color w:val="FF0000"/>
                <w:sz w:val="20"/>
                <w:szCs w:val="20"/>
              </w:rPr>
            </w:pPr>
            <w:r w:rsidRPr="00D66EE6">
              <w:rPr>
                <w:rFonts w:ascii="Arial" w:hAnsi="Arial" w:cs="Arial"/>
                <w:sz w:val="20"/>
                <w:szCs w:val="20"/>
              </w:rPr>
              <w:t xml:space="preserve">for an application </w:t>
            </w:r>
            <w:r w:rsidRPr="00D66EE6">
              <w:rPr>
                <w:rFonts w:ascii="Arial" w:hAnsi="Arial" w:cs="Arial"/>
                <w:color w:val="FF0000"/>
                <w:sz w:val="20"/>
                <w:szCs w:val="20"/>
              </w:rPr>
              <w:t xml:space="preserve">for approval in principle </w:t>
            </w:r>
            <w:r w:rsidRPr="00D66EE6">
              <w:rPr>
                <w:rFonts w:ascii="Arial" w:hAnsi="Arial" w:cs="Arial"/>
                <w:sz w:val="20"/>
                <w:szCs w:val="20"/>
              </w:rPr>
              <w:t>to make alterations or extensions to a premises used or proposed to be used as a day procedure centre—276 fee units;</w:t>
            </w:r>
          </w:p>
          <w:p w14:paraId="74C36B1E" w14:textId="77777777" w:rsidR="00814E00" w:rsidRPr="00D66EE6" w:rsidRDefault="00814E00" w:rsidP="00131778">
            <w:pPr>
              <w:pStyle w:val="ListParagraph"/>
              <w:numPr>
                <w:ilvl w:val="1"/>
                <w:numId w:val="16"/>
              </w:numPr>
              <w:spacing w:before="160" w:after="160" w:line="276" w:lineRule="auto"/>
              <w:contextualSpacing/>
              <w:rPr>
                <w:rFonts w:ascii="Arial" w:hAnsi="Arial" w:cs="Arial"/>
                <w:b/>
                <w:color w:val="FF0000"/>
                <w:sz w:val="20"/>
                <w:szCs w:val="20"/>
              </w:rPr>
            </w:pPr>
            <w:r w:rsidRPr="00D66EE6">
              <w:rPr>
                <w:rFonts w:ascii="Arial" w:hAnsi="Arial" w:cs="Arial"/>
                <w:sz w:val="20"/>
                <w:szCs w:val="20"/>
              </w:rPr>
              <w:t xml:space="preserve">for an application </w:t>
            </w:r>
            <w:r w:rsidRPr="00D66EE6">
              <w:rPr>
                <w:rFonts w:ascii="Arial" w:hAnsi="Arial" w:cs="Arial"/>
                <w:color w:val="FF0000"/>
                <w:sz w:val="20"/>
                <w:szCs w:val="20"/>
              </w:rPr>
              <w:t xml:space="preserve">for approval in principle </w:t>
            </w:r>
            <w:r w:rsidRPr="00D66EE6">
              <w:rPr>
                <w:rFonts w:ascii="Arial" w:hAnsi="Arial" w:cs="Arial"/>
                <w:sz w:val="20"/>
                <w:szCs w:val="20"/>
              </w:rPr>
              <w:t>to use particular land or premises as a health service establishment from which health services are to be provided at premises other than the first-mentioned premises—91 fee units;</w:t>
            </w:r>
          </w:p>
        </w:tc>
        <w:tc>
          <w:tcPr>
            <w:tcW w:w="1571" w:type="pct"/>
          </w:tcPr>
          <w:p w14:paraId="605EC8A5" w14:textId="77777777" w:rsidR="00814E00" w:rsidRPr="00D66EE6" w:rsidRDefault="00814E00" w:rsidP="00037715">
            <w:pPr>
              <w:rPr>
                <w:rFonts w:cs="Arial"/>
                <w:b/>
                <w:bCs/>
                <w:sz w:val="20"/>
              </w:rPr>
            </w:pPr>
            <w:r w:rsidRPr="00D66EE6">
              <w:rPr>
                <w:rFonts w:cs="Arial"/>
                <w:b/>
                <w:bCs/>
                <w:sz w:val="20"/>
              </w:rPr>
              <w:t xml:space="preserve">CHA and 19 anonymous stakeholders </w:t>
            </w:r>
          </w:p>
          <w:p w14:paraId="026AA1C8" w14:textId="190756E6" w:rsidR="00814E00" w:rsidRPr="00D66EE6" w:rsidRDefault="00814E00" w:rsidP="001308AD">
            <w:pPr>
              <w:rPr>
                <w:rFonts w:cs="Arial"/>
                <w:b/>
                <w:bCs/>
                <w:sz w:val="20"/>
                <w:u w:val="single"/>
              </w:rPr>
            </w:pPr>
            <w:r w:rsidRPr="00D66EE6">
              <w:rPr>
                <w:rFonts w:cs="Arial"/>
                <w:sz w:val="20"/>
              </w:rPr>
              <w:t>No concerns regarding amendment.</w:t>
            </w:r>
          </w:p>
          <w:p w14:paraId="12805FAC" w14:textId="77777777" w:rsidR="00814E00" w:rsidRPr="00D66EE6" w:rsidRDefault="00814E00" w:rsidP="001308AD">
            <w:pPr>
              <w:rPr>
                <w:rFonts w:cs="Arial"/>
                <w:b/>
                <w:bCs/>
                <w:sz w:val="20"/>
              </w:rPr>
            </w:pPr>
            <w:r w:rsidRPr="00D66EE6">
              <w:rPr>
                <w:rFonts w:cs="Arial"/>
                <w:b/>
                <w:bCs/>
                <w:sz w:val="20"/>
              </w:rPr>
              <w:t xml:space="preserve">Healthscope </w:t>
            </w:r>
          </w:p>
          <w:p w14:paraId="61E2FC82" w14:textId="57FEA60A" w:rsidR="00814E00" w:rsidRPr="00D66EE6" w:rsidRDefault="00650955" w:rsidP="001308AD">
            <w:pPr>
              <w:rPr>
                <w:rFonts w:cs="Arial"/>
                <w:sz w:val="20"/>
              </w:rPr>
            </w:pPr>
            <w:r>
              <w:rPr>
                <w:rFonts w:cs="Arial"/>
                <w:sz w:val="20"/>
              </w:rPr>
              <w:t>‘</w:t>
            </w:r>
            <w:r w:rsidR="00814E00" w:rsidRPr="00D66EE6">
              <w:rPr>
                <w:rFonts w:cs="Arial"/>
                <w:sz w:val="20"/>
              </w:rPr>
              <w:t>Not supported as it imposes additional costs on the building of new private hospital infrastructure, and disadvantages private sector compared to public.</w:t>
            </w:r>
            <w:r w:rsidR="005B43B6">
              <w:rPr>
                <w:rFonts w:cs="Arial"/>
                <w:sz w:val="20"/>
              </w:rPr>
              <w:t>’</w:t>
            </w:r>
          </w:p>
          <w:p w14:paraId="39B24CAE" w14:textId="31814E4D" w:rsidR="00814E00" w:rsidRPr="00D66EE6" w:rsidRDefault="00814E00" w:rsidP="001308AD">
            <w:pPr>
              <w:rPr>
                <w:rFonts w:cs="Arial"/>
                <w:sz w:val="20"/>
              </w:rPr>
            </w:pPr>
          </w:p>
        </w:tc>
        <w:tc>
          <w:tcPr>
            <w:tcW w:w="1571" w:type="pct"/>
          </w:tcPr>
          <w:p w14:paraId="2D4B3F6C" w14:textId="5BE1C34A" w:rsidR="003F3B3F" w:rsidRDefault="00814E00" w:rsidP="001308AD">
            <w:pPr>
              <w:rPr>
                <w:rFonts w:cs="Arial"/>
                <w:sz w:val="20"/>
              </w:rPr>
            </w:pPr>
            <w:r w:rsidRPr="00D66EE6">
              <w:rPr>
                <w:rFonts w:cs="Arial"/>
                <w:sz w:val="20"/>
              </w:rPr>
              <w:t xml:space="preserve">In response to </w:t>
            </w:r>
            <w:r w:rsidRPr="00650955">
              <w:rPr>
                <w:rFonts w:cs="Arial"/>
                <w:b/>
                <w:bCs/>
                <w:sz w:val="20"/>
              </w:rPr>
              <w:t>Healthscope’s</w:t>
            </w:r>
            <w:r w:rsidRPr="00D66EE6">
              <w:rPr>
                <w:rFonts w:cs="Arial"/>
                <w:sz w:val="20"/>
              </w:rPr>
              <w:t xml:space="preserve"> comments, </w:t>
            </w:r>
            <w:r w:rsidR="001A7F29">
              <w:rPr>
                <w:rFonts w:cs="Arial"/>
                <w:sz w:val="20"/>
              </w:rPr>
              <w:t xml:space="preserve">proprietors </w:t>
            </w:r>
            <w:r w:rsidR="00B41BB4">
              <w:rPr>
                <w:rFonts w:cs="Arial"/>
                <w:sz w:val="20"/>
              </w:rPr>
              <w:t xml:space="preserve">already pay an AIP </w:t>
            </w:r>
            <w:r w:rsidR="00F54B0D">
              <w:rPr>
                <w:rFonts w:cs="Arial"/>
                <w:sz w:val="20"/>
              </w:rPr>
              <w:t xml:space="preserve">fee </w:t>
            </w:r>
            <w:r w:rsidR="00B41BB4">
              <w:rPr>
                <w:rFonts w:cs="Arial"/>
                <w:sz w:val="20"/>
              </w:rPr>
              <w:t xml:space="preserve">for building a new facility; the amendment has not changed this requirement. </w:t>
            </w:r>
            <w:r w:rsidR="001A7F29">
              <w:rPr>
                <w:rFonts w:cs="Arial"/>
                <w:sz w:val="20"/>
              </w:rPr>
              <w:t xml:space="preserve">With the addition of r.11(2)(a), a </w:t>
            </w:r>
            <w:r w:rsidR="002E09DD">
              <w:rPr>
                <w:rFonts w:cs="Arial"/>
                <w:sz w:val="20"/>
              </w:rPr>
              <w:t xml:space="preserve">proprietor will still only </w:t>
            </w:r>
            <w:r w:rsidR="00F03489">
              <w:rPr>
                <w:rFonts w:cs="Arial"/>
                <w:sz w:val="20"/>
              </w:rPr>
              <w:t xml:space="preserve">pay </w:t>
            </w:r>
            <w:r w:rsidRPr="00D66EE6">
              <w:rPr>
                <w:rFonts w:cs="Arial"/>
                <w:sz w:val="20"/>
              </w:rPr>
              <w:t xml:space="preserve">one </w:t>
            </w:r>
            <w:r w:rsidR="002D1F95">
              <w:rPr>
                <w:rFonts w:cs="Arial"/>
                <w:sz w:val="20"/>
              </w:rPr>
              <w:t xml:space="preserve">AIP </w:t>
            </w:r>
            <w:r w:rsidRPr="00D66EE6">
              <w:rPr>
                <w:rFonts w:cs="Arial"/>
                <w:sz w:val="20"/>
              </w:rPr>
              <w:t>fee as is currently the case</w:t>
            </w:r>
            <w:r w:rsidR="002D1F95">
              <w:rPr>
                <w:rFonts w:cs="Arial"/>
                <w:sz w:val="20"/>
              </w:rPr>
              <w:t xml:space="preserve"> - f</w:t>
            </w:r>
            <w:r w:rsidRPr="00D66EE6">
              <w:rPr>
                <w:rFonts w:cs="Arial"/>
                <w:sz w:val="20"/>
              </w:rPr>
              <w:t xml:space="preserve">or example, </w:t>
            </w:r>
            <w:r w:rsidR="00E77E56">
              <w:rPr>
                <w:rFonts w:cs="Arial"/>
                <w:sz w:val="20"/>
              </w:rPr>
              <w:t>they will</w:t>
            </w:r>
            <w:r w:rsidRPr="00D66EE6">
              <w:rPr>
                <w:rFonts w:cs="Arial"/>
                <w:sz w:val="20"/>
              </w:rPr>
              <w:t xml:space="preserve"> pay an AIP fee for either 11(2)(a) or 11(2)(b) but not both. If the proprietor decides to alter or extend the HSE at a later date, </w:t>
            </w:r>
            <w:r w:rsidR="00E23669">
              <w:rPr>
                <w:rFonts w:cs="Arial"/>
                <w:sz w:val="20"/>
              </w:rPr>
              <w:t>they</w:t>
            </w:r>
            <w:r w:rsidRPr="00D66EE6">
              <w:rPr>
                <w:rFonts w:cs="Arial"/>
                <w:sz w:val="20"/>
              </w:rPr>
              <w:t xml:space="preserve"> </w:t>
            </w:r>
            <w:r w:rsidR="00E77E56">
              <w:rPr>
                <w:rFonts w:cs="Arial"/>
                <w:sz w:val="20"/>
              </w:rPr>
              <w:t>will</w:t>
            </w:r>
            <w:r w:rsidRPr="00D66EE6">
              <w:rPr>
                <w:rFonts w:cs="Arial"/>
                <w:sz w:val="20"/>
              </w:rPr>
              <w:t xml:space="preserve"> pay the fee for r.11(2)(c), as </w:t>
            </w:r>
            <w:r w:rsidR="00E94E51">
              <w:rPr>
                <w:rFonts w:cs="Arial"/>
                <w:sz w:val="20"/>
              </w:rPr>
              <w:t xml:space="preserve">is </w:t>
            </w:r>
            <w:r w:rsidR="00E77E56">
              <w:rPr>
                <w:rFonts w:cs="Arial"/>
                <w:sz w:val="20"/>
              </w:rPr>
              <w:t xml:space="preserve">also </w:t>
            </w:r>
            <w:r w:rsidR="00E94E51">
              <w:rPr>
                <w:rFonts w:cs="Arial"/>
                <w:sz w:val="20"/>
              </w:rPr>
              <w:t xml:space="preserve">the currently the case </w:t>
            </w:r>
            <w:r w:rsidRPr="00D66EE6">
              <w:rPr>
                <w:rFonts w:cs="Arial"/>
                <w:sz w:val="20"/>
              </w:rPr>
              <w:t>under the existing Regulations.</w:t>
            </w:r>
            <w:r w:rsidR="00BE36EB">
              <w:rPr>
                <w:rFonts w:cs="Arial"/>
                <w:sz w:val="20"/>
              </w:rPr>
              <w:t xml:space="preserve"> </w:t>
            </w:r>
            <w:r w:rsidR="003F3B3F">
              <w:rPr>
                <w:rFonts w:cs="Arial"/>
                <w:sz w:val="20"/>
              </w:rPr>
              <w:t xml:space="preserve">Further, </w:t>
            </w:r>
            <w:r w:rsidR="00A14259">
              <w:rPr>
                <w:rFonts w:cs="Arial"/>
                <w:sz w:val="20"/>
              </w:rPr>
              <w:t xml:space="preserve">as noted in the RIS, the </w:t>
            </w:r>
            <w:r w:rsidR="00C87601">
              <w:rPr>
                <w:rFonts w:cs="Arial"/>
                <w:sz w:val="20"/>
              </w:rPr>
              <w:t>department</w:t>
            </w:r>
            <w:r w:rsidR="00A14259">
              <w:rPr>
                <w:rFonts w:cs="Arial"/>
                <w:sz w:val="20"/>
              </w:rPr>
              <w:t xml:space="preserve">’s approach is to maintain partial cost recovery </w:t>
            </w:r>
            <w:r w:rsidR="00B839F0">
              <w:rPr>
                <w:rFonts w:cs="Arial"/>
                <w:sz w:val="20"/>
              </w:rPr>
              <w:t>in recognition of private sector concerns about financial viability.</w:t>
            </w:r>
            <w:r w:rsidR="009C3084">
              <w:rPr>
                <w:rFonts w:cs="Arial"/>
                <w:sz w:val="20"/>
              </w:rPr>
              <w:t xml:space="preserve"> Full cost recovery would have required </w:t>
            </w:r>
            <w:r w:rsidR="00762469">
              <w:rPr>
                <w:rFonts w:cs="Arial"/>
                <w:sz w:val="20"/>
              </w:rPr>
              <w:t>a</w:t>
            </w:r>
            <w:r w:rsidR="00671E55">
              <w:rPr>
                <w:rFonts w:cs="Arial"/>
                <w:sz w:val="20"/>
              </w:rPr>
              <w:t xml:space="preserve"> fee increase of approximately </w:t>
            </w:r>
            <w:r w:rsidR="007D46E1">
              <w:rPr>
                <w:rFonts w:cs="Arial"/>
                <w:sz w:val="20"/>
              </w:rPr>
              <w:t xml:space="preserve">60% to cover the costs to the </w:t>
            </w:r>
            <w:r w:rsidR="00C87601">
              <w:rPr>
                <w:rFonts w:cs="Arial"/>
                <w:sz w:val="20"/>
              </w:rPr>
              <w:t>department</w:t>
            </w:r>
            <w:r w:rsidR="007D46E1">
              <w:rPr>
                <w:rFonts w:cs="Arial"/>
                <w:sz w:val="20"/>
              </w:rPr>
              <w:t xml:space="preserve"> of administering the registration scheme. </w:t>
            </w:r>
            <w:r w:rsidR="00762469">
              <w:rPr>
                <w:rFonts w:cs="Arial"/>
                <w:sz w:val="20"/>
              </w:rPr>
              <w:t xml:space="preserve"> </w:t>
            </w:r>
            <w:r w:rsidR="00B839F0">
              <w:rPr>
                <w:rFonts w:cs="Arial"/>
                <w:sz w:val="20"/>
              </w:rPr>
              <w:t xml:space="preserve"> </w:t>
            </w:r>
          </w:p>
          <w:p w14:paraId="08347B31" w14:textId="60582D32" w:rsidR="00814E00" w:rsidRPr="00D66EE6" w:rsidRDefault="00814E00" w:rsidP="001308AD">
            <w:pPr>
              <w:rPr>
                <w:rFonts w:cs="Arial"/>
                <w:sz w:val="20"/>
              </w:rPr>
            </w:pPr>
          </w:p>
        </w:tc>
      </w:tr>
      <w:tr w:rsidR="00814E00" w:rsidRPr="00D66EE6" w14:paraId="158A6F54" w14:textId="77777777" w:rsidTr="00D66EE6">
        <w:trPr>
          <w:trHeight w:val="699"/>
        </w:trPr>
        <w:tc>
          <w:tcPr>
            <w:tcW w:w="288" w:type="pct"/>
            <w:shd w:val="clear" w:color="auto" w:fill="auto"/>
            <w:hideMark/>
          </w:tcPr>
          <w:p w14:paraId="0C40CA0D" w14:textId="77777777" w:rsidR="00814E00" w:rsidRPr="00D66EE6" w:rsidRDefault="00814E00" w:rsidP="001308AD">
            <w:pPr>
              <w:rPr>
                <w:rFonts w:cs="Arial"/>
                <w:sz w:val="20"/>
              </w:rPr>
            </w:pPr>
            <w:r w:rsidRPr="00D66EE6">
              <w:rPr>
                <w:rFonts w:cs="Arial"/>
                <w:sz w:val="20"/>
              </w:rPr>
              <w:lastRenderedPageBreak/>
              <w:t>20</w:t>
            </w:r>
          </w:p>
          <w:p w14:paraId="2C94085A" w14:textId="77777777" w:rsidR="00814E00" w:rsidRPr="00D66EE6" w:rsidRDefault="00814E00" w:rsidP="001308AD">
            <w:pPr>
              <w:rPr>
                <w:rFonts w:cs="Arial"/>
                <w:sz w:val="20"/>
              </w:rPr>
            </w:pPr>
            <w:r w:rsidRPr="00D66EE6">
              <w:rPr>
                <w:rFonts w:cs="Arial"/>
                <w:color w:val="FF0000"/>
                <w:sz w:val="20"/>
              </w:rPr>
              <w:t>24</w:t>
            </w:r>
          </w:p>
        </w:tc>
        <w:tc>
          <w:tcPr>
            <w:tcW w:w="1570" w:type="pct"/>
            <w:shd w:val="clear" w:color="auto" w:fill="auto"/>
            <w:hideMark/>
          </w:tcPr>
          <w:p w14:paraId="46111DF1" w14:textId="77777777" w:rsidR="00814E00" w:rsidRPr="00D66EE6" w:rsidRDefault="00814E00" w:rsidP="001308AD">
            <w:pPr>
              <w:rPr>
                <w:rFonts w:cs="Arial"/>
                <w:b/>
                <w:sz w:val="20"/>
              </w:rPr>
            </w:pPr>
            <w:r w:rsidRPr="00D66EE6">
              <w:rPr>
                <w:rFonts w:cs="Arial"/>
                <w:b/>
                <w:sz w:val="20"/>
              </w:rPr>
              <w:t>Information about fees and services</w:t>
            </w:r>
          </w:p>
          <w:p w14:paraId="19B677B3" w14:textId="77777777" w:rsidR="00814E00" w:rsidRPr="00D66EE6" w:rsidRDefault="00814E00" w:rsidP="00131778">
            <w:pPr>
              <w:pStyle w:val="ListParagraph"/>
              <w:numPr>
                <w:ilvl w:val="0"/>
                <w:numId w:val="17"/>
              </w:numPr>
              <w:spacing w:before="160" w:after="160" w:line="276" w:lineRule="auto"/>
              <w:contextualSpacing/>
              <w:rPr>
                <w:rFonts w:ascii="Arial" w:hAnsi="Arial" w:cs="Arial"/>
                <w:sz w:val="20"/>
                <w:szCs w:val="20"/>
              </w:rPr>
            </w:pPr>
            <w:r w:rsidRPr="00D66EE6">
              <w:rPr>
                <w:rFonts w:ascii="Arial" w:hAnsi="Arial" w:cs="Arial"/>
                <w:sz w:val="20"/>
                <w:szCs w:val="20"/>
              </w:rPr>
              <w:t>The proprietor of a health service establishment must ensure that on or before admission each patient of the hospital or centre is given—</w:t>
            </w:r>
          </w:p>
          <w:p w14:paraId="081ADD01" w14:textId="77777777" w:rsidR="00814E00" w:rsidRPr="00D66EE6" w:rsidRDefault="00814E00" w:rsidP="00131778">
            <w:pPr>
              <w:pStyle w:val="ListParagraph"/>
              <w:numPr>
                <w:ilvl w:val="1"/>
                <w:numId w:val="17"/>
              </w:numPr>
              <w:spacing w:before="160" w:after="160" w:line="276" w:lineRule="auto"/>
              <w:contextualSpacing/>
              <w:rPr>
                <w:rFonts w:ascii="Arial" w:hAnsi="Arial" w:cs="Arial"/>
                <w:sz w:val="20"/>
                <w:szCs w:val="20"/>
              </w:rPr>
            </w:pPr>
            <w:r w:rsidRPr="00D66EE6">
              <w:rPr>
                <w:rFonts w:ascii="Arial" w:hAnsi="Arial" w:cs="Arial"/>
                <w:sz w:val="20"/>
                <w:szCs w:val="20"/>
              </w:rPr>
              <w:t xml:space="preserve">a statement containing information in relation to the health </w:t>
            </w:r>
            <w:r w:rsidRPr="00D66EE6">
              <w:rPr>
                <w:rFonts w:ascii="Arial" w:hAnsi="Arial" w:cs="Arial"/>
                <w:strike/>
                <w:sz w:val="20"/>
                <w:szCs w:val="20"/>
              </w:rPr>
              <w:t>care</w:t>
            </w:r>
            <w:r w:rsidRPr="00D66EE6">
              <w:rPr>
                <w:rFonts w:ascii="Arial" w:hAnsi="Arial" w:cs="Arial"/>
                <w:sz w:val="20"/>
                <w:szCs w:val="20"/>
              </w:rPr>
              <w:t xml:space="preserve"> services provided at the health service establishment that complies with subregulation (2); and</w:t>
            </w:r>
          </w:p>
          <w:p w14:paraId="099D3414" w14:textId="77777777" w:rsidR="00814E00" w:rsidRPr="00D66EE6" w:rsidRDefault="00814E00" w:rsidP="00131778">
            <w:pPr>
              <w:pStyle w:val="ListParagraph"/>
              <w:numPr>
                <w:ilvl w:val="1"/>
                <w:numId w:val="17"/>
              </w:numPr>
              <w:spacing w:before="160" w:after="160" w:line="276" w:lineRule="auto"/>
              <w:contextualSpacing/>
              <w:rPr>
                <w:rFonts w:ascii="Arial" w:hAnsi="Arial" w:cs="Arial"/>
                <w:sz w:val="20"/>
                <w:szCs w:val="20"/>
              </w:rPr>
            </w:pPr>
            <w:r w:rsidRPr="00D66EE6">
              <w:rPr>
                <w:rFonts w:ascii="Arial" w:hAnsi="Arial" w:cs="Arial"/>
                <w:sz w:val="20"/>
                <w:szCs w:val="20"/>
              </w:rPr>
              <w:t xml:space="preserve">information about fees </w:t>
            </w:r>
            <w:r w:rsidRPr="00D66EE6">
              <w:rPr>
                <w:rFonts w:ascii="Arial" w:hAnsi="Arial" w:cs="Arial"/>
                <w:strike/>
                <w:sz w:val="20"/>
                <w:szCs w:val="20"/>
              </w:rPr>
              <w:t>to be charged and any</w:t>
            </w:r>
            <w:r w:rsidRPr="00D66EE6">
              <w:rPr>
                <w:rFonts w:ascii="Arial" w:hAnsi="Arial" w:cs="Arial"/>
                <w:sz w:val="20"/>
                <w:szCs w:val="20"/>
              </w:rPr>
              <w:t xml:space="preserve"> and likely out of pocket expenses to be charged by the health service establishment </w:t>
            </w:r>
            <w:r w:rsidRPr="00D66EE6">
              <w:rPr>
                <w:rFonts w:ascii="Arial" w:hAnsi="Arial" w:cs="Arial"/>
                <w:color w:val="FF0000"/>
                <w:sz w:val="20"/>
                <w:szCs w:val="20"/>
              </w:rPr>
              <w:t xml:space="preserve">or a third party in relation to the health services to be provided to the patient at the health service establishment </w:t>
            </w:r>
            <w:r w:rsidRPr="00D66EE6">
              <w:rPr>
                <w:rFonts w:ascii="Arial" w:hAnsi="Arial" w:cs="Arial"/>
                <w:strike/>
                <w:sz w:val="20"/>
                <w:szCs w:val="20"/>
              </w:rPr>
              <w:t>and any likely out of pocket expenses which may be incurred by the patient</w:t>
            </w:r>
            <w:r w:rsidRPr="00D66EE6">
              <w:rPr>
                <w:rFonts w:ascii="Arial" w:hAnsi="Arial" w:cs="Arial"/>
                <w:sz w:val="20"/>
                <w:szCs w:val="20"/>
              </w:rPr>
              <w:t>; and</w:t>
            </w:r>
          </w:p>
          <w:p w14:paraId="6EE38608" w14:textId="77777777" w:rsidR="00814E00" w:rsidRPr="00D66EE6" w:rsidRDefault="00814E00" w:rsidP="00131778">
            <w:pPr>
              <w:pStyle w:val="ListParagraph"/>
              <w:numPr>
                <w:ilvl w:val="1"/>
                <w:numId w:val="17"/>
              </w:numPr>
              <w:spacing w:before="160" w:after="160" w:line="276" w:lineRule="auto"/>
              <w:contextualSpacing/>
              <w:rPr>
                <w:rFonts w:ascii="Arial" w:hAnsi="Arial" w:cs="Arial"/>
                <w:sz w:val="20"/>
                <w:szCs w:val="20"/>
              </w:rPr>
            </w:pPr>
            <w:r w:rsidRPr="00D66EE6">
              <w:rPr>
                <w:rFonts w:ascii="Arial" w:hAnsi="Arial" w:cs="Arial"/>
                <w:sz w:val="20"/>
                <w:szCs w:val="20"/>
              </w:rPr>
              <w:t xml:space="preserve">a clear explanation of the treatment and </w:t>
            </w:r>
            <w:r w:rsidRPr="00D66EE6">
              <w:rPr>
                <w:rFonts w:ascii="Arial" w:hAnsi="Arial" w:cs="Arial"/>
                <w:color w:val="FF0000"/>
                <w:sz w:val="20"/>
                <w:szCs w:val="20"/>
              </w:rPr>
              <w:t xml:space="preserve">other health </w:t>
            </w:r>
            <w:r w:rsidRPr="00D66EE6">
              <w:rPr>
                <w:rFonts w:ascii="Arial" w:hAnsi="Arial" w:cs="Arial"/>
                <w:sz w:val="20"/>
                <w:szCs w:val="20"/>
              </w:rPr>
              <w:t>services to be provided to the patient at the health service establishment.</w:t>
            </w:r>
          </w:p>
        </w:tc>
        <w:tc>
          <w:tcPr>
            <w:tcW w:w="1571" w:type="pct"/>
            <w:shd w:val="clear" w:color="auto" w:fill="auto"/>
            <w:hideMark/>
          </w:tcPr>
          <w:p w14:paraId="169FD357" w14:textId="77777777" w:rsidR="00825C60" w:rsidRPr="00325CBA" w:rsidRDefault="00825C60" w:rsidP="00825C60">
            <w:pPr>
              <w:rPr>
                <w:rFonts w:cs="Arial"/>
                <w:b/>
                <w:bCs/>
                <w:sz w:val="20"/>
              </w:rPr>
            </w:pPr>
            <w:r w:rsidRPr="00325CBA">
              <w:rPr>
                <w:b/>
                <w:bCs/>
                <w:sz w:val="20"/>
              </w:rPr>
              <w:t xml:space="preserve">CHA/anonymous </w:t>
            </w:r>
          </w:p>
          <w:p w14:paraId="15869FF8" w14:textId="2FA95B81" w:rsidR="00814E00" w:rsidRPr="00D66EE6" w:rsidRDefault="00814E00" w:rsidP="001308AD">
            <w:pPr>
              <w:rPr>
                <w:rFonts w:cs="Arial"/>
                <w:sz w:val="20"/>
              </w:rPr>
            </w:pPr>
            <w:r w:rsidRPr="00D66EE6">
              <w:rPr>
                <w:rFonts w:cs="Arial"/>
                <w:sz w:val="20"/>
              </w:rPr>
              <w:t xml:space="preserve">Do not explicitly oppose the proposed amendment, but note that the Commission’s Advisory AS18/10 </w:t>
            </w:r>
            <w:hyperlink r:id="rId27" w:history="1">
              <w:r w:rsidR="007E232E">
                <w:rPr>
                  <w:rStyle w:val="Hyperlink"/>
                  <w:rFonts w:cs="Arial"/>
                  <w:sz w:val="20"/>
                </w:rPr>
                <w:t>Informed financial consent</w:t>
              </w:r>
            </w:hyperlink>
            <w:r w:rsidR="003B6231" w:rsidRPr="00027CB2">
              <w:rPr>
                <w:rStyle w:val="FootnoteReference"/>
              </w:rPr>
              <w:footnoteReference w:id="14"/>
            </w:r>
            <w:r w:rsidRPr="00027CB2">
              <w:rPr>
                <w:rStyle w:val="BodyChar"/>
              </w:rPr>
              <w:t xml:space="preserve"> </w:t>
            </w:r>
            <w:r w:rsidR="007E232E" w:rsidRPr="00027CB2">
              <w:rPr>
                <w:rStyle w:val="BodyChar"/>
              </w:rPr>
              <w:t>‘</w:t>
            </w:r>
            <w:r w:rsidRPr="00D66EE6">
              <w:rPr>
                <w:rFonts w:cs="Arial"/>
                <w:sz w:val="20"/>
              </w:rPr>
              <w:t>clearly articulates the standards required for achieving the threshold of achieving an informed financial consent</w:t>
            </w:r>
            <w:r w:rsidR="007E232E">
              <w:rPr>
                <w:rFonts w:cs="Arial"/>
                <w:sz w:val="20"/>
              </w:rPr>
              <w:t>’</w:t>
            </w:r>
            <w:r w:rsidRPr="00D66EE6">
              <w:rPr>
                <w:rFonts w:cs="Arial"/>
                <w:sz w:val="20"/>
              </w:rPr>
              <w:t>.</w:t>
            </w:r>
          </w:p>
          <w:p w14:paraId="5E93754E" w14:textId="77777777" w:rsidR="00814E00" w:rsidRPr="00D66EE6" w:rsidRDefault="00814E00" w:rsidP="001308AD">
            <w:pPr>
              <w:rPr>
                <w:rFonts w:cs="Arial"/>
                <w:b/>
                <w:bCs/>
                <w:sz w:val="20"/>
              </w:rPr>
            </w:pPr>
            <w:r w:rsidRPr="00D66EE6">
              <w:rPr>
                <w:rFonts w:cs="Arial"/>
                <w:b/>
                <w:bCs/>
                <w:sz w:val="20"/>
              </w:rPr>
              <w:t xml:space="preserve">Healthscope </w:t>
            </w:r>
          </w:p>
          <w:p w14:paraId="5A080E19" w14:textId="25B5D7B9" w:rsidR="00814E00" w:rsidRPr="00D66EE6" w:rsidRDefault="00814E00" w:rsidP="001308AD">
            <w:pPr>
              <w:rPr>
                <w:rFonts w:cs="Arial"/>
                <w:sz w:val="20"/>
              </w:rPr>
            </w:pPr>
            <w:r w:rsidRPr="00D66EE6">
              <w:rPr>
                <w:rFonts w:cs="Arial"/>
                <w:sz w:val="20"/>
              </w:rPr>
              <w:t>Not supported as third-party providers are separate businesses, free to change their fees</w:t>
            </w:r>
            <w:r w:rsidR="003449CC">
              <w:rPr>
                <w:rFonts w:cs="Arial"/>
                <w:sz w:val="20"/>
              </w:rPr>
              <w:t>,</w:t>
            </w:r>
            <w:r w:rsidRPr="00D66EE6">
              <w:rPr>
                <w:rFonts w:cs="Arial"/>
                <w:sz w:val="20"/>
              </w:rPr>
              <w:t xml:space="preserve"> and this may mean the HSE could potentially breach </w:t>
            </w:r>
            <w:r w:rsidR="003449CC">
              <w:rPr>
                <w:rFonts w:cs="Arial"/>
                <w:sz w:val="20"/>
              </w:rPr>
              <w:t xml:space="preserve">the </w:t>
            </w:r>
            <w:r w:rsidRPr="00D66EE6">
              <w:rPr>
                <w:rFonts w:cs="Arial"/>
                <w:i/>
                <w:iCs/>
                <w:sz w:val="20"/>
              </w:rPr>
              <w:t>Competition and Consumer Act 2010</w:t>
            </w:r>
            <w:r w:rsidRPr="00D66EE6">
              <w:rPr>
                <w:rFonts w:cs="Arial"/>
                <w:sz w:val="20"/>
              </w:rPr>
              <w:t xml:space="preserve"> (Cth) by providing misleading information to patients. </w:t>
            </w:r>
          </w:p>
          <w:p w14:paraId="0211A9FB" w14:textId="42D2B923" w:rsidR="00814E00" w:rsidRPr="00D66EE6" w:rsidRDefault="00814E00" w:rsidP="001308AD">
            <w:pPr>
              <w:rPr>
                <w:rFonts w:cs="Arial"/>
                <w:sz w:val="20"/>
              </w:rPr>
            </w:pPr>
            <w:r w:rsidRPr="00D66EE6">
              <w:rPr>
                <w:rFonts w:cs="Arial"/>
                <w:sz w:val="20"/>
              </w:rPr>
              <w:t>Private patients choose their own providers and will access the third-party services that suit them and their schedule</w:t>
            </w:r>
            <w:r w:rsidR="003449CC">
              <w:rPr>
                <w:rFonts w:cs="Arial"/>
                <w:sz w:val="20"/>
              </w:rPr>
              <w:t>,</w:t>
            </w:r>
            <w:r w:rsidRPr="00D66EE6">
              <w:rPr>
                <w:rFonts w:cs="Arial"/>
                <w:sz w:val="20"/>
              </w:rPr>
              <w:t xml:space="preserve"> therefore impractical for private hospitals to provide and maintain a full list of fees by third party providers. </w:t>
            </w:r>
          </w:p>
          <w:p w14:paraId="7AB2ADF0" w14:textId="4D9EB90F" w:rsidR="00814E00" w:rsidRPr="00D66EE6" w:rsidRDefault="00814E00" w:rsidP="001308AD">
            <w:pPr>
              <w:rPr>
                <w:rFonts w:cs="Arial"/>
                <w:sz w:val="20"/>
              </w:rPr>
            </w:pPr>
            <w:r w:rsidRPr="00D66EE6">
              <w:rPr>
                <w:rFonts w:cs="Arial"/>
                <w:sz w:val="20"/>
              </w:rPr>
              <w:t>However, do expect the third-party providers to furnish this information directly to patients.</w:t>
            </w:r>
          </w:p>
          <w:p w14:paraId="6EDB7A58" w14:textId="77777777" w:rsidR="00814E00" w:rsidRPr="00D66EE6" w:rsidRDefault="00814E00" w:rsidP="002C0B76">
            <w:pPr>
              <w:rPr>
                <w:rFonts w:cs="Arial"/>
                <w:b/>
                <w:bCs/>
                <w:sz w:val="20"/>
              </w:rPr>
            </w:pPr>
            <w:r w:rsidRPr="00D66EE6">
              <w:rPr>
                <w:rFonts w:cs="Arial"/>
                <w:b/>
                <w:bCs/>
                <w:sz w:val="20"/>
              </w:rPr>
              <w:t>ASMIRT</w:t>
            </w:r>
          </w:p>
          <w:p w14:paraId="6592C142" w14:textId="4A0CE54E" w:rsidR="00D66EE6" w:rsidRDefault="00D66EE6" w:rsidP="001308AD">
            <w:pPr>
              <w:rPr>
                <w:rFonts w:cs="Arial"/>
                <w:b/>
                <w:bCs/>
                <w:sz w:val="20"/>
              </w:rPr>
            </w:pPr>
            <w:r w:rsidRPr="00477F80">
              <w:rPr>
                <w:rFonts w:cs="Arial"/>
                <w:sz w:val="20"/>
              </w:rPr>
              <w:t>Supports</w:t>
            </w:r>
            <w:r w:rsidRPr="00D66EE6">
              <w:rPr>
                <w:rFonts w:cs="Arial"/>
                <w:sz w:val="20"/>
              </w:rPr>
              <w:t xml:space="preserve"> amendments</w:t>
            </w:r>
            <w:r>
              <w:rPr>
                <w:rFonts w:cs="Arial"/>
                <w:sz w:val="20"/>
              </w:rPr>
              <w:t>.</w:t>
            </w:r>
            <w:r w:rsidRPr="00D66EE6">
              <w:rPr>
                <w:rFonts w:cs="Arial"/>
                <w:b/>
                <w:bCs/>
                <w:sz w:val="20"/>
              </w:rPr>
              <w:t xml:space="preserve"> </w:t>
            </w:r>
          </w:p>
          <w:p w14:paraId="33C7D364" w14:textId="6E704EFA" w:rsidR="00814E00" w:rsidRPr="00D66EE6" w:rsidRDefault="00814E00" w:rsidP="001308AD">
            <w:pPr>
              <w:rPr>
                <w:rFonts w:cs="Arial"/>
                <w:b/>
                <w:bCs/>
                <w:sz w:val="20"/>
              </w:rPr>
            </w:pPr>
            <w:r w:rsidRPr="00D66EE6">
              <w:rPr>
                <w:rFonts w:cs="Arial"/>
                <w:b/>
                <w:bCs/>
                <w:sz w:val="20"/>
              </w:rPr>
              <w:t>ANMF</w:t>
            </w:r>
          </w:p>
          <w:p w14:paraId="14056FD5" w14:textId="6BC5C37D" w:rsidR="00814E00" w:rsidRPr="00D66EE6" w:rsidRDefault="00D66EE6" w:rsidP="001308AD">
            <w:pPr>
              <w:rPr>
                <w:rFonts w:cs="Arial"/>
                <w:b/>
                <w:sz w:val="20"/>
                <w:u w:val="single"/>
              </w:rPr>
            </w:pPr>
            <w:r w:rsidRPr="00477F80">
              <w:rPr>
                <w:rFonts w:cs="Arial"/>
                <w:sz w:val="20"/>
              </w:rPr>
              <w:t>Supports</w:t>
            </w:r>
            <w:r w:rsidRPr="00D66EE6">
              <w:rPr>
                <w:rFonts w:cs="Arial"/>
                <w:sz w:val="20"/>
              </w:rPr>
              <w:t xml:space="preserve"> amendments</w:t>
            </w:r>
            <w:r>
              <w:rPr>
                <w:rFonts w:cs="Arial"/>
                <w:sz w:val="20"/>
              </w:rPr>
              <w:t>.</w:t>
            </w:r>
          </w:p>
        </w:tc>
        <w:tc>
          <w:tcPr>
            <w:tcW w:w="1571" w:type="pct"/>
            <w:shd w:val="clear" w:color="auto" w:fill="auto"/>
          </w:tcPr>
          <w:p w14:paraId="28ABF219" w14:textId="7EBBB753" w:rsidR="00814E00" w:rsidRPr="00D66EE6" w:rsidRDefault="00814E00" w:rsidP="001308AD">
            <w:pPr>
              <w:rPr>
                <w:rFonts w:cs="Arial"/>
                <w:sz w:val="20"/>
              </w:rPr>
            </w:pPr>
            <w:r w:rsidRPr="00D66EE6">
              <w:rPr>
                <w:rFonts w:cs="Arial"/>
                <w:sz w:val="20"/>
              </w:rPr>
              <w:t xml:space="preserve">In response to </w:t>
            </w:r>
            <w:r w:rsidRPr="00D66EE6">
              <w:rPr>
                <w:rFonts w:cs="Arial"/>
                <w:b/>
                <w:bCs/>
                <w:sz w:val="20"/>
              </w:rPr>
              <w:t>CHA/anonymous, t</w:t>
            </w:r>
            <w:r w:rsidRPr="00D66EE6">
              <w:rPr>
                <w:rFonts w:cs="Arial"/>
                <w:sz w:val="20"/>
              </w:rPr>
              <w:t xml:space="preserve">he Commission has confirmed that the Regulation aligns with the Commission’s Advisory AS18/10 </w:t>
            </w:r>
            <w:hyperlink r:id="rId28" w:history="1">
              <w:r w:rsidR="00477F80">
                <w:rPr>
                  <w:rStyle w:val="Hyperlink"/>
                  <w:rFonts w:cs="Arial"/>
                  <w:sz w:val="20"/>
                </w:rPr>
                <w:t>Informed financial consent</w:t>
              </w:r>
            </w:hyperlink>
            <w:r w:rsidRPr="00D66EE6">
              <w:rPr>
                <w:rFonts w:cs="Arial"/>
                <w:sz w:val="20"/>
              </w:rPr>
              <w:t>.</w:t>
            </w:r>
            <w:r w:rsidR="00027CB2">
              <w:rPr>
                <w:rStyle w:val="FootnoteReference"/>
                <w:rFonts w:cs="Arial"/>
                <w:sz w:val="20"/>
              </w:rPr>
              <w:footnoteReference w:id="15"/>
            </w:r>
          </w:p>
          <w:p w14:paraId="21F8660C" w14:textId="56C284D9" w:rsidR="00814E00" w:rsidRPr="00D66EE6" w:rsidRDefault="00814E00" w:rsidP="001308AD">
            <w:pPr>
              <w:rPr>
                <w:rFonts w:cs="Arial"/>
                <w:sz w:val="20"/>
              </w:rPr>
            </w:pPr>
            <w:r w:rsidRPr="00D66EE6">
              <w:rPr>
                <w:rFonts w:cs="Arial"/>
                <w:sz w:val="20"/>
              </w:rPr>
              <w:t xml:space="preserve">In response to </w:t>
            </w:r>
            <w:r w:rsidRPr="00D66EE6">
              <w:rPr>
                <w:rFonts w:cs="Arial"/>
                <w:b/>
                <w:bCs/>
                <w:sz w:val="20"/>
              </w:rPr>
              <w:t xml:space="preserve">Healthscope’s </w:t>
            </w:r>
            <w:r w:rsidRPr="00D66EE6">
              <w:rPr>
                <w:rFonts w:cs="Arial"/>
                <w:sz w:val="20"/>
              </w:rPr>
              <w:t xml:space="preserve">feedback, the Regulation </w:t>
            </w:r>
            <w:r w:rsidR="008706B5">
              <w:rPr>
                <w:rFonts w:cs="Arial"/>
                <w:sz w:val="20"/>
              </w:rPr>
              <w:t xml:space="preserve">has been redrafted </w:t>
            </w:r>
            <w:r w:rsidRPr="00D66EE6">
              <w:rPr>
                <w:rFonts w:cs="Arial"/>
                <w:sz w:val="20"/>
              </w:rPr>
              <w:t xml:space="preserve">to clarify that an HSE </w:t>
            </w:r>
            <w:r w:rsidR="009D5B7C">
              <w:rPr>
                <w:rFonts w:cs="Arial"/>
                <w:sz w:val="20"/>
              </w:rPr>
              <w:t>will not</w:t>
            </w:r>
            <w:r w:rsidRPr="00D66EE6">
              <w:rPr>
                <w:rFonts w:cs="Arial"/>
                <w:sz w:val="20"/>
              </w:rPr>
              <w:t xml:space="preserve"> </w:t>
            </w:r>
            <w:r w:rsidR="009D5B7C">
              <w:rPr>
                <w:rFonts w:cs="Arial"/>
                <w:sz w:val="20"/>
              </w:rPr>
              <w:t xml:space="preserve">be </w:t>
            </w:r>
            <w:r w:rsidRPr="00D66EE6">
              <w:rPr>
                <w:rFonts w:cs="Arial"/>
                <w:sz w:val="20"/>
              </w:rPr>
              <w:t xml:space="preserve">required to provide </w:t>
            </w:r>
            <w:r w:rsidRPr="00D66EE6">
              <w:rPr>
                <w:rFonts w:cs="Arial"/>
                <w:i/>
                <w:iCs/>
                <w:sz w:val="20"/>
              </w:rPr>
              <w:t>precise</w:t>
            </w:r>
            <w:r w:rsidRPr="00D66EE6">
              <w:rPr>
                <w:rFonts w:cs="Arial"/>
                <w:sz w:val="20"/>
              </w:rPr>
              <w:t xml:space="preserve"> costs for third-party providers but </w:t>
            </w:r>
            <w:r w:rsidRPr="00D66EE6">
              <w:rPr>
                <w:rFonts w:cs="Arial"/>
                <w:i/>
                <w:iCs/>
                <w:sz w:val="20"/>
              </w:rPr>
              <w:t>likely</w:t>
            </w:r>
            <w:r w:rsidRPr="00D66EE6">
              <w:rPr>
                <w:rFonts w:cs="Arial"/>
                <w:sz w:val="20"/>
              </w:rPr>
              <w:t xml:space="preserve"> costs. Accordingly, the Regulation will now appear as:</w:t>
            </w:r>
          </w:p>
          <w:p w14:paraId="4E27256D" w14:textId="77777777" w:rsidR="00814E00" w:rsidRPr="00D66EE6" w:rsidRDefault="00814E00" w:rsidP="001308AD">
            <w:pPr>
              <w:rPr>
                <w:rFonts w:cs="Arial"/>
                <w:sz w:val="20"/>
              </w:rPr>
            </w:pPr>
            <w:r w:rsidRPr="00D66EE6">
              <w:rPr>
                <w:rFonts w:cs="Arial"/>
                <w:sz w:val="20"/>
              </w:rPr>
              <w:t xml:space="preserve">r.24(1)(b) information about </w:t>
            </w:r>
            <w:r w:rsidRPr="00D66EE6">
              <w:rPr>
                <w:rFonts w:cs="Arial"/>
                <w:color w:val="FF0000"/>
                <w:sz w:val="20"/>
              </w:rPr>
              <w:t>health service establishment</w:t>
            </w:r>
            <w:r w:rsidRPr="00D66EE6">
              <w:rPr>
                <w:rFonts w:cs="Arial"/>
                <w:sz w:val="20"/>
              </w:rPr>
              <w:t xml:space="preserve"> fees and likely out of pocket expenses to be charged by the health service establishment, </w:t>
            </w:r>
            <w:r w:rsidRPr="00D66EE6">
              <w:rPr>
                <w:rFonts w:cs="Arial"/>
                <w:color w:val="FF0000"/>
                <w:sz w:val="20"/>
              </w:rPr>
              <w:t xml:space="preserve">and any likely third party fees and out of pocket expenses </w:t>
            </w:r>
            <w:r w:rsidRPr="00D66EE6">
              <w:rPr>
                <w:rFonts w:cs="Arial"/>
                <w:sz w:val="20"/>
              </w:rPr>
              <w:t>in relation to the health services to be provided to the patient at the health service establishment.</w:t>
            </w:r>
          </w:p>
          <w:p w14:paraId="55360C1F" w14:textId="52572BFA" w:rsidR="00814E00" w:rsidRPr="00D66EE6" w:rsidRDefault="00814E00" w:rsidP="001308AD">
            <w:pPr>
              <w:rPr>
                <w:rFonts w:cs="Arial"/>
                <w:sz w:val="20"/>
              </w:rPr>
            </w:pPr>
            <w:r w:rsidRPr="00D66EE6">
              <w:rPr>
                <w:rFonts w:cs="Arial"/>
                <w:sz w:val="20"/>
              </w:rPr>
              <w:t xml:space="preserve">The </w:t>
            </w:r>
            <w:r w:rsidR="00C87601">
              <w:rPr>
                <w:rFonts w:cs="Arial"/>
                <w:sz w:val="20"/>
              </w:rPr>
              <w:t>department</w:t>
            </w:r>
            <w:r w:rsidRPr="00D66EE6">
              <w:rPr>
                <w:rFonts w:cs="Arial"/>
                <w:sz w:val="20"/>
              </w:rPr>
              <w:t xml:space="preserve"> considers the requirement to be reasonable and in line with community expectations of transparency in fees and charges. Informed consent is key to delivering patient-centred care and gives patients the ability to make choices about the healthcare they receive. </w:t>
            </w:r>
          </w:p>
        </w:tc>
      </w:tr>
      <w:tr w:rsidR="00814E00" w:rsidRPr="00D66EE6" w14:paraId="4B14D9A4" w14:textId="77777777" w:rsidTr="00D66EE6">
        <w:trPr>
          <w:trHeight w:val="2608"/>
        </w:trPr>
        <w:tc>
          <w:tcPr>
            <w:tcW w:w="288" w:type="pct"/>
            <w:shd w:val="clear" w:color="auto" w:fill="auto"/>
            <w:hideMark/>
          </w:tcPr>
          <w:p w14:paraId="7ADDAADA" w14:textId="77777777" w:rsidR="00814E00" w:rsidRPr="00D66EE6" w:rsidRDefault="00814E00" w:rsidP="001308AD">
            <w:pPr>
              <w:rPr>
                <w:rFonts w:cs="Arial"/>
                <w:sz w:val="20"/>
              </w:rPr>
            </w:pPr>
            <w:r w:rsidRPr="00D66EE6">
              <w:rPr>
                <w:rFonts w:cs="Arial"/>
                <w:sz w:val="20"/>
              </w:rPr>
              <w:t>20A</w:t>
            </w:r>
          </w:p>
          <w:p w14:paraId="24F05606" w14:textId="77777777" w:rsidR="00814E00" w:rsidRPr="00D66EE6" w:rsidRDefault="00814E00" w:rsidP="001308AD">
            <w:pPr>
              <w:rPr>
                <w:rFonts w:cs="Arial"/>
                <w:sz w:val="20"/>
              </w:rPr>
            </w:pPr>
            <w:r w:rsidRPr="00D66EE6">
              <w:rPr>
                <w:rFonts w:cs="Arial"/>
                <w:color w:val="FF0000"/>
                <w:sz w:val="20"/>
              </w:rPr>
              <w:t>25</w:t>
            </w:r>
          </w:p>
        </w:tc>
        <w:tc>
          <w:tcPr>
            <w:tcW w:w="1570" w:type="pct"/>
            <w:shd w:val="clear" w:color="auto" w:fill="auto"/>
            <w:hideMark/>
          </w:tcPr>
          <w:p w14:paraId="3320DC27" w14:textId="77777777" w:rsidR="00814E00" w:rsidRPr="00D66EE6" w:rsidRDefault="00814E00" w:rsidP="001308AD">
            <w:pPr>
              <w:rPr>
                <w:rFonts w:cs="Arial"/>
                <w:b/>
                <w:sz w:val="20"/>
              </w:rPr>
            </w:pPr>
            <w:r w:rsidRPr="00D66EE6">
              <w:rPr>
                <w:rFonts w:cs="Arial"/>
                <w:b/>
                <w:sz w:val="20"/>
              </w:rPr>
              <w:t>Pre-admission assessment</w:t>
            </w:r>
          </w:p>
          <w:p w14:paraId="0EAA91F2" w14:textId="77777777" w:rsidR="00814E00" w:rsidRPr="00D66EE6" w:rsidRDefault="00814E00" w:rsidP="001308AD">
            <w:pPr>
              <w:rPr>
                <w:rFonts w:cs="Arial"/>
                <w:sz w:val="20"/>
              </w:rPr>
            </w:pPr>
            <w:r w:rsidRPr="00D66EE6">
              <w:rPr>
                <w:rFonts w:cs="Arial"/>
                <w:strike/>
                <w:sz w:val="20"/>
              </w:rPr>
              <w:t>For the purpose of ensuring the quality and safety of health services provided at a health service establishment, t</w:t>
            </w:r>
            <w:r w:rsidRPr="00D66EE6">
              <w:rPr>
                <w:rFonts w:cs="Arial"/>
                <w:sz w:val="20"/>
              </w:rPr>
              <w:t xml:space="preserve"> The proprietor of </w:t>
            </w:r>
            <w:r w:rsidRPr="00D66EE6">
              <w:rPr>
                <w:rFonts w:cs="Arial"/>
                <w:strike/>
                <w:sz w:val="20"/>
              </w:rPr>
              <w:t>the</w:t>
            </w:r>
            <w:r w:rsidRPr="00D66EE6">
              <w:rPr>
                <w:rFonts w:cs="Arial"/>
                <w:sz w:val="20"/>
              </w:rPr>
              <w:t xml:space="preserve"> </w:t>
            </w:r>
            <w:r w:rsidRPr="00D66EE6">
              <w:rPr>
                <w:rFonts w:cs="Arial"/>
                <w:color w:val="FF0000"/>
                <w:sz w:val="20"/>
              </w:rPr>
              <w:t>a</w:t>
            </w:r>
            <w:r w:rsidRPr="00D66EE6">
              <w:rPr>
                <w:rFonts w:cs="Arial"/>
                <w:sz w:val="20"/>
              </w:rPr>
              <w:t xml:space="preserve"> health service establishment must ensure </w:t>
            </w:r>
            <w:r w:rsidRPr="00D66EE6">
              <w:rPr>
                <w:rFonts w:cs="Arial"/>
                <w:color w:val="FF0000"/>
                <w:sz w:val="20"/>
              </w:rPr>
              <w:t xml:space="preserve">that for a </w:t>
            </w:r>
            <w:r w:rsidRPr="00D66EE6">
              <w:rPr>
                <w:rFonts w:cs="Arial"/>
                <w:sz w:val="20"/>
              </w:rPr>
              <w:t xml:space="preserve">non-emergency patient admitted to the health service establishment </w:t>
            </w:r>
            <w:r w:rsidRPr="00D66EE6">
              <w:rPr>
                <w:rFonts w:cs="Arial"/>
                <w:strike/>
                <w:sz w:val="20"/>
              </w:rPr>
              <w:t>that</w:t>
            </w:r>
            <w:r w:rsidRPr="00D66EE6">
              <w:rPr>
                <w:rFonts w:cs="Arial"/>
                <w:sz w:val="20"/>
              </w:rPr>
              <w:t>—</w:t>
            </w:r>
          </w:p>
          <w:p w14:paraId="40ADB938" w14:textId="77777777" w:rsidR="00814E00" w:rsidRPr="00D66EE6" w:rsidRDefault="00814E00" w:rsidP="001308AD">
            <w:pPr>
              <w:pStyle w:val="ListParagraph"/>
              <w:numPr>
                <w:ilvl w:val="1"/>
                <w:numId w:val="0"/>
              </w:numPr>
              <w:spacing w:before="160" w:after="160" w:line="276" w:lineRule="auto"/>
              <w:ind w:left="720" w:hanging="360"/>
              <w:contextualSpacing/>
              <w:rPr>
                <w:rFonts w:ascii="Arial" w:hAnsi="Arial" w:cs="Arial"/>
                <w:sz w:val="20"/>
                <w:szCs w:val="20"/>
              </w:rPr>
            </w:pPr>
            <w:r w:rsidRPr="00D66EE6">
              <w:rPr>
                <w:rFonts w:ascii="Arial" w:hAnsi="Arial" w:cs="Arial"/>
                <w:sz w:val="20"/>
                <w:szCs w:val="20"/>
              </w:rPr>
              <w:t xml:space="preserve">a pre-admission clinical risk assessment is carried out </w:t>
            </w:r>
            <w:r w:rsidRPr="00D66EE6">
              <w:rPr>
                <w:rFonts w:ascii="Arial" w:hAnsi="Arial" w:cs="Arial"/>
                <w:color w:val="FF0000"/>
                <w:sz w:val="20"/>
                <w:szCs w:val="20"/>
              </w:rPr>
              <w:t xml:space="preserve">by a registered health practitioner </w:t>
            </w:r>
            <w:r w:rsidRPr="00D66EE6">
              <w:rPr>
                <w:rFonts w:ascii="Arial" w:hAnsi="Arial" w:cs="Arial"/>
                <w:sz w:val="20"/>
                <w:szCs w:val="20"/>
              </w:rPr>
              <w:t xml:space="preserve">for </w:t>
            </w:r>
            <w:r w:rsidRPr="00D66EE6">
              <w:rPr>
                <w:rFonts w:ascii="Arial" w:hAnsi="Arial" w:cs="Arial"/>
                <w:strike/>
                <w:sz w:val="20"/>
                <w:szCs w:val="20"/>
              </w:rPr>
              <w:t>each</w:t>
            </w:r>
            <w:r w:rsidRPr="00D66EE6">
              <w:rPr>
                <w:rFonts w:ascii="Arial" w:hAnsi="Arial" w:cs="Arial"/>
                <w:sz w:val="20"/>
                <w:szCs w:val="20"/>
              </w:rPr>
              <w:t xml:space="preserve"> </w:t>
            </w:r>
            <w:r w:rsidRPr="00D66EE6">
              <w:rPr>
                <w:rFonts w:ascii="Arial" w:hAnsi="Arial" w:cs="Arial"/>
                <w:color w:val="FF0000"/>
                <w:sz w:val="20"/>
                <w:szCs w:val="20"/>
              </w:rPr>
              <w:t xml:space="preserve">that </w:t>
            </w:r>
            <w:r w:rsidRPr="00D66EE6">
              <w:rPr>
                <w:rFonts w:ascii="Arial" w:hAnsi="Arial" w:cs="Arial"/>
                <w:sz w:val="20"/>
                <w:szCs w:val="20"/>
              </w:rPr>
              <w:t>patient before admission; and</w:t>
            </w:r>
          </w:p>
          <w:p w14:paraId="63A77E0C" w14:textId="77777777" w:rsidR="00814E00" w:rsidRPr="00D66EE6" w:rsidRDefault="00814E00" w:rsidP="001308AD">
            <w:pPr>
              <w:pStyle w:val="ListParagraph"/>
              <w:numPr>
                <w:ilvl w:val="1"/>
                <w:numId w:val="0"/>
              </w:numPr>
              <w:spacing w:before="160" w:after="160" w:line="276" w:lineRule="auto"/>
              <w:ind w:left="720" w:hanging="360"/>
              <w:contextualSpacing/>
              <w:rPr>
                <w:rFonts w:ascii="Arial" w:hAnsi="Arial" w:cs="Arial"/>
                <w:sz w:val="20"/>
                <w:szCs w:val="20"/>
              </w:rPr>
            </w:pPr>
            <w:r w:rsidRPr="00D66EE6">
              <w:rPr>
                <w:rFonts w:ascii="Arial" w:hAnsi="Arial" w:cs="Arial"/>
                <w:sz w:val="20"/>
                <w:szCs w:val="20"/>
              </w:rPr>
              <w:t xml:space="preserve">the </w:t>
            </w:r>
            <w:r w:rsidRPr="00D66EE6">
              <w:rPr>
                <w:rFonts w:ascii="Arial" w:hAnsi="Arial" w:cs="Arial"/>
                <w:strike/>
                <w:sz w:val="20"/>
                <w:szCs w:val="20"/>
              </w:rPr>
              <w:t>results</w:t>
            </w:r>
            <w:r w:rsidRPr="00D66EE6">
              <w:rPr>
                <w:rFonts w:ascii="Arial" w:hAnsi="Arial" w:cs="Arial"/>
                <w:sz w:val="20"/>
                <w:szCs w:val="20"/>
              </w:rPr>
              <w:t xml:space="preserve"> </w:t>
            </w:r>
            <w:r w:rsidRPr="00D66EE6">
              <w:rPr>
                <w:rFonts w:ascii="Arial" w:hAnsi="Arial" w:cs="Arial"/>
                <w:color w:val="FF0000"/>
                <w:sz w:val="20"/>
                <w:szCs w:val="20"/>
              </w:rPr>
              <w:t>following matters</w:t>
            </w:r>
            <w:r w:rsidRPr="00D66EE6">
              <w:rPr>
                <w:rFonts w:ascii="Arial" w:hAnsi="Arial" w:cs="Arial"/>
                <w:sz w:val="20"/>
                <w:szCs w:val="20"/>
              </w:rPr>
              <w:t xml:space="preserve"> </w:t>
            </w:r>
            <w:r w:rsidRPr="00D66EE6">
              <w:rPr>
                <w:rFonts w:ascii="Arial" w:hAnsi="Arial" w:cs="Arial"/>
                <w:strike/>
                <w:sz w:val="20"/>
                <w:szCs w:val="20"/>
              </w:rPr>
              <w:t>of the pre-admission clinical risk assessment</w:t>
            </w:r>
            <w:r w:rsidRPr="00D66EE6">
              <w:rPr>
                <w:rFonts w:ascii="Arial" w:hAnsi="Arial" w:cs="Arial"/>
                <w:sz w:val="20"/>
                <w:szCs w:val="20"/>
              </w:rPr>
              <w:t xml:space="preserve"> are recorded in writing, not less than 24 hours before admission</w:t>
            </w:r>
            <w:r w:rsidRPr="00D66EE6">
              <w:rPr>
                <w:rFonts w:ascii="Arial" w:hAnsi="Arial" w:cs="Arial"/>
                <w:strike/>
                <w:sz w:val="20"/>
                <w:szCs w:val="20"/>
              </w:rPr>
              <w:t>; and</w:t>
            </w:r>
            <w:r w:rsidRPr="00D66EE6">
              <w:rPr>
                <w:rFonts w:ascii="Arial" w:hAnsi="Arial" w:cs="Arial"/>
                <w:color w:val="FF0000"/>
                <w:sz w:val="20"/>
                <w:szCs w:val="20"/>
              </w:rPr>
              <w:t>—</w:t>
            </w:r>
          </w:p>
          <w:p w14:paraId="2B9B70FF" w14:textId="77777777" w:rsidR="00814E00" w:rsidRPr="00D66EE6" w:rsidRDefault="00814E00" w:rsidP="001308AD">
            <w:pPr>
              <w:pStyle w:val="ListParagraph"/>
              <w:numPr>
                <w:ilvl w:val="2"/>
                <w:numId w:val="0"/>
              </w:numPr>
              <w:spacing w:before="160" w:after="160" w:line="276" w:lineRule="auto"/>
              <w:ind w:left="851" w:hanging="131"/>
              <w:contextualSpacing/>
              <w:rPr>
                <w:rFonts w:ascii="Arial" w:hAnsi="Arial" w:cs="Arial"/>
                <w:color w:val="FF0000"/>
                <w:sz w:val="20"/>
                <w:szCs w:val="20"/>
              </w:rPr>
            </w:pPr>
            <w:r w:rsidRPr="00D66EE6">
              <w:rPr>
                <w:rFonts w:ascii="Arial" w:hAnsi="Arial" w:cs="Arial"/>
                <w:color w:val="FF0000"/>
                <w:sz w:val="20"/>
                <w:szCs w:val="20"/>
              </w:rPr>
              <w:t>the matters considered and assessed by the registered health practitioner as part of the pre-admission clinical risk assessment; and</w:t>
            </w:r>
          </w:p>
          <w:p w14:paraId="054AA9ED" w14:textId="77777777" w:rsidR="00814E00" w:rsidRPr="00D66EE6" w:rsidRDefault="00814E00" w:rsidP="001308AD">
            <w:pPr>
              <w:pStyle w:val="ListParagraph"/>
              <w:numPr>
                <w:ilvl w:val="2"/>
                <w:numId w:val="0"/>
              </w:numPr>
              <w:spacing w:before="160" w:after="160" w:line="276" w:lineRule="auto"/>
              <w:ind w:left="851" w:hanging="131"/>
              <w:contextualSpacing/>
              <w:rPr>
                <w:rFonts w:ascii="Arial" w:hAnsi="Arial" w:cs="Arial"/>
                <w:color w:val="FF0000"/>
                <w:sz w:val="20"/>
                <w:szCs w:val="20"/>
              </w:rPr>
            </w:pPr>
            <w:r w:rsidRPr="00D66EE6">
              <w:rPr>
                <w:rFonts w:ascii="Arial" w:hAnsi="Arial" w:cs="Arial"/>
                <w:color w:val="FF0000"/>
                <w:sz w:val="20"/>
                <w:szCs w:val="20"/>
              </w:rPr>
              <w:t>the results of the pre-admission clinical risk assessment;</w:t>
            </w:r>
          </w:p>
          <w:p w14:paraId="1C65A0EC" w14:textId="77777777" w:rsidR="00814E00" w:rsidRPr="00D66EE6" w:rsidRDefault="00814E00" w:rsidP="001308AD">
            <w:pPr>
              <w:pStyle w:val="ListParagraph"/>
              <w:numPr>
                <w:ilvl w:val="2"/>
                <w:numId w:val="0"/>
              </w:numPr>
              <w:spacing w:before="160" w:after="160" w:line="276" w:lineRule="auto"/>
              <w:ind w:left="851" w:hanging="131"/>
              <w:contextualSpacing/>
              <w:rPr>
                <w:rFonts w:ascii="Arial" w:hAnsi="Arial" w:cs="Arial"/>
                <w:color w:val="FF0000"/>
                <w:sz w:val="20"/>
                <w:szCs w:val="20"/>
              </w:rPr>
            </w:pPr>
            <w:r w:rsidRPr="00D66EE6">
              <w:rPr>
                <w:rFonts w:ascii="Arial" w:hAnsi="Arial" w:cs="Arial"/>
                <w:color w:val="FF0000"/>
                <w:sz w:val="20"/>
                <w:szCs w:val="20"/>
              </w:rPr>
              <w:t>the name and signature of the registered health practitioner carrying out the pre-admission clinical risk assessment; and</w:t>
            </w:r>
          </w:p>
          <w:p w14:paraId="01DB3D94" w14:textId="24B32DC1" w:rsidR="00814E00" w:rsidRPr="00D66EE6" w:rsidRDefault="00814E00" w:rsidP="001308AD">
            <w:pPr>
              <w:pStyle w:val="ListParagraph"/>
              <w:numPr>
                <w:ilvl w:val="1"/>
                <w:numId w:val="0"/>
              </w:numPr>
              <w:spacing w:before="160" w:after="160" w:line="276" w:lineRule="auto"/>
              <w:ind w:left="720" w:hanging="360"/>
              <w:contextualSpacing/>
              <w:rPr>
                <w:rFonts w:ascii="Arial" w:hAnsi="Arial" w:cs="Arial"/>
                <w:sz w:val="20"/>
                <w:szCs w:val="20"/>
              </w:rPr>
            </w:pPr>
            <w:r w:rsidRPr="00D66EE6">
              <w:rPr>
                <w:rFonts w:ascii="Arial" w:hAnsi="Arial" w:cs="Arial"/>
                <w:sz w:val="20"/>
                <w:szCs w:val="20"/>
              </w:rPr>
              <w:lastRenderedPageBreak/>
              <w:t xml:space="preserve">the </w:t>
            </w:r>
            <w:r w:rsidRPr="00D66EE6">
              <w:rPr>
                <w:rFonts w:ascii="Arial" w:hAnsi="Arial" w:cs="Arial"/>
                <w:strike/>
                <w:sz w:val="20"/>
                <w:szCs w:val="20"/>
              </w:rPr>
              <w:t>procedure</w:t>
            </w:r>
            <w:r w:rsidRPr="00D66EE6">
              <w:rPr>
                <w:rFonts w:ascii="Arial" w:hAnsi="Arial" w:cs="Arial"/>
                <w:sz w:val="20"/>
                <w:szCs w:val="20"/>
              </w:rPr>
              <w:t xml:space="preserve"> </w:t>
            </w:r>
            <w:r w:rsidRPr="00D66EE6">
              <w:rPr>
                <w:rFonts w:ascii="Arial" w:hAnsi="Arial" w:cs="Arial"/>
                <w:color w:val="FF0000"/>
                <w:sz w:val="20"/>
                <w:szCs w:val="20"/>
              </w:rPr>
              <w:t>health service</w:t>
            </w:r>
            <w:r w:rsidRPr="00D66EE6">
              <w:rPr>
                <w:rFonts w:ascii="Arial" w:hAnsi="Arial" w:cs="Arial"/>
                <w:sz w:val="20"/>
                <w:szCs w:val="20"/>
              </w:rPr>
              <w:t xml:space="preserve"> for which the patient is admitted is assessed in relation to the scope of practice of the </w:t>
            </w:r>
            <w:r w:rsidRPr="00D66EE6">
              <w:rPr>
                <w:rFonts w:ascii="Arial" w:hAnsi="Arial" w:cs="Arial"/>
                <w:strike/>
                <w:sz w:val="20"/>
                <w:szCs w:val="20"/>
              </w:rPr>
              <w:t>relevant</w:t>
            </w:r>
            <w:r w:rsidRPr="00D66EE6">
              <w:rPr>
                <w:rFonts w:ascii="Arial" w:hAnsi="Arial" w:cs="Arial"/>
                <w:sz w:val="20"/>
                <w:szCs w:val="20"/>
              </w:rPr>
              <w:t xml:space="preserve"> registered health practitioner </w:t>
            </w:r>
            <w:r w:rsidRPr="00D66EE6">
              <w:rPr>
                <w:rFonts w:ascii="Arial" w:hAnsi="Arial" w:cs="Arial"/>
                <w:color w:val="FF0000"/>
                <w:sz w:val="20"/>
                <w:szCs w:val="20"/>
              </w:rPr>
              <w:t xml:space="preserve">who will provide </w:t>
            </w:r>
            <w:r w:rsidRPr="00D66EE6">
              <w:rPr>
                <w:rFonts w:ascii="Arial" w:hAnsi="Arial" w:cs="Arial"/>
                <w:strike/>
                <w:sz w:val="20"/>
                <w:szCs w:val="20"/>
              </w:rPr>
              <w:t xml:space="preserve">providing </w:t>
            </w:r>
            <w:r w:rsidRPr="00D66EE6">
              <w:rPr>
                <w:rFonts w:ascii="Arial" w:hAnsi="Arial" w:cs="Arial"/>
                <w:color w:val="FF0000"/>
                <w:sz w:val="20"/>
                <w:szCs w:val="20"/>
              </w:rPr>
              <w:t xml:space="preserve">the </w:t>
            </w:r>
            <w:r w:rsidRPr="00D66EE6">
              <w:rPr>
                <w:rFonts w:ascii="Arial" w:hAnsi="Arial" w:cs="Arial"/>
                <w:sz w:val="20"/>
                <w:szCs w:val="20"/>
              </w:rPr>
              <w:t>health service</w:t>
            </w:r>
            <w:r w:rsidRPr="00D66EE6">
              <w:rPr>
                <w:rFonts w:ascii="Arial" w:hAnsi="Arial" w:cs="Arial"/>
                <w:strike/>
                <w:sz w:val="20"/>
                <w:szCs w:val="20"/>
              </w:rPr>
              <w:t>s</w:t>
            </w:r>
            <w:r w:rsidRPr="00D66EE6">
              <w:rPr>
                <w:rFonts w:ascii="Arial" w:hAnsi="Arial" w:cs="Arial"/>
                <w:sz w:val="20"/>
                <w:szCs w:val="20"/>
              </w:rPr>
              <w:t xml:space="preserve"> to that patient </w:t>
            </w:r>
            <w:r w:rsidRPr="00D66EE6">
              <w:rPr>
                <w:rFonts w:ascii="Arial" w:hAnsi="Arial" w:cs="Arial"/>
                <w:strike/>
                <w:sz w:val="20"/>
                <w:szCs w:val="20"/>
              </w:rPr>
              <w:t>at the health service establishment</w:t>
            </w:r>
            <w:r w:rsidRPr="00D66EE6">
              <w:rPr>
                <w:rFonts w:ascii="Arial" w:hAnsi="Arial" w:cs="Arial"/>
                <w:sz w:val="20"/>
                <w:szCs w:val="20"/>
              </w:rPr>
              <w:t>.</w:t>
            </w:r>
          </w:p>
        </w:tc>
        <w:tc>
          <w:tcPr>
            <w:tcW w:w="1571" w:type="pct"/>
            <w:shd w:val="clear" w:color="auto" w:fill="auto"/>
            <w:hideMark/>
          </w:tcPr>
          <w:p w14:paraId="672F7C09" w14:textId="77777777" w:rsidR="008E6E9A" w:rsidRPr="00325CBA" w:rsidRDefault="008E6E9A" w:rsidP="008E6E9A">
            <w:pPr>
              <w:rPr>
                <w:rFonts w:cs="Arial"/>
                <w:b/>
                <w:bCs/>
                <w:sz w:val="20"/>
              </w:rPr>
            </w:pPr>
            <w:r w:rsidRPr="00325CBA">
              <w:rPr>
                <w:b/>
                <w:bCs/>
                <w:sz w:val="20"/>
              </w:rPr>
              <w:lastRenderedPageBreak/>
              <w:t xml:space="preserve">CHA/anonymous </w:t>
            </w:r>
          </w:p>
          <w:p w14:paraId="55992A1D" w14:textId="570D726A" w:rsidR="00814E00" w:rsidRPr="00D66EE6" w:rsidRDefault="00814E00" w:rsidP="001308AD">
            <w:pPr>
              <w:rPr>
                <w:rFonts w:cs="Arial"/>
                <w:sz w:val="20"/>
              </w:rPr>
            </w:pPr>
            <w:r w:rsidRPr="00D66EE6">
              <w:rPr>
                <w:rFonts w:cs="Arial"/>
                <w:sz w:val="20"/>
              </w:rPr>
              <w:t>Raise concerns with proposed r.25(a) and (b) on the grounds that:</w:t>
            </w:r>
          </w:p>
          <w:p w14:paraId="6FF17DF6" w14:textId="2631FC28" w:rsidR="00814E00" w:rsidRPr="00D66EE6" w:rsidRDefault="00814E00" w:rsidP="00131778">
            <w:pPr>
              <w:pStyle w:val="ListParagraph"/>
              <w:numPr>
                <w:ilvl w:val="0"/>
                <w:numId w:val="32"/>
              </w:numPr>
              <w:spacing w:before="160" w:after="160" w:line="276" w:lineRule="auto"/>
              <w:contextualSpacing/>
              <w:rPr>
                <w:rFonts w:ascii="Arial" w:hAnsi="Arial" w:cs="Arial"/>
                <w:sz w:val="20"/>
                <w:szCs w:val="20"/>
              </w:rPr>
            </w:pPr>
            <w:r w:rsidRPr="00D66EE6">
              <w:rPr>
                <w:rFonts w:ascii="Arial" w:hAnsi="Arial" w:cs="Arial"/>
                <w:sz w:val="20"/>
                <w:szCs w:val="20"/>
              </w:rPr>
              <w:t>An unintended consequence of the rigid nature of the wording will conflict with patients who are non-emergency in nature but admitted &lt;24 hours following a review by a Specialist Practitioner.</w:t>
            </w:r>
            <w:r w:rsidR="008764B9">
              <w:rPr>
                <w:rFonts w:ascii="Arial" w:hAnsi="Arial" w:cs="Arial"/>
                <w:sz w:val="20"/>
                <w:szCs w:val="20"/>
              </w:rPr>
              <w:t>’</w:t>
            </w:r>
          </w:p>
          <w:p w14:paraId="1E7A47FF" w14:textId="34F0849B" w:rsidR="00814E00" w:rsidRPr="00D66EE6" w:rsidRDefault="008764B9" w:rsidP="00131778">
            <w:pPr>
              <w:pStyle w:val="ListParagraph"/>
              <w:numPr>
                <w:ilvl w:val="0"/>
                <w:numId w:val="32"/>
              </w:numPr>
              <w:spacing w:before="160" w:after="160" w:line="276" w:lineRule="auto"/>
              <w:contextualSpacing/>
              <w:rPr>
                <w:rFonts w:ascii="Arial" w:hAnsi="Arial" w:cs="Arial"/>
                <w:sz w:val="20"/>
                <w:szCs w:val="20"/>
              </w:rPr>
            </w:pPr>
            <w:r>
              <w:rPr>
                <w:rFonts w:ascii="Arial" w:hAnsi="Arial" w:cs="Arial"/>
                <w:sz w:val="20"/>
                <w:szCs w:val="20"/>
              </w:rPr>
              <w:t>‘</w:t>
            </w:r>
            <w:r w:rsidR="00814E00" w:rsidRPr="00D66EE6">
              <w:rPr>
                <w:rFonts w:ascii="Arial" w:hAnsi="Arial" w:cs="Arial"/>
                <w:sz w:val="20"/>
                <w:szCs w:val="20"/>
              </w:rPr>
              <w:t>Anaesthetists review all patients on day of admission, patients triaged prior to admission and consults arranged if required based on criteria (ie: diabetic medications). This is required to be documented.</w:t>
            </w:r>
            <w:r>
              <w:rPr>
                <w:rFonts w:ascii="Arial" w:hAnsi="Arial" w:cs="Arial"/>
                <w:sz w:val="20"/>
                <w:szCs w:val="20"/>
              </w:rPr>
              <w:t>’</w:t>
            </w:r>
          </w:p>
          <w:p w14:paraId="5428BE67" w14:textId="77777777" w:rsidR="00814E00" w:rsidRPr="00D66EE6" w:rsidRDefault="00814E00" w:rsidP="00131778">
            <w:pPr>
              <w:pStyle w:val="ListParagraph"/>
              <w:numPr>
                <w:ilvl w:val="0"/>
                <w:numId w:val="32"/>
              </w:numPr>
              <w:spacing w:before="160" w:after="160" w:line="276" w:lineRule="auto"/>
              <w:contextualSpacing/>
              <w:rPr>
                <w:rFonts w:ascii="Arial" w:hAnsi="Arial" w:cs="Arial"/>
                <w:sz w:val="20"/>
                <w:szCs w:val="20"/>
              </w:rPr>
            </w:pPr>
            <w:r w:rsidRPr="00D66EE6">
              <w:rPr>
                <w:rFonts w:ascii="Arial" w:hAnsi="Arial" w:cs="Arial"/>
                <w:sz w:val="20"/>
                <w:szCs w:val="20"/>
              </w:rPr>
              <w:t xml:space="preserve">The NSQHS Standards are sufficient. </w:t>
            </w:r>
          </w:p>
          <w:p w14:paraId="3A1D5B2C" w14:textId="77777777" w:rsidR="00814E00" w:rsidRPr="00D66EE6" w:rsidRDefault="00814E00" w:rsidP="001308AD">
            <w:pPr>
              <w:rPr>
                <w:rFonts w:cs="Arial"/>
                <w:b/>
                <w:bCs/>
                <w:sz w:val="20"/>
              </w:rPr>
            </w:pPr>
            <w:r w:rsidRPr="00D66EE6">
              <w:rPr>
                <w:rFonts w:cs="Arial"/>
                <w:b/>
                <w:bCs/>
                <w:sz w:val="20"/>
              </w:rPr>
              <w:t>ASMIRT</w:t>
            </w:r>
          </w:p>
          <w:p w14:paraId="133F7417" w14:textId="77777777" w:rsidR="00814E00" w:rsidRPr="00D66EE6" w:rsidRDefault="00814E00" w:rsidP="001308AD">
            <w:pPr>
              <w:spacing w:line="276" w:lineRule="auto"/>
              <w:rPr>
                <w:rFonts w:cs="Arial"/>
                <w:sz w:val="20"/>
              </w:rPr>
            </w:pPr>
            <w:r w:rsidRPr="00D66EE6">
              <w:rPr>
                <w:rFonts w:cs="Arial"/>
                <w:sz w:val="20"/>
              </w:rPr>
              <w:t xml:space="preserve">Suggest clarification of ‘admitted’ is required. If it is determined that in this document ‘admitted’ can refer to a patient undergoing an imaging procedure at an HSE it is an unreasonable use of clinical resources to carry out a pre-admission clinical risk assessment prior to ‘admission’ and also to have that preclinical risk assessment conducted by a registered health practitioner. </w:t>
            </w:r>
            <w:r w:rsidRPr="00D66EE6">
              <w:rPr>
                <w:rFonts w:cs="Arial"/>
                <w:sz w:val="20"/>
              </w:rPr>
              <w:lastRenderedPageBreak/>
              <w:t>Specialist administration staff are trained to carry out prebooking questionnaires for a variety of procedures/examinations and can refer more complex patients to clinical staff where required.</w:t>
            </w:r>
          </w:p>
          <w:p w14:paraId="344B5541" w14:textId="77777777" w:rsidR="00814E00" w:rsidRPr="00D66EE6" w:rsidRDefault="00814E00" w:rsidP="001308AD">
            <w:pPr>
              <w:rPr>
                <w:rFonts w:cs="Arial"/>
                <w:b/>
                <w:bCs/>
                <w:sz w:val="20"/>
              </w:rPr>
            </w:pPr>
            <w:r w:rsidRPr="00D66EE6">
              <w:rPr>
                <w:rFonts w:cs="Arial"/>
                <w:b/>
                <w:bCs/>
                <w:sz w:val="20"/>
              </w:rPr>
              <w:t>Healthscope</w:t>
            </w:r>
          </w:p>
          <w:p w14:paraId="49125B3B" w14:textId="3D0FD7A7" w:rsidR="00814E00" w:rsidRPr="00D66EE6" w:rsidRDefault="00814E00" w:rsidP="001308AD">
            <w:pPr>
              <w:rPr>
                <w:rFonts w:cs="Arial"/>
                <w:sz w:val="20"/>
              </w:rPr>
            </w:pPr>
            <w:r w:rsidRPr="00D66EE6">
              <w:rPr>
                <w:rFonts w:cs="Arial"/>
                <w:sz w:val="20"/>
              </w:rPr>
              <w:t xml:space="preserve">See below response to </w:t>
            </w:r>
            <w:r w:rsidR="00E8192B">
              <w:rPr>
                <w:rFonts w:cs="Arial"/>
                <w:i/>
                <w:iCs/>
                <w:sz w:val="20"/>
              </w:rPr>
              <w:t>I</w:t>
            </w:r>
            <w:r w:rsidRPr="00E8192B">
              <w:rPr>
                <w:rFonts w:cs="Arial"/>
                <w:i/>
                <w:iCs/>
                <w:sz w:val="20"/>
              </w:rPr>
              <w:t>nformation to be held in clinical record</w:t>
            </w:r>
            <w:r w:rsidRPr="00D66EE6">
              <w:rPr>
                <w:rFonts w:cs="Arial"/>
                <w:sz w:val="20"/>
              </w:rPr>
              <w:t xml:space="preserve"> under r.28.</w:t>
            </w:r>
          </w:p>
          <w:p w14:paraId="6042BE3F" w14:textId="77777777" w:rsidR="00814E00" w:rsidRPr="00D66EE6" w:rsidRDefault="00814E00" w:rsidP="001308AD">
            <w:pPr>
              <w:rPr>
                <w:rFonts w:cs="Arial"/>
                <w:b/>
                <w:bCs/>
                <w:sz w:val="20"/>
              </w:rPr>
            </w:pPr>
            <w:r w:rsidRPr="00D66EE6">
              <w:rPr>
                <w:rFonts w:cs="Arial"/>
                <w:b/>
                <w:bCs/>
                <w:sz w:val="20"/>
              </w:rPr>
              <w:t>ANMF</w:t>
            </w:r>
          </w:p>
          <w:p w14:paraId="7B897297" w14:textId="5A80C8E8" w:rsidR="00814E00" w:rsidRPr="00D66EE6" w:rsidRDefault="00814E00" w:rsidP="001308AD">
            <w:pPr>
              <w:rPr>
                <w:rFonts w:cs="Arial"/>
                <w:b/>
                <w:bCs/>
                <w:sz w:val="20"/>
                <w:u w:val="single"/>
              </w:rPr>
            </w:pPr>
            <w:r w:rsidRPr="00AC6F6E">
              <w:rPr>
                <w:rFonts w:cs="Arial"/>
                <w:sz w:val="20"/>
              </w:rPr>
              <w:t>Supports</w:t>
            </w:r>
            <w:r w:rsidRPr="00D66EE6">
              <w:rPr>
                <w:rFonts w:cs="Arial"/>
                <w:sz w:val="20"/>
              </w:rPr>
              <w:t xml:space="preserve"> amendments</w:t>
            </w:r>
            <w:r w:rsidR="00D66EE6">
              <w:rPr>
                <w:rFonts w:cs="Arial"/>
                <w:sz w:val="20"/>
              </w:rPr>
              <w:t>.</w:t>
            </w:r>
            <w:r w:rsidRPr="00D66EE6">
              <w:rPr>
                <w:rFonts w:cs="Arial"/>
                <w:sz w:val="20"/>
              </w:rPr>
              <w:t xml:space="preserve"> </w:t>
            </w:r>
          </w:p>
          <w:p w14:paraId="62FE06C9" w14:textId="77777777" w:rsidR="00814E00" w:rsidRPr="00D66EE6" w:rsidRDefault="00814E00" w:rsidP="001308AD">
            <w:pPr>
              <w:rPr>
                <w:rFonts w:cs="Arial"/>
                <w:sz w:val="20"/>
              </w:rPr>
            </w:pPr>
          </w:p>
          <w:p w14:paraId="465737A4" w14:textId="77777777" w:rsidR="00814E00" w:rsidRPr="00D66EE6" w:rsidRDefault="00814E00" w:rsidP="001308AD">
            <w:pPr>
              <w:rPr>
                <w:rFonts w:cs="Arial"/>
                <w:sz w:val="20"/>
              </w:rPr>
            </w:pPr>
          </w:p>
        </w:tc>
        <w:tc>
          <w:tcPr>
            <w:tcW w:w="1571" w:type="pct"/>
            <w:shd w:val="clear" w:color="auto" w:fill="auto"/>
          </w:tcPr>
          <w:p w14:paraId="7EF1EEDA" w14:textId="77777777" w:rsidR="00814E00" w:rsidRPr="00D66EE6" w:rsidRDefault="00814E00" w:rsidP="00127B62">
            <w:pPr>
              <w:rPr>
                <w:rFonts w:cs="Arial"/>
                <w:sz w:val="20"/>
              </w:rPr>
            </w:pPr>
            <w:r w:rsidRPr="00D66EE6">
              <w:rPr>
                <w:rFonts w:cs="Arial"/>
                <w:sz w:val="20"/>
              </w:rPr>
              <w:lastRenderedPageBreak/>
              <w:t xml:space="preserve">In response to </w:t>
            </w:r>
            <w:r w:rsidRPr="00D66EE6">
              <w:rPr>
                <w:rFonts w:cs="Arial"/>
                <w:b/>
                <w:bCs/>
                <w:sz w:val="20"/>
              </w:rPr>
              <w:t>CHA/anonymous</w:t>
            </w:r>
            <w:r w:rsidRPr="00D66EE6">
              <w:rPr>
                <w:rFonts w:cs="Arial"/>
                <w:sz w:val="20"/>
              </w:rPr>
              <w:t xml:space="preserve"> feedback:</w:t>
            </w:r>
          </w:p>
          <w:p w14:paraId="11BC8D56" w14:textId="10525E1D" w:rsidR="00814E00" w:rsidRPr="00D66EE6" w:rsidRDefault="00814E00" w:rsidP="00131778">
            <w:pPr>
              <w:pStyle w:val="ListParagraph"/>
              <w:numPr>
                <w:ilvl w:val="0"/>
                <w:numId w:val="58"/>
              </w:numPr>
              <w:spacing w:before="160" w:after="160" w:line="276" w:lineRule="auto"/>
              <w:contextualSpacing/>
              <w:rPr>
                <w:rFonts w:ascii="Arial" w:hAnsi="Arial" w:cs="Arial"/>
                <w:sz w:val="20"/>
                <w:szCs w:val="20"/>
              </w:rPr>
            </w:pPr>
            <w:r w:rsidRPr="00EB05E1">
              <w:rPr>
                <w:rFonts w:ascii="Arial" w:hAnsi="Arial" w:cs="Arial"/>
                <w:sz w:val="20"/>
                <w:szCs w:val="20"/>
              </w:rPr>
              <w:t xml:space="preserve">The 24-hour requirement has been in place since 2018 with no implementation issues </w:t>
            </w:r>
            <w:r w:rsidR="00295BCB">
              <w:rPr>
                <w:rFonts w:ascii="Arial" w:hAnsi="Arial" w:cs="Arial"/>
                <w:sz w:val="20"/>
                <w:szCs w:val="20"/>
              </w:rPr>
              <w:t xml:space="preserve">previously </w:t>
            </w:r>
            <w:r w:rsidRPr="00EB05E1">
              <w:rPr>
                <w:rFonts w:ascii="Arial" w:hAnsi="Arial" w:cs="Arial"/>
                <w:sz w:val="20"/>
                <w:szCs w:val="20"/>
              </w:rPr>
              <w:t xml:space="preserve">reported by the sector and no compliance breaches </w:t>
            </w:r>
            <w:r w:rsidR="00295BCB">
              <w:rPr>
                <w:rFonts w:ascii="Arial" w:hAnsi="Arial" w:cs="Arial"/>
                <w:sz w:val="20"/>
                <w:szCs w:val="20"/>
              </w:rPr>
              <w:t xml:space="preserve">or concerns </w:t>
            </w:r>
            <w:r w:rsidRPr="00EB05E1">
              <w:rPr>
                <w:rFonts w:ascii="Arial" w:hAnsi="Arial" w:cs="Arial"/>
                <w:sz w:val="20"/>
                <w:szCs w:val="20"/>
              </w:rPr>
              <w:t xml:space="preserve">identified by the Regulator. </w:t>
            </w:r>
          </w:p>
          <w:p w14:paraId="2D5284F2" w14:textId="0B90EBA8" w:rsidR="00814E00" w:rsidRPr="00EB05E1" w:rsidRDefault="00814E00" w:rsidP="00131778">
            <w:pPr>
              <w:pStyle w:val="ListParagraph"/>
              <w:numPr>
                <w:ilvl w:val="0"/>
                <w:numId w:val="58"/>
              </w:numPr>
              <w:spacing w:before="160" w:after="160" w:line="276" w:lineRule="auto"/>
              <w:contextualSpacing/>
              <w:rPr>
                <w:rFonts w:ascii="Arial" w:hAnsi="Arial" w:cs="Arial"/>
                <w:sz w:val="20"/>
                <w:szCs w:val="20"/>
              </w:rPr>
            </w:pPr>
            <w:r w:rsidRPr="00EB05E1">
              <w:rPr>
                <w:rFonts w:ascii="Arial" w:hAnsi="Arial" w:cs="Arial"/>
                <w:sz w:val="20"/>
                <w:szCs w:val="20"/>
              </w:rPr>
              <w:t xml:space="preserve">However, the </w:t>
            </w:r>
            <w:r w:rsidR="00C87601">
              <w:rPr>
                <w:rFonts w:ascii="Arial" w:hAnsi="Arial" w:cs="Arial"/>
                <w:sz w:val="20"/>
                <w:szCs w:val="20"/>
              </w:rPr>
              <w:t>department</w:t>
            </w:r>
            <w:r w:rsidRPr="00EB05E1">
              <w:rPr>
                <w:rFonts w:ascii="Arial" w:hAnsi="Arial" w:cs="Arial"/>
                <w:sz w:val="20"/>
                <w:szCs w:val="20"/>
              </w:rPr>
              <w:t xml:space="preserve"> acknowledges that there may be instances where patients need </w:t>
            </w:r>
            <w:r w:rsidRPr="006A68E4">
              <w:rPr>
                <w:rFonts w:ascii="Arial" w:hAnsi="Arial" w:cs="Arial"/>
                <w:sz w:val="20"/>
                <w:szCs w:val="20"/>
              </w:rPr>
              <w:t>urgent</w:t>
            </w:r>
            <w:r w:rsidRPr="00D66EE6">
              <w:rPr>
                <w:rFonts w:ascii="Arial" w:hAnsi="Arial" w:cs="Arial"/>
                <w:sz w:val="20"/>
                <w:szCs w:val="20"/>
              </w:rPr>
              <w:t xml:space="preserve"> care</w:t>
            </w:r>
            <w:r w:rsidRPr="00EB05E1">
              <w:rPr>
                <w:rFonts w:ascii="Arial" w:hAnsi="Arial" w:cs="Arial"/>
                <w:sz w:val="20"/>
                <w:szCs w:val="20"/>
              </w:rPr>
              <w:t xml:space="preserve"> (but not </w:t>
            </w:r>
            <w:r w:rsidRPr="00464AE6">
              <w:rPr>
                <w:rFonts w:ascii="Arial" w:hAnsi="Arial" w:cs="Arial"/>
                <w:sz w:val="20"/>
                <w:szCs w:val="20"/>
              </w:rPr>
              <w:t>Emergency Department</w:t>
            </w:r>
            <w:r w:rsidRPr="00F61AC9">
              <w:rPr>
                <w:rFonts w:ascii="Arial" w:hAnsi="Arial" w:cs="Arial"/>
                <w:sz w:val="20"/>
                <w:szCs w:val="20"/>
              </w:rPr>
              <w:t xml:space="preserve"> care</w:t>
            </w:r>
            <w:r w:rsidRPr="00D66EE6">
              <w:rPr>
                <w:rFonts w:ascii="Arial" w:hAnsi="Arial" w:cs="Arial"/>
                <w:sz w:val="20"/>
                <w:szCs w:val="20"/>
              </w:rPr>
              <w:t>)</w:t>
            </w:r>
            <w:r w:rsidRPr="00EB05E1">
              <w:rPr>
                <w:rFonts w:ascii="Arial" w:hAnsi="Arial" w:cs="Arial"/>
                <w:sz w:val="20"/>
                <w:szCs w:val="20"/>
              </w:rPr>
              <w:t xml:space="preserve">, such as mental health or palliative care patients. These admissions would meet the </w:t>
            </w:r>
            <w:r w:rsidRPr="00D66EE6">
              <w:rPr>
                <w:rFonts w:ascii="Arial" w:hAnsi="Arial" w:cs="Arial"/>
                <w:sz w:val="20"/>
                <w:szCs w:val="20"/>
              </w:rPr>
              <w:t xml:space="preserve">common </w:t>
            </w:r>
            <w:r w:rsidRPr="00EB05E1">
              <w:rPr>
                <w:rFonts w:ascii="Arial" w:hAnsi="Arial" w:cs="Arial"/>
                <w:sz w:val="20"/>
                <w:szCs w:val="20"/>
              </w:rPr>
              <w:t xml:space="preserve">definition of ‘emergency’ </w:t>
            </w:r>
            <w:r w:rsidRPr="00D66EE6">
              <w:rPr>
                <w:rFonts w:ascii="Arial" w:hAnsi="Arial" w:cs="Arial"/>
                <w:sz w:val="20"/>
                <w:szCs w:val="20"/>
              </w:rPr>
              <w:t>as</w:t>
            </w:r>
            <w:r w:rsidRPr="00EB05E1">
              <w:rPr>
                <w:rFonts w:ascii="Arial" w:hAnsi="Arial" w:cs="Arial"/>
                <w:sz w:val="20"/>
                <w:szCs w:val="20"/>
              </w:rPr>
              <w:t xml:space="preserve"> ‘a serious, unexpected and often dangerous situation requiring immediate action’ - and would therefore be out of scope of this </w:t>
            </w:r>
            <w:r w:rsidR="00F61AC9">
              <w:rPr>
                <w:rFonts w:ascii="Arial" w:hAnsi="Arial" w:cs="Arial"/>
                <w:sz w:val="20"/>
                <w:szCs w:val="20"/>
              </w:rPr>
              <w:t>R</w:t>
            </w:r>
            <w:r w:rsidRPr="00EB05E1">
              <w:rPr>
                <w:rFonts w:ascii="Arial" w:hAnsi="Arial" w:cs="Arial"/>
                <w:sz w:val="20"/>
                <w:szCs w:val="20"/>
              </w:rPr>
              <w:t>eg</w:t>
            </w:r>
            <w:r w:rsidRPr="00D66EE6">
              <w:rPr>
                <w:rFonts w:ascii="Arial" w:hAnsi="Arial" w:cs="Arial"/>
                <w:sz w:val="20"/>
                <w:szCs w:val="20"/>
              </w:rPr>
              <w:t>ulation</w:t>
            </w:r>
            <w:r w:rsidRPr="00EB05E1">
              <w:rPr>
                <w:rFonts w:ascii="Arial" w:hAnsi="Arial" w:cs="Arial"/>
                <w:sz w:val="20"/>
                <w:szCs w:val="20"/>
              </w:rPr>
              <w:t xml:space="preserve">. There is nothing in the proposed </w:t>
            </w:r>
            <w:r w:rsidRPr="00D66EE6">
              <w:rPr>
                <w:rFonts w:ascii="Arial" w:hAnsi="Arial" w:cs="Arial"/>
                <w:sz w:val="20"/>
                <w:szCs w:val="20"/>
              </w:rPr>
              <w:t>R</w:t>
            </w:r>
            <w:r w:rsidRPr="00EB05E1">
              <w:rPr>
                <w:rFonts w:ascii="Arial" w:hAnsi="Arial" w:cs="Arial"/>
                <w:sz w:val="20"/>
                <w:szCs w:val="20"/>
              </w:rPr>
              <w:t>eg</w:t>
            </w:r>
            <w:r w:rsidRPr="00D66EE6">
              <w:rPr>
                <w:rFonts w:ascii="Arial" w:hAnsi="Arial" w:cs="Arial"/>
                <w:sz w:val="20"/>
                <w:szCs w:val="20"/>
              </w:rPr>
              <w:t>ulation</w:t>
            </w:r>
            <w:r w:rsidRPr="00EB05E1">
              <w:rPr>
                <w:rFonts w:ascii="Arial" w:hAnsi="Arial" w:cs="Arial"/>
                <w:sz w:val="20"/>
                <w:szCs w:val="20"/>
              </w:rPr>
              <w:t xml:space="preserve"> that limits the exclusion to ED patients only – it could also exclude non-ED patients who need ‘emergency’ admission.</w:t>
            </w:r>
          </w:p>
          <w:p w14:paraId="1A09349E" w14:textId="7C92C51B" w:rsidR="00814E00" w:rsidRPr="00D66EE6" w:rsidRDefault="00FE76B7" w:rsidP="00131778">
            <w:pPr>
              <w:pStyle w:val="ListParagraph"/>
              <w:numPr>
                <w:ilvl w:val="0"/>
                <w:numId w:val="58"/>
              </w:numPr>
              <w:spacing w:before="160" w:after="160" w:line="276" w:lineRule="auto"/>
              <w:contextualSpacing/>
              <w:rPr>
                <w:rFonts w:ascii="Arial" w:hAnsi="Arial" w:cs="Arial"/>
                <w:sz w:val="20"/>
                <w:szCs w:val="20"/>
              </w:rPr>
            </w:pPr>
            <w:r>
              <w:rPr>
                <w:rFonts w:ascii="Arial" w:hAnsi="Arial" w:cs="Arial"/>
                <w:sz w:val="20"/>
                <w:szCs w:val="20"/>
              </w:rPr>
              <w:t xml:space="preserve">If the sector is referring to fast-tracked </w:t>
            </w:r>
            <w:r w:rsidRPr="00D66EE6">
              <w:rPr>
                <w:rFonts w:ascii="Arial" w:hAnsi="Arial" w:cs="Arial"/>
                <w:sz w:val="20"/>
                <w:szCs w:val="20"/>
              </w:rPr>
              <w:t xml:space="preserve">admissions to fill unexpected </w:t>
            </w:r>
            <w:r w:rsidR="00636FEF">
              <w:rPr>
                <w:rFonts w:ascii="Arial" w:hAnsi="Arial" w:cs="Arial"/>
                <w:sz w:val="20"/>
                <w:szCs w:val="20"/>
              </w:rPr>
              <w:t>cancellations</w:t>
            </w:r>
            <w:r w:rsidRPr="00D66EE6">
              <w:rPr>
                <w:rFonts w:ascii="Arial" w:hAnsi="Arial" w:cs="Arial"/>
                <w:sz w:val="20"/>
                <w:szCs w:val="20"/>
              </w:rPr>
              <w:t xml:space="preserve"> in </w:t>
            </w:r>
            <w:r w:rsidR="00A37079">
              <w:rPr>
                <w:rFonts w:ascii="Arial" w:hAnsi="Arial" w:cs="Arial"/>
                <w:sz w:val="20"/>
                <w:szCs w:val="20"/>
              </w:rPr>
              <w:t xml:space="preserve">planned </w:t>
            </w:r>
            <w:r w:rsidRPr="00D66EE6">
              <w:rPr>
                <w:rFonts w:ascii="Arial" w:hAnsi="Arial" w:cs="Arial"/>
                <w:sz w:val="20"/>
                <w:szCs w:val="20"/>
              </w:rPr>
              <w:t>surgery lists</w:t>
            </w:r>
            <w:r w:rsidR="00A25A14">
              <w:rPr>
                <w:rFonts w:ascii="Arial" w:hAnsi="Arial" w:cs="Arial"/>
                <w:sz w:val="20"/>
                <w:szCs w:val="20"/>
              </w:rPr>
              <w:t xml:space="preserve"> in </w:t>
            </w:r>
            <w:r w:rsidR="002F44B1">
              <w:rPr>
                <w:rFonts w:ascii="Arial" w:hAnsi="Arial" w:cs="Arial"/>
                <w:sz w:val="20"/>
                <w:szCs w:val="20"/>
              </w:rPr>
              <w:t>under</w:t>
            </w:r>
            <w:r w:rsidR="00A25A14">
              <w:rPr>
                <w:rFonts w:ascii="Arial" w:hAnsi="Arial" w:cs="Arial"/>
                <w:sz w:val="20"/>
                <w:szCs w:val="20"/>
              </w:rPr>
              <w:t xml:space="preserve"> 24 hours</w:t>
            </w:r>
            <w:r>
              <w:rPr>
                <w:rFonts w:ascii="Arial" w:hAnsi="Arial" w:cs="Arial"/>
                <w:sz w:val="20"/>
                <w:szCs w:val="20"/>
              </w:rPr>
              <w:t xml:space="preserve">, </w:t>
            </w:r>
            <w:r w:rsidR="00A25A14">
              <w:rPr>
                <w:rFonts w:ascii="Arial" w:hAnsi="Arial" w:cs="Arial"/>
                <w:sz w:val="20"/>
                <w:szCs w:val="20"/>
              </w:rPr>
              <w:t>these would not fit the definition of ‘emergency’ patients and would therefore be in scope of this Regulation.</w:t>
            </w:r>
            <w:r w:rsidR="00710345">
              <w:rPr>
                <w:rFonts w:ascii="Arial" w:hAnsi="Arial" w:cs="Arial"/>
                <w:sz w:val="20"/>
                <w:szCs w:val="20"/>
              </w:rPr>
              <w:t xml:space="preserve"> The </w:t>
            </w:r>
            <w:r w:rsidR="00C87601">
              <w:rPr>
                <w:rFonts w:ascii="Arial" w:hAnsi="Arial" w:cs="Arial"/>
                <w:sz w:val="20"/>
                <w:szCs w:val="20"/>
              </w:rPr>
              <w:t>department</w:t>
            </w:r>
            <w:r w:rsidR="00710345">
              <w:rPr>
                <w:rFonts w:ascii="Arial" w:hAnsi="Arial" w:cs="Arial"/>
                <w:sz w:val="20"/>
                <w:szCs w:val="20"/>
              </w:rPr>
              <w:t xml:space="preserve"> considers </w:t>
            </w:r>
            <w:r w:rsidR="001F2D32">
              <w:rPr>
                <w:rFonts w:ascii="Arial" w:hAnsi="Arial" w:cs="Arial"/>
                <w:sz w:val="20"/>
                <w:szCs w:val="20"/>
              </w:rPr>
              <w:t xml:space="preserve">a risk assessment </w:t>
            </w:r>
            <w:r w:rsidR="001F2D32">
              <w:rPr>
                <w:rFonts w:ascii="Arial" w:hAnsi="Arial" w:cs="Arial"/>
                <w:sz w:val="20"/>
                <w:szCs w:val="20"/>
              </w:rPr>
              <w:lastRenderedPageBreak/>
              <w:t>at least 24 hours in advance is needed for these patients to e</w:t>
            </w:r>
            <w:r w:rsidR="003E4A59">
              <w:rPr>
                <w:rFonts w:ascii="Arial" w:hAnsi="Arial" w:cs="Arial"/>
                <w:sz w:val="20"/>
                <w:szCs w:val="20"/>
              </w:rPr>
              <w:t>n</w:t>
            </w:r>
            <w:r w:rsidR="001F2D32">
              <w:rPr>
                <w:rFonts w:ascii="Arial" w:hAnsi="Arial" w:cs="Arial"/>
                <w:sz w:val="20"/>
                <w:szCs w:val="20"/>
              </w:rPr>
              <w:t>sure the</w:t>
            </w:r>
            <w:r w:rsidR="00260359">
              <w:rPr>
                <w:rFonts w:ascii="Arial" w:hAnsi="Arial" w:cs="Arial"/>
                <w:sz w:val="20"/>
                <w:szCs w:val="20"/>
              </w:rPr>
              <w:t>y</w:t>
            </w:r>
            <w:r w:rsidR="001F2D32">
              <w:rPr>
                <w:rFonts w:ascii="Arial" w:hAnsi="Arial" w:cs="Arial"/>
                <w:sz w:val="20"/>
                <w:szCs w:val="20"/>
              </w:rPr>
              <w:t xml:space="preserve"> </w:t>
            </w:r>
            <w:r w:rsidR="00381A57">
              <w:rPr>
                <w:rFonts w:ascii="Arial" w:hAnsi="Arial" w:cs="Arial"/>
                <w:sz w:val="20"/>
                <w:szCs w:val="20"/>
              </w:rPr>
              <w:t xml:space="preserve">can be safely </w:t>
            </w:r>
            <w:r w:rsidR="003E4A59">
              <w:rPr>
                <w:rFonts w:ascii="Arial" w:hAnsi="Arial" w:cs="Arial"/>
                <w:sz w:val="20"/>
                <w:szCs w:val="20"/>
              </w:rPr>
              <w:t>treated, particularly as these procedures or surgeries would typically</w:t>
            </w:r>
            <w:r w:rsidR="00814E00" w:rsidRPr="00D66EE6">
              <w:rPr>
                <w:rFonts w:ascii="Arial" w:hAnsi="Arial" w:cs="Arial"/>
                <w:sz w:val="20"/>
                <w:szCs w:val="20"/>
              </w:rPr>
              <w:t xml:space="preserve"> require anaesthesia</w:t>
            </w:r>
            <w:r w:rsidR="003E4A59">
              <w:rPr>
                <w:rFonts w:ascii="Arial" w:hAnsi="Arial" w:cs="Arial"/>
                <w:sz w:val="20"/>
                <w:szCs w:val="20"/>
              </w:rPr>
              <w:t xml:space="preserve">. </w:t>
            </w:r>
            <w:r w:rsidR="00381A57">
              <w:rPr>
                <w:rFonts w:ascii="Arial" w:hAnsi="Arial" w:cs="Arial"/>
                <w:sz w:val="20"/>
                <w:szCs w:val="20"/>
              </w:rPr>
              <w:t xml:space="preserve">In other instances, </w:t>
            </w:r>
            <w:r w:rsidR="00817F46">
              <w:rPr>
                <w:rFonts w:ascii="Arial" w:hAnsi="Arial" w:cs="Arial"/>
                <w:sz w:val="20"/>
                <w:szCs w:val="20"/>
              </w:rPr>
              <w:t xml:space="preserve">advance </w:t>
            </w:r>
            <w:r w:rsidR="0026123B">
              <w:rPr>
                <w:rFonts w:ascii="Arial" w:hAnsi="Arial" w:cs="Arial"/>
                <w:sz w:val="20"/>
                <w:szCs w:val="20"/>
              </w:rPr>
              <w:t xml:space="preserve">preparation </w:t>
            </w:r>
            <w:r w:rsidR="00381A57">
              <w:rPr>
                <w:rFonts w:ascii="Arial" w:hAnsi="Arial" w:cs="Arial"/>
                <w:sz w:val="20"/>
                <w:szCs w:val="20"/>
              </w:rPr>
              <w:t xml:space="preserve">may be required </w:t>
            </w:r>
            <w:r w:rsidR="0026123B">
              <w:rPr>
                <w:rFonts w:ascii="Arial" w:hAnsi="Arial" w:cs="Arial"/>
                <w:sz w:val="20"/>
                <w:szCs w:val="20"/>
              </w:rPr>
              <w:t xml:space="preserve">(e.g. </w:t>
            </w:r>
            <w:r w:rsidR="00814E00" w:rsidRPr="00D66EE6">
              <w:rPr>
                <w:rFonts w:ascii="Arial" w:hAnsi="Arial" w:cs="Arial"/>
                <w:sz w:val="20"/>
                <w:szCs w:val="20"/>
              </w:rPr>
              <w:t>pre-endoscopy preparation by the patient</w:t>
            </w:r>
            <w:r w:rsidR="0026123B">
              <w:rPr>
                <w:rFonts w:ascii="Arial" w:hAnsi="Arial" w:cs="Arial"/>
                <w:sz w:val="20"/>
                <w:szCs w:val="20"/>
              </w:rPr>
              <w:t>)</w:t>
            </w:r>
            <w:r w:rsidR="00814E00" w:rsidRPr="00D66EE6">
              <w:rPr>
                <w:rFonts w:ascii="Arial" w:hAnsi="Arial" w:cs="Arial"/>
                <w:sz w:val="20"/>
                <w:szCs w:val="20"/>
              </w:rPr>
              <w:t xml:space="preserve">, </w:t>
            </w:r>
            <w:r w:rsidR="0017280D">
              <w:rPr>
                <w:rFonts w:ascii="Arial" w:hAnsi="Arial" w:cs="Arial"/>
                <w:sz w:val="20"/>
                <w:szCs w:val="20"/>
              </w:rPr>
              <w:t xml:space="preserve">which </w:t>
            </w:r>
            <w:r w:rsidR="00DB7FC3">
              <w:rPr>
                <w:rFonts w:ascii="Arial" w:hAnsi="Arial" w:cs="Arial"/>
                <w:sz w:val="20"/>
                <w:szCs w:val="20"/>
              </w:rPr>
              <w:t xml:space="preserve">cannot be done in less than 24 hours before admission, so there would be no reason why a </w:t>
            </w:r>
            <w:r w:rsidR="0004231E">
              <w:rPr>
                <w:rFonts w:ascii="Arial" w:hAnsi="Arial" w:cs="Arial"/>
                <w:sz w:val="20"/>
                <w:szCs w:val="20"/>
              </w:rPr>
              <w:t xml:space="preserve">risk assessment </w:t>
            </w:r>
            <w:r w:rsidR="002F44B1">
              <w:rPr>
                <w:rFonts w:ascii="Arial" w:hAnsi="Arial" w:cs="Arial"/>
                <w:sz w:val="20"/>
                <w:szCs w:val="20"/>
              </w:rPr>
              <w:t xml:space="preserve">at least 24 hours in </w:t>
            </w:r>
            <w:r w:rsidR="00A56FE6">
              <w:rPr>
                <w:rFonts w:ascii="Arial" w:hAnsi="Arial" w:cs="Arial"/>
                <w:sz w:val="20"/>
                <w:szCs w:val="20"/>
              </w:rPr>
              <w:t xml:space="preserve">advance </w:t>
            </w:r>
            <w:r w:rsidR="002F44B1">
              <w:rPr>
                <w:rFonts w:ascii="Arial" w:hAnsi="Arial" w:cs="Arial"/>
                <w:sz w:val="20"/>
                <w:szCs w:val="20"/>
              </w:rPr>
              <w:t>could not be conducted.</w:t>
            </w:r>
          </w:p>
          <w:p w14:paraId="159E74E2" w14:textId="1B6FA7F7" w:rsidR="00814E00" w:rsidRPr="00D66EE6" w:rsidRDefault="00814E00" w:rsidP="00131778">
            <w:pPr>
              <w:pStyle w:val="ListParagraph"/>
              <w:numPr>
                <w:ilvl w:val="0"/>
                <w:numId w:val="58"/>
              </w:numPr>
              <w:spacing w:line="276" w:lineRule="auto"/>
              <w:rPr>
                <w:rFonts w:ascii="Arial" w:hAnsi="Arial" w:cs="Arial"/>
                <w:sz w:val="20"/>
                <w:szCs w:val="20"/>
              </w:rPr>
            </w:pPr>
            <w:r w:rsidRPr="00D66EE6">
              <w:rPr>
                <w:rFonts w:ascii="Arial" w:hAnsi="Arial" w:cs="Arial"/>
                <w:sz w:val="20"/>
                <w:szCs w:val="20"/>
              </w:rPr>
              <w:t xml:space="preserve">As described above, the </w:t>
            </w:r>
            <w:r w:rsidR="00C87601">
              <w:rPr>
                <w:rFonts w:ascii="Arial" w:hAnsi="Arial" w:cs="Arial"/>
                <w:sz w:val="20"/>
                <w:szCs w:val="20"/>
              </w:rPr>
              <w:t>department</w:t>
            </w:r>
            <w:r w:rsidRPr="00D66EE6">
              <w:rPr>
                <w:rFonts w:ascii="Arial" w:hAnsi="Arial" w:cs="Arial"/>
                <w:sz w:val="20"/>
                <w:szCs w:val="20"/>
              </w:rPr>
              <w:t>’s regulatory requirements align with the NSQHS Standards.</w:t>
            </w:r>
          </w:p>
          <w:p w14:paraId="026A8C1C" w14:textId="77777777" w:rsidR="00814E00" w:rsidRPr="00D66EE6" w:rsidRDefault="00814E00" w:rsidP="00434DAD">
            <w:pPr>
              <w:spacing w:before="120"/>
              <w:rPr>
                <w:rFonts w:cs="Arial"/>
                <w:sz w:val="20"/>
              </w:rPr>
            </w:pPr>
            <w:r w:rsidRPr="00127B62">
              <w:rPr>
                <w:rFonts w:cs="Arial"/>
                <w:sz w:val="20"/>
              </w:rPr>
              <w:t>In</w:t>
            </w:r>
            <w:r w:rsidRPr="00D66EE6">
              <w:rPr>
                <w:rFonts w:cs="Arial"/>
                <w:sz w:val="20"/>
              </w:rPr>
              <w:t xml:space="preserve"> response to </w:t>
            </w:r>
            <w:r w:rsidRPr="00D66EE6">
              <w:rPr>
                <w:rFonts w:cs="Arial"/>
                <w:b/>
                <w:bCs/>
                <w:sz w:val="20"/>
              </w:rPr>
              <w:t>ASMIRT’s</w:t>
            </w:r>
            <w:r w:rsidRPr="00D66EE6">
              <w:rPr>
                <w:rFonts w:cs="Arial"/>
                <w:sz w:val="20"/>
              </w:rPr>
              <w:t xml:space="preserve"> feedback:</w:t>
            </w:r>
          </w:p>
          <w:p w14:paraId="4C8DB296" w14:textId="77777777" w:rsidR="00814E00" w:rsidRPr="00D66EE6" w:rsidRDefault="00814E00" w:rsidP="00131778">
            <w:pPr>
              <w:pStyle w:val="ListParagraph"/>
              <w:numPr>
                <w:ilvl w:val="0"/>
                <w:numId w:val="37"/>
              </w:numPr>
              <w:spacing w:before="160" w:after="160" w:line="276" w:lineRule="auto"/>
              <w:contextualSpacing/>
              <w:rPr>
                <w:rFonts w:ascii="Arial" w:hAnsi="Arial" w:cs="Arial"/>
                <w:sz w:val="20"/>
                <w:szCs w:val="20"/>
              </w:rPr>
            </w:pPr>
            <w:r w:rsidRPr="00D66EE6">
              <w:rPr>
                <w:rFonts w:ascii="Arial" w:hAnsi="Arial" w:cs="Arial"/>
                <w:sz w:val="20"/>
                <w:szCs w:val="20"/>
              </w:rPr>
              <w:t xml:space="preserve">Diagnostic/imaging services are out of scope of registration. </w:t>
            </w:r>
          </w:p>
          <w:p w14:paraId="1B9709B9" w14:textId="500F5EA9" w:rsidR="00814E00" w:rsidRPr="00D66EE6" w:rsidRDefault="00814E00" w:rsidP="00E423E7">
            <w:pPr>
              <w:pStyle w:val="ListParagraph"/>
              <w:numPr>
                <w:ilvl w:val="0"/>
                <w:numId w:val="37"/>
              </w:numPr>
              <w:spacing w:before="160" w:after="160" w:line="276" w:lineRule="auto"/>
              <w:contextualSpacing/>
              <w:rPr>
                <w:rFonts w:cs="Arial"/>
                <w:sz w:val="20"/>
              </w:rPr>
            </w:pPr>
            <w:r w:rsidRPr="00D66EE6">
              <w:rPr>
                <w:rFonts w:ascii="Arial" w:hAnsi="Arial" w:cs="Arial"/>
                <w:sz w:val="20"/>
                <w:szCs w:val="20"/>
              </w:rPr>
              <w:t>Any treatments/procedures within scope of registration should have assessments conducted according to the proposed Regulation.</w:t>
            </w:r>
          </w:p>
        </w:tc>
      </w:tr>
      <w:tr w:rsidR="00814E00" w:rsidRPr="00D66EE6" w14:paraId="46DF76D3" w14:textId="77777777" w:rsidTr="00D66EE6">
        <w:trPr>
          <w:trHeight w:val="699"/>
        </w:trPr>
        <w:tc>
          <w:tcPr>
            <w:tcW w:w="288" w:type="pct"/>
            <w:shd w:val="clear" w:color="auto" w:fill="auto"/>
            <w:hideMark/>
          </w:tcPr>
          <w:p w14:paraId="79EE543F" w14:textId="77777777" w:rsidR="00814E00" w:rsidRPr="00D66EE6" w:rsidRDefault="00814E00" w:rsidP="001562A6">
            <w:pPr>
              <w:rPr>
                <w:rFonts w:cs="Arial"/>
                <w:color w:val="FF0000"/>
                <w:sz w:val="20"/>
              </w:rPr>
            </w:pPr>
            <w:r w:rsidRPr="00D66EE6">
              <w:rPr>
                <w:rFonts w:cs="Arial"/>
                <w:color w:val="FF0000"/>
                <w:sz w:val="20"/>
              </w:rPr>
              <w:lastRenderedPageBreak/>
              <w:t>NEW</w:t>
            </w:r>
          </w:p>
          <w:p w14:paraId="4722F5C3" w14:textId="77777777" w:rsidR="00814E00" w:rsidRPr="00D66EE6" w:rsidRDefault="00814E00" w:rsidP="001562A6">
            <w:pPr>
              <w:rPr>
                <w:rFonts w:cs="Arial"/>
                <w:sz w:val="20"/>
              </w:rPr>
            </w:pPr>
            <w:r w:rsidRPr="00D66EE6">
              <w:rPr>
                <w:rFonts w:cs="Arial"/>
                <w:color w:val="FF0000"/>
                <w:sz w:val="20"/>
              </w:rPr>
              <w:t>26</w:t>
            </w:r>
          </w:p>
        </w:tc>
        <w:tc>
          <w:tcPr>
            <w:tcW w:w="1570" w:type="pct"/>
            <w:shd w:val="clear" w:color="auto" w:fill="auto"/>
            <w:hideMark/>
          </w:tcPr>
          <w:p w14:paraId="233B23DE" w14:textId="77777777" w:rsidR="00814E00" w:rsidRPr="00D66EE6" w:rsidRDefault="00814E00" w:rsidP="001562A6">
            <w:pPr>
              <w:rPr>
                <w:rFonts w:cs="Arial"/>
                <w:b/>
                <w:color w:val="FF0000"/>
                <w:sz w:val="20"/>
              </w:rPr>
            </w:pPr>
            <w:r w:rsidRPr="00D66EE6">
              <w:rPr>
                <w:rFonts w:cs="Arial"/>
                <w:b/>
                <w:color w:val="FF0000"/>
                <w:sz w:val="20"/>
              </w:rPr>
              <w:t>Pre-presentation assessment</w:t>
            </w:r>
          </w:p>
          <w:p w14:paraId="2EDBAFF3" w14:textId="77777777" w:rsidR="00814E00" w:rsidRPr="00D66EE6" w:rsidRDefault="00814E00" w:rsidP="001562A6">
            <w:pPr>
              <w:rPr>
                <w:rFonts w:cs="Arial"/>
                <w:color w:val="FF0000"/>
                <w:sz w:val="20"/>
              </w:rPr>
            </w:pPr>
            <w:r w:rsidRPr="00D66EE6">
              <w:rPr>
                <w:rFonts w:cs="Arial"/>
                <w:color w:val="FF0000"/>
                <w:sz w:val="20"/>
              </w:rPr>
              <w:t>The proprietor of a health service establishment must ensure that for each non-emergency patient that is provided with a health service by the health service establishment but is not admitted to the health service establishment—</w:t>
            </w:r>
          </w:p>
          <w:p w14:paraId="3CF9CEE0" w14:textId="77777777" w:rsidR="00814E00" w:rsidRPr="00D66EE6" w:rsidRDefault="00814E00" w:rsidP="00131778">
            <w:pPr>
              <w:pStyle w:val="ListParagraph"/>
              <w:numPr>
                <w:ilvl w:val="1"/>
                <w:numId w:val="18"/>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a pre-presentation clinical risk assessment is carried out by a registered health practitioner; and</w:t>
            </w:r>
          </w:p>
          <w:p w14:paraId="568239CC" w14:textId="77777777" w:rsidR="00814E00" w:rsidRPr="00D66EE6" w:rsidRDefault="00814E00" w:rsidP="00131778">
            <w:pPr>
              <w:pStyle w:val="ListParagraph"/>
              <w:numPr>
                <w:ilvl w:val="1"/>
                <w:numId w:val="18"/>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the following matters are recorded in writing, not less than 24 hours before the health service is provided—</w:t>
            </w:r>
          </w:p>
          <w:p w14:paraId="5CF01974" w14:textId="77777777" w:rsidR="00814E00" w:rsidRPr="00D66EE6" w:rsidRDefault="00814E00" w:rsidP="001562A6">
            <w:pPr>
              <w:pStyle w:val="ListParagraph"/>
              <w:numPr>
                <w:ilvl w:val="2"/>
                <w:numId w:val="0"/>
              </w:numPr>
              <w:spacing w:before="160" w:after="160" w:line="276" w:lineRule="auto"/>
              <w:ind w:left="851" w:hanging="131"/>
              <w:contextualSpacing/>
              <w:rPr>
                <w:rFonts w:ascii="Arial" w:hAnsi="Arial" w:cs="Arial"/>
                <w:color w:val="FF0000"/>
                <w:sz w:val="20"/>
                <w:szCs w:val="20"/>
              </w:rPr>
            </w:pPr>
            <w:r w:rsidRPr="00D66EE6">
              <w:rPr>
                <w:rFonts w:ascii="Arial" w:hAnsi="Arial" w:cs="Arial"/>
                <w:color w:val="FF0000"/>
                <w:sz w:val="20"/>
                <w:szCs w:val="20"/>
              </w:rPr>
              <w:t>the matters considered and assessed by the registered health practitioner as part of the pre-presentation clinical risk assessment; and</w:t>
            </w:r>
          </w:p>
          <w:p w14:paraId="020D68E3" w14:textId="77777777" w:rsidR="00814E00" w:rsidRPr="00D66EE6" w:rsidRDefault="00814E00" w:rsidP="001562A6">
            <w:pPr>
              <w:pStyle w:val="ListParagraph"/>
              <w:numPr>
                <w:ilvl w:val="2"/>
                <w:numId w:val="0"/>
              </w:numPr>
              <w:spacing w:before="160" w:after="160" w:line="276" w:lineRule="auto"/>
              <w:ind w:left="851" w:hanging="131"/>
              <w:contextualSpacing/>
              <w:rPr>
                <w:rFonts w:ascii="Arial" w:hAnsi="Arial" w:cs="Arial"/>
                <w:color w:val="FF0000"/>
                <w:sz w:val="20"/>
                <w:szCs w:val="20"/>
              </w:rPr>
            </w:pPr>
            <w:r w:rsidRPr="00D66EE6">
              <w:rPr>
                <w:rFonts w:ascii="Arial" w:hAnsi="Arial" w:cs="Arial"/>
                <w:color w:val="FF0000"/>
                <w:sz w:val="20"/>
                <w:szCs w:val="20"/>
              </w:rPr>
              <w:t>the results of the pre-presentation clinical risk assessment;</w:t>
            </w:r>
          </w:p>
          <w:p w14:paraId="577D7599" w14:textId="77777777" w:rsidR="00814E00" w:rsidRPr="00D66EE6" w:rsidRDefault="00814E00" w:rsidP="001562A6">
            <w:pPr>
              <w:pStyle w:val="ListParagraph"/>
              <w:numPr>
                <w:ilvl w:val="2"/>
                <w:numId w:val="0"/>
              </w:numPr>
              <w:spacing w:before="160" w:after="160" w:line="276" w:lineRule="auto"/>
              <w:ind w:left="851" w:hanging="131"/>
              <w:contextualSpacing/>
              <w:rPr>
                <w:rFonts w:ascii="Arial" w:hAnsi="Arial" w:cs="Arial"/>
                <w:color w:val="FF0000"/>
                <w:sz w:val="20"/>
                <w:szCs w:val="20"/>
              </w:rPr>
            </w:pPr>
            <w:r w:rsidRPr="00D66EE6">
              <w:rPr>
                <w:rFonts w:ascii="Arial" w:hAnsi="Arial" w:cs="Arial"/>
                <w:color w:val="FF0000"/>
                <w:sz w:val="20"/>
                <w:szCs w:val="20"/>
              </w:rPr>
              <w:t>the name and signature of the registered health practitioner carrying out the pre-presentation clinical risk assessment.</w:t>
            </w:r>
          </w:p>
          <w:p w14:paraId="03156413" w14:textId="77777777" w:rsidR="00814E00" w:rsidRPr="00D66EE6" w:rsidRDefault="00814E00" w:rsidP="00131778">
            <w:pPr>
              <w:pStyle w:val="ListParagraph"/>
              <w:numPr>
                <w:ilvl w:val="1"/>
                <w:numId w:val="18"/>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the health service for which the patient presents is assessed in relation to the scope of practice of the registered health practitioner who will provide the health service to that patient.</w:t>
            </w:r>
          </w:p>
        </w:tc>
        <w:tc>
          <w:tcPr>
            <w:tcW w:w="1571" w:type="pct"/>
            <w:shd w:val="clear" w:color="auto" w:fill="auto"/>
            <w:hideMark/>
          </w:tcPr>
          <w:p w14:paraId="46AECBE9" w14:textId="77777777" w:rsidR="00756725" w:rsidRPr="00325CBA" w:rsidRDefault="00756725" w:rsidP="00756725">
            <w:pPr>
              <w:rPr>
                <w:rFonts w:cs="Arial"/>
                <w:b/>
                <w:bCs/>
                <w:sz w:val="20"/>
              </w:rPr>
            </w:pPr>
            <w:r w:rsidRPr="00325CBA">
              <w:rPr>
                <w:b/>
                <w:bCs/>
                <w:sz w:val="20"/>
              </w:rPr>
              <w:t xml:space="preserve">CHA/anonymous </w:t>
            </w:r>
          </w:p>
          <w:p w14:paraId="46A0B3F8" w14:textId="77777777" w:rsidR="00814E00" w:rsidRPr="00D66EE6" w:rsidRDefault="00814E00" w:rsidP="001562A6">
            <w:pPr>
              <w:rPr>
                <w:rFonts w:cs="Arial"/>
                <w:b/>
                <w:bCs/>
                <w:sz w:val="20"/>
                <w:u w:val="single"/>
              </w:rPr>
            </w:pPr>
            <w:r w:rsidRPr="00D66EE6">
              <w:rPr>
                <w:rFonts w:cs="Arial"/>
                <w:sz w:val="20"/>
              </w:rPr>
              <w:t>Wording should reflect the finalised wording of Regulation 25 once consultation has concluded.</w:t>
            </w:r>
          </w:p>
          <w:p w14:paraId="77B14A30" w14:textId="55C00870" w:rsidR="00814E00" w:rsidRPr="00D66EE6" w:rsidRDefault="00814E00" w:rsidP="001562A6">
            <w:pPr>
              <w:rPr>
                <w:rFonts w:cs="Arial"/>
                <w:b/>
                <w:bCs/>
                <w:sz w:val="20"/>
              </w:rPr>
            </w:pPr>
            <w:r w:rsidRPr="00D66EE6">
              <w:rPr>
                <w:rFonts w:cs="Arial"/>
                <w:b/>
                <w:bCs/>
                <w:sz w:val="20"/>
              </w:rPr>
              <w:t>Healthscope</w:t>
            </w:r>
          </w:p>
          <w:p w14:paraId="5D5CF84D" w14:textId="225EE6A2" w:rsidR="00814E00" w:rsidRPr="00D66EE6" w:rsidRDefault="00814E00" w:rsidP="001562A6">
            <w:pPr>
              <w:rPr>
                <w:rFonts w:cs="Arial"/>
                <w:sz w:val="20"/>
              </w:rPr>
            </w:pPr>
            <w:r w:rsidRPr="00D66EE6">
              <w:rPr>
                <w:rFonts w:cs="Arial"/>
                <w:sz w:val="20"/>
              </w:rPr>
              <w:t xml:space="preserve">See below response to </w:t>
            </w:r>
            <w:r w:rsidR="00E8192B">
              <w:rPr>
                <w:rFonts w:cs="Arial"/>
                <w:i/>
                <w:iCs/>
                <w:sz w:val="20"/>
              </w:rPr>
              <w:t>I</w:t>
            </w:r>
            <w:r w:rsidRPr="00E8192B">
              <w:rPr>
                <w:rFonts w:cs="Arial"/>
                <w:i/>
                <w:iCs/>
                <w:sz w:val="20"/>
              </w:rPr>
              <w:t>nformation to be held in clinical record</w:t>
            </w:r>
            <w:r w:rsidRPr="00D66EE6">
              <w:rPr>
                <w:rFonts w:cs="Arial"/>
                <w:sz w:val="20"/>
              </w:rPr>
              <w:t xml:space="preserve"> under r.28.</w:t>
            </w:r>
          </w:p>
          <w:p w14:paraId="1E24F894" w14:textId="4F151AC8" w:rsidR="00814E00" w:rsidRPr="00D66EE6" w:rsidRDefault="00814E00" w:rsidP="001562A6">
            <w:pPr>
              <w:rPr>
                <w:rFonts w:cs="Arial"/>
                <w:b/>
                <w:bCs/>
                <w:sz w:val="20"/>
              </w:rPr>
            </w:pPr>
            <w:r w:rsidRPr="00D66EE6">
              <w:rPr>
                <w:rFonts w:cs="Arial"/>
                <w:b/>
                <w:bCs/>
                <w:sz w:val="20"/>
              </w:rPr>
              <w:t>ASMIRT</w:t>
            </w:r>
          </w:p>
          <w:p w14:paraId="0B61042F" w14:textId="77777777" w:rsidR="00814E00" w:rsidRPr="00D66EE6" w:rsidRDefault="00814E00" w:rsidP="001562A6">
            <w:pPr>
              <w:rPr>
                <w:rFonts w:cs="Arial"/>
                <w:sz w:val="20"/>
              </w:rPr>
            </w:pPr>
            <w:r w:rsidRPr="00D66EE6">
              <w:rPr>
                <w:rFonts w:cs="Arial"/>
                <w:sz w:val="20"/>
              </w:rPr>
              <w:t>States it is reasonable to have clinical risk assessment conducted by a health practitioner after ‘admission’ or at time of service. There needs to be some provision for an appropriately limited assessment for example when a radiographer conducts an MRI safety or IV contrast questionnaire. Treatment is not the same as a diagnostic examination, so this may only apply to interventional or therapeutic image guided procedures.</w:t>
            </w:r>
          </w:p>
          <w:p w14:paraId="096A476B" w14:textId="77777777" w:rsidR="00814E00" w:rsidRPr="00D66EE6" w:rsidRDefault="00814E00" w:rsidP="001562A6">
            <w:pPr>
              <w:rPr>
                <w:rFonts w:cs="Arial"/>
                <w:b/>
                <w:bCs/>
                <w:sz w:val="20"/>
              </w:rPr>
            </w:pPr>
            <w:r w:rsidRPr="00D66EE6">
              <w:rPr>
                <w:rFonts w:cs="Arial"/>
                <w:b/>
                <w:bCs/>
                <w:sz w:val="20"/>
              </w:rPr>
              <w:t>ANMF</w:t>
            </w:r>
          </w:p>
          <w:p w14:paraId="4D429056" w14:textId="77777777" w:rsidR="00814E00" w:rsidRPr="00D66EE6" w:rsidRDefault="00814E00" w:rsidP="001562A6">
            <w:pPr>
              <w:rPr>
                <w:rFonts w:cs="Arial"/>
                <w:sz w:val="20"/>
              </w:rPr>
            </w:pPr>
            <w:r w:rsidRPr="00D66EE6">
              <w:rPr>
                <w:rFonts w:cs="Arial"/>
                <w:sz w:val="20"/>
              </w:rPr>
              <w:t xml:space="preserve">Supports this amendment. However, suggests strengthening regulations with respect to mobile services to reflect that: </w:t>
            </w:r>
          </w:p>
          <w:p w14:paraId="0DA8237D" w14:textId="5341673E" w:rsidR="00814E00" w:rsidRPr="00D66EE6" w:rsidRDefault="0086137D" w:rsidP="00131778">
            <w:pPr>
              <w:pStyle w:val="ListParagraph"/>
              <w:numPr>
                <w:ilvl w:val="0"/>
                <w:numId w:val="32"/>
              </w:numPr>
              <w:spacing w:before="160" w:after="160" w:line="276" w:lineRule="auto"/>
              <w:contextualSpacing/>
              <w:rPr>
                <w:rFonts w:ascii="Arial" w:hAnsi="Arial" w:cs="Arial"/>
                <w:sz w:val="20"/>
                <w:szCs w:val="20"/>
              </w:rPr>
            </w:pPr>
            <w:r>
              <w:rPr>
                <w:rFonts w:ascii="Arial" w:hAnsi="Arial" w:cs="Arial"/>
                <w:sz w:val="20"/>
                <w:szCs w:val="20"/>
              </w:rPr>
              <w:t>‘</w:t>
            </w:r>
            <w:r w:rsidR="00814E00" w:rsidRPr="00D66EE6">
              <w:rPr>
                <w:rFonts w:ascii="Arial" w:hAnsi="Arial" w:cs="Arial"/>
                <w:sz w:val="20"/>
                <w:szCs w:val="20"/>
              </w:rPr>
              <w:t>Preclinical assessment must be provided by a qualified health professional who will be undertaking the procedure or providing initial or follow up care (for example where the patient is receiving care from a mobile anaesthetist, they should have undertaken a pre-procedure/clinical assessment</w:t>
            </w:r>
            <w:r>
              <w:rPr>
                <w:rFonts w:ascii="Arial" w:hAnsi="Arial" w:cs="Arial"/>
                <w:sz w:val="20"/>
                <w:szCs w:val="20"/>
              </w:rPr>
              <w:t>’</w:t>
            </w:r>
            <w:r w:rsidR="00857683">
              <w:rPr>
                <w:rFonts w:ascii="Arial" w:hAnsi="Arial" w:cs="Arial"/>
                <w:sz w:val="20"/>
                <w:szCs w:val="20"/>
              </w:rPr>
              <w:t>.</w:t>
            </w:r>
          </w:p>
          <w:p w14:paraId="066629A3" w14:textId="0F22912A" w:rsidR="00814E00" w:rsidRPr="00D66EE6" w:rsidRDefault="00814E00" w:rsidP="00131778">
            <w:pPr>
              <w:pStyle w:val="ListParagraph"/>
              <w:numPr>
                <w:ilvl w:val="0"/>
                <w:numId w:val="32"/>
              </w:numPr>
              <w:spacing w:before="160" w:after="160" w:line="276" w:lineRule="auto"/>
              <w:contextualSpacing/>
              <w:rPr>
                <w:rFonts w:ascii="Arial" w:hAnsi="Arial" w:cs="Arial"/>
                <w:sz w:val="20"/>
                <w:szCs w:val="20"/>
              </w:rPr>
            </w:pPr>
            <w:r w:rsidRPr="00D66EE6">
              <w:rPr>
                <w:rFonts w:ascii="Arial" w:hAnsi="Arial" w:cs="Arial"/>
                <w:sz w:val="20"/>
                <w:szCs w:val="20"/>
              </w:rPr>
              <w:t>Staffing levels and skill mix associated with mobile anaesthetic services should be regulated to require employment by RNs when delivering mobile services</w:t>
            </w:r>
            <w:r w:rsidR="00857683">
              <w:rPr>
                <w:rFonts w:ascii="Arial" w:hAnsi="Arial" w:cs="Arial"/>
                <w:sz w:val="20"/>
                <w:szCs w:val="20"/>
              </w:rPr>
              <w:t>.</w:t>
            </w:r>
          </w:p>
          <w:p w14:paraId="46C5FB2C" w14:textId="1333814E" w:rsidR="00814E00" w:rsidRPr="00A75D4C" w:rsidRDefault="00814E00">
            <w:pPr>
              <w:pStyle w:val="ListParagraph"/>
              <w:numPr>
                <w:ilvl w:val="0"/>
                <w:numId w:val="32"/>
              </w:numPr>
              <w:spacing w:before="160" w:after="160" w:line="276" w:lineRule="auto"/>
              <w:contextualSpacing/>
              <w:rPr>
                <w:rFonts w:cs="Arial"/>
                <w:b/>
                <w:bCs/>
                <w:sz w:val="20"/>
                <w:u w:val="single"/>
              </w:rPr>
            </w:pPr>
            <w:r w:rsidRPr="00A75D4C">
              <w:rPr>
                <w:rFonts w:ascii="Arial" w:hAnsi="Arial" w:cs="Arial"/>
                <w:sz w:val="20"/>
                <w:szCs w:val="20"/>
              </w:rPr>
              <w:t xml:space="preserve">Clear policies and guidelines need to be developed to ensure mobile anaesthetic service remain on site until patient is at Stage 2 level recovery. </w:t>
            </w:r>
          </w:p>
          <w:p w14:paraId="3441A27A" w14:textId="77777777" w:rsidR="00814E00" w:rsidRPr="00D66EE6" w:rsidRDefault="00814E00" w:rsidP="001562A6">
            <w:pPr>
              <w:rPr>
                <w:rFonts w:cs="Arial"/>
                <w:sz w:val="20"/>
              </w:rPr>
            </w:pPr>
          </w:p>
        </w:tc>
        <w:tc>
          <w:tcPr>
            <w:tcW w:w="1571" w:type="pct"/>
            <w:shd w:val="clear" w:color="auto" w:fill="auto"/>
          </w:tcPr>
          <w:p w14:paraId="504A6D0B" w14:textId="65322D98" w:rsidR="00814E00" w:rsidRPr="00D66EE6" w:rsidRDefault="00814E00" w:rsidP="001562A6">
            <w:pPr>
              <w:rPr>
                <w:rFonts w:cs="Arial"/>
                <w:sz w:val="20"/>
              </w:rPr>
            </w:pPr>
            <w:r w:rsidRPr="00D66EE6">
              <w:rPr>
                <w:rFonts w:cs="Arial"/>
                <w:sz w:val="20"/>
              </w:rPr>
              <w:t xml:space="preserve">The above response to </w:t>
            </w:r>
            <w:r w:rsidRPr="00D66EE6">
              <w:rPr>
                <w:rFonts w:cs="Arial"/>
                <w:b/>
                <w:bCs/>
                <w:sz w:val="20"/>
              </w:rPr>
              <w:t>CHA/anonymous</w:t>
            </w:r>
            <w:r w:rsidRPr="00D66EE6">
              <w:rPr>
                <w:rFonts w:cs="Arial"/>
                <w:sz w:val="20"/>
              </w:rPr>
              <w:t xml:space="preserve"> feedback applies here. </w:t>
            </w:r>
          </w:p>
          <w:p w14:paraId="21FD38A7" w14:textId="6D51A10E" w:rsidR="00814E00" w:rsidRPr="00D66EE6" w:rsidRDefault="00814E00" w:rsidP="001562A6">
            <w:pPr>
              <w:rPr>
                <w:rFonts w:cs="Arial"/>
                <w:sz w:val="20"/>
              </w:rPr>
            </w:pPr>
            <w:r w:rsidRPr="00D66EE6">
              <w:rPr>
                <w:rFonts w:cs="Arial"/>
                <w:sz w:val="20"/>
              </w:rPr>
              <w:t xml:space="preserve">The above response to </w:t>
            </w:r>
            <w:r w:rsidRPr="00D66EE6">
              <w:rPr>
                <w:rFonts w:cs="Arial"/>
                <w:b/>
                <w:bCs/>
                <w:sz w:val="20"/>
              </w:rPr>
              <w:t>ASMIRT</w:t>
            </w:r>
            <w:r w:rsidRPr="00D66EE6">
              <w:rPr>
                <w:rFonts w:cs="Arial"/>
                <w:sz w:val="20"/>
              </w:rPr>
              <w:t xml:space="preserve"> feedback applies here.</w:t>
            </w:r>
          </w:p>
          <w:p w14:paraId="0F7A0E8B" w14:textId="7FEFFEF8" w:rsidR="00814E00" w:rsidRPr="00D66EE6" w:rsidRDefault="00814E00" w:rsidP="001562A6">
            <w:pPr>
              <w:rPr>
                <w:rFonts w:cs="Arial"/>
                <w:sz w:val="20"/>
              </w:rPr>
            </w:pPr>
            <w:r w:rsidRPr="00D66EE6">
              <w:rPr>
                <w:rFonts w:cs="Arial"/>
                <w:sz w:val="20"/>
              </w:rPr>
              <w:t xml:space="preserve">In response to </w:t>
            </w:r>
            <w:r w:rsidRPr="00D66EE6">
              <w:rPr>
                <w:rFonts w:cs="Arial"/>
                <w:b/>
                <w:bCs/>
                <w:sz w:val="20"/>
              </w:rPr>
              <w:t xml:space="preserve">ANMF’s </w:t>
            </w:r>
            <w:r w:rsidRPr="00D66EE6">
              <w:rPr>
                <w:rFonts w:cs="Arial"/>
                <w:sz w:val="20"/>
              </w:rPr>
              <w:t>feedback:</w:t>
            </w:r>
          </w:p>
          <w:p w14:paraId="67B1FE01" w14:textId="6E82C597" w:rsidR="00814E00" w:rsidRPr="00D66EE6" w:rsidRDefault="00814E00" w:rsidP="00131778">
            <w:pPr>
              <w:pStyle w:val="ListParagraph"/>
              <w:numPr>
                <w:ilvl w:val="0"/>
                <w:numId w:val="38"/>
              </w:numPr>
              <w:spacing w:before="160" w:after="160" w:line="276" w:lineRule="auto"/>
              <w:contextualSpacing/>
              <w:rPr>
                <w:rFonts w:ascii="Arial" w:hAnsi="Arial" w:cs="Arial"/>
                <w:sz w:val="20"/>
                <w:szCs w:val="20"/>
              </w:rPr>
            </w:pPr>
            <w:r w:rsidRPr="00D66EE6">
              <w:rPr>
                <w:rFonts w:ascii="Arial" w:hAnsi="Arial" w:cs="Arial"/>
                <w:sz w:val="20"/>
                <w:szCs w:val="20"/>
              </w:rPr>
              <w:t xml:space="preserve">The </w:t>
            </w:r>
            <w:r w:rsidR="00C87601">
              <w:rPr>
                <w:rFonts w:ascii="Arial" w:hAnsi="Arial" w:cs="Arial"/>
                <w:sz w:val="20"/>
                <w:szCs w:val="20"/>
              </w:rPr>
              <w:t>department</w:t>
            </w:r>
            <w:r w:rsidRPr="00D66EE6">
              <w:rPr>
                <w:rFonts w:ascii="Arial" w:hAnsi="Arial" w:cs="Arial"/>
                <w:sz w:val="20"/>
                <w:szCs w:val="20"/>
              </w:rPr>
              <w:t xml:space="preserve"> </w:t>
            </w:r>
            <w:r w:rsidR="00857683">
              <w:rPr>
                <w:rFonts w:ascii="Arial" w:hAnsi="Arial" w:cs="Arial"/>
                <w:sz w:val="20"/>
                <w:szCs w:val="20"/>
              </w:rPr>
              <w:t>considers</w:t>
            </w:r>
            <w:r w:rsidRPr="00D66EE6">
              <w:rPr>
                <w:rFonts w:ascii="Arial" w:hAnsi="Arial" w:cs="Arial"/>
                <w:sz w:val="20"/>
                <w:szCs w:val="20"/>
              </w:rPr>
              <w:t xml:space="preserve"> that the assessment done 24 hours before presentation may be safely conducted by any appropriately qualified clinician. The proposal that it must be conducted by the professional who will be undertaking the procedure or providing initial or follow-up dare would be unduly restrictive.</w:t>
            </w:r>
          </w:p>
          <w:p w14:paraId="326A52DE" w14:textId="16B6107A" w:rsidR="00814E00" w:rsidRPr="00D66EE6" w:rsidRDefault="00814E00" w:rsidP="00131778">
            <w:pPr>
              <w:pStyle w:val="ListParagraph"/>
              <w:numPr>
                <w:ilvl w:val="0"/>
                <w:numId w:val="38"/>
              </w:numPr>
              <w:spacing w:before="160" w:after="160" w:line="276" w:lineRule="auto"/>
              <w:contextualSpacing/>
              <w:rPr>
                <w:rFonts w:ascii="Arial" w:hAnsi="Arial" w:cs="Arial"/>
                <w:sz w:val="20"/>
                <w:szCs w:val="20"/>
              </w:rPr>
            </w:pPr>
            <w:r w:rsidRPr="00D66EE6">
              <w:rPr>
                <w:rFonts w:ascii="Arial" w:hAnsi="Arial" w:cs="Arial"/>
                <w:sz w:val="20"/>
                <w:szCs w:val="20"/>
              </w:rPr>
              <w:t xml:space="preserve">On the day of presentation, the anaesthetist who will deliver the anaesthesia (including mobile anaesthetists) will also conduct an assessment, in addition to the pre-presentation assessment that is the subject of this </w:t>
            </w:r>
            <w:r w:rsidR="00E9049B">
              <w:rPr>
                <w:rFonts w:ascii="Arial" w:hAnsi="Arial" w:cs="Arial"/>
                <w:sz w:val="20"/>
                <w:szCs w:val="20"/>
              </w:rPr>
              <w:t>R</w:t>
            </w:r>
            <w:r w:rsidRPr="00D66EE6">
              <w:rPr>
                <w:rFonts w:ascii="Arial" w:hAnsi="Arial" w:cs="Arial"/>
                <w:sz w:val="20"/>
                <w:szCs w:val="20"/>
              </w:rPr>
              <w:t xml:space="preserve">egulation. </w:t>
            </w:r>
          </w:p>
          <w:p w14:paraId="33F9E02C" w14:textId="1CB39D76" w:rsidR="00814E00" w:rsidRPr="00D66EE6" w:rsidRDefault="00C27349" w:rsidP="00131778">
            <w:pPr>
              <w:pStyle w:val="ListParagraph"/>
              <w:numPr>
                <w:ilvl w:val="0"/>
                <w:numId w:val="38"/>
              </w:numPr>
              <w:spacing w:before="160" w:after="160" w:line="276" w:lineRule="auto"/>
              <w:contextualSpacing/>
              <w:rPr>
                <w:rFonts w:ascii="Arial" w:hAnsi="Arial" w:cs="Arial"/>
                <w:sz w:val="20"/>
                <w:szCs w:val="20"/>
              </w:rPr>
            </w:pPr>
            <w:r>
              <w:rPr>
                <w:rFonts w:ascii="Arial" w:hAnsi="Arial" w:cs="Arial"/>
                <w:sz w:val="20"/>
                <w:szCs w:val="20"/>
              </w:rPr>
              <w:t>Mobile services</w:t>
            </w:r>
            <w:r w:rsidR="00814E00" w:rsidRPr="00D66EE6">
              <w:rPr>
                <w:rFonts w:ascii="Arial" w:hAnsi="Arial" w:cs="Arial"/>
                <w:sz w:val="20"/>
                <w:szCs w:val="20"/>
              </w:rPr>
              <w:t xml:space="preserve"> are subject to the staffing requirements under r.35(2)(b), which require </w:t>
            </w:r>
            <w:r w:rsidR="00814E00" w:rsidRPr="00267303">
              <w:rPr>
                <w:rFonts w:ascii="Arial" w:hAnsi="Arial" w:cs="Arial"/>
                <w:i/>
                <w:iCs/>
                <w:sz w:val="20"/>
                <w:szCs w:val="20"/>
              </w:rPr>
              <w:t>at least one RN for every 10 patients or fraction of that number</w:t>
            </w:r>
            <w:r w:rsidR="00814E00" w:rsidRPr="00D66EE6">
              <w:rPr>
                <w:rFonts w:ascii="Arial" w:hAnsi="Arial" w:cs="Arial"/>
                <w:sz w:val="20"/>
                <w:szCs w:val="20"/>
              </w:rPr>
              <w:t>.</w:t>
            </w:r>
          </w:p>
          <w:p w14:paraId="1A03189E" w14:textId="2FBB0EAF" w:rsidR="00814E00" w:rsidRPr="00D66EE6" w:rsidRDefault="00814E00" w:rsidP="00131778">
            <w:pPr>
              <w:pStyle w:val="ListParagraph"/>
              <w:numPr>
                <w:ilvl w:val="0"/>
                <w:numId w:val="38"/>
              </w:numPr>
              <w:spacing w:before="160" w:after="160" w:line="276" w:lineRule="auto"/>
              <w:contextualSpacing/>
              <w:rPr>
                <w:rFonts w:ascii="Arial" w:hAnsi="Arial" w:cs="Arial"/>
                <w:sz w:val="20"/>
                <w:szCs w:val="20"/>
              </w:rPr>
            </w:pPr>
            <w:r w:rsidRPr="00D66EE6">
              <w:rPr>
                <w:rFonts w:ascii="Arial" w:hAnsi="Arial" w:cs="Arial"/>
                <w:sz w:val="20"/>
                <w:szCs w:val="20"/>
              </w:rPr>
              <w:t xml:space="preserve">Recovery care of patients is covered by r.36, which requires HSEs (including mobile services) to </w:t>
            </w:r>
            <w:r w:rsidRPr="00071603">
              <w:rPr>
                <w:rFonts w:ascii="Arial" w:hAnsi="Arial" w:cs="Arial"/>
                <w:i/>
                <w:iCs/>
                <w:sz w:val="20"/>
                <w:szCs w:val="20"/>
              </w:rPr>
              <w:t>take reasonable steps to ensure that the needs of patients are met promptly and effectively by nursing staff and other professionally competent registered health practitioners</w:t>
            </w:r>
            <w:r w:rsidRPr="00D66EE6">
              <w:rPr>
                <w:rFonts w:ascii="Arial" w:hAnsi="Arial" w:cs="Arial"/>
                <w:sz w:val="20"/>
                <w:szCs w:val="20"/>
              </w:rPr>
              <w:t>.</w:t>
            </w:r>
          </w:p>
        </w:tc>
      </w:tr>
      <w:tr w:rsidR="00814E00" w:rsidRPr="00D66EE6" w14:paraId="0566CFB0" w14:textId="77777777" w:rsidTr="00D66EE6">
        <w:trPr>
          <w:trHeight w:val="1500"/>
        </w:trPr>
        <w:tc>
          <w:tcPr>
            <w:tcW w:w="288" w:type="pct"/>
            <w:shd w:val="clear" w:color="auto" w:fill="auto"/>
            <w:hideMark/>
          </w:tcPr>
          <w:p w14:paraId="05DE4902" w14:textId="77777777" w:rsidR="00814E00" w:rsidRPr="00D66EE6" w:rsidRDefault="00814E00" w:rsidP="001562A6">
            <w:pPr>
              <w:rPr>
                <w:rFonts w:cs="Arial"/>
                <w:sz w:val="20"/>
              </w:rPr>
            </w:pPr>
            <w:r w:rsidRPr="00D66EE6">
              <w:rPr>
                <w:rFonts w:cs="Arial"/>
                <w:sz w:val="20"/>
              </w:rPr>
              <w:lastRenderedPageBreak/>
              <w:t>22(d)(vi)</w:t>
            </w:r>
          </w:p>
          <w:p w14:paraId="3BA388B9" w14:textId="77777777" w:rsidR="00814E00" w:rsidRPr="00D66EE6" w:rsidRDefault="00814E00" w:rsidP="001562A6">
            <w:pPr>
              <w:rPr>
                <w:rFonts w:cs="Arial"/>
                <w:sz w:val="20"/>
              </w:rPr>
            </w:pPr>
            <w:r w:rsidRPr="00D66EE6">
              <w:rPr>
                <w:rFonts w:cs="Arial"/>
                <w:color w:val="FF0000"/>
                <w:sz w:val="20"/>
              </w:rPr>
              <w:t>28(d)(vi)</w:t>
            </w:r>
          </w:p>
        </w:tc>
        <w:tc>
          <w:tcPr>
            <w:tcW w:w="1570" w:type="pct"/>
            <w:shd w:val="clear" w:color="auto" w:fill="auto"/>
            <w:hideMark/>
          </w:tcPr>
          <w:p w14:paraId="0BC1077D" w14:textId="77777777" w:rsidR="00814E00" w:rsidRPr="00D66EE6" w:rsidRDefault="00814E00" w:rsidP="001562A6">
            <w:pPr>
              <w:rPr>
                <w:rFonts w:cs="Arial"/>
                <w:b/>
                <w:sz w:val="20"/>
              </w:rPr>
            </w:pPr>
            <w:r w:rsidRPr="00D66EE6">
              <w:rPr>
                <w:rFonts w:cs="Arial"/>
                <w:b/>
                <w:sz w:val="20"/>
              </w:rPr>
              <w:t>Information to be included in clinical record</w:t>
            </w:r>
          </w:p>
          <w:p w14:paraId="0748F791" w14:textId="77777777" w:rsidR="00814E00" w:rsidRPr="00D66EE6" w:rsidRDefault="00814E00" w:rsidP="001562A6">
            <w:pPr>
              <w:rPr>
                <w:rFonts w:cs="Arial"/>
                <w:sz w:val="20"/>
              </w:rPr>
            </w:pPr>
            <w:r w:rsidRPr="00D66EE6">
              <w:rPr>
                <w:rFonts w:cs="Arial"/>
                <w:sz w:val="20"/>
              </w:rPr>
              <w:t>The proprietor of a health service establishment must take reasonable steps to ensure that each clinical record contains the following information—</w:t>
            </w:r>
          </w:p>
          <w:p w14:paraId="154E2F26" w14:textId="77777777" w:rsidR="00814E00" w:rsidRPr="00D66EE6" w:rsidRDefault="00814E00" w:rsidP="001562A6">
            <w:pPr>
              <w:pStyle w:val="ListParagraph"/>
              <w:numPr>
                <w:ilvl w:val="1"/>
                <w:numId w:val="0"/>
              </w:numPr>
              <w:spacing w:before="160" w:after="160" w:line="276" w:lineRule="auto"/>
              <w:ind w:left="720" w:hanging="360"/>
              <w:contextualSpacing/>
              <w:rPr>
                <w:rFonts w:ascii="Arial" w:hAnsi="Arial" w:cs="Arial"/>
                <w:sz w:val="20"/>
                <w:szCs w:val="20"/>
              </w:rPr>
            </w:pPr>
            <w:r w:rsidRPr="00D66EE6">
              <w:rPr>
                <w:rFonts w:ascii="Arial" w:hAnsi="Arial" w:cs="Arial"/>
                <w:sz w:val="20"/>
                <w:szCs w:val="20"/>
              </w:rPr>
              <w:t>the patient's name, address, date of birth and sex;</w:t>
            </w:r>
          </w:p>
          <w:p w14:paraId="7373847E" w14:textId="77777777" w:rsidR="00814E00" w:rsidRPr="00D66EE6" w:rsidRDefault="00814E00" w:rsidP="00131778">
            <w:pPr>
              <w:pStyle w:val="ListParagraph"/>
              <w:numPr>
                <w:ilvl w:val="1"/>
                <w:numId w:val="29"/>
              </w:numPr>
              <w:spacing w:before="160" w:after="160" w:line="276" w:lineRule="auto"/>
              <w:contextualSpacing/>
              <w:rPr>
                <w:rFonts w:ascii="Arial" w:hAnsi="Arial" w:cs="Arial"/>
                <w:sz w:val="20"/>
                <w:szCs w:val="20"/>
              </w:rPr>
            </w:pPr>
            <w:r w:rsidRPr="00D66EE6">
              <w:rPr>
                <w:rFonts w:ascii="Arial" w:hAnsi="Arial" w:cs="Arial"/>
                <w:sz w:val="20"/>
                <w:szCs w:val="20"/>
              </w:rPr>
              <w:t>relevant clinical details of the patient including the following—</w:t>
            </w:r>
          </w:p>
          <w:p w14:paraId="31AEBEC0" w14:textId="77777777" w:rsidR="00814E00" w:rsidRPr="00D66EE6" w:rsidRDefault="00814E00" w:rsidP="001562A6">
            <w:pPr>
              <w:pStyle w:val="ListParagraph"/>
              <w:numPr>
                <w:ilvl w:val="2"/>
                <w:numId w:val="0"/>
              </w:numPr>
              <w:spacing w:before="160" w:after="160" w:line="276" w:lineRule="auto"/>
              <w:ind w:left="851" w:hanging="131"/>
              <w:contextualSpacing/>
              <w:rPr>
                <w:rFonts w:ascii="Arial" w:hAnsi="Arial" w:cs="Arial"/>
                <w:sz w:val="20"/>
                <w:szCs w:val="20"/>
              </w:rPr>
            </w:pPr>
            <w:r w:rsidRPr="00D66EE6">
              <w:rPr>
                <w:rFonts w:ascii="Arial" w:hAnsi="Arial" w:cs="Arial"/>
                <w:strike/>
                <w:sz w:val="20"/>
                <w:szCs w:val="20"/>
              </w:rPr>
              <w:t>pre-procedure assessment;</w:t>
            </w:r>
            <w:r w:rsidRPr="00D66EE6">
              <w:rPr>
                <w:rFonts w:ascii="Arial" w:hAnsi="Arial" w:cs="Arial"/>
                <w:color w:val="FF0000"/>
                <w:sz w:val="20"/>
                <w:szCs w:val="20"/>
              </w:rPr>
              <w:t xml:space="preserve"> clinical risk assessments conducted before a patient receives a health service, including a pre-admission assessment conducted in accordance with regulation 25.</w:t>
            </w:r>
          </w:p>
        </w:tc>
        <w:tc>
          <w:tcPr>
            <w:tcW w:w="1571" w:type="pct"/>
            <w:shd w:val="clear" w:color="auto" w:fill="auto"/>
            <w:hideMark/>
          </w:tcPr>
          <w:p w14:paraId="534EB428" w14:textId="77777777" w:rsidR="00EB2A31" w:rsidRPr="00325CBA" w:rsidRDefault="00EB2A31" w:rsidP="00EB2A31">
            <w:pPr>
              <w:rPr>
                <w:rFonts w:cs="Arial"/>
                <w:b/>
                <w:bCs/>
                <w:sz w:val="20"/>
              </w:rPr>
            </w:pPr>
            <w:r w:rsidRPr="00325CBA">
              <w:rPr>
                <w:b/>
                <w:bCs/>
                <w:sz w:val="20"/>
              </w:rPr>
              <w:t xml:space="preserve">CHA/anonymous </w:t>
            </w:r>
          </w:p>
          <w:p w14:paraId="6AAE0484" w14:textId="37962A2E" w:rsidR="00814E00" w:rsidRPr="00D66EE6" w:rsidRDefault="00814E00" w:rsidP="001562A6">
            <w:pPr>
              <w:rPr>
                <w:rFonts w:cs="Arial"/>
                <w:sz w:val="20"/>
              </w:rPr>
            </w:pPr>
            <w:r w:rsidRPr="00D66EE6">
              <w:rPr>
                <w:rFonts w:cs="Arial"/>
                <w:sz w:val="20"/>
              </w:rPr>
              <w:t>Same feedback as above for rr.25 and 26.</w:t>
            </w:r>
          </w:p>
          <w:p w14:paraId="33E8A0AF" w14:textId="77777777" w:rsidR="00814E00" w:rsidRPr="00D66EE6" w:rsidRDefault="00814E00" w:rsidP="001562A6">
            <w:pPr>
              <w:rPr>
                <w:rFonts w:cs="Arial"/>
                <w:b/>
                <w:bCs/>
                <w:sz w:val="20"/>
              </w:rPr>
            </w:pPr>
            <w:r w:rsidRPr="00D66EE6">
              <w:rPr>
                <w:rFonts w:cs="Arial"/>
                <w:b/>
                <w:bCs/>
                <w:sz w:val="20"/>
              </w:rPr>
              <w:t xml:space="preserve">Healthscope </w:t>
            </w:r>
          </w:p>
          <w:p w14:paraId="7E693AE7" w14:textId="1BA2DF34" w:rsidR="00814E00" w:rsidRPr="00D66EE6" w:rsidRDefault="00814E00" w:rsidP="001562A6">
            <w:pPr>
              <w:rPr>
                <w:rFonts w:cs="Arial"/>
                <w:sz w:val="20"/>
              </w:rPr>
            </w:pPr>
            <w:r w:rsidRPr="00D66EE6">
              <w:rPr>
                <w:rFonts w:cs="Arial"/>
                <w:sz w:val="20"/>
              </w:rPr>
              <w:t xml:space="preserve">Not supported - where a pre-admission assessment has been conducted by the hospital, this is included on their record. </w:t>
            </w:r>
            <w:r w:rsidR="00E35C39">
              <w:rPr>
                <w:rFonts w:cs="Arial"/>
                <w:sz w:val="20"/>
              </w:rPr>
              <w:t>‘</w:t>
            </w:r>
            <w:r w:rsidRPr="00D66EE6">
              <w:rPr>
                <w:rFonts w:cs="Arial"/>
                <w:sz w:val="20"/>
              </w:rPr>
              <w:t>However, the VMO may wish to conduct their own assessment of the patient, and Healthscope does not necessarily gain access to the records held by the doctor. It is worth noting here that VMOs are generally not employed by the hospital in the private sector, and are effectively a third party providing services at our facilities. The clinical risk assessment and pre-admission assessments provided by the VMO regarding their patient may therefore not always be included in the clinical record held by Healthscope</w:t>
            </w:r>
            <w:r w:rsidR="00E35C39">
              <w:rPr>
                <w:rFonts w:cs="Arial"/>
                <w:sz w:val="20"/>
              </w:rPr>
              <w:t>’</w:t>
            </w:r>
            <w:r w:rsidRPr="00D66EE6">
              <w:rPr>
                <w:rFonts w:cs="Arial"/>
                <w:sz w:val="20"/>
              </w:rPr>
              <w:t>.</w:t>
            </w:r>
          </w:p>
          <w:p w14:paraId="209920B1" w14:textId="3F3DC974" w:rsidR="00814E00" w:rsidRPr="00D66EE6" w:rsidRDefault="00814E00" w:rsidP="001562A6">
            <w:pPr>
              <w:spacing w:after="0"/>
              <w:rPr>
                <w:rFonts w:cs="Arial"/>
                <w:sz w:val="20"/>
              </w:rPr>
            </w:pPr>
          </w:p>
        </w:tc>
        <w:tc>
          <w:tcPr>
            <w:tcW w:w="1571" w:type="pct"/>
            <w:shd w:val="clear" w:color="auto" w:fill="auto"/>
          </w:tcPr>
          <w:p w14:paraId="0EA24746" w14:textId="77777777" w:rsidR="00814E00" w:rsidRPr="00D66EE6" w:rsidRDefault="00814E00" w:rsidP="00AB5258">
            <w:pPr>
              <w:rPr>
                <w:rFonts w:cs="Arial"/>
                <w:sz w:val="20"/>
              </w:rPr>
            </w:pPr>
            <w:r w:rsidRPr="00D66EE6">
              <w:rPr>
                <w:rFonts w:cs="Arial"/>
                <w:sz w:val="20"/>
              </w:rPr>
              <w:t xml:space="preserve">The above response to </w:t>
            </w:r>
            <w:r w:rsidRPr="00D66EE6">
              <w:rPr>
                <w:rFonts w:cs="Arial"/>
                <w:b/>
                <w:bCs/>
                <w:sz w:val="20"/>
              </w:rPr>
              <w:t>CHA/anonymous</w:t>
            </w:r>
            <w:r w:rsidRPr="00D66EE6">
              <w:rPr>
                <w:rFonts w:cs="Arial"/>
                <w:sz w:val="20"/>
              </w:rPr>
              <w:t xml:space="preserve"> feedback applies here. </w:t>
            </w:r>
          </w:p>
          <w:p w14:paraId="23DEFB28" w14:textId="216462E5" w:rsidR="00814E00" w:rsidRPr="00D66EE6" w:rsidRDefault="00814E00" w:rsidP="00AB5258">
            <w:pPr>
              <w:rPr>
                <w:rFonts w:cs="Arial"/>
                <w:sz w:val="20"/>
              </w:rPr>
            </w:pPr>
            <w:r w:rsidRPr="00D66EE6">
              <w:rPr>
                <w:rFonts w:cs="Arial"/>
                <w:sz w:val="20"/>
              </w:rPr>
              <w:t xml:space="preserve">In response to </w:t>
            </w:r>
            <w:r w:rsidRPr="00D66EE6">
              <w:rPr>
                <w:rFonts w:cs="Arial"/>
                <w:b/>
                <w:bCs/>
                <w:sz w:val="20"/>
              </w:rPr>
              <w:t xml:space="preserve">Healthscope’s </w:t>
            </w:r>
            <w:r w:rsidRPr="00D66EE6">
              <w:rPr>
                <w:rFonts w:cs="Arial"/>
                <w:sz w:val="20"/>
              </w:rPr>
              <w:t>feedback:</w:t>
            </w:r>
          </w:p>
          <w:p w14:paraId="269E107F" w14:textId="6B367CE3" w:rsidR="00814E00" w:rsidRPr="00D66EE6" w:rsidRDefault="00814E00" w:rsidP="007F7CBB">
            <w:pPr>
              <w:rPr>
                <w:rFonts w:cs="Arial"/>
                <w:sz w:val="20"/>
              </w:rPr>
            </w:pPr>
            <w:r w:rsidRPr="00D66EE6">
              <w:rPr>
                <w:rFonts w:cs="Arial"/>
                <w:sz w:val="20"/>
              </w:rPr>
              <w:t>The amendment appears to have been misunderstood. The Regulation is not proposing that all prior consultation notes taken by a consultant or VMO must be recorded by the HSE in the patient’s clinical record. The requirement is that</w:t>
            </w:r>
            <w:r w:rsidR="00464AE3">
              <w:rPr>
                <w:rFonts w:cs="Arial"/>
                <w:sz w:val="20"/>
              </w:rPr>
              <w:t xml:space="preserve"> clinical risk assessments, including</w:t>
            </w:r>
            <w:r w:rsidRPr="00D66EE6">
              <w:rPr>
                <w:rFonts w:cs="Arial"/>
                <w:sz w:val="20"/>
              </w:rPr>
              <w:t xml:space="preserve"> the pre-admission assessment conducted by the HSE (e.g. by a pre-admission nurse)</w:t>
            </w:r>
            <w:r w:rsidR="00464AE3">
              <w:rPr>
                <w:rFonts w:cs="Arial"/>
                <w:sz w:val="20"/>
              </w:rPr>
              <w:t>,</w:t>
            </w:r>
            <w:r w:rsidRPr="00D66EE6">
              <w:rPr>
                <w:rFonts w:cs="Arial"/>
                <w:sz w:val="20"/>
              </w:rPr>
              <w:t xml:space="preserve"> </w:t>
            </w:r>
            <w:r w:rsidR="00464AE3">
              <w:rPr>
                <w:rFonts w:cs="Arial"/>
                <w:sz w:val="20"/>
              </w:rPr>
              <w:t>are</w:t>
            </w:r>
            <w:r w:rsidRPr="00D66EE6">
              <w:rPr>
                <w:rFonts w:cs="Arial"/>
                <w:sz w:val="20"/>
              </w:rPr>
              <w:t xml:space="preserve"> recorded in the patient’s clinical record. </w:t>
            </w:r>
          </w:p>
          <w:p w14:paraId="239FE2D2" w14:textId="47F08CE7" w:rsidR="00814E00" w:rsidRPr="00D66EE6" w:rsidRDefault="00814E00" w:rsidP="001562A6">
            <w:pPr>
              <w:rPr>
                <w:rFonts w:cs="Arial"/>
                <w:sz w:val="20"/>
              </w:rPr>
            </w:pPr>
          </w:p>
        </w:tc>
      </w:tr>
      <w:tr w:rsidR="00814E00" w:rsidRPr="00D66EE6" w14:paraId="6DA4396F" w14:textId="77777777" w:rsidTr="00D66EE6">
        <w:trPr>
          <w:trHeight w:val="1200"/>
        </w:trPr>
        <w:tc>
          <w:tcPr>
            <w:tcW w:w="288" w:type="pct"/>
            <w:shd w:val="clear" w:color="auto" w:fill="auto"/>
            <w:hideMark/>
          </w:tcPr>
          <w:p w14:paraId="543A34F4" w14:textId="77777777" w:rsidR="00814E00" w:rsidRPr="00D66EE6" w:rsidRDefault="00814E00" w:rsidP="001562A6">
            <w:pPr>
              <w:rPr>
                <w:rFonts w:cs="Arial"/>
                <w:sz w:val="20"/>
              </w:rPr>
            </w:pPr>
            <w:r w:rsidRPr="00D66EE6">
              <w:rPr>
                <w:rFonts w:cs="Arial"/>
                <w:sz w:val="20"/>
              </w:rPr>
              <w:t>25(a)</w:t>
            </w:r>
          </w:p>
          <w:p w14:paraId="580E6050" w14:textId="77777777" w:rsidR="00814E00" w:rsidRPr="00D66EE6" w:rsidRDefault="00814E00" w:rsidP="001562A6">
            <w:pPr>
              <w:rPr>
                <w:rFonts w:cs="Arial"/>
                <w:sz w:val="20"/>
              </w:rPr>
            </w:pPr>
            <w:r w:rsidRPr="00D66EE6">
              <w:rPr>
                <w:rFonts w:cs="Arial"/>
                <w:color w:val="FF0000"/>
                <w:sz w:val="20"/>
              </w:rPr>
              <w:t>31(a)</w:t>
            </w:r>
          </w:p>
        </w:tc>
        <w:tc>
          <w:tcPr>
            <w:tcW w:w="1570" w:type="pct"/>
            <w:shd w:val="clear" w:color="auto" w:fill="auto"/>
            <w:hideMark/>
          </w:tcPr>
          <w:p w14:paraId="3A91B794" w14:textId="77777777" w:rsidR="00814E00" w:rsidRPr="00D66EE6" w:rsidRDefault="00814E00" w:rsidP="001562A6">
            <w:pPr>
              <w:rPr>
                <w:rFonts w:cs="Arial"/>
                <w:sz w:val="20"/>
              </w:rPr>
            </w:pPr>
            <w:r w:rsidRPr="00D66EE6">
              <w:rPr>
                <w:rFonts w:cs="Arial"/>
                <w:b/>
                <w:sz w:val="20"/>
              </w:rPr>
              <w:t>Respect, dignity and privacy</w:t>
            </w:r>
          </w:p>
          <w:p w14:paraId="033C6C6E" w14:textId="77777777" w:rsidR="00814E00" w:rsidRPr="00D66EE6" w:rsidRDefault="00814E00" w:rsidP="001562A6">
            <w:pPr>
              <w:rPr>
                <w:rFonts w:cs="Arial"/>
                <w:sz w:val="20"/>
              </w:rPr>
            </w:pPr>
            <w:r w:rsidRPr="00D66EE6">
              <w:rPr>
                <w:rFonts w:cs="Arial"/>
                <w:sz w:val="20"/>
              </w:rPr>
              <w:t>The proprietor of a health service establishment must ensure that a patient—</w:t>
            </w:r>
          </w:p>
          <w:p w14:paraId="40186C43" w14:textId="77777777" w:rsidR="00814E00" w:rsidRPr="00D66EE6" w:rsidRDefault="00814E00" w:rsidP="001562A6">
            <w:pPr>
              <w:pStyle w:val="ListParagraph"/>
              <w:numPr>
                <w:ilvl w:val="1"/>
                <w:numId w:val="0"/>
              </w:numPr>
              <w:spacing w:before="160" w:after="160" w:line="276" w:lineRule="auto"/>
              <w:ind w:left="720" w:hanging="360"/>
              <w:contextualSpacing/>
              <w:rPr>
                <w:rFonts w:ascii="Arial" w:hAnsi="Arial" w:cs="Arial"/>
                <w:sz w:val="20"/>
                <w:szCs w:val="20"/>
              </w:rPr>
            </w:pPr>
            <w:r w:rsidRPr="00D66EE6">
              <w:rPr>
                <w:rFonts w:ascii="Arial" w:hAnsi="Arial" w:cs="Arial"/>
                <w:sz w:val="20"/>
                <w:szCs w:val="20"/>
              </w:rPr>
              <w:t xml:space="preserve">is treated with dignity and respect, and with due regard to </w:t>
            </w:r>
            <w:r w:rsidRPr="00D66EE6">
              <w:rPr>
                <w:rFonts w:ascii="Arial" w:hAnsi="Arial" w:cs="Arial"/>
                <w:strike/>
                <w:sz w:val="20"/>
                <w:szCs w:val="20"/>
              </w:rPr>
              <w:t>his or her</w:t>
            </w:r>
            <w:r w:rsidRPr="00D66EE6">
              <w:rPr>
                <w:rFonts w:ascii="Arial" w:hAnsi="Arial" w:cs="Arial"/>
                <w:sz w:val="20"/>
                <w:szCs w:val="20"/>
              </w:rPr>
              <w:t xml:space="preserve"> </w:t>
            </w:r>
            <w:r w:rsidRPr="00D66EE6">
              <w:rPr>
                <w:rFonts w:ascii="Arial" w:hAnsi="Arial" w:cs="Arial"/>
                <w:color w:val="FF0000"/>
                <w:sz w:val="20"/>
                <w:szCs w:val="20"/>
              </w:rPr>
              <w:t>their gender identity</w:t>
            </w:r>
            <w:r w:rsidRPr="00D66EE6">
              <w:rPr>
                <w:rFonts w:ascii="Arial" w:hAnsi="Arial" w:cs="Arial"/>
                <w:sz w:val="20"/>
                <w:szCs w:val="20"/>
              </w:rPr>
              <w:t xml:space="preserve">, religious beliefs and ethnic and cultural practices; </w:t>
            </w:r>
          </w:p>
        </w:tc>
        <w:tc>
          <w:tcPr>
            <w:tcW w:w="1571" w:type="pct"/>
            <w:shd w:val="clear" w:color="auto" w:fill="auto"/>
            <w:hideMark/>
          </w:tcPr>
          <w:p w14:paraId="73785D93" w14:textId="77777777" w:rsidR="00EB2A31" w:rsidRPr="00325CBA" w:rsidRDefault="00EB2A31" w:rsidP="00EB2A31">
            <w:pPr>
              <w:rPr>
                <w:rFonts w:cs="Arial"/>
                <w:b/>
                <w:bCs/>
                <w:sz w:val="20"/>
              </w:rPr>
            </w:pPr>
            <w:r w:rsidRPr="00325CBA">
              <w:rPr>
                <w:b/>
                <w:bCs/>
                <w:sz w:val="20"/>
              </w:rPr>
              <w:t xml:space="preserve">CHA/anonymous </w:t>
            </w:r>
          </w:p>
          <w:p w14:paraId="5008576E" w14:textId="77777777" w:rsidR="00814E00" w:rsidRPr="00D66EE6" w:rsidRDefault="00814E00" w:rsidP="00C14D63">
            <w:pPr>
              <w:rPr>
                <w:rFonts w:cs="Arial"/>
                <w:sz w:val="20"/>
              </w:rPr>
            </w:pPr>
            <w:r w:rsidRPr="00D66EE6">
              <w:rPr>
                <w:rFonts w:cs="Arial"/>
                <w:sz w:val="20"/>
              </w:rPr>
              <w:t>No concerns regarding amendment.</w:t>
            </w:r>
          </w:p>
          <w:p w14:paraId="74D852A0" w14:textId="77777777" w:rsidR="00814E00" w:rsidRPr="00D66EE6" w:rsidRDefault="00814E00" w:rsidP="001562A6">
            <w:pPr>
              <w:rPr>
                <w:rFonts w:cs="Arial"/>
                <w:b/>
                <w:bCs/>
                <w:sz w:val="20"/>
              </w:rPr>
            </w:pPr>
            <w:r w:rsidRPr="00D66EE6">
              <w:rPr>
                <w:rFonts w:cs="Arial"/>
                <w:b/>
                <w:bCs/>
                <w:sz w:val="20"/>
              </w:rPr>
              <w:t>ASMIRT</w:t>
            </w:r>
          </w:p>
          <w:p w14:paraId="29E6B9EA" w14:textId="06C8BC17" w:rsidR="00814E00" w:rsidRPr="00D66EE6" w:rsidRDefault="00814E00" w:rsidP="001562A6">
            <w:pPr>
              <w:rPr>
                <w:rFonts w:cs="Arial"/>
                <w:sz w:val="20"/>
              </w:rPr>
            </w:pPr>
            <w:r w:rsidRPr="00D66EE6">
              <w:rPr>
                <w:rFonts w:cs="Arial"/>
                <w:sz w:val="20"/>
              </w:rPr>
              <w:t>Supports amendment.</w:t>
            </w:r>
          </w:p>
          <w:p w14:paraId="67DD250E" w14:textId="77777777" w:rsidR="00814E00" w:rsidRPr="00D66EE6" w:rsidRDefault="00814E00" w:rsidP="001562A6">
            <w:pPr>
              <w:rPr>
                <w:rFonts w:cs="Arial"/>
                <w:b/>
                <w:bCs/>
                <w:sz w:val="20"/>
              </w:rPr>
            </w:pPr>
            <w:r w:rsidRPr="00D66EE6">
              <w:rPr>
                <w:rFonts w:cs="Arial"/>
                <w:b/>
                <w:bCs/>
                <w:sz w:val="20"/>
              </w:rPr>
              <w:t>ANMF</w:t>
            </w:r>
          </w:p>
          <w:p w14:paraId="29E372FD" w14:textId="6642226E" w:rsidR="00814E00" w:rsidRPr="00D66EE6" w:rsidRDefault="00814E00" w:rsidP="001562A6">
            <w:pPr>
              <w:rPr>
                <w:rFonts w:cs="Arial"/>
                <w:sz w:val="20"/>
              </w:rPr>
            </w:pPr>
            <w:r w:rsidRPr="00D66EE6">
              <w:rPr>
                <w:rFonts w:cs="Arial"/>
                <w:sz w:val="20"/>
              </w:rPr>
              <w:t>Supports amendment but proposes better alignment with Department of Health</w:t>
            </w:r>
            <w:r w:rsidRPr="00093DAE">
              <w:rPr>
                <w:rFonts w:cs="Arial"/>
                <w:sz w:val="20"/>
              </w:rPr>
              <w:t xml:space="preserve"> </w:t>
            </w:r>
            <w:hyperlink r:id="rId29" w:history="1">
              <w:r w:rsidRPr="00093DAE">
                <w:rPr>
                  <w:rStyle w:val="Hyperlink"/>
                  <w:rFonts w:cs="Arial"/>
                  <w:sz w:val="20"/>
                </w:rPr>
                <w:t>Guidance note: Inclusive collection and reporting of sex and gender data</w:t>
              </w:r>
            </w:hyperlink>
            <w:r w:rsidR="00D21BFD" w:rsidRPr="00093DAE">
              <w:rPr>
                <w:rStyle w:val="FootnoteReference"/>
                <w:rFonts w:cs="Arial"/>
                <w:sz w:val="20"/>
              </w:rPr>
              <w:footnoteReference w:id="16"/>
            </w:r>
            <w:r w:rsidR="00093DAE">
              <w:rPr>
                <w:rFonts w:cs="Arial"/>
                <w:i/>
                <w:iCs/>
                <w:sz w:val="20"/>
              </w:rPr>
              <w:t xml:space="preserve"> </w:t>
            </w:r>
            <w:r w:rsidRPr="00D66EE6">
              <w:rPr>
                <w:rFonts w:cs="Arial"/>
                <w:sz w:val="20"/>
              </w:rPr>
              <w:t>by changing to:</w:t>
            </w:r>
          </w:p>
          <w:p w14:paraId="15BF12C7" w14:textId="77777777" w:rsidR="00814E00" w:rsidRPr="00D66EE6" w:rsidRDefault="00814E00" w:rsidP="00C5525E">
            <w:pPr>
              <w:ind w:left="720"/>
              <w:rPr>
                <w:rFonts w:cs="Arial"/>
                <w:sz w:val="20"/>
              </w:rPr>
            </w:pPr>
            <w:r w:rsidRPr="00D66EE6">
              <w:rPr>
                <w:rFonts w:cs="Arial"/>
                <w:sz w:val="20"/>
              </w:rPr>
              <w:t>The proprietor of a health service establishment must ensure that a patient—</w:t>
            </w:r>
          </w:p>
          <w:p w14:paraId="5E401EFA" w14:textId="77777777" w:rsidR="00814E00" w:rsidRPr="00D66EE6" w:rsidRDefault="00814E00" w:rsidP="00C5525E">
            <w:pPr>
              <w:ind w:left="720"/>
              <w:rPr>
                <w:rFonts w:cs="Arial"/>
                <w:sz w:val="20"/>
              </w:rPr>
            </w:pPr>
            <w:r w:rsidRPr="00D66EE6">
              <w:rPr>
                <w:rFonts w:cs="Arial"/>
                <w:sz w:val="20"/>
              </w:rPr>
              <w:t xml:space="preserve">is treated with dignity and respect, and with due regard to </w:t>
            </w:r>
            <w:r w:rsidRPr="00D66EE6">
              <w:rPr>
                <w:rFonts w:cs="Arial"/>
                <w:strike/>
                <w:sz w:val="20"/>
              </w:rPr>
              <w:t>his or her</w:t>
            </w:r>
            <w:r w:rsidRPr="00D66EE6">
              <w:rPr>
                <w:rFonts w:cs="Arial"/>
                <w:sz w:val="20"/>
              </w:rPr>
              <w:t xml:space="preserve"> </w:t>
            </w:r>
            <w:r w:rsidRPr="00D66EE6">
              <w:rPr>
                <w:rFonts w:cs="Arial"/>
                <w:color w:val="FF0000"/>
                <w:sz w:val="20"/>
              </w:rPr>
              <w:t>their sex assigned at birth, gender identity, sexual orientation</w:t>
            </w:r>
            <w:r w:rsidRPr="00D66EE6">
              <w:rPr>
                <w:rFonts w:cs="Arial"/>
                <w:sz w:val="20"/>
              </w:rPr>
              <w:t>, religious beliefs and ethnic and cultural practices;</w:t>
            </w:r>
          </w:p>
        </w:tc>
        <w:tc>
          <w:tcPr>
            <w:tcW w:w="1571" w:type="pct"/>
            <w:shd w:val="clear" w:color="auto" w:fill="auto"/>
          </w:tcPr>
          <w:p w14:paraId="1C161926" w14:textId="07559134" w:rsidR="00814E00" w:rsidRPr="00D66EE6" w:rsidRDefault="00814E00" w:rsidP="001562A6">
            <w:pPr>
              <w:rPr>
                <w:rFonts w:cs="Arial"/>
                <w:sz w:val="20"/>
              </w:rPr>
            </w:pPr>
            <w:r w:rsidRPr="00D66EE6">
              <w:rPr>
                <w:rFonts w:cs="Arial"/>
                <w:sz w:val="20"/>
              </w:rPr>
              <w:t xml:space="preserve">In response to </w:t>
            </w:r>
            <w:r w:rsidRPr="00D66EE6">
              <w:rPr>
                <w:rFonts w:cs="Arial"/>
                <w:b/>
                <w:bCs/>
                <w:sz w:val="20"/>
              </w:rPr>
              <w:t xml:space="preserve">ANMF’s </w:t>
            </w:r>
            <w:r w:rsidRPr="00D66EE6">
              <w:rPr>
                <w:rFonts w:cs="Arial"/>
                <w:sz w:val="20"/>
              </w:rPr>
              <w:t xml:space="preserve">feedback, the </w:t>
            </w:r>
            <w:r w:rsidR="00C87601">
              <w:rPr>
                <w:rFonts w:cs="Arial"/>
                <w:sz w:val="20"/>
              </w:rPr>
              <w:t>department</w:t>
            </w:r>
            <w:r w:rsidRPr="00D66EE6">
              <w:rPr>
                <w:rFonts w:cs="Arial"/>
                <w:sz w:val="20"/>
              </w:rPr>
              <w:t xml:space="preserve"> will consider this proposal during the Phase 2 reforms (scheduled for 2025) along with similar amendments to rr.27-28, 44 and 47. </w:t>
            </w:r>
          </w:p>
          <w:p w14:paraId="5CF14FFC" w14:textId="332465E5" w:rsidR="00814E00" w:rsidRPr="00D66EE6" w:rsidRDefault="00814E00" w:rsidP="00946156">
            <w:pPr>
              <w:rPr>
                <w:rFonts w:cs="Arial"/>
                <w:sz w:val="20"/>
              </w:rPr>
            </w:pPr>
            <w:r w:rsidRPr="00D66EE6">
              <w:rPr>
                <w:rFonts w:eastAsia="Arial" w:cs="Arial"/>
                <w:color w:val="000000" w:themeColor="text1"/>
                <w:sz w:val="20"/>
              </w:rPr>
              <w:t xml:space="preserve">As noted by ANMF, the new VAED data requirements require this information (sex at birth, gender identity) to be reported. However, the </w:t>
            </w:r>
            <w:r w:rsidR="00C87601">
              <w:rPr>
                <w:rFonts w:eastAsia="Arial" w:cs="Arial"/>
                <w:color w:val="000000" w:themeColor="text1"/>
                <w:sz w:val="20"/>
              </w:rPr>
              <w:t>department</w:t>
            </w:r>
            <w:r w:rsidRPr="00D66EE6">
              <w:rPr>
                <w:rFonts w:eastAsia="Arial" w:cs="Arial"/>
                <w:color w:val="000000" w:themeColor="text1"/>
                <w:sz w:val="20"/>
              </w:rPr>
              <w:t xml:space="preserve"> will need to consult the sector </w:t>
            </w:r>
            <w:r w:rsidR="00EB2A31">
              <w:rPr>
                <w:rFonts w:eastAsia="Arial" w:cs="Arial"/>
                <w:color w:val="000000" w:themeColor="text1"/>
                <w:sz w:val="20"/>
              </w:rPr>
              <w:t xml:space="preserve">and other stakeholders </w:t>
            </w:r>
            <w:r w:rsidRPr="00D66EE6">
              <w:rPr>
                <w:rFonts w:eastAsia="Arial" w:cs="Arial"/>
                <w:color w:val="000000" w:themeColor="text1"/>
                <w:sz w:val="20"/>
              </w:rPr>
              <w:t>before requiring this information to be recorded for other purposes.</w:t>
            </w:r>
            <w:r w:rsidR="00CA13A4">
              <w:rPr>
                <w:rFonts w:eastAsia="Arial" w:cs="Arial"/>
                <w:color w:val="000000" w:themeColor="text1"/>
                <w:sz w:val="20"/>
              </w:rPr>
              <w:t xml:space="preserve"> </w:t>
            </w:r>
          </w:p>
        </w:tc>
      </w:tr>
      <w:tr w:rsidR="00814E00" w:rsidRPr="00D66EE6" w14:paraId="60CF9EEF" w14:textId="77777777" w:rsidTr="00D66EE6">
        <w:trPr>
          <w:trHeight w:val="1800"/>
        </w:trPr>
        <w:tc>
          <w:tcPr>
            <w:tcW w:w="288" w:type="pct"/>
            <w:hideMark/>
          </w:tcPr>
          <w:p w14:paraId="503C4864" w14:textId="77777777" w:rsidR="00814E00" w:rsidRPr="00D66EE6" w:rsidRDefault="00814E00" w:rsidP="001562A6">
            <w:pPr>
              <w:rPr>
                <w:rFonts w:cs="Arial"/>
                <w:sz w:val="20"/>
              </w:rPr>
            </w:pPr>
            <w:r w:rsidRPr="00D66EE6">
              <w:rPr>
                <w:rFonts w:cs="Arial"/>
                <w:sz w:val="20"/>
              </w:rPr>
              <w:t>28A</w:t>
            </w:r>
          </w:p>
          <w:p w14:paraId="33B201EA" w14:textId="77777777" w:rsidR="00814E00" w:rsidRPr="00D66EE6" w:rsidRDefault="00814E00" w:rsidP="001562A6">
            <w:pPr>
              <w:rPr>
                <w:rFonts w:cs="Arial"/>
                <w:sz w:val="20"/>
              </w:rPr>
            </w:pPr>
            <w:r w:rsidRPr="00D66EE6">
              <w:rPr>
                <w:rFonts w:cs="Arial"/>
                <w:color w:val="FF0000"/>
                <w:sz w:val="20"/>
              </w:rPr>
              <w:t>37</w:t>
            </w:r>
          </w:p>
        </w:tc>
        <w:tc>
          <w:tcPr>
            <w:tcW w:w="1570" w:type="pct"/>
            <w:hideMark/>
          </w:tcPr>
          <w:p w14:paraId="4F0042D3" w14:textId="77777777" w:rsidR="00814E00" w:rsidRPr="00D66EE6" w:rsidRDefault="00814E00" w:rsidP="001562A6">
            <w:pPr>
              <w:rPr>
                <w:rFonts w:cs="Arial"/>
                <w:b/>
                <w:sz w:val="20"/>
              </w:rPr>
            </w:pPr>
            <w:r w:rsidRPr="00D66EE6">
              <w:rPr>
                <w:rFonts w:cs="Arial"/>
                <w:b/>
                <w:strike/>
                <w:sz w:val="20"/>
              </w:rPr>
              <w:t>Reversible</w:t>
            </w:r>
            <w:r w:rsidRPr="00D66EE6">
              <w:rPr>
                <w:rFonts w:cs="Arial"/>
                <w:b/>
                <w:sz w:val="20"/>
              </w:rPr>
              <w:t xml:space="preserve"> </w:t>
            </w:r>
            <w:r w:rsidRPr="00D66EE6">
              <w:rPr>
                <w:rFonts w:cs="Arial"/>
                <w:b/>
                <w:color w:val="FF0000"/>
                <w:sz w:val="20"/>
              </w:rPr>
              <w:t>Reversal</w:t>
            </w:r>
            <w:r w:rsidRPr="00D66EE6">
              <w:rPr>
                <w:rFonts w:cs="Arial"/>
                <w:b/>
                <w:sz w:val="20"/>
              </w:rPr>
              <w:t xml:space="preserve"> agents must be available</w:t>
            </w:r>
          </w:p>
          <w:p w14:paraId="58108A2B" w14:textId="77777777" w:rsidR="00814E00" w:rsidRPr="00D66EE6" w:rsidRDefault="00814E00" w:rsidP="001562A6">
            <w:pPr>
              <w:rPr>
                <w:rFonts w:cs="Arial"/>
                <w:sz w:val="20"/>
              </w:rPr>
            </w:pPr>
            <w:r w:rsidRPr="00D66EE6">
              <w:rPr>
                <w:rFonts w:cs="Arial"/>
                <w:sz w:val="20"/>
              </w:rPr>
              <w:t xml:space="preserve">If health services are provided at a health service establishment involving the use of anaesthesia or other sedation for which there are </w:t>
            </w:r>
            <w:r w:rsidRPr="00D66EE6">
              <w:rPr>
                <w:rFonts w:cs="Arial"/>
                <w:strike/>
                <w:sz w:val="20"/>
              </w:rPr>
              <w:t>reversible</w:t>
            </w:r>
            <w:r w:rsidRPr="00D66EE6">
              <w:rPr>
                <w:rFonts w:cs="Arial"/>
                <w:sz w:val="20"/>
              </w:rPr>
              <w:t xml:space="preserve"> </w:t>
            </w:r>
            <w:r w:rsidRPr="00D66EE6">
              <w:rPr>
                <w:rFonts w:cs="Arial"/>
                <w:color w:val="FF0000"/>
                <w:sz w:val="20"/>
              </w:rPr>
              <w:t>reversal</w:t>
            </w:r>
            <w:r w:rsidRPr="00D66EE6">
              <w:rPr>
                <w:rFonts w:cs="Arial"/>
                <w:sz w:val="20"/>
              </w:rPr>
              <w:t xml:space="preserve"> agents, the proprietor of the health service establishment must ensure that these </w:t>
            </w:r>
            <w:r w:rsidRPr="00D66EE6">
              <w:rPr>
                <w:rFonts w:cs="Arial"/>
                <w:strike/>
                <w:sz w:val="20"/>
              </w:rPr>
              <w:t>reversible</w:t>
            </w:r>
            <w:r w:rsidRPr="00D66EE6">
              <w:rPr>
                <w:rFonts w:cs="Arial"/>
                <w:color w:val="FF0000"/>
                <w:sz w:val="20"/>
              </w:rPr>
              <w:t xml:space="preserve"> reversal</w:t>
            </w:r>
            <w:r w:rsidRPr="00D66EE6">
              <w:rPr>
                <w:rFonts w:cs="Arial"/>
                <w:sz w:val="20"/>
              </w:rPr>
              <w:t xml:space="preserve"> agents are available for immediate access at the premises of the health service establishment.</w:t>
            </w:r>
          </w:p>
        </w:tc>
        <w:tc>
          <w:tcPr>
            <w:tcW w:w="1571" w:type="pct"/>
            <w:hideMark/>
          </w:tcPr>
          <w:p w14:paraId="0D5B726F" w14:textId="77FC2123" w:rsidR="00814E00" w:rsidRPr="00D66EE6" w:rsidRDefault="00814E00" w:rsidP="001562A6">
            <w:pPr>
              <w:rPr>
                <w:rFonts w:cs="Arial"/>
                <w:sz w:val="20"/>
              </w:rPr>
            </w:pPr>
            <w:r w:rsidRPr="00D66EE6">
              <w:rPr>
                <w:rFonts w:cs="Arial"/>
                <w:sz w:val="20"/>
              </w:rPr>
              <w:t>All stakeholders support this amendment.</w:t>
            </w:r>
          </w:p>
        </w:tc>
        <w:tc>
          <w:tcPr>
            <w:tcW w:w="1571" w:type="pct"/>
          </w:tcPr>
          <w:p w14:paraId="0841B876" w14:textId="77777777" w:rsidR="00814E00" w:rsidRPr="00D66EE6" w:rsidRDefault="00814E00" w:rsidP="001562A6">
            <w:pPr>
              <w:rPr>
                <w:rFonts w:cs="Arial"/>
                <w:sz w:val="20"/>
              </w:rPr>
            </w:pPr>
            <w:r w:rsidRPr="00D66EE6">
              <w:rPr>
                <w:rFonts w:cs="Arial"/>
                <w:sz w:val="20"/>
              </w:rPr>
              <w:t>n/a</w:t>
            </w:r>
          </w:p>
        </w:tc>
      </w:tr>
      <w:tr w:rsidR="00814E00" w:rsidRPr="00D66EE6" w14:paraId="27A339D9" w14:textId="77777777" w:rsidTr="00D66EE6">
        <w:trPr>
          <w:trHeight w:val="4200"/>
        </w:trPr>
        <w:tc>
          <w:tcPr>
            <w:tcW w:w="288" w:type="pct"/>
            <w:shd w:val="clear" w:color="auto" w:fill="auto"/>
            <w:hideMark/>
          </w:tcPr>
          <w:p w14:paraId="4C0E6EBC" w14:textId="77777777" w:rsidR="00814E00" w:rsidRPr="00D66EE6" w:rsidRDefault="00814E00" w:rsidP="001562A6">
            <w:pPr>
              <w:rPr>
                <w:rFonts w:cs="Arial"/>
                <w:sz w:val="20"/>
              </w:rPr>
            </w:pPr>
            <w:r w:rsidRPr="00D66EE6">
              <w:rPr>
                <w:rFonts w:cs="Arial"/>
                <w:sz w:val="20"/>
              </w:rPr>
              <w:lastRenderedPageBreak/>
              <w:t>34(3)(e)</w:t>
            </w:r>
          </w:p>
          <w:p w14:paraId="60BAEDE6" w14:textId="77777777" w:rsidR="00814E00" w:rsidRPr="00D66EE6" w:rsidRDefault="00814E00" w:rsidP="001562A6">
            <w:pPr>
              <w:rPr>
                <w:rFonts w:cs="Arial"/>
                <w:sz w:val="20"/>
              </w:rPr>
            </w:pPr>
            <w:r w:rsidRPr="00D66EE6">
              <w:rPr>
                <w:rFonts w:cs="Arial"/>
                <w:color w:val="FF0000"/>
                <w:sz w:val="20"/>
              </w:rPr>
              <w:t>44(3)(e)(f) and 44(4)</w:t>
            </w:r>
          </w:p>
        </w:tc>
        <w:tc>
          <w:tcPr>
            <w:tcW w:w="1570" w:type="pct"/>
            <w:shd w:val="clear" w:color="auto" w:fill="auto"/>
            <w:hideMark/>
          </w:tcPr>
          <w:p w14:paraId="7E4574F5" w14:textId="77777777" w:rsidR="00814E00" w:rsidRPr="00D66EE6" w:rsidRDefault="00814E00" w:rsidP="001562A6">
            <w:pPr>
              <w:rPr>
                <w:rFonts w:cs="Arial"/>
                <w:b/>
                <w:strike/>
                <w:sz w:val="20"/>
              </w:rPr>
            </w:pPr>
            <w:r w:rsidRPr="00D66EE6">
              <w:rPr>
                <w:rFonts w:cs="Arial"/>
                <w:b/>
                <w:sz w:val="20"/>
              </w:rPr>
              <w:t xml:space="preserve">Discharge information </w:t>
            </w:r>
            <w:r w:rsidRPr="00D66EE6">
              <w:rPr>
                <w:rFonts w:cs="Arial"/>
                <w:b/>
                <w:strike/>
                <w:sz w:val="20"/>
              </w:rPr>
              <w:t>to be given to patients</w:t>
            </w:r>
          </w:p>
          <w:p w14:paraId="49A4C421" w14:textId="77777777" w:rsidR="00814E00" w:rsidRPr="00D66EE6" w:rsidRDefault="00814E00" w:rsidP="00131778">
            <w:pPr>
              <w:pStyle w:val="ListParagraph"/>
              <w:numPr>
                <w:ilvl w:val="0"/>
                <w:numId w:val="19"/>
              </w:numPr>
              <w:spacing w:before="160" w:after="160" w:line="276" w:lineRule="auto"/>
              <w:contextualSpacing/>
              <w:rPr>
                <w:rFonts w:ascii="Arial" w:hAnsi="Arial" w:cs="Arial"/>
                <w:sz w:val="20"/>
                <w:szCs w:val="20"/>
              </w:rPr>
            </w:pPr>
            <w:r w:rsidRPr="00D66EE6">
              <w:rPr>
                <w:rFonts w:ascii="Arial" w:hAnsi="Arial" w:cs="Arial"/>
                <w:sz w:val="20"/>
                <w:szCs w:val="20"/>
              </w:rPr>
              <w:t>A patient's discharge summary must include the following information—</w:t>
            </w:r>
          </w:p>
          <w:p w14:paraId="5104F9D5" w14:textId="77777777" w:rsidR="00814E00" w:rsidRPr="00D66EE6" w:rsidRDefault="00814E00" w:rsidP="00131778">
            <w:pPr>
              <w:pStyle w:val="ListParagraph"/>
              <w:numPr>
                <w:ilvl w:val="1"/>
                <w:numId w:val="20"/>
              </w:numPr>
              <w:spacing w:before="160" w:after="160" w:line="276" w:lineRule="auto"/>
              <w:contextualSpacing/>
              <w:rPr>
                <w:rFonts w:ascii="Arial" w:hAnsi="Arial" w:cs="Arial"/>
                <w:sz w:val="20"/>
                <w:szCs w:val="20"/>
              </w:rPr>
            </w:pPr>
            <w:r w:rsidRPr="00D66EE6">
              <w:rPr>
                <w:rFonts w:ascii="Arial" w:hAnsi="Arial" w:cs="Arial"/>
                <w:color w:val="FF0000"/>
                <w:sz w:val="20"/>
                <w:szCs w:val="20"/>
              </w:rPr>
              <w:t xml:space="preserve">in the case of a patient of a private hospital who was admitted overnight, </w:t>
            </w:r>
            <w:r w:rsidRPr="00D66EE6">
              <w:rPr>
                <w:rFonts w:ascii="Arial" w:hAnsi="Arial" w:cs="Arial"/>
                <w:sz w:val="20"/>
                <w:szCs w:val="20"/>
              </w:rPr>
              <w:t xml:space="preserve">a </w:t>
            </w:r>
            <w:r w:rsidRPr="00D66EE6">
              <w:rPr>
                <w:rFonts w:ascii="Arial" w:hAnsi="Arial" w:cs="Arial"/>
                <w:strike/>
                <w:sz w:val="20"/>
                <w:szCs w:val="20"/>
              </w:rPr>
              <w:t>list</w:t>
            </w:r>
            <w:r w:rsidRPr="00D66EE6">
              <w:rPr>
                <w:rFonts w:ascii="Arial" w:hAnsi="Arial" w:cs="Arial"/>
                <w:sz w:val="20"/>
                <w:szCs w:val="20"/>
              </w:rPr>
              <w:t xml:space="preserve"> </w:t>
            </w:r>
            <w:r w:rsidRPr="00D66EE6">
              <w:rPr>
                <w:rFonts w:ascii="Arial" w:hAnsi="Arial" w:cs="Arial"/>
                <w:color w:val="FF0000"/>
                <w:sz w:val="20"/>
                <w:szCs w:val="20"/>
              </w:rPr>
              <w:t>summary</w:t>
            </w:r>
            <w:r w:rsidRPr="00D66EE6">
              <w:rPr>
                <w:rFonts w:ascii="Arial" w:hAnsi="Arial" w:cs="Arial"/>
                <w:sz w:val="20"/>
                <w:szCs w:val="20"/>
              </w:rPr>
              <w:t xml:space="preserve"> of all medications currently prescribed for the patient, irrespective of whether the medication is in relation to the heath service received at the health service establishment, </w:t>
            </w:r>
            <w:r w:rsidRPr="00D66EE6">
              <w:rPr>
                <w:rFonts w:ascii="Arial" w:hAnsi="Arial" w:cs="Arial"/>
                <w:color w:val="FF0000"/>
                <w:sz w:val="20"/>
                <w:szCs w:val="20"/>
              </w:rPr>
              <w:t>including cessations, variations or additions to the regular prescribed medication of the patient;</w:t>
            </w:r>
          </w:p>
          <w:p w14:paraId="46F14409" w14:textId="77777777" w:rsidR="00814E00" w:rsidRPr="00D66EE6" w:rsidRDefault="00814E00" w:rsidP="00131778">
            <w:pPr>
              <w:pStyle w:val="ListParagraph"/>
              <w:numPr>
                <w:ilvl w:val="1"/>
                <w:numId w:val="20"/>
              </w:numPr>
              <w:spacing w:before="160" w:after="160" w:line="276" w:lineRule="auto"/>
              <w:contextualSpacing/>
              <w:rPr>
                <w:rFonts w:ascii="Arial" w:hAnsi="Arial" w:cs="Arial"/>
                <w:sz w:val="20"/>
                <w:szCs w:val="20"/>
              </w:rPr>
            </w:pPr>
            <w:r w:rsidRPr="00D66EE6">
              <w:rPr>
                <w:rFonts w:ascii="Arial" w:hAnsi="Arial" w:cs="Arial"/>
                <w:color w:val="FF0000"/>
                <w:sz w:val="20"/>
                <w:szCs w:val="20"/>
              </w:rPr>
              <w:t>in the case of a patient of a private hospital who was admitted and discharged within one day, or a patient of a day procedure centre—</w:t>
            </w:r>
          </w:p>
          <w:p w14:paraId="30CBD713" w14:textId="77777777" w:rsidR="00814E00" w:rsidRPr="00D66EE6" w:rsidRDefault="00814E00" w:rsidP="00131778">
            <w:pPr>
              <w:pStyle w:val="ListParagraph"/>
              <w:numPr>
                <w:ilvl w:val="2"/>
                <w:numId w:val="20"/>
              </w:numPr>
              <w:spacing w:before="160" w:after="160" w:line="276" w:lineRule="auto"/>
              <w:contextualSpacing/>
              <w:rPr>
                <w:rFonts w:ascii="Arial" w:hAnsi="Arial" w:cs="Arial"/>
                <w:sz w:val="20"/>
                <w:szCs w:val="20"/>
              </w:rPr>
            </w:pPr>
            <w:r w:rsidRPr="00D66EE6">
              <w:rPr>
                <w:rFonts w:ascii="Arial" w:hAnsi="Arial" w:cs="Arial"/>
                <w:color w:val="FF0000"/>
                <w:sz w:val="20"/>
                <w:szCs w:val="20"/>
              </w:rPr>
              <w:t>a list of medications prescribed for the patient at the time of discharge in relation to the health service provided to the patient by the health service establishment; and</w:t>
            </w:r>
          </w:p>
          <w:p w14:paraId="1706CA86" w14:textId="77777777" w:rsidR="00814E00" w:rsidRPr="00D66EE6" w:rsidRDefault="00814E00" w:rsidP="00131778">
            <w:pPr>
              <w:pStyle w:val="ListParagraph"/>
              <w:numPr>
                <w:ilvl w:val="2"/>
                <w:numId w:val="20"/>
              </w:numPr>
              <w:spacing w:before="160" w:after="160" w:line="276" w:lineRule="auto"/>
              <w:contextualSpacing/>
              <w:rPr>
                <w:rFonts w:ascii="Arial" w:hAnsi="Arial" w:cs="Arial"/>
                <w:sz w:val="20"/>
                <w:szCs w:val="20"/>
              </w:rPr>
            </w:pPr>
            <w:r w:rsidRPr="00D66EE6">
              <w:rPr>
                <w:rFonts w:ascii="Arial" w:hAnsi="Arial" w:cs="Arial"/>
                <w:color w:val="FF0000"/>
                <w:sz w:val="20"/>
                <w:szCs w:val="20"/>
              </w:rPr>
              <w:t>a list of any changes made to the regular prescribed medication of the patient, including cessations, variations or additions to the regular prescribed medication of the patient.</w:t>
            </w:r>
          </w:p>
          <w:p w14:paraId="7A942941" w14:textId="77777777" w:rsidR="00814E00" w:rsidRPr="00D66EE6" w:rsidRDefault="00814E00" w:rsidP="00131778">
            <w:pPr>
              <w:pStyle w:val="ListParagraph"/>
              <w:numPr>
                <w:ilvl w:val="0"/>
                <w:numId w:val="20"/>
              </w:numPr>
              <w:spacing w:before="160" w:after="160" w:line="276" w:lineRule="auto"/>
              <w:contextualSpacing/>
              <w:rPr>
                <w:rFonts w:ascii="Arial" w:hAnsi="Arial" w:cs="Arial"/>
                <w:sz w:val="20"/>
                <w:szCs w:val="20"/>
              </w:rPr>
            </w:pPr>
            <w:r w:rsidRPr="00D66EE6">
              <w:rPr>
                <w:rFonts w:ascii="Arial" w:hAnsi="Arial" w:cs="Arial"/>
                <w:color w:val="FF0000"/>
                <w:sz w:val="20"/>
                <w:szCs w:val="20"/>
              </w:rPr>
              <w:t>The proprietor of the health service establishment must have regard to the clinical profile of a patient in deciding the nature and detail of information to be included in a medication summary prepared in accordance with subregulation (3)(e).</w:t>
            </w:r>
          </w:p>
        </w:tc>
        <w:tc>
          <w:tcPr>
            <w:tcW w:w="1571" w:type="pct"/>
            <w:shd w:val="clear" w:color="auto" w:fill="auto"/>
            <w:hideMark/>
          </w:tcPr>
          <w:p w14:paraId="623DE74F" w14:textId="57D15779" w:rsidR="00814E00" w:rsidRPr="00D66EE6" w:rsidRDefault="0085378B" w:rsidP="00001199">
            <w:pPr>
              <w:rPr>
                <w:rFonts w:cs="Arial"/>
                <w:b/>
                <w:bCs/>
                <w:sz w:val="20"/>
              </w:rPr>
            </w:pPr>
            <w:r w:rsidRPr="00D66EE6">
              <w:rPr>
                <w:rFonts w:cs="Arial"/>
                <w:b/>
                <w:sz w:val="20"/>
              </w:rPr>
              <w:t>CHA</w:t>
            </w:r>
            <w:r w:rsidRPr="00325CBA">
              <w:rPr>
                <w:b/>
                <w:bCs/>
                <w:sz w:val="20"/>
              </w:rPr>
              <w:t>/</w:t>
            </w:r>
            <w:r w:rsidRPr="00D66EE6">
              <w:rPr>
                <w:rFonts w:cs="Arial"/>
                <w:b/>
                <w:sz w:val="20"/>
              </w:rPr>
              <w:t xml:space="preserve">anonymous </w:t>
            </w:r>
            <w:r w:rsidR="00814E00" w:rsidRPr="00D66EE6">
              <w:rPr>
                <w:rFonts w:cs="Arial"/>
                <w:sz w:val="20"/>
              </w:rPr>
              <w:t>oppose the proposed amendments stating that:</w:t>
            </w:r>
          </w:p>
          <w:p w14:paraId="76438CB4" w14:textId="72F8CA66" w:rsidR="00814E00" w:rsidRPr="00D66EE6" w:rsidRDefault="00814E00" w:rsidP="00131778">
            <w:pPr>
              <w:pStyle w:val="ListParagraph"/>
              <w:numPr>
                <w:ilvl w:val="0"/>
                <w:numId w:val="33"/>
              </w:numPr>
              <w:spacing w:before="160" w:after="160" w:line="276" w:lineRule="auto"/>
              <w:contextualSpacing/>
              <w:rPr>
                <w:rFonts w:ascii="Arial" w:hAnsi="Arial" w:cs="Arial"/>
                <w:sz w:val="20"/>
                <w:szCs w:val="20"/>
              </w:rPr>
            </w:pPr>
            <w:r w:rsidRPr="00D66EE6">
              <w:rPr>
                <w:rFonts w:ascii="Arial" w:hAnsi="Arial" w:cs="Arial"/>
                <w:sz w:val="20"/>
                <w:szCs w:val="20"/>
              </w:rPr>
              <w:t xml:space="preserve">medications management should be </w:t>
            </w:r>
            <w:r w:rsidR="00F83C9B">
              <w:rPr>
                <w:rFonts w:ascii="Arial" w:hAnsi="Arial" w:cs="Arial"/>
                <w:sz w:val="20"/>
                <w:szCs w:val="20"/>
              </w:rPr>
              <w:t>‘</w:t>
            </w:r>
            <w:r w:rsidRPr="00D66EE6">
              <w:rPr>
                <w:rFonts w:ascii="Arial" w:hAnsi="Arial" w:cs="Arial"/>
                <w:sz w:val="20"/>
                <w:szCs w:val="20"/>
              </w:rPr>
              <w:t>governed by the NSQHS Standards, specifically Standard 4 Medication Safety</w:t>
            </w:r>
            <w:r w:rsidR="00F83C9B">
              <w:rPr>
                <w:rFonts w:ascii="Arial" w:hAnsi="Arial" w:cs="Arial"/>
                <w:sz w:val="20"/>
                <w:szCs w:val="20"/>
              </w:rPr>
              <w:t>’</w:t>
            </w:r>
            <w:r w:rsidRPr="00D66EE6">
              <w:rPr>
                <w:rFonts w:ascii="Arial" w:hAnsi="Arial" w:cs="Arial"/>
                <w:sz w:val="20"/>
                <w:szCs w:val="20"/>
              </w:rPr>
              <w:t>.</w:t>
            </w:r>
          </w:p>
          <w:p w14:paraId="1879D9A4" w14:textId="297AB26C" w:rsidR="00814E00" w:rsidRPr="00D66EE6" w:rsidRDefault="00814E00" w:rsidP="00131778">
            <w:pPr>
              <w:pStyle w:val="ListParagraph"/>
              <w:numPr>
                <w:ilvl w:val="0"/>
                <w:numId w:val="33"/>
              </w:numPr>
              <w:spacing w:before="160" w:after="160" w:line="276" w:lineRule="auto"/>
              <w:contextualSpacing/>
              <w:rPr>
                <w:rFonts w:ascii="Arial" w:hAnsi="Arial" w:cs="Arial"/>
                <w:b/>
                <w:bCs/>
                <w:sz w:val="20"/>
                <w:szCs w:val="20"/>
                <w:u w:val="single"/>
              </w:rPr>
            </w:pPr>
            <w:r w:rsidRPr="00D66EE6">
              <w:rPr>
                <w:rFonts w:ascii="Arial" w:hAnsi="Arial" w:cs="Arial"/>
                <w:sz w:val="20"/>
                <w:szCs w:val="20"/>
              </w:rPr>
              <w:t>a full medication summary should only be provided for patients who stay more than 7 days in a facility. For patients in DPCs or who stay less than 7 days, only changes or additions to medications should be documented.</w:t>
            </w:r>
          </w:p>
          <w:p w14:paraId="159F32FC" w14:textId="631BA2E3" w:rsidR="00814E00" w:rsidRPr="00D66EE6" w:rsidRDefault="00814E00" w:rsidP="00131778">
            <w:pPr>
              <w:pStyle w:val="ListParagraph"/>
              <w:numPr>
                <w:ilvl w:val="0"/>
                <w:numId w:val="33"/>
              </w:numPr>
              <w:spacing w:before="160" w:after="160" w:line="276" w:lineRule="auto"/>
              <w:contextualSpacing/>
              <w:rPr>
                <w:rFonts w:ascii="Arial" w:hAnsi="Arial" w:cs="Arial"/>
                <w:sz w:val="20"/>
                <w:szCs w:val="20"/>
              </w:rPr>
            </w:pPr>
            <w:r w:rsidRPr="00D66EE6">
              <w:rPr>
                <w:rFonts w:ascii="Arial" w:hAnsi="Arial" w:cs="Arial"/>
                <w:sz w:val="20"/>
                <w:szCs w:val="20"/>
              </w:rPr>
              <w:t>a full medication list increases the risk of transcription errors, increases administrative burden for nurses, doctors and pharmacists, which reduces patient-facing time.</w:t>
            </w:r>
          </w:p>
          <w:p w14:paraId="48F595EB" w14:textId="77777777" w:rsidR="00814E00" w:rsidRPr="00D66EE6" w:rsidRDefault="00814E00" w:rsidP="001562A6">
            <w:pPr>
              <w:rPr>
                <w:rFonts w:cs="Arial"/>
                <w:b/>
                <w:bCs/>
                <w:sz w:val="20"/>
              </w:rPr>
            </w:pPr>
            <w:r w:rsidRPr="00D66EE6">
              <w:rPr>
                <w:rFonts w:cs="Arial"/>
                <w:b/>
                <w:bCs/>
                <w:sz w:val="20"/>
              </w:rPr>
              <w:t xml:space="preserve">Healthscope </w:t>
            </w:r>
          </w:p>
          <w:p w14:paraId="1085470B" w14:textId="77777777" w:rsidR="00814E00" w:rsidRPr="00D66EE6" w:rsidRDefault="00814E00" w:rsidP="00131778">
            <w:pPr>
              <w:pStyle w:val="ListParagraph"/>
              <w:numPr>
                <w:ilvl w:val="0"/>
                <w:numId w:val="33"/>
              </w:numPr>
              <w:spacing w:before="160" w:after="160" w:line="276" w:lineRule="auto"/>
              <w:contextualSpacing/>
              <w:rPr>
                <w:rFonts w:ascii="Arial" w:hAnsi="Arial" w:cs="Arial"/>
                <w:sz w:val="20"/>
                <w:szCs w:val="20"/>
              </w:rPr>
            </w:pPr>
            <w:r w:rsidRPr="00D66EE6">
              <w:rPr>
                <w:rFonts w:ascii="Arial" w:hAnsi="Arial" w:cs="Arial"/>
                <w:sz w:val="20"/>
                <w:szCs w:val="20"/>
              </w:rPr>
              <w:t>Not supported as the requirement of including full medication lists on discharge summaries has unnecessarily slowed down discharge processes and does not provide benefit to the patient.</w:t>
            </w:r>
          </w:p>
          <w:p w14:paraId="64032F56" w14:textId="77777777" w:rsidR="00814E00" w:rsidRPr="00D66EE6" w:rsidRDefault="00814E00" w:rsidP="00131778">
            <w:pPr>
              <w:pStyle w:val="ListParagraph"/>
              <w:numPr>
                <w:ilvl w:val="0"/>
                <w:numId w:val="33"/>
              </w:numPr>
              <w:spacing w:before="160" w:after="160" w:line="276" w:lineRule="auto"/>
              <w:contextualSpacing/>
              <w:rPr>
                <w:rFonts w:ascii="Arial" w:hAnsi="Arial" w:cs="Arial"/>
                <w:sz w:val="20"/>
                <w:szCs w:val="20"/>
              </w:rPr>
            </w:pPr>
            <w:r w:rsidRPr="00D66EE6">
              <w:rPr>
                <w:rFonts w:ascii="Arial" w:hAnsi="Arial" w:cs="Arial"/>
                <w:sz w:val="20"/>
                <w:szCs w:val="20"/>
              </w:rPr>
              <w:t>States the Standards are the ‘most appropriate regulation in place for medications’.</w:t>
            </w:r>
          </w:p>
          <w:p w14:paraId="693BD4E0" w14:textId="77777777" w:rsidR="00814E00" w:rsidRPr="00D66EE6" w:rsidRDefault="00814E00" w:rsidP="001562A6">
            <w:pPr>
              <w:rPr>
                <w:rFonts w:cs="Arial"/>
                <w:b/>
                <w:bCs/>
                <w:sz w:val="20"/>
              </w:rPr>
            </w:pPr>
            <w:r w:rsidRPr="00D66EE6">
              <w:rPr>
                <w:rFonts w:cs="Arial"/>
                <w:b/>
                <w:bCs/>
                <w:sz w:val="20"/>
              </w:rPr>
              <w:t>ANMF</w:t>
            </w:r>
          </w:p>
          <w:p w14:paraId="7E6F1A1C" w14:textId="6B948D15" w:rsidR="00814E00" w:rsidRPr="00D66EE6" w:rsidRDefault="00814E00" w:rsidP="00131778">
            <w:pPr>
              <w:pStyle w:val="ListParagraph"/>
              <w:numPr>
                <w:ilvl w:val="0"/>
                <w:numId w:val="33"/>
              </w:numPr>
              <w:spacing w:before="160" w:after="160" w:line="276" w:lineRule="auto"/>
              <w:contextualSpacing/>
              <w:rPr>
                <w:rFonts w:ascii="Arial" w:hAnsi="Arial" w:cs="Arial"/>
                <w:sz w:val="20"/>
                <w:szCs w:val="20"/>
              </w:rPr>
            </w:pPr>
            <w:r w:rsidRPr="00D66EE6">
              <w:rPr>
                <w:rFonts w:ascii="Arial" w:hAnsi="Arial" w:cs="Arial"/>
                <w:sz w:val="20"/>
                <w:szCs w:val="20"/>
              </w:rPr>
              <w:t>Supports amendments</w:t>
            </w:r>
            <w:r w:rsidR="009552E9">
              <w:rPr>
                <w:rFonts w:ascii="Arial" w:hAnsi="Arial" w:cs="Arial"/>
                <w:sz w:val="20"/>
                <w:szCs w:val="20"/>
              </w:rPr>
              <w:t>.</w:t>
            </w:r>
            <w:r w:rsidRPr="00D66EE6">
              <w:rPr>
                <w:rFonts w:ascii="Arial" w:hAnsi="Arial" w:cs="Arial"/>
                <w:sz w:val="20"/>
                <w:szCs w:val="20"/>
              </w:rPr>
              <w:t xml:space="preserve"> </w:t>
            </w:r>
          </w:p>
          <w:p w14:paraId="58AFE75D" w14:textId="0FEFD29A" w:rsidR="00814E00" w:rsidRPr="00D66EE6" w:rsidRDefault="00814E00" w:rsidP="00131778">
            <w:pPr>
              <w:pStyle w:val="ListParagraph"/>
              <w:numPr>
                <w:ilvl w:val="0"/>
                <w:numId w:val="33"/>
              </w:numPr>
              <w:spacing w:before="160" w:after="160" w:line="276" w:lineRule="auto"/>
              <w:contextualSpacing/>
              <w:rPr>
                <w:rFonts w:ascii="Arial" w:hAnsi="Arial" w:cs="Arial"/>
                <w:sz w:val="20"/>
                <w:szCs w:val="20"/>
              </w:rPr>
            </w:pPr>
            <w:r w:rsidRPr="00D66EE6">
              <w:rPr>
                <w:rFonts w:ascii="Arial" w:hAnsi="Arial" w:cs="Arial"/>
                <w:sz w:val="20"/>
                <w:szCs w:val="20"/>
              </w:rPr>
              <w:t xml:space="preserve">Suggests a complete medications list should be required irrespective of whether the patient was admitted overnight or admitted and discharged in one day. The word ‘summary’ should therefore not be used. </w:t>
            </w:r>
          </w:p>
        </w:tc>
        <w:tc>
          <w:tcPr>
            <w:tcW w:w="1571" w:type="pct"/>
            <w:shd w:val="clear" w:color="auto" w:fill="auto"/>
          </w:tcPr>
          <w:p w14:paraId="6F4BC0FC" w14:textId="7157E383" w:rsidR="00814E00" w:rsidRPr="00D66EE6" w:rsidRDefault="00814E00" w:rsidP="001562A6">
            <w:pPr>
              <w:rPr>
                <w:rFonts w:cs="Arial"/>
                <w:sz w:val="20"/>
              </w:rPr>
            </w:pPr>
            <w:r w:rsidRPr="00D66EE6">
              <w:rPr>
                <w:rFonts w:cs="Arial"/>
                <w:sz w:val="20"/>
              </w:rPr>
              <w:t xml:space="preserve">In response to </w:t>
            </w:r>
            <w:r w:rsidRPr="00D66EE6">
              <w:rPr>
                <w:rFonts w:cs="Arial"/>
                <w:b/>
                <w:bCs/>
                <w:sz w:val="20"/>
              </w:rPr>
              <w:t xml:space="preserve">CHA/anonymous </w:t>
            </w:r>
            <w:r w:rsidR="00C6097C" w:rsidRPr="00C6097C">
              <w:rPr>
                <w:rFonts w:cs="Arial"/>
                <w:sz w:val="20"/>
              </w:rPr>
              <w:t>and</w:t>
            </w:r>
            <w:r w:rsidR="00C6097C">
              <w:rPr>
                <w:rFonts w:cs="Arial"/>
                <w:b/>
                <w:bCs/>
                <w:sz w:val="20"/>
              </w:rPr>
              <w:t xml:space="preserve"> </w:t>
            </w:r>
            <w:r w:rsidR="00C6097C" w:rsidRPr="00C6097C">
              <w:rPr>
                <w:rFonts w:cs="Arial"/>
                <w:b/>
                <w:bCs/>
                <w:sz w:val="20"/>
              </w:rPr>
              <w:t>Healthscope</w:t>
            </w:r>
            <w:r w:rsidR="00C6097C">
              <w:rPr>
                <w:rFonts w:cs="Arial"/>
                <w:sz w:val="20"/>
              </w:rPr>
              <w:t xml:space="preserve"> </w:t>
            </w:r>
            <w:r w:rsidRPr="00D66EE6">
              <w:rPr>
                <w:rFonts w:cs="Arial"/>
                <w:sz w:val="20"/>
              </w:rPr>
              <w:t>feedback, it appears that the proposed amendment has been misunderstood</w:t>
            </w:r>
            <w:r w:rsidR="005B6516">
              <w:rPr>
                <w:rFonts w:cs="Arial"/>
                <w:sz w:val="20"/>
              </w:rPr>
              <w:t xml:space="preserve">. </w:t>
            </w:r>
            <w:r w:rsidR="00A667CA">
              <w:rPr>
                <w:rFonts w:cs="Arial"/>
                <w:sz w:val="20"/>
              </w:rPr>
              <w:t xml:space="preserve">Following release of </w:t>
            </w:r>
            <w:r w:rsidR="00E26645">
              <w:rPr>
                <w:rFonts w:cs="Arial"/>
                <w:sz w:val="20"/>
              </w:rPr>
              <w:t>the Discussion paper</w:t>
            </w:r>
            <w:r w:rsidR="009366A3">
              <w:rPr>
                <w:rFonts w:cs="Arial"/>
                <w:sz w:val="20"/>
              </w:rPr>
              <w:t xml:space="preserve"> in August 2023, the </w:t>
            </w:r>
            <w:r w:rsidR="00C87601">
              <w:rPr>
                <w:rFonts w:cs="Arial"/>
                <w:sz w:val="20"/>
              </w:rPr>
              <w:t>department</w:t>
            </w:r>
            <w:r w:rsidR="009366A3">
              <w:rPr>
                <w:rFonts w:cs="Arial"/>
                <w:sz w:val="20"/>
              </w:rPr>
              <w:t xml:space="preserve"> </w:t>
            </w:r>
            <w:r w:rsidR="00374610">
              <w:rPr>
                <w:rFonts w:cs="Arial"/>
                <w:sz w:val="20"/>
              </w:rPr>
              <w:t xml:space="preserve">acknowledged the sector’s concerns </w:t>
            </w:r>
            <w:r w:rsidR="007D6F62">
              <w:rPr>
                <w:rFonts w:cs="Arial"/>
                <w:sz w:val="20"/>
              </w:rPr>
              <w:t xml:space="preserve">with </w:t>
            </w:r>
            <w:r w:rsidR="00374610">
              <w:rPr>
                <w:rFonts w:cs="Arial"/>
                <w:sz w:val="20"/>
              </w:rPr>
              <w:t>the current requirements</w:t>
            </w:r>
            <w:r w:rsidR="007D6F62">
              <w:rPr>
                <w:rFonts w:cs="Arial"/>
                <w:sz w:val="20"/>
              </w:rPr>
              <w:t xml:space="preserve"> and </w:t>
            </w:r>
            <w:r w:rsidR="007D3897">
              <w:rPr>
                <w:rFonts w:cs="Arial"/>
                <w:sz w:val="20"/>
              </w:rPr>
              <w:t xml:space="preserve">decided to remove the </w:t>
            </w:r>
            <w:r w:rsidR="00FA1F97">
              <w:rPr>
                <w:rFonts w:cs="Arial"/>
                <w:sz w:val="20"/>
              </w:rPr>
              <w:t xml:space="preserve">obligation to provide a complete list of all medications for every patient. </w:t>
            </w:r>
            <w:r w:rsidR="00C35412">
              <w:rPr>
                <w:rFonts w:cs="Arial"/>
                <w:sz w:val="20"/>
              </w:rPr>
              <w:t>The intent of the proposed amendment was that:</w:t>
            </w:r>
          </w:p>
          <w:p w14:paraId="27D7540E" w14:textId="77777777" w:rsidR="00814E00" w:rsidRPr="00D66EE6" w:rsidRDefault="00814E00" w:rsidP="00131778">
            <w:pPr>
              <w:pStyle w:val="ListParagraph"/>
              <w:numPr>
                <w:ilvl w:val="0"/>
                <w:numId w:val="34"/>
              </w:numPr>
              <w:spacing w:before="160" w:after="160" w:line="276" w:lineRule="auto"/>
              <w:contextualSpacing/>
              <w:rPr>
                <w:rFonts w:ascii="Arial" w:hAnsi="Arial" w:cs="Arial"/>
                <w:sz w:val="20"/>
                <w:szCs w:val="20"/>
              </w:rPr>
            </w:pPr>
            <w:r w:rsidRPr="00D66EE6">
              <w:rPr>
                <w:rFonts w:ascii="Arial" w:hAnsi="Arial" w:cs="Arial"/>
                <w:sz w:val="20"/>
                <w:szCs w:val="20"/>
              </w:rPr>
              <w:t xml:space="preserve">For all patients, regardless of whether they were admitted overnight or day only, a </w:t>
            </w:r>
            <w:r w:rsidRPr="00D66EE6">
              <w:rPr>
                <w:rFonts w:ascii="Arial" w:hAnsi="Arial" w:cs="Arial"/>
                <w:b/>
                <w:bCs/>
                <w:sz w:val="20"/>
                <w:szCs w:val="20"/>
              </w:rPr>
              <w:t>detailed</w:t>
            </w:r>
            <w:r w:rsidRPr="00D66EE6">
              <w:rPr>
                <w:rFonts w:ascii="Arial" w:hAnsi="Arial" w:cs="Arial"/>
                <w:sz w:val="20"/>
                <w:szCs w:val="20"/>
              </w:rPr>
              <w:t xml:space="preserve"> </w:t>
            </w:r>
            <w:r w:rsidRPr="00D66EE6">
              <w:rPr>
                <w:rFonts w:ascii="Arial" w:hAnsi="Arial" w:cs="Arial"/>
                <w:b/>
                <w:bCs/>
                <w:sz w:val="20"/>
                <w:szCs w:val="20"/>
              </w:rPr>
              <w:t xml:space="preserve">list </w:t>
            </w:r>
            <w:r w:rsidRPr="00D66EE6">
              <w:rPr>
                <w:rFonts w:ascii="Arial" w:hAnsi="Arial" w:cs="Arial"/>
                <w:sz w:val="20"/>
                <w:szCs w:val="20"/>
              </w:rPr>
              <w:t>of cessations, variations or additions to medications should be provided.</w:t>
            </w:r>
          </w:p>
          <w:p w14:paraId="0AC05F1A" w14:textId="6420F551" w:rsidR="00814E00" w:rsidRPr="00D66EE6" w:rsidRDefault="00814E00" w:rsidP="00131778">
            <w:pPr>
              <w:pStyle w:val="ListParagraph"/>
              <w:numPr>
                <w:ilvl w:val="0"/>
                <w:numId w:val="34"/>
              </w:numPr>
              <w:spacing w:before="160" w:after="160" w:line="276" w:lineRule="auto"/>
              <w:contextualSpacing/>
              <w:rPr>
                <w:rFonts w:ascii="Arial" w:hAnsi="Arial" w:cs="Arial"/>
                <w:sz w:val="20"/>
                <w:szCs w:val="20"/>
              </w:rPr>
            </w:pPr>
            <w:r w:rsidRPr="00D66EE6">
              <w:rPr>
                <w:rFonts w:ascii="Arial" w:hAnsi="Arial" w:cs="Arial"/>
                <w:sz w:val="20"/>
                <w:szCs w:val="20"/>
              </w:rPr>
              <w:t xml:space="preserve">In addition to this list, for overnight patients only, a </w:t>
            </w:r>
            <w:r w:rsidRPr="00D66EE6">
              <w:rPr>
                <w:rFonts w:ascii="Arial" w:hAnsi="Arial" w:cs="Arial"/>
                <w:b/>
                <w:bCs/>
                <w:sz w:val="20"/>
                <w:szCs w:val="20"/>
              </w:rPr>
              <w:t>summary</w:t>
            </w:r>
            <w:r w:rsidRPr="00D66EE6">
              <w:rPr>
                <w:rFonts w:ascii="Arial" w:hAnsi="Arial" w:cs="Arial"/>
                <w:sz w:val="20"/>
                <w:szCs w:val="20"/>
              </w:rPr>
              <w:t xml:space="preserve"> of any other regular prescribed medications should be provided, with the amount of detail in the summary to be informed by the patient’s clinical profile. This would allow HSEs to provide detail about existing medications that are directly relevant to the health service provided to the patient and to their after-care, but would </w:t>
            </w:r>
            <w:r w:rsidR="00C60699">
              <w:rPr>
                <w:rFonts w:ascii="Arial" w:hAnsi="Arial" w:cs="Arial"/>
                <w:sz w:val="20"/>
                <w:szCs w:val="20"/>
              </w:rPr>
              <w:t>give them flexibility and discretion</w:t>
            </w:r>
            <w:r w:rsidRPr="00D66EE6">
              <w:rPr>
                <w:rFonts w:ascii="Arial" w:hAnsi="Arial" w:cs="Arial"/>
                <w:sz w:val="20"/>
                <w:szCs w:val="20"/>
              </w:rPr>
              <w:t xml:space="preserve"> to ‘summarise’ any </w:t>
            </w:r>
            <w:r w:rsidR="00BD38AC">
              <w:rPr>
                <w:rFonts w:ascii="Arial" w:hAnsi="Arial" w:cs="Arial"/>
                <w:sz w:val="20"/>
                <w:szCs w:val="20"/>
              </w:rPr>
              <w:t xml:space="preserve">other </w:t>
            </w:r>
            <w:r w:rsidRPr="00D66EE6">
              <w:rPr>
                <w:rFonts w:ascii="Arial" w:hAnsi="Arial" w:cs="Arial"/>
                <w:sz w:val="20"/>
                <w:szCs w:val="20"/>
              </w:rPr>
              <w:t xml:space="preserve">medications that are not changed or directly relevant (e.g. by including a statement that </w:t>
            </w:r>
            <w:r w:rsidR="00B51450">
              <w:rPr>
                <w:rFonts w:ascii="Arial" w:hAnsi="Arial" w:cs="Arial"/>
                <w:sz w:val="20"/>
                <w:szCs w:val="20"/>
              </w:rPr>
              <w:t>‘</w:t>
            </w:r>
            <w:r w:rsidRPr="00D66EE6">
              <w:rPr>
                <w:rFonts w:ascii="Arial" w:hAnsi="Arial" w:cs="Arial"/>
                <w:sz w:val="20"/>
                <w:szCs w:val="20"/>
              </w:rPr>
              <w:t>all other current medications are unchanged.</w:t>
            </w:r>
            <w:r w:rsidR="00B51450">
              <w:rPr>
                <w:rFonts w:ascii="Arial" w:hAnsi="Arial" w:cs="Arial"/>
                <w:sz w:val="20"/>
                <w:szCs w:val="20"/>
              </w:rPr>
              <w:t>’</w:t>
            </w:r>
            <w:r w:rsidRPr="00D66EE6">
              <w:rPr>
                <w:rFonts w:ascii="Arial" w:hAnsi="Arial" w:cs="Arial"/>
                <w:sz w:val="20"/>
                <w:szCs w:val="20"/>
              </w:rPr>
              <w:t>)</w:t>
            </w:r>
          </w:p>
          <w:p w14:paraId="0A6E3DF1" w14:textId="5202D7DC" w:rsidR="00814E00" w:rsidRPr="00D66EE6" w:rsidRDefault="00814E00" w:rsidP="0018515A">
            <w:pPr>
              <w:spacing w:before="160" w:after="160" w:line="276" w:lineRule="auto"/>
              <w:contextualSpacing/>
              <w:rPr>
                <w:rFonts w:cs="Arial"/>
                <w:sz w:val="20"/>
              </w:rPr>
            </w:pPr>
            <w:r w:rsidRPr="00D66EE6">
              <w:rPr>
                <w:rFonts w:cs="Arial"/>
                <w:sz w:val="20"/>
              </w:rPr>
              <w:t xml:space="preserve">To clarify the </w:t>
            </w:r>
            <w:r w:rsidR="00FB4CD5">
              <w:rPr>
                <w:rFonts w:cs="Arial"/>
                <w:sz w:val="20"/>
              </w:rPr>
              <w:t>requirements</w:t>
            </w:r>
            <w:r w:rsidRPr="00D66EE6">
              <w:rPr>
                <w:rFonts w:cs="Arial"/>
                <w:sz w:val="20"/>
              </w:rPr>
              <w:t>, r.44 will now appear as:</w:t>
            </w:r>
          </w:p>
          <w:p w14:paraId="79E31A0A" w14:textId="77777777" w:rsidR="00814E00" w:rsidRPr="00D66EE6" w:rsidRDefault="00814E00" w:rsidP="0018515A">
            <w:pPr>
              <w:spacing w:before="160" w:after="160" w:line="276" w:lineRule="auto"/>
              <w:contextualSpacing/>
              <w:rPr>
                <w:rFonts w:cs="Arial"/>
                <w:sz w:val="20"/>
              </w:rPr>
            </w:pPr>
          </w:p>
          <w:p w14:paraId="1CC41B87" w14:textId="1C7BCD63" w:rsidR="00814E00" w:rsidRPr="00D66EE6" w:rsidRDefault="00814E00" w:rsidP="005737D3">
            <w:pPr>
              <w:spacing w:before="160" w:after="160" w:line="276" w:lineRule="auto"/>
              <w:contextualSpacing/>
              <w:rPr>
                <w:rFonts w:cs="Arial"/>
                <w:sz w:val="20"/>
              </w:rPr>
            </w:pPr>
            <w:r w:rsidRPr="00D66EE6">
              <w:rPr>
                <w:rFonts w:cs="Arial"/>
                <w:sz w:val="20"/>
              </w:rPr>
              <w:t>(3) A patient's discharge summary must include the following information—</w:t>
            </w:r>
          </w:p>
          <w:p w14:paraId="22AF9C3A" w14:textId="1E8662AC" w:rsidR="00814E00" w:rsidRPr="00D66EE6" w:rsidRDefault="00814E00" w:rsidP="00131778">
            <w:pPr>
              <w:pStyle w:val="ListParagraph"/>
              <w:numPr>
                <w:ilvl w:val="1"/>
                <w:numId w:val="20"/>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 xml:space="preserve">an itemised list of any </w:t>
            </w:r>
            <w:r w:rsidR="003421A9">
              <w:rPr>
                <w:rFonts w:ascii="Arial" w:hAnsi="Arial" w:cs="Arial"/>
                <w:color w:val="FF0000"/>
                <w:sz w:val="20"/>
                <w:szCs w:val="20"/>
              </w:rPr>
              <w:t>new medication</w:t>
            </w:r>
            <w:r w:rsidR="00CF0A20">
              <w:rPr>
                <w:rFonts w:ascii="Arial" w:hAnsi="Arial" w:cs="Arial"/>
                <w:color w:val="FF0000"/>
                <w:sz w:val="20"/>
                <w:szCs w:val="20"/>
              </w:rPr>
              <w:t xml:space="preserve"> prescribed for the patient in relation to the health services received at the health service establishment and</w:t>
            </w:r>
            <w:r w:rsidR="000C362D">
              <w:rPr>
                <w:rFonts w:ascii="Arial" w:hAnsi="Arial" w:cs="Arial"/>
                <w:color w:val="FF0000"/>
                <w:sz w:val="20"/>
                <w:szCs w:val="20"/>
              </w:rPr>
              <w:t xml:space="preserve"> </w:t>
            </w:r>
            <w:r w:rsidR="00B955C2">
              <w:rPr>
                <w:rFonts w:ascii="Arial" w:hAnsi="Arial" w:cs="Arial"/>
                <w:color w:val="FF0000"/>
                <w:sz w:val="20"/>
                <w:szCs w:val="20"/>
              </w:rPr>
              <w:t>any cessations of, or variations to</w:t>
            </w:r>
            <w:r w:rsidR="0005476C">
              <w:rPr>
                <w:rFonts w:ascii="Arial" w:hAnsi="Arial" w:cs="Arial"/>
                <w:color w:val="FF0000"/>
                <w:sz w:val="20"/>
                <w:szCs w:val="20"/>
              </w:rPr>
              <w:t>, any regular prescribed medication of the patient; and</w:t>
            </w:r>
          </w:p>
          <w:p w14:paraId="72FCC854" w14:textId="07D45E94" w:rsidR="00814E00" w:rsidRPr="00D66EE6" w:rsidRDefault="00814E00" w:rsidP="00131778">
            <w:pPr>
              <w:pStyle w:val="ListParagraph"/>
              <w:numPr>
                <w:ilvl w:val="1"/>
                <w:numId w:val="20"/>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 xml:space="preserve">in the case of a patient of a private hospital who was admitted overnight—a list, summary or statement regarding the unchanged, regular prescribed medication </w:t>
            </w:r>
            <w:r w:rsidR="001D4B9B">
              <w:rPr>
                <w:rFonts w:ascii="Arial" w:hAnsi="Arial" w:cs="Arial"/>
                <w:color w:val="FF0000"/>
                <w:sz w:val="20"/>
                <w:szCs w:val="20"/>
              </w:rPr>
              <w:t>of</w:t>
            </w:r>
            <w:r w:rsidRPr="00D66EE6">
              <w:rPr>
                <w:rFonts w:ascii="Arial" w:hAnsi="Arial" w:cs="Arial"/>
                <w:color w:val="FF0000"/>
                <w:sz w:val="20"/>
                <w:szCs w:val="20"/>
              </w:rPr>
              <w:t xml:space="preserve"> the patient.</w:t>
            </w:r>
          </w:p>
          <w:p w14:paraId="37CDF3E5" w14:textId="70F500D8" w:rsidR="00814E00" w:rsidRPr="00D66EE6" w:rsidRDefault="00814E00" w:rsidP="00131778">
            <w:pPr>
              <w:pStyle w:val="ListParagraph"/>
              <w:numPr>
                <w:ilvl w:val="0"/>
                <w:numId w:val="59"/>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 xml:space="preserve">The proprietor of the health service establishment must have regard to the clinical profile of a patient in deciding the nature and detail of information to be included in a list, summary or statement </w:t>
            </w:r>
            <w:r w:rsidR="006C07F6">
              <w:rPr>
                <w:rFonts w:ascii="Arial" w:hAnsi="Arial" w:cs="Arial"/>
                <w:color w:val="FF0000"/>
                <w:sz w:val="20"/>
                <w:szCs w:val="20"/>
              </w:rPr>
              <w:t xml:space="preserve">of unchanged, regular prescribed medication </w:t>
            </w:r>
            <w:r w:rsidRPr="00D66EE6">
              <w:rPr>
                <w:rFonts w:ascii="Arial" w:hAnsi="Arial" w:cs="Arial"/>
                <w:color w:val="FF0000"/>
                <w:sz w:val="20"/>
                <w:szCs w:val="20"/>
              </w:rPr>
              <w:t>prepared in accordance with subregulation (3)(f).</w:t>
            </w:r>
          </w:p>
          <w:p w14:paraId="110D1CE6" w14:textId="62BF1CDE" w:rsidR="00814E00" w:rsidRPr="00D66EE6" w:rsidRDefault="00814E00" w:rsidP="00E423E7">
            <w:pPr>
              <w:spacing w:before="160" w:after="160" w:line="276" w:lineRule="auto"/>
              <w:contextualSpacing/>
              <w:rPr>
                <w:rFonts w:cs="Arial"/>
                <w:sz w:val="20"/>
              </w:rPr>
            </w:pPr>
            <w:r w:rsidRPr="00D66EE6">
              <w:rPr>
                <w:rFonts w:cs="Arial"/>
                <w:sz w:val="20"/>
              </w:rPr>
              <w:t xml:space="preserve">In response to </w:t>
            </w:r>
            <w:r w:rsidRPr="00D66EE6">
              <w:rPr>
                <w:rFonts w:cs="Arial"/>
                <w:b/>
                <w:bCs/>
                <w:sz w:val="20"/>
              </w:rPr>
              <w:t>ANFM’s</w:t>
            </w:r>
            <w:r w:rsidRPr="00D66EE6">
              <w:rPr>
                <w:rFonts w:cs="Arial"/>
                <w:sz w:val="20"/>
              </w:rPr>
              <w:t xml:space="preserve"> feedback, the </w:t>
            </w:r>
            <w:r w:rsidR="00C87601">
              <w:rPr>
                <w:rFonts w:cs="Arial"/>
                <w:sz w:val="20"/>
              </w:rPr>
              <w:t>department</w:t>
            </w:r>
            <w:r w:rsidRPr="00D66EE6">
              <w:rPr>
                <w:rFonts w:cs="Arial"/>
                <w:sz w:val="20"/>
              </w:rPr>
              <w:t xml:space="preserve"> has considered the private sector’s concerns with the current impractical requirement that all medications must be listed for all patients, and has determined that patient safety will not be compromised by the proposed amendments. Further, the Commission has confirmed that the proposed amendments align with the NSQHS Standards. </w:t>
            </w:r>
          </w:p>
        </w:tc>
      </w:tr>
      <w:tr w:rsidR="00814E00" w:rsidRPr="00D66EE6" w14:paraId="661B5B96" w14:textId="77777777" w:rsidTr="00D66EE6">
        <w:trPr>
          <w:trHeight w:val="6000"/>
        </w:trPr>
        <w:tc>
          <w:tcPr>
            <w:tcW w:w="288" w:type="pct"/>
            <w:shd w:val="clear" w:color="auto" w:fill="auto"/>
            <w:hideMark/>
          </w:tcPr>
          <w:p w14:paraId="3BEEFE3E" w14:textId="77777777" w:rsidR="00814E00" w:rsidRPr="00D66EE6" w:rsidRDefault="00814E00" w:rsidP="001562A6">
            <w:pPr>
              <w:rPr>
                <w:rFonts w:cs="Arial"/>
                <w:sz w:val="20"/>
              </w:rPr>
            </w:pPr>
            <w:r w:rsidRPr="00D66EE6">
              <w:rPr>
                <w:rFonts w:cs="Arial"/>
                <w:sz w:val="20"/>
              </w:rPr>
              <w:lastRenderedPageBreak/>
              <w:t>37</w:t>
            </w:r>
          </w:p>
          <w:p w14:paraId="5A9C6424" w14:textId="77777777" w:rsidR="00814E00" w:rsidRPr="00D66EE6" w:rsidRDefault="00814E00" w:rsidP="001562A6">
            <w:pPr>
              <w:rPr>
                <w:rFonts w:cs="Arial"/>
                <w:sz w:val="20"/>
              </w:rPr>
            </w:pPr>
            <w:r w:rsidRPr="00D66EE6">
              <w:rPr>
                <w:rFonts w:cs="Arial"/>
                <w:color w:val="FF0000"/>
                <w:sz w:val="20"/>
              </w:rPr>
              <w:t>47</w:t>
            </w:r>
          </w:p>
        </w:tc>
        <w:tc>
          <w:tcPr>
            <w:tcW w:w="1570" w:type="pct"/>
            <w:shd w:val="clear" w:color="auto" w:fill="auto"/>
            <w:hideMark/>
          </w:tcPr>
          <w:p w14:paraId="3CBAAE31" w14:textId="77777777" w:rsidR="00814E00" w:rsidRPr="00D66EE6" w:rsidRDefault="00814E00" w:rsidP="001562A6">
            <w:pPr>
              <w:rPr>
                <w:rFonts w:cs="Arial"/>
                <w:b/>
                <w:sz w:val="20"/>
              </w:rPr>
            </w:pPr>
            <w:r w:rsidRPr="00D66EE6">
              <w:rPr>
                <w:rFonts w:cs="Arial"/>
                <w:b/>
                <w:strike/>
                <w:sz w:val="20"/>
              </w:rPr>
              <w:t>Operation Theatre</w:t>
            </w:r>
            <w:r w:rsidRPr="00D66EE6">
              <w:rPr>
                <w:rFonts w:cs="Arial"/>
                <w:b/>
                <w:sz w:val="20"/>
              </w:rPr>
              <w:t xml:space="preserve"> </w:t>
            </w:r>
            <w:r w:rsidRPr="00D66EE6">
              <w:rPr>
                <w:rFonts w:cs="Arial"/>
                <w:b/>
                <w:color w:val="FF0000"/>
                <w:sz w:val="20"/>
              </w:rPr>
              <w:t xml:space="preserve">Surgical Procedure </w:t>
            </w:r>
            <w:r w:rsidRPr="00D66EE6">
              <w:rPr>
                <w:rFonts w:cs="Arial"/>
                <w:b/>
                <w:sz w:val="20"/>
              </w:rPr>
              <w:t>Register</w:t>
            </w:r>
          </w:p>
          <w:p w14:paraId="60B963F7" w14:textId="77777777" w:rsidR="00814E00" w:rsidRPr="00D66EE6" w:rsidRDefault="00814E00" w:rsidP="00131778">
            <w:pPr>
              <w:pStyle w:val="ListParagraph"/>
              <w:numPr>
                <w:ilvl w:val="0"/>
                <w:numId w:val="21"/>
              </w:numPr>
              <w:spacing w:before="160" w:after="160" w:line="276" w:lineRule="auto"/>
              <w:contextualSpacing/>
              <w:rPr>
                <w:rFonts w:ascii="Arial" w:hAnsi="Arial" w:cs="Arial"/>
                <w:sz w:val="20"/>
                <w:szCs w:val="20"/>
              </w:rPr>
            </w:pPr>
            <w:r w:rsidRPr="00D66EE6">
              <w:rPr>
                <w:rFonts w:ascii="Arial" w:hAnsi="Arial" w:cs="Arial"/>
                <w:sz w:val="20"/>
                <w:szCs w:val="20"/>
              </w:rPr>
              <w:t xml:space="preserve">The proprietor of a health service establishment at which surgical health services or speciality health services for the provision of endoscopy may be </w:t>
            </w:r>
            <w:r w:rsidRPr="00D66EE6">
              <w:rPr>
                <w:rFonts w:ascii="Arial" w:hAnsi="Arial" w:cs="Arial"/>
                <w:strike/>
                <w:sz w:val="20"/>
                <w:szCs w:val="20"/>
              </w:rPr>
              <w:t>carried on</w:t>
            </w:r>
            <w:r w:rsidRPr="00D66EE6">
              <w:rPr>
                <w:rFonts w:ascii="Arial" w:hAnsi="Arial" w:cs="Arial"/>
                <w:sz w:val="20"/>
                <w:szCs w:val="20"/>
              </w:rPr>
              <w:t xml:space="preserve"> </w:t>
            </w:r>
            <w:r w:rsidRPr="00D66EE6">
              <w:rPr>
                <w:rFonts w:ascii="Arial" w:hAnsi="Arial" w:cs="Arial"/>
                <w:color w:val="FF0000"/>
                <w:sz w:val="20"/>
                <w:szCs w:val="20"/>
              </w:rPr>
              <w:t xml:space="preserve">provided </w:t>
            </w:r>
            <w:r w:rsidRPr="00D66EE6">
              <w:rPr>
                <w:rFonts w:ascii="Arial" w:hAnsi="Arial" w:cs="Arial"/>
                <w:sz w:val="20"/>
                <w:szCs w:val="20"/>
              </w:rPr>
              <w:t>must ensure that a</w:t>
            </w:r>
            <w:r w:rsidRPr="00D66EE6">
              <w:rPr>
                <w:rFonts w:ascii="Arial" w:hAnsi="Arial" w:cs="Arial"/>
                <w:strike/>
                <w:sz w:val="20"/>
                <w:szCs w:val="20"/>
              </w:rPr>
              <w:t>n</w:t>
            </w:r>
            <w:r w:rsidRPr="00D66EE6">
              <w:rPr>
                <w:rFonts w:ascii="Arial" w:hAnsi="Arial" w:cs="Arial"/>
                <w:sz w:val="20"/>
                <w:szCs w:val="20"/>
              </w:rPr>
              <w:t xml:space="preserve"> </w:t>
            </w:r>
            <w:r w:rsidRPr="00D66EE6">
              <w:rPr>
                <w:rFonts w:ascii="Arial" w:hAnsi="Arial" w:cs="Arial"/>
                <w:strike/>
                <w:sz w:val="20"/>
                <w:szCs w:val="20"/>
              </w:rPr>
              <w:t>Operation Theatre</w:t>
            </w:r>
            <w:r w:rsidRPr="00D66EE6">
              <w:rPr>
                <w:rFonts w:ascii="Arial" w:hAnsi="Arial" w:cs="Arial"/>
                <w:sz w:val="20"/>
                <w:szCs w:val="20"/>
              </w:rPr>
              <w:t xml:space="preserve"> </w:t>
            </w:r>
            <w:r w:rsidRPr="00D66EE6">
              <w:rPr>
                <w:rFonts w:ascii="Arial" w:hAnsi="Arial" w:cs="Arial"/>
                <w:color w:val="FF0000"/>
                <w:sz w:val="20"/>
                <w:szCs w:val="20"/>
              </w:rPr>
              <w:t xml:space="preserve">Surgical Procedure </w:t>
            </w:r>
            <w:r w:rsidRPr="00D66EE6">
              <w:rPr>
                <w:rFonts w:ascii="Arial" w:hAnsi="Arial" w:cs="Arial"/>
                <w:sz w:val="20"/>
                <w:szCs w:val="20"/>
              </w:rPr>
              <w:t xml:space="preserve">Register </w:t>
            </w:r>
            <w:r w:rsidRPr="00D66EE6">
              <w:rPr>
                <w:rFonts w:ascii="Arial" w:hAnsi="Arial" w:cs="Arial"/>
                <w:color w:val="FF0000"/>
                <w:sz w:val="20"/>
                <w:szCs w:val="20"/>
              </w:rPr>
              <w:t>that complies with subregulation (2)</w:t>
            </w:r>
            <w:r w:rsidRPr="00D66EE6">
              <w:rPr>
                <w:rFonts w:ascii="Arial" w:hAnsi="Arial" w:cs="Arial"/>
                <w:sz w:val="20"/>
                <w:szCs w:val="20"/>
              </w:rPr>
              <w:t xml:space="preserve"> is kept at the health service establishment.</w:t>
            </w:r>
          </w:p>
          <w:p w14:paraId="433CF696" w14:textId="77777777" w:rsidR="00814E00" w:rsidRPr="00D66EE6" w:rsidRDefault="00814E00" w:rsidP="00131778">
            <w:pPr>
              <w:pStyle w:val="ListParagraph"/>
              <w:numPr>
                <w:ilvl w:val="0"/>
                <w:numId w:val="21"/>
              </w:numPr>
              <w:spacing w:before="160" w:after="160" w:line="276" w:lineRule="auto"/>
              <w:contextualSpacing/>
              <w:rPr>
                <w:rFonts w:ascii="Arial" w:hAnsi="Arial" w:cs="Arial"/>
                <w:sz w:val="20"/>
                <w:szCs w:val="20"/>
              </w:rPr>
            </w:pPr>
            <w:r w:rsidRPr="00D66EE6">
              <w:rPr>
                <w:rFonts w:ascii="Arial" w:hAnsi="Arial" w:cs="Arial"/>
                <w:sz w:val="20"/>
                <w:szCs w:val="20"/>
              </w:rPr>
              <w:t>For the purposes of subregulation (1), a</w:t>
            </w:r>
            <w:r w:rsidRPr="00D66EE6">
              <w:rPr>
                <w:rFonts w:ascii="Arial" w:hAnsi="Arial" w:cs="Arial"/>
                <w:strike/>
                <w:sz w:val="20"/>
                <w:szCs w:val="20"/>
              </w:rPr>
              <w:t>n</w:t>
            </w:r>
            <w:r w:rsidRPr="00D66EE6">
              <w:rPr>
                <w:rFonts w:ascii="Arial" w:hAnsi="Arial" w:cs="Arial"/>
                <w:sz w:val="20"/>
                <w:szCs w:val="20"/>
              </w:rPr>
              <w:t xml:space="preserve"> </w:t>
            </w:r>
            <w:r w:rsidRPr="00D66EE6">
              <w:rPr>
                <w:rFonts w:ascii="Arial" w:hAnsi="Arial" w:cs="Arial"/>
                <w:strike/>
                <w:sz w:val="20"/>
                <w:szCs w:val="20"/>
              </w:rPr>
              <w:t>Operation Theatre</w:t>
            </w:r>
            <w:r w:rsidRPr="00D66EE6">
              <w:rPr>
                <w:rFonts w:ascii="Arial" w:hAnsi="Arial" w:cs="Arial"/>
                <w:sz w:val="20"/>
                <w:szCs w:val="20"/>
              </w:rPr>
              <w:t xml:space="preserve"> </w:t>
            </w:r>
            <w:r w:rsidRPr="00D66EE6">
              <w:rPr>
                <w:rFonts w:ascii="Arial" w:hAnsi="Arial" w:cs="Arial"/>
                <w:color w:val="FF0000"/>
                <w:sz w:val="20"/>
                <w:szCs w:val="20"/>
              </w:rPr>
              <w:t>Surgical Procedure</w:t>
            </w:r>
            <w:r w:rsidRPr="00D66EE6">
              <w:rPr>
                <w:rFonts w:ascii="Arial" w:hAnsi="Arial" w:cs="Arial"/>
                <w:sz w:val="20"/>
                <w:szCs w:val="20"/>
              </w:rPr>
              <w:t xml:space="preserve"> Register must be in writing and contain the following </w:t>
            </w:r>
            <w:r w:rsidRPr="00D66EE6">
              <w:rPr>
                <w:rFonts w:ascii="Arial" w:hAnsi="Arial" w:cs="Arial"/>
                <w:strike/>
                <w:sz w:val="20"/>
                <w:szCs w:val="20"/>
              </w:rPr>
              <w:t>information</w:t>
            </w:r>
            <w:r w:rsidRPr="00D66EE6">
              <w:rPr>
                <w:rFonts w:ascii="Arial" w:hAnsi="Arial" w:cs="Arial"/>
                <w:sz w:val="20"/>
                <w:szCs w:val="20"/>
              </w:rPr>
              <w:t xml:space="preserve"> </w:t>
            </w:r>
            <w:r w:rsidRPr="00D66EE6">
              <w:rPr>
                <w:rFonts w:ascii="Arial" w:hAnsi="Arial" w:cs="Arial"/>
                <w:color w:val="FF0000"/>
                <w:sz w:val="20"/>
                <w:szCs w:val="20"/>
              </w:rPr>
              <w:t xml:space="preserve">records </w:t>
            </w:r>
            <w:r w:rsidRPr="00D66EE6">
              <w:rPr>
                <w:rFonts w:ascii="Arial" w:hAnsi="Arial" w:cs="Arial"/>
                <w:sz w:val="20"/>
                <w:szCs w:val="20"/>
              </w:rPr>
              <w:t>with respect to each procedure performed at the health service establishment—</w:t>
            </w:r>
          </w:p>
          <w:p w14:paraId="14CCBC00" w14:textId="77777777" w:rsidR="00814E00" w:rsidRPr="00D66EE6" w:rsidRDefault="00814E00" w:rsidP="00131778">
            <w:pPr>
              <w:pStyle w:val="ListParagraph"/>
              <w:numPr>
                <w:ilvl w:val="1"/>
                <w:numId w:val="22"/>
              </w:numPr>
              <w:spacing w:before="160" w:after="160" w:line="276" w:lineRule="auto"/>
              <w:contextualSpacing/>
              <w:rPr>
                <w:rFonts w:ascii="Arial" w:hAnsi="Arial" w:cs="Arial"/>
                <w:sz w:val="20"/>
                <w:szCs w:val="20"/>
              </w:rPr>
            </w:pPr>
            <w:r w:rsidRPr="00D66EE6">
              <w:rPr>
                <w:rFonts w:ascii="Arial" w:hAnsi="Arial" w:cs="Arial"/>
                <w:sz w:val="20"/>
                <w:szCs w:val="20"/>
              </w:rPr>
              <w:t>the date and time of the procedure;</w:t>
            </w:r>
          </w:p>
          <w:p w14:paraId="0D5507DF" w14:textId="77777777" w:rsidR="00814E00" w:rsidRPr="00D66EE6" w:rsidRDefault="00814E00" w:rsidP="00131778">
            <w:pPr>
              <w:pStyle w:val="ListParagraph"/>
              <w:numPr>
                <w:ilvl w:val="1"/>
                <w:numId w:val="22"/>
              </w:numPr>
              <w:spacing w:before="160" w:after="160" w:line="276" w:lineRule="auto"/>
              <w:contextualSpacing/>
              <w:rPr>
                <w:rFonts w:ascii="Arial" w:hAnsi="Arial" w:cs="Arial"/>
                <w:sz w:val="20"/>
                <w:szCs w:val="20"/>
              </w:rPr>
            </w:pPr>
            <w:r w:rsidRPr="00D66EE6">
              <w:rPr>
                <w:rFonts w:ascii="Arial" w:hAnsi="Arial" w:cs="Arial"/>
                <w:sz w:val="20"/>
                <w:szCs w:val="20"/>
              </w:rPr>
              <w:t>the unit record number of the patient;</w:t>
            </w:r>
          </w:p>
          <w:p w14:paraId="121BAE83" w14:textId="77777777" w:rsidR="00814E00" w:rsidRPr="00D66EE6" w:rsidRDefault="00814E00" w:rsidP="00131778">
            <w:pPr>
              <w:pStyle w:val="ListParagraph"/>
              <w:numPr>
                <w:ilvl w:val="1"/>
                <w:numId w:val="22"/>
              </w:numPr>
              <w:spacing w:before="160" w:after="160" w:line="276" w:lineRule="auto"/>
              <w:contextualSpacing/>
              <w:rPr>
                <w:rFonts w:ascii="Arial" w:hAnsi="Arial" w:cs="Arial"/>
                <w:sz w:val="20"/>
                <w:szCs w:val="20"/>
              </w:rPr>
            </w:pPr>
            <w:r w:rsidRPr="00D66EE6">
              <w:rPr>
                <w:rFonts w:ascii="Arial" w:hAnsi="Arial" w:cs="Arial"/>
                <w:sz w:val="20"/>
                <w:szCs w:val="20"/>
              </w:rPr>
              <w:t xml:space="preserve">the full name of the patient, </w:t>
            </w:r>
            <w:r w:rsidRPr="00D66EE6">
              <w:rPr>
                <w:rFonts w:ascii="Arial" w:hAnsi="Arial" w:cs="Arial"/>
                <w:strike/>
                <w:sz w:val="20"/>
                <w:szCs w:val="20"/>
              </w:rPr>
              <w:t>his or her</w:t>
            </w:r>
            <w:r w:rsidRPr="00D66EE6">
              <w:rPr>
                <w:rFonts w:ascii="Arial" w:hAnsi="Arial" w:cs="Arial"/>
                <w:sz w:val="20"/>
                <w:szCs w:val="20"/>
              </w:rPr>
              <w:t xml:space="preserve"> </w:t>
            </w:r>
            <w:r w:rsidRPr="00D66EE6">
              <w:rPr>
                <w:rFonts w:ascii="Arial" w:hAnsi="Arial" w:cs="Arial"/>
                <w:color w:val="FF0000"/>
                <w:sz w:val="20"/>
                <w:szCs w:val="20"/>
              </w:rPr>
              <w:t xml:space="preserve">their </w:t>
            </w:r>
            <w:r w:rsidRPr="00D66EE6">
              <w:rPr>
                <w:rFonts w:ascii="Arial" w:hAnsi="Arial" w:cs="Arial"/>
                <w:sz w:val="20"/>
                <w:szCs w:val="20"/>
              </w:rPr>
              <w:t>sex and date of birth;</w:t>
            </w:r>
          </w:p>
          <w:p w14:paraId="4B02896B" w14:textId="77777777" w:rsidR="00814E00" w:rsidRPr="00D66EE6" w:rsidRDefault="00814E00" w:rsidP="00131778">
            <w:pPr>
              <w:pStyle w:val="ListParagraph"/>
              <w:numPr>
                <w:ilvl w:val="1"/>
                <w:numId w:val="22"/>
              </w:numPr>
              <w:spacing w:before="160" w:after="160" w:line="276" w:lineRule="auto"/>
              <w:contextualSpacing/>
              <w:rPr>
                <w:rFonts w:ascii="Arial" w:hAnsi="Arial" w:cs="Arial"/>
                <w:sz w:val="20"/>
                <w:szCs w:val="20"/>
              </w:rPr>
            </w:pPr>
            <w:r w:rsidRPr="00D66EE6">
              <w:rPr>
                <w:rFonts w:ascii="Arial" w:hAnsi="Arial" w:cs="Arial"/>
                <w:sz w:val="20"/>
                <w:szCs w:val="20"/>
              </w:rPr>
              <w:t>the nature of the procedure;</w:t>
            </w:r>
          </w:p>
          <w:p w14:paraId="3B5E9FB2" w14:textId="77777777" w:rsidR="00814E00" w:rsidRPr="00D66EE6" w:rsidRDefault="00814E00" w:rsidP="00131778">
            <w:pPr>
              <w:pStyle w:val="ListParagraph"/>
              <w:numPr>
                <w:ilvl w:val="1"/>
                <w:numId w:val="22"/>
              </w:numPr>
              <w:spacing w:before="160" w:after="160" w:line="276" w:lineRule="auto"/>
              <w:contextualSpacing/>
              <w:rPr>
                <w:rFonts w:ascii="Arial" w:hAnsi="Arial" w:cs="Arial"/>
                <w:sz w:val="20"/>
                <w:szCs w:val="20"/>
              </w:rPr>
            </w:pPr>
            <w:r w:rsidRPr="00D66EE6">
              <w:rPr>
                <w:rFonts w:ascii="Arial" w:hAnsi="Arial" w:cs="Arial"/>
                <w:sz w:val="20"/>
                <w:szCs w:val="20"/>
              </w:rPr>
              <w:t>the name of the registered health practitioner undertaking the procedure and assistant (if any);</w:t>
            </w:r>
          </w:p>
          <w:p w14:paraId="382130A1" w14:textId="77777777" w:rsidR="00814E00" w:rsidRPr="00D66EE6" w:rsidRDefault="00814E00" w:rsidP="00131778">
            <w:pPr>
              <w:pStyle w:val="ListParagraph"/>
              <w:numPr>
                <w:ilvl w:val="1"/>
                <w:numId w:val="22"/>
              </w:numPr>
              <w:spacing w:before="160" w:after="160" w:line="276" w:lineRule="auto"/>
              <w:contextualSpacing/>
              <w:rPr>
                <w:rFonts w:ascii="Arial" w:hAnsi="Arial" w:cs="Arial"/>
                <w:sz w:val="20"/>
                <w:szCs w:val="20"/>
              </w:rPr>
            </w:pPr>
            <w:r w:rsidRPr="00D66EE6">
              <w:rPr>
                <w:rFonts w:ascii="Arial" w:hAnsi="Arial" w:cs="Arial"/>
                <w:sz w:val="20"/>
                <w:szCs w:val="20"/>
              </w:rPr>
              <w:t>the name of the anaesthetist and assistant (if any);</w:t>
            </w:r>
          </w:p>
          <w:p w14:paraId="6C535678" w14:textId="77777777" w:rsidR="00814E00" w:rsidRPr="00D66EE6" w:rsidRDefault="00814E00" w:rsidP="00131778">
            <w:pPr>
              <w:pStyle w:val="ListParagraph"/>
              <w:numPr>
                <w:ilvl w:val="1"/>
                <w:numId w:val="22"/>
              </w:numPr>
              <w:spacing w:before="160" w:after="160" w:line="276" w:lineRule="auto"/>
              <w:contextualSpacing/>
              <w:rPr>
                <w:rFonts w:ascii="Arial" w:hAnsi="Arial" w:cs="Arial"/>
                <w:sz w:val="20"/>
                <w:szCs w:val="20"/>
              </w:rPr>
            </w:pPr>
            <w:r w:rsidRPr="00D66EE6">
              <w:rPr>
                <w:rFonts w:ascii="Arial" w:hAnsi="Arial" w:cs="Arial"/>
                <w:sz w:val="20"/>
                <w:szCs w:val="20"/>
              </w:rPr>
              <w:t xml:space="preserve">the names of attending </w:t>
            </w:r>
            <w:r w:rsidRPr="00D66EE6">
              <w:rPr>
                <w:rFonts w:ascii="Arial" w:hAnsi="Arial" w:cs="Arial"/>
                <w:strike/>
                <w:sz w:val="20"/>
                <w:szCs w:val="20"/>
              </w:rPr>
              <w:t>theatre</w:t>
            </w:r>
            <w:r w:rsidRPr="00D66EE6">
              <w:rPr>
                <w:rFonts w:ascii="Arial" w:hAnsi="Arial" w:cs="Arial"/>
                <w:sz w:val="20"/>
                <w:szCs w:val="20"/>
              </w:rPr>
              <w:t xml:space="preserve"> </w:t>
            </w:r>
            <w:r w:rsidRPr="00D66EE6">
              <w:rPr>
                <w:rFonts w:ascii="Arial" w:hAnsi="Arial" w:cs="Arial"/>
                <w:color w:val="FF0000"/>
                <w:sz w:val="20"/>
                <w:szCs w:val="20"/>
              </w:rPr>
              <w:t>clinical</w:t>
            </w:r>
            <w:r w:rsidRPr="00D66EE6">
              <w:rPr>
                <w:rFonts w:ascii="Arial" w:hAnsi="Arial" w:cs="Arial"/>
                <w:sz w:val="20"/>
                <w:szCs w:val="20"/>
              </w:rPr>
              <w:t xml:space="preserve"> staff;</w:t>
            </w:r>
          </w:p>
          <w:p w14:paraId="54292C75" w14:textId="77777777" w:rsidR="00814E00" w:rsidRPr="00D66EE6" w:rsidRDefault="00814E00" w:rsidP="00131778">
            <w:pPr>
              <w:pStyle w:val="ListParagraph"/>
              <w:numPr>
                <w:ilvl w:val="1"/>
                <w:numId w:val="22"/>
              </w:numPr>
              <w:spacing w:before="160" w:after="160" w:line="276" w:lineRule="auto"/>
              <w:contextualSpacing/>
              <w:rPr>
                <w:rFonts w:ascii="Arial" w:hAnsi="Arial" w:cs="Arial"/>
                <w:sz w:val="20"/>
                <w:szCs w:val="20"/>
              </w:rPr>
            </w:pPr>
            <w:r w:rsidRPr="00D66EE6">
              <w:rPr>
                <w:rFonts w:ascii="Arial" w:hAnsi="Arial" w:cs="Arial"/>
                <w:sz w:val="20"/>
                <w:szCs w:val="20"/>
              </w:rPr>
              <w:t>any remarks concerning the outcome of the procedure;</w:t>
            </w:r>
          </w:p>
          <w:p w14:paraId="4A9B6FE0" w14:textId="77777777" w:rsidR="00814E00" w:rsidRPr="00D66EE6" w:rsidRDefault="00814E00" w:rsidP="00131778">
            <w:pPr>
              <w:pStyle w:val="ListParagraph"/>
              <w:numPr>
                <w:ilvl w:val="1"/>
                <w:numId w:val="22"/>
              </w:numPr>
              <w:spacing w:before="160" w:after="160" w:line="276" w:lineRule="auto"/>
              <w:contextualSpacing/>
              <w:rPr>
                <w:rFonts w:ascii="Arial" w:hAnsi="Arial" w:cs="Arial"/>
                <w:sz w:val="20"/>
                <w:szCs w:val="20"/>
              </w:rPr>
            </w:pPr>
            <w:r w:rsidRPr="00D66EE6">
              <w:rPr>
                <w:rFonts w:ascii="Arial" w:hAnsi="Arial" w:cs="Arial"/>
                <w:sz w:val="20"/>
                <w:szCs w:val="20"/>
              </w:rPr>
              <w:t>any anaesthetic or procedural complications encountered.</w:t>
            </w:r>
          </w:p>
        </w:tc>
        <w:tc>
          <w:tcPr>
            <w:tcW w:w="1571" w:type="pct"/>
            <w:shd w:val="clear" w:color="auto" w:fill="auto"/>
            <w:hideMark/>
          </w:tcPr>
          <w:p w14:paraId="358540B8" w14:textId="77777777" w:rsidR="00A43486" w:rsidRPr="00325CBA" w:rsidRDefault="00A43486" w:rsidP="00A43486">
            <w:pPr>
              <w:rPr>
                <w:rFonts w:cs="Arial"/>
                <w:b/>
                <w:bCs/>
                <w:sz w:val="20"/>
              </w:rPr>
            </w:pPr>
            <w:r w:rsidRPr="00325CBA">
              <w:rPr>
                <w:b/>
                <w:bCs/>
                <w:sz w:val="20"/>
              </w:rPr>
              <w:t xml:space="preserve">CHA/anonymous </w:t>
            </w:r>
          </w:p>
          <w:p w14:paraId="133422C5" w14:textId="77777777" w:rsidR="00814E00" w:rsidRPr="00D66EE6" w:rsidRDefault="00814E00" w:rsidP="00411C0F">
            <w:pPr>
              <w:rPr>
                <w:rFonts w:cs="Arial"/>
                <w:sz w:val="20"/>
              </w:rPr>
            </w:pPr>
            <w:r w:rsidRPr="00D66EE6">
              <w:rPr>
                <w:rFonts w:cs="Arial"/>
                <w:sz w:val="20"/>
              </w:rPr>
              <w:t>No concerns regarding amendment.</w:t>
            </w:r>
          </w:p>
          <w:p w14:paraId="0FADA6DB" w14:textId="77777777" w:rsidR="00814E00" w:rsidRPr="00D66EE6" w:rsidRDefault="00814E00" w:rsidP="00411C0F">
            <w:pPr>
              <w:rPr>
                <w:rFonts w:cs="Arial"/>
                <w:b/>
                <w:bCs/>
                <w:sz w:val="20"/>
              </w:rPr>
            </w:pPr>
            <w:r w:rsidRPr="00D66EE6">
              <w:rPr>
                <w:rFonts w:cs="Arial"/>
                <w:b/>
                <w:bCs/>
                <w:sz w:val="20"/>
              </w:rPr>
              <w:t>Healthscope</w:t>
            </w:r>
          </w:p>
          <w:p w14:paraId="0F5D19F9" w14:textId="77777777" w:rsidR="00814E00" w:rsidRPr="00D66EE6" w:rsidRDefault="00814E00" w:rsidP="00411C0F">
            <w:pPr>
              <w:rPr>
                <w:rFonts w:cs="Arial"/>
                <w:sz w:val="20"/>
              </w:rPr>
            </w:pPr>
            <w:r w:rsidRPr="00D66EE6">
              <w:rPr>
                <w:rFonts w:cs="Arial"/>
                <w:sz w:val="20"/>
              </w:rPr>
              <w:t xml:space="preserve">Healthscope opposes the amendment on the grounds that: </w:t>
            </w:r>
          </w:p>
          <w:p w14:paraId="3AC12CD1" w14:textId="5590B036" w:rsidR="00814E00" w:rsidRPr="00D66EE6" w:rsidRDefault="00FB6E40" w:rsidP="00131778">
            <w:pPr>
              <w:pStyle w:val="ListParagraph"/>
              <w:numPr>
                <w:ilvl w:val="0"/>
                <w:numId w:val="60"/>
              </w:numPr>
              <w:rPr>
                <w:rFonts w:ascii="Arial" w:hAnsi="Arial" w:cs="Arial"/>
                <w:sz w:val="20"/>
                <w:szCs w:val="20"/>
              </w:rPr>
            </w:pPr>
            <w:r>
              <w:rPr>
                <w:rFonts w:ascii="Arial" w:hAnsi="Arial" w:cs="Arial"/>
                <w:sz w:val="20"/>
                <w:szCs w:val="20"/>
              </w:rPr>
              <w:t>I</w:t>
            </w:r>
            <w:r w:rsidR="00814E00" w:rsidRPr="00D66EE6">
              <w:rPr>
                <w:rFonts w:ascii="Arial" w:hAnsi="Arial" w:cs="Arial"/>
                <w:sz w:val="20"/>
                <w:szCs w:val="20"/>
              </w:rPr>
              <w:t xml:space="preserve">t </w:t>
            </w:r>
            <w:r w:rsidR="00814E00" w:rsidRPr="002F3FA9">
              <w:rPr>
                <w:rFonts w:ascii="Arial" w:hAnsi="Arial" w:cs="Arial"/>
                <w:sz w:val="20"/>
                <w:szCs w:val="20"/>
              </w:rPr>
              <w:t>already collects this information through its patient management system, kept in real time at a digital level</w:t>
            </w:r>
            <w:r>
              <w:rPr>
                <w:rFonts w:ascii="Arial" w:hAnsi="Arial" w:cs="Arial"/>
                <w:sz w:val="20"/>
                <w:szCs w:val="20"/>
              </w:rPr>
              <w:t>.</w:t>
            </w:r>
          </w:p>
          <w:p w14:paraId="260F3434" w14:textId="4412326C" w:rsidR="00814E00" w:rsidRPr="00D66EE6" w:rsidRDefault="00B84085" w:rsidP="00131778">
            <w:pPr>
              <w:pStyle w:val="ListParagraph"/>
              <w:numPr>
                <w:ilvl w:val="0"/>
                <w:numId w:val="60"/>
              </w:numPr>
              <w:rPr>
                <w:rFonts w:ascii="Arial" w:hAnsi="Arial" w:cs="Arial"/>
                <w:sz w:val="20"/>
                <w:szCs w:val="20"/>
              </w:rPr>
            </w:pPr>
            <w:r>
              <w:rPr>
                <w:rFonts w:ascii="Arial" w:hAnsi="Arial" w:cs="Arial"/>
                <w:sz w:val="20"/>
                <w:szCs w:val="20"/>
              </w:rPr>
              <w:t>I</w:t>
            </w:r>
            <w:r w:rsidR="00814E00" w:rsidRPr="00D66EE6">
              <w:rPr>
                <w:rFonts w:ascii="Arial" w:hAnsi="Arial" w:cs="Arial"/>
                <w:sz w:val="20"/>
                <w:szCs w:val="20"/>
              </w:rPr>
              <w:t xml:space="preserve">t </w:t>
            </w:r>
            <w:r w:rsidR="00814E00" w:rsidRPr="002F3FA9">
              <w:rPr>
                <w:rFonts w:ascii="Arial" w:hAnsi="Arial" w:cs="Arial"/>
                <w:sz w:val="20"/>
                <w:szCs w:val="20"/>
              </w:rPr>
              <w:t xml:space="preserve">does not collect this information specifically for the operation theatre register, which is not digitised. </w:t>
            </w:r>
          </w:p>
          <w:p w14:paraId="55A50395" w14:textId="5E8DC1EB" w:rsidR="00814E00" w:rsidRPr="00D66EE6" w:rsidRDefault="00B84085" w:rsidP="00131778">
            <w:pPr>
              <w:pStyle w:val="ListParagraph"/>
              <w:numPr>
                <w:ilvl w:val="0"/>
                <w:numId w:val="60"/>
              </w:numPr>
              <w:rPr>
                <w:rFonts w:ascii="Arial" w:hAnsi="Arial" w:cs="Arial"/>
                <w:sz w:val="20"/>
                <w:szCs w:val="20"/>
              </w:rPr>
            </w:pPr>
            <w:r>
              <w:rPr>
                <w:rFonts w:ascii="Arial" w:hAnsi="Arial" w:cs="Arial"/>
                <w:sz w:val="20"/>
                <w:szCs w:val="20"/>
              </w:rPr>
              <w:t>T</w:t>
            </w:r>
            <w:r w:rsidR="00814E00" w:rsidRPr="002F3FA9">
              <w:rPr>
                <w:rFonts w:ascii="Arial" w:hAnsi="Arial" w:cs="Arial"/>
                <w:sz w:val="20"/>
                <w:szCs w:val="20"/>
              </w:rPr>
              <w:t>he Federal Government is encouraging digital systems and this does not align.</w:t>
            </w:r>
          </w:p>
          <w:p w14:paraId="13E6D5CF" w14:textId="06416C99" w:rsidR="00814E00" w:rsidRPr="00D66EE6" w:rsidRDefault="00B84085" w:rsidP="00131778">
            <w:pPr>
              <w:pStyle w:val="ListParagraph"/>
              <w:numPr>
                <w:ilvl w:val="0"/>
                <w:numId w:val="60"/>
              </w:numPr>
              <w:rPr>
                <w:rFonts w:ascii="Arial" w:hAnsi="Arial" w:cs="Arial"/>
                <w:sz w:val="20"/>
                <w:szCs w:val="20"/>
              </w:rPr>
            </w:pPr>
            <w:r>
              <w:rPr>
                <w:rFonts w:ascii="Arial" w:hAnsi="Arial" w:cs="Arial"/>
                <w:sz w:val="20"/>
                <w:szCs w:val="20"/>
              </w:rPr>
              <w:t>T</w:t>
            </w:r>
            <w:r w:rsidR="00814E00" w:rsidRPr="002F3FA9">
              <w:rPr>
                <w:rFonts w:ascii="Arial" w:hAnsi="Arial" w:cs="Arial"/>
                <w:sz w:val="20"/>
                <w:szCs w:val="20"/>
              </w:rPr>
              <w:t xml:space="preserve">his is an unnecessary burden and in practice would be </w:t>
            </w:r>
            <w:r w:rsidR="00814E00" w:rsidRPr="00D66EE6">
              <w:rPr>
                <w:rFonts w:ascii="Arial" w:hAnsi="Arial" w:cs="Arial"/>
                <w:sz w:val="20"/>
                <w:szCs w:val="20"/>
              </w:rPr>
              <w:t xml:space="preserve">a </w:t>
            </w:r>
            <w:r w:rsidR="00814E00" w:rsidRPr="002F3FA9">
              <w:rPr>
                <w:rFonts w:ascii="Arial" w:hAnsi="Arial" w:cs="Arial"/>
                <w:sz w:val="20"/>
                <w:szCs w:val="20"/>
              </w:rPr>
              <w:t xml:space="preserve">voluminous </w:t>
            </w:r>
            <w:r w:rsidR="00814E00" w:rsidRPr="00D66EE6">
              <w:rPr>
                <w:rFonts w:ascii="Arial" w:hAnsi="Arial" w:cs="Arial"/>
                <w:sz w:val="20"/>
                <w:szCs w:val="20"/>
              </w:rPr>
              <w:t xml:space="preserve">list </w:t>
            </w:r>
            <w:r w:rsidR="00814E00" w:rsidRPr="002F3FA9">
              <w:rPr>
                <w:rFonts w:ascii="Arial" w:hAnsi="Arial" w:cs="Arial"/>
                <w:sz w:val="20"/>
                <w:szCs w:val="20"/>
              </w:rPr>
              <w:t>at each site.</w:t>
            </w:r>
          </w:p>
          <w:p w14:paraId="1FA7690F" w14:textId="77777777" w:rsidR="0039383B" w:rsidRPr="002F3FA9" w:rsidRDefault="0039383B" w:rsidP="0039383B">
            <w:pPr>
              <w:pStyle w:val="ListParagraph"/>
              <w:ind w:left="360"/>
              <w:rPr>
                <w:rFonts w:ascii="Arial" w:hAnsi="Arial" w:cs="Arial"/>
                <w:sz w:val="20"/>
                <w:szCs w:val="20"/>
              </w:rPr>
            </w:pPr>
          </w:p>
          <w:p w14:paraId="522698E3" w14:textId="77777777" w:rsidR="00814E00" w:rsidRPr="00D66EE6" w:rsidRDefault="00814E00" w:rsidP="001562A6">
            <w:pPr>
              <w:rPr>
                <w:rFonts w:cs="Arial"/>
                <w:b/>
                <w:bCs/>
                <w:sz w:val="20"/>
              </w:rPr>
            </w:pPr>
            <w:r w:rsidRPr="00D66EE6">
              <w:rPr>
                <w:rFonts w:cs="Arial"/>
                <w:b/>
                <w:bCs/>
                <w:sz w:val="20"/>
              </w:rPr>
              <w:t>ASMIRT</w:t>
            </w:r>
          </w:p>
          <w:p w14:paraId="2DC41495" w14:textId="6ACF53F5" w:rsidR="00814E00" w:rsidRPr="00D66EE6" w:rsidRDefault="00814E00" w:rsidP="001562A6">
            <w:pPr>
              <w:rPr>
                <w:rFonts w:cs="Arial"/>
                <w:sz w:val="20"/>
              </w:rPr>
            </w:pPr>
            <w:r w:rsidRPr="00D66EE6">
              <w:rPr>
                <w:rFonts w:cs="Arial"/>
                <w:sz w:val="20"/>
              </w:rPr>
              <w:t>Suggests recording (c) sex at birth and gender, agree to include radiographer at (g), and recommends (j) sufficient detail of any implant used for the purpose of determining the safety status of the implant for any future MRI examination. ASMIRT suggests that there is a searchable database for these items.</w:t>
            </w:r>
          </w:p>
          <w:p w14:paraId="3219E05E" w14:textId="77777777" w:rsidR="00814E00" w:rsidRPr="00D66EE6" w:rsidRDefault="00814E00" w:rsidP="001562A6">
            <w:pPr>
              <w:rPr>
                <w:rFonts w:cs="Arial"/>
                <w:b/>
                <w:bCs/>
                <w:sz w:val="20"/>
              </w:rPr>
            </w:pPr>
            <w:r w:rsidRPr="00D66EE6">
              <w:rPr>
                <w:rFonts w:cs="Arial"/>
                <w:b/>
                <w:bCs/>
                <w:sz w:val="20"/>
              </w:rPr>
              <w:t>ANMF</w:t>
            </w:r>
          </w:p>
          <w:p w14:paraId="25C15250" w14:textId="6A4821C6" w:rsidR="00814E00" w:rsidRPr="00D66EE6" w:rsidRDefault="00814E00" w:rsidP="001562A6">
            <w:pPr>
              <w:rPr>
                <w:rFonts w:cs="Arial"/>
                <w:sz w:val="20"/>
              </w:rPr>
            </w:pPr>
            <w:r w:rsidRPr="00D66EE6">
              <w:rPr>
                <w:rFonts w:cs="Arial"/>
                <w:sz w:val="20"/>
              </w:rPr>
              <w:t xml:space="preserve">Supports the amendment, but proposes better alignment with Department of Health </w:t>
            </w:r>
            <w:hyperlink r:id="rId30" w:history="1">
              <w:r w:rsidRPr="00BA6A46">
                <w:rPr>
                  <w:rStyle w:val="Hyperlink"/>
                  <w:rFonts w:cs="Arial"/>
                  <w:sz w:val="20"/>
                </w:rPr>
                <w:t>Guidance note: Inclusive collection and reporting of sex and gender data</w:t>
              </w:r>
            </w:hyperlink>
            <w:r w:rsidR="00BA6A46">
              <w:rPr>
                <w:rStyle w:val="FootnoteReference"/>
                <w:rFonts w:cs="Arial"/>
                <w:sz w:val="20"/>
              </w:rPr>
              <w:footnoteReference w:id="17"/>
            </w:r>
            <w:r w:rsidRPr="00BA6A46">
              <w:rPr>
                <w:rFonts w:cs="Arial"/>
                <w:sz w:val="20"/>
              </w:rPr>
              <w:t xml:space="preserve"> </w:t>
            </w:r>
            <w:r w:rsidRPr="00D66EE6">
              <w:rPr>
                <w:rFonts w:cs="Arial"/>
                <w:sz w:val="20"/>
              </w:rPr>
              <w:t>by changing to:</w:t>
            </w:r>
          </w:p>
          <w:p w14:paraId="047F8A94" w14:textId="77777777" w:rsidR="00814E00" w:rsidRPr="00D66EE6" w:rsidRDefault="00814E00" w:rsidP="001562A6">
            <w:pPr>
              <w:rPr>
                <w:rFonts w:cs="Arial"/>
                <w:sz w:val="20"/>
              </w:rPr>
            </w:pPr>
            <w:r w:rsidRPr="00D66EE6">
              <w:rPr>
                <w:rFonts w:cs="Arial"/>
                <w:sz w:val="20"/>
              </w:rPr>
              <w:t xml:space="preserve">47(2)(c) the full name of the patient, </w:t>
            </w:r>
            <w:r w:rsidRPr="00D66EE6">
              <w:rPr>
                <w:rFonts w:cs="Arial"/>
                <w:strike/>
                <w:sz w:val="20"/>
              </w:rPr>
              <w:t>his or her</w:t>
            </w:r>
            <w:r w:rsidRPr="00D66EE6">
              <w:rPr>
                <w:rFonts w:cs="Arial"/>
                <w:sz w:val="20"/>
              </w:rPr>
              <w:t xml:space="preserve"> </w:t>
            </w:r>
            <w:r w:rsidRPr="00D66EE6">
              <w:rPr>
                <w:rFonts w:cs="Arial"/>
                <w:color w:val="FF0000"/>
                <w:sz w:val="20"/>
              </w:rPr>
              <w:t xml:space="preserve">their assigned </w:t>
            </w:r>
            <w:r w:rsidRPr="00D66EE6">
              <w:rPr>
                <w:rFonts w:cs="Arial"/>
                <w:sz w:val="20"/>
              </w:rPr>
              <w:t xml:space="preserve">sex </w:t>
            </w:r>
            <w:r w:rsidRPr="00D66EE6">
              <w:rPr>
                <w:rFonts w:cs="Arial"/>
                <w:color w:val="FF0000"/>
                <w:sz w:val="20"/>
              </w:rPr>
              <w:t xml:space="preserve">at birth, gender identity </w:t>
            </w:r>
            <w:r w:rsidRPr="00D66EE6">
              <w:rPr>
                <w:rFonts w:cs="Arial"/>
                <w:sz w:val="20"/>
              </w:rPr>
              <w:t>and date of birth;</w:t>
            </w:r>
          </w:p>
        </w:tc>
        <w:tc>
          <w:tcPr>
            <w:tcW w:w="1571" w:type="pct"/>
            <w:shd w:val="clear" w:color="auto" w:fill="auto"/>
          </w:tcPr>
          <w:p w14:paraId="34CFD0E1" w14:textId="724A36AC" w:rsidR="00814E00" w:rsidRPr="00D66EE6" w:rsidRDefault="00814E00" w:rsidP="00C908BC">
            <w:pPr>
              <w:rPr>
                <w:rFonts w:cs="Arial"/>
                <w:sz w:val="20"/>
              </w:rPr>
            </w:pPr>
            <w:r w:rsidRPr="00D66EE6">
              <w:rPr>
                <w:rFonts w:cs="Arial"/>
                <w:sz w:val="20"/>
              </w:rPr>
              <w:t xml:space="preserve">In response to </w:t>
            </w:r>
            <w:r w:rsidRPr="00D66EE6">
              <w:rPr>
                <w:rFonts w:cs="Arial"/>
                <w:b/>
                <w:bCs/>
                <w:sz w:val="20"/>
              </w:rPr>
              <w:t>Healthscope’s</w:t>
            </w:r>
            <w:r w:rsidRPr="00D66EE6">
              <w:rPr>
                <w:rFonts w:cs="Arial"/>
                <w:sz w:val="20"/>
              </w:rPr>
              <w:t xml:space="preserve"> comments:</w:t>
            </w:r>
          </w:p>
          <w:p w14:paraId="238D0555" w14:textId="1EE4431A" w:rsidR="00814E00" w:rsidRPr="00D66EE6" w:rsidRDefault="00814E00" w:rsidP="00131778">
            <w:pPr>
              <w:pStyle w:val="ListParagraph"/>
              <w:numPr>
                <w:ilvl w:val="0"/>
                <w:numId w:val="40"/>
              </w:numPr>
              <w:spacing w:before="160" w:after="160" w:line="276" w:lineRule="auto"/>
              <w:contextualSpacing/>
              <w:rPr>
                <w:rFonts w:ascii="Arial" w:hAnsi="Arial" w:cs="Arial"/>
                <w:sz w:val="20"/>
                <w:szCs w:val="20"/>
              </w:rPr>
            </w:pPr>
            <w:r w:rsidRPr="00D66EE6">
              <w:rPr>
                <w:rFonts w:ascii="Arial" w:hAnsi="Arial" w:cs="Arial"/>
                <w:sz w:val="20"/>
                <w:szCs w:val="20"/>
              </w:rPr>
              <w:t>If Healthscope is already collecting the required information – in whatever form – they are compliant with the current Regulation and will be compliant with the proposed amended Regulation, which is a name change for the register.</w:t>
            </w:r>
          </w:p>
          <w:p w14:paraId="61D98C53" w14:textId="554D2964" w:rsidR="003F67CD" w:rsidRPr="00403632" w:rsidRDefault="00814E00">
            <w:pPr>
              <w:pStyle w:val="ListParagraph"/>
              <w:numPr>
                <w:ilvl w:val="0"/>
                <w:numId w:val="40"/>
              </w:numPr>
              <w:spacing w:before="160" w:after="160" w:line="276" w:lineRule="auto"/>
              <w:contextualSpacing/>
              <w:rPr>
                <w:rFonts w:ascii="Arial" w:hAnsi="Arial" w:cs="Arial"/>
                <w:sz w:val="20"/>
                <w:szCs w:val="20"/>
              </w:rPr>
            </w:pPr>
            <w:r w:rsidRPr="00403632">
              <w:rPr>
                <w:rFonts w:ascii="Arial" w:hAnsi="Arial" w:cs="Arial"/>
                <w:sz w:val="20"/>
                <w:szCs w:val="20"/>
              </w:rPr>
              <w:t>Nothing in the drafting of the Regulation prevents the register from being assembled from digital records.</w:t>
            </w:r>
            <w:r w:rsidR="00403632">
              <w:rPr>
                <w:rFonts w:ascii="Arial" w:hAnsi="Arial" w:cs="Arial"/>
                <w:sz w:val="20"/>
                <w:szCs w:val="20"/>
              </w:rPr>
              <w:t xml:space="preserve"> </w:t>
            </w:r>
            <w:r w:rsidR="003F67CD" w:rsidRPr="00403632">
              <w:rPr>
                <w:rFonts w:ascii="Arial" w:hAnsi="Arial" w:cs="Arial"/>
                <w:sz w:val="20"/>
                <w:szCs w:val="20"/>
              </w:rPr>
              <w:t xml:space="preserve">Provided the information specified </w:t>
            </w:r>
            <w:r w:rsidR="001561F8" w:rsidRPr="00403632">
              <w:rPr>
                <w:rFonts w:ascii="Arial" w:hAnsi="Arial" w:cs="Arial"/>
                <w:sz w:val="20"/>
                <w:szCs w:val="20"/>
              </w:rPr>
              <w:t>in r.</w:t>
            </w:r>
            <w:r w:rsidR="004B3F9C" w:rsidRPr="00403632">
              <w:rPr>
                <w:rFonts w:ascii="Arial" w:hAnsi="Arial" w:cs="Arial"/>
                <w:sz w:val="20"/>
                <w:szCs w:val="20"/>
              </w:rPr>
              <w:t xml:space="preserve">47(2) can be </w:t>
            </w:r>
            <w:r w:rsidR="00A74267" w:rsidRPr="00403632">
              <w:rPr>
                <w:rFonts w:ascii="Arial" w:hAnsi="Arial" w:cs="Arial"/>
                <w:sz w:val="20"/>
                <w:szCs w:val="20"/>
              </w:rPr>
              <w:t xml:space="preserve">compiled and </w:t>
            </w:r>
            <w:r w:rsidR="0080030F" w:rsidRPr="00403632">
              <w:rPr>
                <w:rFonts w:ascii="Arial" w:hAnsi="Arial" w:cs="Arial"/>
                <w:sz w:val="20"/>
                <w:szCs w:val="20"/>
              </w:rPr>
              <w:t xml:space="preserve">presented for </w:t>
            </w:r>
            <w:r w:rsidR="006C57C6" w:rsidRPr="00403632">
              <w:rPr>
                <w:rFonts w:ascii="Arial" w:hAnsi="Arial" w:cs="Arial"/>
                <w:sz w:val="20"/>
                <w:szCs w:val="20"/>
              </w:rPr>
              <w:t>inspection by the Regulator</w:t>
            </w:r>
            <w:r w:rsidR="009679BC">
              <w:rPr>
                <w:rFonts w:ascii="Arial" w:hAnsi="Arial" w:cs="Arial"/>
                <w:sz w:val="20"/>
                <w:szCs w:val="20"/>
              </w:rPr>
              <w:t xml:space="preserve"> – in </w:t>
            </w:r>
            <w:r w:rsidR="00067EC6">
              <w:rPr>
                <w:rFonts w:ascii="Arial" w:hAnsi="Arial" w:cs="Arial"/>
                <w:sz w:val="20"/>
                <w:szCs w:val="20"/>
              </w:rPr>
              <w:t>paper</w:t>
            </w:r>
            <w:r w:rsidR="009679BC">
              <w:rPr>
                <w:rFonts w:ascii="Arial" w:hAnsi="Arial" w:cs="Arial"/>
                <w:sz w:val="20"/>
                <w:szCs w:val="20"/>
              </w:rPr>
              <w:t xml:space="preserve"> or </w:t>
            </w:r>
            <w:r w:rsidR="00EC6E82" w:rsidRPr="00403632">
              <w:rPr>
                <w:rFonts w:ascii="Arial" w:hAnsi="Arial" w:cs="Arial"/>
                <w:sz w:val="20"/>
                <w:szCs w:val="20"/>
              </w:rPr>
              <w:t>digital form</w:t>
            </w:r>
            <w:r w:rsidR="009679BC">
              <w:rPr>
                <w:rFonts w:ascii="Arial" w:hAnsi="Arial" w:cs="Arial"/>
                <w:sz w:val="20"/>
                <w:szCs w:val="20"/>
              </w:rPr>
              <w:t xml:space="preserve"> </w:t>
            </w:r>
            <w:r w:rsidR="00067EC6">
              <w:rPr>
                <w:rFonts w:ascii="Arial" w:hAnsi="Arial" w:cs="Arial"/>
                <w:sz w:val="20"/>
                <w:szCs w:val="20"/>
              </w:rPr>
              <w:t>–</w:t>
            </w:r>
            <w:r w:rsidR="00EC6E82" w:rsidRPr="00403632">
              <w:rPr>
                <w:rFonts w:ascii="Arial" w:hAnsi="Arial" w:cs="Arial"/>
                <w:sz w:val="20"/>
                <w:szCs w:val="20"/>
              </w:rPr>
              <w:t xml:space="preserve"> </w:t>
            </w:r>
            <w:r w:rsidR="00403632">
              <w:rPr>
                <w:rFonts w:ascii="Arial" w:hAnsi="Arial" w:cs="Arial"/>
                <w:sz w:val="20"/>
                <w:szCs w:val="20"/>
              </w:rPr>
              <w:t>the HSE will be compliant.</w:t>
            </w:r>
          </w:p>
          <w:p w14:paraId="572D58EC" w14:textId="12C7A1EF" w:rsidR="00814E00" w:rsidRPr="00D66EE6" w:rsidRDefault="00814E00" w:rsidP="00D32E15">
            <w:pPr>
              <w:rPr>
                <w:rFonts w:cs="Arial"/>
                <w:sz w:val="20"/>
              </w:rPr>
            </w:pPr>
            <w:r w:rsidRPr="00D66EE6">
              <w:rPr>
                <w:rFonts w:cs="Arial"/>
                <w:sz w:val="20"/>
              </w:rPr>
              <w:t xml:space="preserve">In response to </w:t>
            </w:r>
            <w:r w:rsidRPr="00D66EE6">
              <w:rPr>
                <w:rFonts w:cs="Arial"/>
                <w:b/>
                <w:bCs/>
                <w:sz w:val="20"/>
              </w:rPr>
              <w:t>ASMIRT’s</w:t>
            </w:r>
            <w:r w:rsidRPr="00D66EE6">
              <w:rPr>
                <w:rFonts w:cs="Arial"/>
                <w:sz w:val="20"/>
              </w:rPr>
              <w:t xml:space="preserve"> comments:</w:t>
            </w:r>
          </w:p>
          <w:p w14:paraId="01B9430F" w14:textId="264AFB42" w:rsidR="00814E00" w:rsidRPr="00D66EE6" w:rsidRDefault="00814E00" w:rsidP="00131778">
            <w:pPr>
              <w:pStyle w:val="ListParagraph"/>
              <w:numPr>
                <w:ilvl w:val="0"/>
                <w:numId w:val="41"/>
              </w:numPr>
              <w:spacing w:before="160" w:after="160" w:line="276" w:lineRule="auto"/>
              <w:contextualSpacing/>
              <w:rPr>
                <w:rFonts w:ascii="Arial" w:hAnsi="Arial" w:cs="Arial"/>
                <w:sz w:val="20"/>
                <w:szCs w:val="20"/>
              </w:rPr>
            </w:pPr>
            <w:r w:rsidRPr="00D66EE6">
              <w:rPr>
                <w:rFonts w:ascii="Arial" w:hAnsi="Arial" w:cs="Arial"/>
                <w:sz w:val="20"/>
                <w:szCs w:val="20"/>
              </w:rPr>
              <w:t xml:space="preserve">Inclusion of implants </w:t>
            </w:r>
            <w:r w:rsidR="00283F4F">
              <w:rPr>
                <w:rFonts w:ascii="Arial" w:hAnsi="Arial" w:cs="Arial"/>
                <w:sz w:val="20"/>
                <w:szCs w:val="20"/>
              </w:rPr>
              <w:t xml:space="preserve">in </w:t>
            </w:r>
            <w:r w:rsidR="004A4F50">
              <w:rPr>
                <w:rFonts w:ascii="Arial" w:hAnsi="Arial" w:cs="Arial"/>
                <w:sz w:val="20"/>
                <w:szCs w:val="20"/>
              </w:rPr>
              <w:t xml:space="preserve">the </w:t>
            </w:r>
            <w:r w:rsidR="005E77D5">
              <w:rPr>
                <w:rFonts w:ascii="Arial" w:hAnsi="Arial" w:cs="Arial"/>
                <w:sz w:val="20"/>
                <w:szCs w:val="20"/>
              </w:rPr>
              <w:t>S</w:t>
            </w:r>
            <w:r w:rsidR="004A4F50">
              <w:rPr>
                <w:rFonts w:ascii="Arial" w:hAnsi="Arial" w:cs="Arial"/>
                <w:sz w:val="20"/>
                <w:szCs w:val="20"/>
              </w:rPr>
              <w:t xml:space="preserve">urgical </w:t>
            </w:r>
            <w:r w:rsidR="005E77D5">
              <w:rPr>
                <w:rFonts w:ascii="Arial" w:hAnsi="Arial" w:cs="Arial"/>
                <w:sz w:val="20"/>
                <w:szCs w:val="20"/>
              </w:rPr>
              <w:t>P</w:t>
            </w:r>
            <w:r w:rsidR="004A4F50">
              <w:rPr>
                <w:rFonts w:ascii="Arial" w:hAnsi="Arial" w:cs="Arial"/>
                <w:sz w:val="20"/>
                <w:szCs w:val="20"/>
              </w:rPr>
              <w:t xml:space="preserve">rocedure </w:t>
            </w:r>
            <w:r w:rsidR="005E77D5">
              <w:rPr>
                <w:rFonts w:ascii="Arial" w:hAnsi="Arial" w:cs="Arial"/>
                <w:sz w:val="20"/>
                <w:szCs w:val="20"/>
              </w:rPr>
              <w:t>R</w:t>
            </w:r>
            <w:r w:rsidR="004A4F50">
              <w:rPr>
                <w:rFonts w:ascii="Arial" w:hAnsi="Arial" w:cs="Arial"/>
                <w:sz w:val="20"/>
                <w:szCs w:val="20"/>
              </w:rPr>
              <w:t xml:space="preserve">egister </w:t>
            </w:r>
            <w:r w:rsidRPr="00D66EE6">
              <w:rPr>
                <w:rFonts w:ascii="Arial" w:hAnsi="Arial" w:cs="Arial"/>
                <w:sz w:val="20"/>
                <w:szCs w:val="20"/>
              </w:rPr>
              <w:t xml:space="preserve">may be considered in Phase 2 </w:t>
            </w:r>
            <w:r w:rsidR="004A4F50">
              <w:rPr>
                <w:rFonts w:ascii="Arial" w:hAnsi="Arial" w:cs="Arial"/>
                <w:sz w:val="20"/>
                <w:szCs w:val="20"/>
              </w:rPr>
              <w:t>when</w:t>
            </w:r>
            <w:r w:rsidRPr="00D66EE6">
              <w:rPr>
                <w:rFonts w:ascii="Arial" w:hAnsi="Arial" w:cs="Arial"/>
                <w:sz w:val="20"/>
                <w:szCs w:val="20"/>
              </w:rPr>
              <w:t xml:space="preserve"> </w:t>
            </w:r>
            <w:r w:rsidR="003777DE">
              <w:rPr>
                <w:rFonts w:ascii="Arial" w:hAnsi="Arial" w:cs="Arial"/>
                <w:sz w:val="20"/>
                <w:szCs w:val="20"/>
              </w:rPr>
              <w:t>a similar requirement</w:t>
            </w:r>
            <w:r w:rsidR="006B4793">
              <w:rPr>
                <w:rFonts w:ascii="Arial" w:hAnsi="Arial" w:cs="Arial"/>
                <w:sz w:val="20"/>
                <w:szCs w:val="20"/>
              </w:rPr>
              <w:t xml:space="preserve"> to record </w:t>
            </w:r>
            <w:r w:rsidR="003777DE">
              <w:rPr>
                <w:rFonts w:ascii="Arial" w:hAnsi="Arial" w:cs="Arial"/>
                <w:sz w:val="20"/>
                <w:szCs w:val="20"/>
              </w:rPr>
              <w:t>cosmetic implants</w:t>
            </w:r>
            <w:r w:rsidR="004F4E5C">
              <w:rPr>
                <w:rFonts w:ascii="Arial" w:hAnsi="Arial" w:cs="Arial"/>
                <w:sz w:val="20"/>
                <w:szCs w:val="20"/>
              </w:rPr>
              <w:t xml:space="preserve"> </w:t>
            </w:r>
            <w:r w:rsidR="004F4E5C" w:rsidRPr="00D66EE6">
              <w:rPr>
                <w:rFonts w:ascii="Arial" w:hAnsi="Arial" w:cs="Arial"/>
                <w:sz w:val="20"/>
                <w:szCs w:val="20"/>
              </w:rPr>
              <w:t>in a cosmetic surgery register</w:t>
            </w:r>
            <w:r w:rsidR="003777DE">
              <w:rPr>
                <w:rFonts w:ascii="Arial" w:hAnsi="Arial" w:cs="Arial"/>
                <w:sz w:val="20"/>
                <w:szCs w:val="20"/>
              </w:rPr>
              <w:t xml:space="preserve"> will be </w:t>
            </w:r>
            <w:r w:rsidR="00F42DA9">
              <w:rPr>
                <w:rFonts w:ascii="Arial" w:hAnsi="Arial" w:cs="Arial"/>
                <w:sz w:val="20"/>
                <w:szCs w:val="20"/>
              </w:rPr>
              <w:t>considered</w:t>
            </w:r>
            <w:r w:rsidR="006B4793">
              <w:rPr>
                <w:rFonts w:ascii="Arial" w:hAnsi="Arial" w:cs="Arial"/>
                <w:sz w:val="20"/>
                <w:szCs w:val="20"/>
              </w:rPr>
              <w:t xml:space="preserve"> to </w:t>
            </w:r>
            <w:r w:rsidRPr="00D66EE6">
              <w:rPr>
                <w:rFonts w:ascii="Arial" w:hAnsi="Arial" w:cs="Arial"/>
                <w:sz w:val="20"/>
                <w:szCs w:val="20"/>
              </w:rPr>
              <w:t>implement the National Cosmetic Surgery Licensing Framework.</w:t>
            </w:r>
          </w:p>
          <w:p w14:paraId="1C91040D" w14:textId="15CA35EF" w:rsidR="00814E00" w:rsidRPr="00D66EE6" w:rsidRDefault="00814E00" w:rsidP="00D32E15">
            <w:pPr>
              <w:rPr>
                <w:rFonts w:cs="Arial"/>
                <w:sz w:val="20"/>
              </w:rPr>
            </w:pPr>
            <w:r w:rsidRPr="00D66EE6">
              <w:rPr>
                <w:rFonts w:cs="Arial"/>
                <w:sz w:val="20"/>
              </w:rPr>
              <w:t xml:space="preserve">In response to </w:t>
            </w:r>
            <w:r w:rsidRPr="00D66EE6">
              <w:rPr>
                <w:rFonts w:cs="Arial"/>
                <w:b/>
                <w:bCs/>
                <w:sz w:val="20"/>
              </w:rPr>
              <w:t>ANMF’s</w:t>
            </w:r>
            <w:r w:rsidRPr="00D66EE6">
              <w:rPr>
                <w:rFonts w:cs="Arial"/>
                <w:sz w:val="20"/>
              </w:rPr>
              <w:t xml:space="preserve"> comments:</w:t>
            </w:r>
          </w:p>
          <w:p w14:paraId="3DEF7BB0" w14:textId="0F0A1426" w:rsidR="00814E00" w:rsidRPr="00D66EE6" w:rsidRDefault="00814E00" w:rsidP="00D32E15">
            <w:pPr>
              <w:rPr>
                <w:rFonts w:cs="Arial"/>
                <w:sz w:val="20"/>
              </w:rPr>
            </w:pPr>
            <w:r w:rsidRPr="00D66EE6">
              <w:rPr>
                <w:rFonts w:eastAsia="Arial" w:cs="Arial"/>
                <w:color w:val="000000" w:themeColor="text1"/>
                <w:sz w:val="20"/>
              </w:rPr>
              <w:t xml:space="preserve">As discussed above, the </w:t>
            </w:r>
            <w:r w:rsidR="00C87601">
              <w:rPr>
                <w:rFonts w:eastAsia="Arial" w:cs="Arial"/>
                <w:color w:val="000000" w:themeColor="text1"/>
                <w:sz w:val="20"/>
              </w:rPr>
              <w:t>department</w:t>
            </w:r>
            <w:r w:rsidRPr="00D66EE6">
              <w:rPr>
                <w:rFonts w:eastAsia="Arial" w:cs="Arial"/>
                <w:color w:val="000000" w:themeColor="text1"/>
                <w:sz w:val="20"/>
              </w:rPr>
              <w:t xml:space="preserve"> will consider and consult on ANMF’s proposed change during Phase 2 reforms.</w:t>
            </w:r>
          </w:p>
        </w:tc>
      </w:tr>
      <w:tr w:rsidR="00814E00" w:rsidRPr="00D66EE6" w14:paraId="7F9CBAFD" w14:textId="77777777" w:rsidTr="00D66EE6">
        <w:trPr>
          <w:trHeight w:val="1200"/>
        </w:trPr>
        <w:tc>
          <w:tcPr>
            <w:tcW w:w="288" w:type="pct"/>
            <w:hideMark/>
          </w:tcPr>
          <w:p w14:paraId="42956B6C" w14:textId="77777777" w:rsidR="00814E00" w:rsidRPr="00D66EE6" w:rsidRDefault="00814E00" w:rsidP="001562A6">
            <w:pPr>
              <w:rPr>
                <w:rFonts w:cs="Arial"/>
                <w:sz w:val="20"/>
              </w:rPr>
            </w:pPr>
            <w:r w:rsidRPr="00D66EE6">
              <w:rPr>
                <w:rFonts w:cs="Arial"/>
                <w:sz w:val="20"/>
              </w:rPr>
              <w:t>41</w:t>
            </w:r>
          </w:p>
        </w:tc>
        <w:tc>
          <w:tcPr>
            <w:tcW w:w="1570" w:type="pct"/>
            <w:hideMark/>
          </w:tcPr>
          <w:p w14:paraId="7946F795" w14:textId="77777777" w:rsidR="00814E00" w:rsidRPr="00D66EE6" w:rsidRDefault="00814E00" w:rsidP="001562A6">
            <w:pPr>
              <w:rPr>
                <w:rFonts w:cs="Arial"/>
                <w:b/>
                <w:strike/>
                <w:sz w:val="20"/>
              </w:rPr>
            </w:pPr>
            <w:r w:rsidRPr="00D66EE6">
              <w:rPr>
                <w:rFonts w:cs="Arial"/>
                <w:b/>
                <w:strike/>
                <w:sz w:val="20"/>
              </w:rPr>
              <w:t>Prevention of scalding</w:t>
            </w:r>
          </w:p>
          <w:p w14:paraId="3294F7CE" w14:textId="77777777" w:rsidR="00814E00" w:rsidRPr="00D66EE6" w:rsidRDefault="00814E00" w:rsidP="001562A6">
            <w:pPr>
              <w:rPr>
                <w:rFonts w:cs="Arial"/>
                <w:strike/>
                <w:sz w:val="20"/>
              </w:rPr>
            </w:pPr>
            <w:r w:rsidRPr="00D66EE6">
              <w:rPr>
                <w:rFonts w:cs="Arial"/>
                <w:strike/>
                <w:sz w:val="20"/>
              </w:rPr>
              <w:t>The proprietor of a health service establishment must ensure that every bath, shower and hand basin used by patients is installed with a system or mechanism to avoid the risk of scalding by controlling the outlet temperature of hot water.</w:t>
            </w:r>
          </w:p>
        </w:tc>
        <w:tc>
          <w:tcPr>
            <w:tcW w:w="1571" w:type="pct"/>
            <w:hideMark/>
          </w:tcPr>
          <w:p w14:paraId="5C92A49B" w14:textId="4F58491F" w:rsidR="00814E00" w:rsidRPr="00D66EE6" w:rsidRDefault="00814E00" w:rsidP="001562A6">
            <w:pPr>
              <w:rPr>
                <w:rFonts w:cs="Arial"/>
                <w:sz w:val="20"/>
              </w:rPr>
            </w:pPr>
            <w:r w:rsidRPr="00D66EE6">
              <w:rPr>
                <w:rFonts w:cs="Arial"/>
                <w:sz w:val="20"/>
              </w:rPr>
              <w:t>All stakeholders support this amendment.</w:t>
            </w:r>
          </w:p>
        </w:tc>
        <w:tc>
          <w:tcPr>
            <w:tcW w:w="1571" w:type="pct"/>
          </w:tcPr>
          <w:p w14:paraId="00C1A468" w14:textId="77777777" w:rsidR="00814E00" w:rsidRPr="00D66EE6" w:rsidRDefault="00814E00" w:rsidP="001562A6">
            <w:pPr>
              <w:rPr>
                <w:rFonts w:cs="Arial"/>
                <w:sz w:val="20"/>
              </w:rPr>
            </w:pPr>
            <w:r w:rsidRPr="00D66EE6">
              <w:rPr>
                <w:rFonts w:cs="Arial"/>
                <w:sz w:val="20"/>
              </w:rPr>
              <w:t>n/a</w:t>
            </w:r>
          </w:p>
        </w:tc>
      </w:tr>
      <w:tr w:rsidR="00814E00" w:rsidRPr="00D66EE6" w14:paraId="21252CC9" w14:textId="77777777" w:rsidTr="00D66EE6">
        <w:trPr>
          <w:trHeight w:val="3300"/>
        </w:trPr>
        <w:tc>
          <w:tcPr>
            <w:tcW w:w="288" w:type="pct"/>
            <w:hideMark/>
          </w:tcPr>
          <w:p w14:paraId="5FBD95B4" w14:textId="77777777" w:rsidR="00814E00" w:rsidRPr="00D66EE6" w:rsidRDefault="00814E00" w:rsidP="001562A6">
            <w:pPr>
              <w:rPr>
                <w:rFonts w:cs="Arial"/>
                <w:sz w:val="20"/>
              </w:rPr>
            </w:pPr>
            <w:r w:rsidRPr="00D66EE6">
              <w:rPr>
                <w:rFonts w:cs="Arial"/>
                <w:sz w:val="20"/>
              </w:rPr>
              <w:lastRenderedPageBreak/>
              <w:t>45</w:t>
            </w:r>
          </w:p>
          <w:p w14:paraId="07250B6C" w14:textId="77777777" w:rsidR="00814E00" w:rsidRPr="00D66EE6" w:rsidRDefault="00814E00" w:rsidP="001562A6">
            <w:pPr>
              <w:rPr>
                <w:rFonts w:cs="Arial"/>
                <w:sz w:val="20"/>
              </w:rPr>
            </w:pPr>
            <w:r w:rsidRPr="00D66EE6">
              <w:rPr>
                <w:rFonts w:cs="Arial"/>
                <w:color w:val="FF0000"/>
                <w:sz w:val="20"/>
              </w:rPr>
              <w:t>57</w:t>
            </w:r>
          </w:p>
        </w:tc>
        <w:tc>
          <w:tcPr>
            <w:tcW w:w="1570" w:type="pct"/>
            <w:hideMark/>
          </w:tcPr>
          <w:p w14:paraId="3333F51E" w14:textId="77777777" w:rsidR="00814E00" w:rsidRPr="00D66EE6" w:rsidRDefault="00814E00" w:rsidP="001562A6">
            <w:pPr>
              <w:rPr>
                <w:rFonts w:cs="Arial"/>
                <w:sz w:val="20"/>
              </w:rPr>
            </w:pPr>
            <w:r w:rsidRPr="00D66EE6">
              <w:rPr>
                <w:rFonts w:cs="Arial"/>
                <w:b/>
                <w:sz w:val="20"/>
              </w:rPr>
              <w:t>Information to be prominently displayed</w:t>
            </w:r>
          </w:p>
          <w:p w14:paraId="6B4F534B" w14:textId="77777777" w:rsidR="00814E00" w:rsidRPr="00D66EE6" w:rsidRDefault="00814E00" w:rsidP="001562A6">
            <w:pPr>
              <w:rPr>
                <w:rFonts w:cs="Arial"/>
                <w:sz w:val="20"/>
              </w:rPr>
            </w:pPr>
            <w:r w:rsidRPr="00D66EE6">
              <w:rPr>
                <w:rFonts w:cs="Arial"/>
                <w:sz w:val="20"/>
              </w:rPr>
              <w:t>The proprietor of a health service establishment must display in a prominent position at the entrance foyer or reception area of the health service establishment the following information—</w:t>
            </w:r>
          </w:p>
          <w:p w14:paraId="5D3B4474" w14:textId="77777777" w:rsidR="00814E00" w:rsidRPr="00D66EE6" w:rsidRDefault="00814E00" w:rsidP="00131778">
            <w:pPr>
              <w:pStyle w:val="ListParagraph"/>
              <w:numPr>
                <w:ilvl w:val="1"/>
                <w:numId w:val="23"/>
              </w:numPr>
              <w:spacing w:before="160" w:after="160" w:line="276" w:lineRule="auto"/>
              <w:contextualSpacing/>
              <w:rPr>
                <w:rFonts w:ascii="Arial" w:hAnsi="Arial" w:cs="Arial"/>
                <w:color w:val="FF0000"/>
                <w:sz w:val="20"/>
                <w:szCs w:val="20"/>
              </w:rPr>
            </w:pPr>
            <w:r w:rsidRPr="00D66EE6">
              <w:rPr>
                <w:rFonts w:ascii="Arial" w:hAnsi="Arial" w:cs="Arial"/>
                <w:sz w:val="20"/>
                <w:szCs w:val="20"/>
              </w:rPr>
              <w:t>the certificate of registration of the premises as a health service establishment or a full size copy of the certificate;</w:t>
            </w:r>
          </w:p>
          <w:p w14:paraId="45BDF8AC" w14:textId="77777777" w:rsidR="00814E00" w:rsidRPr="00D66EE6" w:rsidRDefault="00814E00" w:rsidP="00131778">
            <w:pPr>
              <w:pStyle w:val="ListParagraph"/>
              <w:numPr>
                <w:ilvl w:val="1"/>
                <w:numId w:val="23"/>
              </w:numPr>
              <w:spacing w:before="160" w:after="160" w:line="276" w:lineRule="auto"/>
              <w:contextualSpacing/>
              <w:rPr>
                <w:rFonts w:ascii="Arial" w:hAnsi="Arial" w:cs="Arial"/>
                <w:sz w:val="20"/>
                <w:szCs w:val="20"/>
              </w:rPr>
            </w:pPr>
            <w:r w:rsidRPr="00D66EE6">
              <w:rPr>
                <w:rFonts w:ascii="Arial" w:hAnsi="Arial" w:cs="Arial"/>
                <w:color w:val="FF0000"/>
                <w:sz w:val="20"/>
                <w:szCs w:val="20"/>
              </w:rPr>
              <w:t>the certificate of accreditation for any accreditation scheme applicable to the health service establishment and approved by the Secretary under section 107(1) of the Act;</w:t>
            </w:r>
          </w:p>
          <w:p w14:paraId="23F9B2DB" w14:textId="77777777" w:rsidR="00814E00" w:rsidRPr="00D66EE6" w:rsidRDefault="00814E00" w:rsidP="00131778">
            <w:pPr>
              <w:pStyle w:val="ListParagraph"/>
              <w:numPr>
                <w:ilvl w:val="1"/>
                <w:numId w:val="23"/>
              </w:numPr>
              <w:spacing w:before="160" w:after="160" w:line="276" w:lineRule="auto"/>
              <w:contextualSpacing/>
              <w:rPr>
                <w:rFonts w:ascii="Arial" w:hAnsi="Arial" w:cs="Arial"/>
                <w:sz w:val="20"/>
                <w:szCs w:val="20"/>
              </w:rPr>
            </w:pPr>
            <w:r w:rsidRPr="00D66EE6">
              <w:rPr>
                <w:rFonts w:ascii="Arial" w:hAnsi="Arial" w:cs="Arial"/>
                <w:sz w:val="20"/>
                <w:szCs w:val="20"/>
              </w:rPr>
              <w:t xml:space="preserve">the name of the Director of Nursing (if required to be appointed) and </w:t>
            </w:r>
            <w:r w:rsidRPr="00D66EE6">
              <w:rPr>
                <w:rFonts w:ascii="Arial" w:hAnsi="Arial" w:cs="Arial"/>
                <w:color w:val="FF0000"/>
                <w:sz w:val="20"/>
                <w:szCs w:val="20"/>
              </w:rPr>
              <w:t xml:space="preserve">the name of any appointed </w:t>
            </w:r>
            <w:r w:rsidRPr="00D66EE6">
              <w:rPr>
                <w:rFonts w:ascii="Arial" w:hAnsi="Arial" w:cs="Arial"/>
                <w:strike/>
                <w:sz w:val="20"/>
                <w:szCs w:val="20"/>
              </w:rPr>
              <w:t>if a</w:t>
            </w:r>
            <w:r w:rsidRPr="00D66EE6">
              <w:rPr>
                <w:rFonts w:ascii="Arial" w:hAnsi="Arial" w:cs="Arial"/>
                <w:sz w:val="20"/>
                <w:szCs w:val="20"/>
              </w:rPr>
              <w:t xml:space="preserve"> Chief Executive Officer or Medical Director (however titled) </w:t>
            </w:r>
            <w:r w:rsidRPr="00D66EE6">
              <w:rPr>
                <w:rFonts w:ascii="Arial" w:hAnsi="Arial" w:cs="Arial"/>
                <w:strike/>
                <w:sz w:val="20"/>
                <w:szCs w:val="20"/>
              </w:rPr>
              <w:t>has been appointed, the name of the Chief Executive Officer or Medical Director</w:t>
            </w:r>
            <w:r w:rsidRPr="00D66EE6">
              <w:rPr>
                <w:rFonts w:ascii="Arial" w:hAnsi="Arial" w:cs="Arial"/>
                <w:sz w:val="20"/>
                <w:szCs w:val="20"/>
              </w:rPr>
              <w:t>;</w:t>
            </w:r>
          </w:p>
          <w:p w14:paraId="3D4F4344" w14:textId="77777777" w:rsidR="00814E00" w:rsidRPr="00D66EE6" w:rsidRDefault="00814E00" w:rsidP="00131778">
            <w:pPr>
              <w:pStyle w:val="ListParagraph"/>
              <w:numPr>
                <w:ilvl w:val="1"/>
                <w:numId w:val="23"/>
              </w:numPr>
              <w:spacing w:before="160" w:after="160" w:line="276" w:lineRule="auto"/>
              <w:contextualSpacing/>
              <w:rPr>
                <w:rFonts w:ascii="Arial" w:hAnsi="Arial" w:cs="Arial"/>
                <w:sz w:val="20"/>
                <w:szCs w:val="20"/>
              </w:rPr>
            </w:pPr>
            <w:r w:rsidRPr="00D66EE6">
              <w:rPr>
                <w:rFonts w:ascii="Arial" w:hAnsi="Arial" w:cs="Arial"/>
                <w:sz w:val="20"/>
                <w:szCs w:val="20"/>
              </w:rPr>
              <w:t xml:space="preserve">the name and contact telephone number of the person nominated under regulation </w:t>
            </w:r>
            <w:r w:rsidRPr="00D66EE6">
              <w:rPr>
                <w:rFonts w:ascii="Arial" w:hAnsi="Arial" w:cs="Arial"/>
                <w:strike/>
                <w:sz w:val="20"/>
                <w:szCs w:val="20"/>
              </w:rPr>
              <w:t>29</w:t>
            </w:r>
            <w:r w:rsidRPr="00D66EE6">
              <w:rPr>
                <w:rFonts w:ascii="Arial" w:hAnsi="Arial" w:cs="Arial"/>
                <w:sz w:val="20"/>
                <w:szCs w:val="20"/>
              </w:rPr>
              <w:t xml:space="preserve"> </w:t>
            </w:r>
            <w:r w:rsidRPr="00D66EE6">
              <w:rPr>
                <w:rFonts w:ascii="Arial" w:hAnsi="Arial" w:cs="Arial"/>
                <w:color w:val="FF0000"/>
                <w:sz w:val="20"/>
                <w:szCs w:val="20"/>
              </w:rPr>
              <w:t xml:space="preserve">38 </w:t>
            </w:r>
            <w:r w:rsidRPr="00D66EE6">
              <w:rPr>
                <w:rFonts w:ascii="Arial" w:hAnsi="Arial" w:cs="Arial"/>
                <w:sz w:val="20"/>
                <w:szCs w:val="20"/>
              </w:rPr>
              <w:t>to receive and deal with complaints.</w:t>
            </w:r>
          </w:p>
        </w:tc>
        <w:tc>
          <w:tcPr>
            <w:tcW w:w="1571" w:type="pct"/>
            <w:hideMark/>
          </w:tcPr>
          <w:p w14:paraId="212BA65B" w14:textId="781FF1BA" w:rsidR="00814E00" w:rsidRPr="00D66EE6" w:rsidRDefault="00814E00" w:rsidP="001562A6">
            <w:pPr>
              <w:rPr>
                <w:rFonts w:cs="Arial"/>
                <w:sz w:val="20"/>
              </w:rPr>
            </w:pPr>
            <w:r w:rsidRPr="00D66EE6">
              <w:rPr>
                <w:rFonts w:cs="Arial"/>
                <w:sz w:val="20"/>
              </w:rPr>
              <w:t>All stakeholders support this amendment.</w:t>
            </w:r>
          </w:p>
        </w:tc>
        <w:tc>
          <w:tcPr>
            <w:tcW w:w="1571" w:type="pct"/>
          </w:tcPr>
          <w:p w14:paraId="2299BDF0" w14:textId="77777777" w:rsidR="00814E00" w:rsidRPr="00D66EE6" w:rsidRDefault="00814E00" w:rsidP="001562A6">
            <w:pPr>
              <w:rPr>
                <w:rFonts w:cs="Arial"/>
                <w:sz w:val="20"/>
              </w:rPr>
            </w:pPr>
            <w:r w:rsidRPr="00D66EE6">
              <w:rPr>
                <w:rFonts w:cs="Arial"/>
                <w:sz w:val="20"/>
              </w:rPr>
              <w:t>n/a</w:t>
            </w:r>
          </w:p>
        </w:tc>
      </w:tr>
      <w:tr w:rsidR="00814E00" w:rsidRPr="00D66EE6" w14:paraId="1CFDED7C" w14:textId="77777777" w:rsidTr="00D66EE6">
        <w:trPr>
          <w:trHeight w:val="2400"/>
        </w:trPr>
        <w:tc>
          <w:tcPr>
            <w:tcW w:w="288" w:type="pct"/>
            <w:hideMark/>
          </w:tcPr>
          <w:p w14:paraId="72B1AF03" w14:textId="77777777" w:rsidR="00814E00" w:rsidRPr="00D66EE6" w:rsidRDefault="00814E00" w:rsidP="001562A6">
            <w:pPr>
              <w:rPr>
                <w:rFonts w:cs="Arial"/>
                <w:color w:val="FF0000"/>
                <w:sz w:val="20"/>
              </w:rPr>
            </w:pPr>
            <w:r w:rsidRPr="00D66EE6">
              <w:rPr>
                <w:rFonts w:cs="Arial"/>
                <w:color w:val="FF0000"/>
                <w:sz w:val="20"/>
              </w:rPr>
              <w:t>NEW</w:t>
            </w:r>
          </w:p>
          <w:p w14:paraId="2593F3A3" w14:textId="77777777" w:rsidR="00814E00" w:rsidRPr="00D66EE6" w:rsidRDefault="00814E00" w:rsidP="001562A6">
            <w:pPr>
              <w:rPr>
                <w:rFonts w:cs="Arial"/>
                <w:sz w:val="20"/>
              </w:rPr>
            </w:pPr>
            <w:r w:rsidRPr="00D66EE6">
              <w:rPr>
                <w:rFonts w:cs="Arial"/>
                <w:color w:val="FF0000"/>
                <w:sz w:val="20"/>
              </w:rPr>
              <w:t>59</w:t>
            </w:r>
          </w:p>
        </w:tc>
        <w:tc>
          <w:tcPr>
            <w:tcW w:w="1570" w:type="pct"/>
            <w:hideMark/>
          </w:tcPr>
          <w:p w14:paraId="37F67D45" w14:textId="77777777" w:rsidR="00814E00" w:rsidRPr="00D66EE6" w:rsidRDefault="00814E00" w:rsidP="001562A6">
            <w:pPr>
              <w:rPr>
                <w:rFonts w:cs="Arial"/>
                <w:b/>
                <w:color w:val="FF0000"/>
                <w:sz w:val="20"/>
              </w:rPr>
            </w:pPr>
            <w:r w:rsidRPr="00D66EE6">
              <w:rPr>
                <w:rFonts w:cs="Arial"/>
                <w:b/>
                <w:color w:val="FF0000"/>
                <w:sz w:val="20"/>
              </w:rPr>
              <w:t>Infringement offences and infringement penalties</w:t>
            </w:r>
          </w:p>
          <w:p w14:paraId="06309DBB" w14:textId="77777777" w:rsidR="00814E00" w:rsidRPr="00D66EE6" w:rsidRDefault="00814E00" w:rsidP="00131778">
            <w:pPr>
              <w:pStyle w:val="ListParagraph"/>
              <w:numPr>
                <w:ilvl w:val="0"/>
                <w:numId w:val="24"/>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 xml:space="preserve">For the purposes of section 155(1) of the Act, an offence specified in Column 1 of the Table in Schedule 9 is prescribed as an infringement offence. </w:t>
            </w:r>
          </w:p>
          <w:p w14:paraId="121FC45C" w14:textId="77777777" w:rsidR="00814E00" w:rsidRPr="00D66EE6" w:rsidRDefault="00814E00" w:rsidP="00131778">
            <w:pPr>
              <w:pStyle w:val="ListParagraph"/>
              <w:numPr>
                <w:ilvl w:val="0"/>
                <w:numId w:val="24"/>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For the purposes of section 155(1) of the Act, the prescribed infringement penalty for an infringement offence referred to in subregulation (1) is the penalty specified in Column 2 of the Table in Schedule 9 in respect of that infringement offence.</w:t>
            </w:r>
          </w:p>
        </w:tc>
        <w:tc>
          <w:tcPr>
            <w:tcW w:w="1571" w:type="pct"/>
            <w:hideMark/>
          </w:tcPr>
          <w:p w14:paraId="79787B78" w14:textId="77777777" w:rsidR="00A41526" w:rsidRPr="00325CBA" w:rsidRDefault="00A41526" w:rsidP="00A41526">
            <w:pPr>
              <w:rPr>
                <w:rFonts w:cs="Arial"/>
                <w:b/>
                <w:bCs/>
                <w:sz w:val="20"/>
              </w:rPr>
            </w:pPr>
            <w:r w:rsidRPr="00325CBA">
              <w:rPr>
                <w:b/>
                <w:bCs/>
                <w:sz w:val="20"/>
              </w:rPr>
              <w:t xml:space="preserve">CHA/anonymous </w:t>
            </w:r>
          </w:p>
          <w:p w14:paraId="7EF934EB" w14:textId="4D87E08D" w:rsidR="00814E00" w:rsidRPr="00D66EE6" w:rsidRDefault="00814E00" w:rsidP="001562A6">
            <w:pPr>
              <w:rPr>
                <w:rFonts w:cs="Arial"/>
                <w:sz w:val="20"/>
              </w:rPr>
            </w:pPr>
            <w:r w:rsidRPr="00D66EE6">
              <w:rPr>
                <w:rFonts w:cs="Arial"/>
                <w:sz w:val="20"/>
              </w:rPr>
              <w:t>Acknowledges there is a place for penalties and sanctions in extreme circumstances. Creating a culture of safety through transparency means that consideration should be given to non-punitive measures.</w:t>
            </w:r>
          </w:p>
          <w:p w14:paraId="39702504" w14:textId="77777777" w:rsidR="00814E00" w:rsidRPr="00D66EE6" w:rsidRDefault="00814E00" w:rsidP="001562A6">
            <w:pPr>
              <w:rPr>
                <w:rFonts w:cs="Arial"/>
                <w:sz w:val="20"/>
              </w:rPr>
            </w:pPr>
            <w:r w:rsidRPr="00D66EE6">
              <w:rPr>
                <w:rFonts w:cs="Arial"/>
                <w:sz w:val="20"/>
              </w:rPr>
              <w:t>If deemed necessary, penalties and sanctions should apply equally to public and private.</w:t>
            </w:r>
          </w:p>
          <w:p w14:paraId="36E780E9" w14:textId="77777777" w:rsidR="00814E00" w:rsidRPr="00D66EE6" w:rsidRDefault="00814E00" w:rsidP="001562A6">
            <w:pPr>
              <w:rPr>
                <w:rFonts w:cs="Arial"/>
                <w:b/>
                <w:bCs/>
                <w:sz w:val="20"/>
              </w:rPr>
            </w:pPr>
            <w:r w:rsidRPr="00D66EE6">
              <w:rPr>
                <w:rFonts w:cs="Arial"/>
                <w:b/>
                <w:bCs/>
                <w:sz w:val="20"/>
              </w:rPr>
              <w:t>ANMF</w:t>
            </w:r>
          </w:p>
          <w:p w14:paraId="6A49477A" w14:textId="77777777" w:rsidR="00814E00" w:rsidRPr="00D66EE6" w:rsidRDefault="00814E00" w:rsidP="001562A6">
            <w:pPr>
              <w:rPr>
                <w:rFonts w:cs="Arial"/>
                <w:b/>
                <w:bCs/>
                <w:sz w:val="20"/>
                <w:u w:val="single"/>
              </w:rPr>
            </w:pPr>
            <w:r w:rsidRPr="00D66EE6">
              <w:rPr>
                <w:rFonts w:cs="Arial"/>
                <w:sz w:val="20"/>
              </w:rPr>
              <w:t>Not opposed to this amendment.</w:t>
            </w:r>
          </w:p>
        </w:tc>
        <w:tc>
          <w:tcPr>
            <w:tcW w:w="1571" w:type="pct"/>
          </w:tcPr>
          <w:p w14:paraId="3AF769A6" w14:textId="77777777" w:rsidR="00814E00" w:rsidRPr="00D66EE6" w:rsidRDefault="00814E00" w:rsidP="001562A6">
            <w:pPr>
              <w:rPr>
                <w:rFonts w:cs="Arial"/>
                <w:sz w:val="20"/>
              </w:rPr>
            </w:pPr>
            <w:r w:rsidRPr="00D66EE6">
              <w:rPr>
                <w:rFonts w:cs="Arial"/>
                <w:sz w:val="20"/>
              </w:rPr>
              <w:t xml:space="preserve">In response to </w:t>
            </w:r>
            <w:r w:rsidRPr="00D66EE6">
              <w:rPr>
                <w:rFonts w:cs="Arial"/>
                <w:b/>
                <w:bCs/>
                <w:sz w:val="20"/>
              </w:rPr>
              <w:t xml:space="preserve">CHA/anonymous </w:t>
            </w:r>
            <w:r w:rsidRPr="00D66EE6">
              <w:rPr>
                <w:rFonts w:cs="Arial"/>
                <w:sz w:val="20"/>
              </w:rPr>
              <w:t xml:space="preserve">feedback, the Regulator will continue to operate with a risk-based, proportionate approach to compliance enforcement. </w:t>
            </w:r>
          </w:p>
          <w:p w14:paraId="783BBC1A" w14:textId="6AC1CDAF" w:rsidR="00814E00" w:rsidRDefault="00814E00" w:rsidP="001562A6">
            <w:pPr>
              <w:rPr>
                <w:rFonts w:cs="Arial"/>
                <w:sz w:val="20"/>
              </w:rPr>
            </w:pPr>
            <w:r w:rsidRPr="00D66EE6">
              <w:rPr>
                <w:rFonts w:cs="Arial"/>
                <w:sz w:val="20"/>
              </w:rPr>
              <w:t xml:space="preserve">The </w:t>
            </w:r>
            <w:r w:rsidR="00C87601">
              <w:rPr>
                <w:rFonts w:cs="Arial"/>
                <w:sz w:val="20"/>
              </w:rPr>
              <w:t>department</w:t>
            </w:r>
            <w:r w:rsidRPr="00D66EE6">
              <w:rPr>
                <w:rFonts w:cs="Arial"/>
                <w:sz w:val="20"/>
              </w:rPr>
              <w:t xml:space="preserve"> is separately consulting on broader legislative reforms to health regulation in Victoria. Amendments are proposed for all the Acts in the health portfolio, including </w:t>
            </w:r>
            <w:r w:rsidRPr="00D66EE6">
              <w:rPr>
                <w:rFonts w:cs="Arial"/>
                <w:i/>
                <w:iCs/>
                <w:sz w:val="20"/>
              </w:rPr>
              <w:t>the Health Services Act 1988</w:t>
            </w:r>
            <w:r w:rsidRPr="00D66EE6">
              <w:rPr>
                <w:rFonts w:cs="Arial"/>
                <w:sz w:val="20"/>
              </w:rPr>
              <w:t xml:space="preserve">, to expand and modernise the regulatory toolkit. The recently formed </w:t>
            </w:r>
            <w:hyperlink r:id="rId31" w:history="1">
              <w:r w:rsidRPr="00D66EE6">
                <w:rPr>
                  <w:rStyle w:val="Hyperlink"/>
                  <w:rFonts w:cs="Arial"/>
                  <w:sz w:val="20"/>
                </w:rPr>
                <w:t>Health Regulator</w:t>
              </w:r>
            </w:hyperlink>
            <w:r w:rsidR="00023DAA" w:rsidRPr="00043552">
              <w:rPr>
                <w:rStyle w:val="FootnoteReference"/>
              </w:rPr>
              <w:footnoteReference w:id="18"/>
            </w:r>
            <w:r w:rsidRPr="00D66EE6">
              <w:rPr>
                <w:rFonts w:cs="Arial"/>
                <w:sz w:val="20"/>
              </w:rPr>
              <w:t xml:space="preserve">, which centralises regulatory expertise and resources within the </w:t>
            </w:r>
            <w:r w:rsidR="00C87601">
              <w:rPr>
                <w:rFonts w:cs="Arial"/>
                <w:sz w:val="20"/>
              </w:rPr>
              <w:t>department</w:t>
            </w:r>
            <w:r w:rsidRPr="00D66EE6">
              <w:rPr>
                <w:rFonts w:cs="Arial"/>
                <w:sz w:val="20"/>
              </w:rPr>
              <w:t xml:space="preserve">, will have access to new compliance monitoring tools (for example, powers to obtain information), mid-range enforcement tools (for example, remedial notices and enforceable undertakings) and tougher sanctions (for example, infringements, penalties and court proceedings). These proposed reforms are presented in the </w:t>
            </w:r>
            <w:hyperlink r:id="rId32" w:history="1">
              <w:r w:rsidRPr="00D66EE6">
                <w:rPr>
                  <w:rStyle w:val="Hyperlink"/>
                  <w:rFonts w:cs="Arial"/>
                  <w:sz w:val="20"/>
                </w:rPr>
                <w:t>Reforms to health regulation in Victoria consultation paper</w:t>
              </w:r>
            </w:hyperlink>
            <w:r w:rsidR="00636EAF" w:rsidRPr="00043552">
              <w:rPr>
                <w:rStyle w:val="FootnoteReference"/>
              </w:rPr>
              <w:footnoteReference w:id="19"/>
            </w:r>
            <w:r w:rsidRPr="00D66EE6">
              <w:rPr>
                <w:rFonts w:cs="Arial"/>
                <w:sz w:val="20"/>
              </w:rPr>
              <w:t xml:space="preserve"> released on 29 April 2024.</w:t>
            </w:r>
          </w:p>
          <w:p w14:paraId="1848158C" w14:textId="61A1B051" w:rsidR="00E706BE" w:rsidRPr="00D66EE6" w:rsidRDefault="00E706BE" w:rsidP="001562A6">
            <w:pPr>
              <w:rPr>
                <w:rFonts w:cs="Arial"/>
                <w:sz w:val="20"/>
              </w:rPr>
            </w:pPr>
            <w:r>
              <w:rPr>
                <w:rFonts w:cs="Arial"/>
                <w:sz w:val="20"/>
              </w:rPr>
              <w:t xml:space="preserve">The </w:t>
            </w:r>
            <w:r w:rsidR="00C87601">
              <w:rPr>
                <w:rFonts w:cs="Arial"/>
                <w:sz w:val="20"/>
              </w:rPr>
              <w:t>department</w:t>
            </w:r>
            <w:r>
              <w:rPr>
                <w:rFonts w:cs="Arial"/>
                <w:sz w:val="20"/>
              </w:rPr>
              <w:t xml:space="preserve"> also notes that </w:t>
            </w:r>
            <w:r w:rsidR="00E859D7">
              <w:rPr>
                <w:rFonts w:cs="Arial"/>
                <w:sz w:val="20"/>
              </w:rPr>
              <w:t xml:space="preserve">as </w:t>
            </w:r>
            <w:r w:rsidR="00B17F72">
              <w:rPr>
                <w:rFonts w:cs="Arial"/>
                <w:sz w:val="20"/>
              </w:rPr>
              <w:t xml:space="preserve">the </w:t>
            </w:r>
            <w:r>
              <w:rPr>
                <w:rFonts w:cs="Arial"/>
                <w:sz w:val="20"/>
              </w:rPr>
              <w:t xml:space="preserve">public sector </w:t>
            </w:r>
            <w:r w:rsidR="00E859D7">
              <w:rPr>
                <w:rFonts w:cs="Arial"/>
                <w:sz w:val="20"/>
              </w:rPr>
              <w:t>operates under a different legislative framework,</w:t>
            </w:r>
            <w:r w:rsidR="00B17F72">
              <w:rPr>
                <w:rFonts w:cs="Arial"/>
                <w:sz w:val="20"/>
              </w:rPr>
              <w:t xml:space="preserve"> t</w:t>
            </w:r>
            <w:r w:rsidR="0060708E">
              <w:rPr>
                <w:rFonts w:cs="Arial"/>
                <w:sz w:val="20"/>
              </w:rPr>
              <w:t xml:space="preserve">he </w:t>
            </w:r>
            <w:r w:rsidR="00C87601">
              <w:rPr>
                <w:rFonts w:cs="Arial"/>
                <w:sz w:val="20"/>
              </w:rPr>
              <w:t>department</w:t>
            </w:r>
            <w:r w:rsidR="0060708E">
              <w:rPr>
                <w:rFonts w:cs="Arial"/>
                <w:sz w:val="20"/>
              </w:rPr>
              <w:t xml:space="preserve"> uses different </w:t>
            </w:r>
            <w:r w:rsidR="004E346F">
              <w:rPr>
                <w:rFonts w:cs="Arial"/>
                <w:sz w:val="20"/>
              </w:rPr>
              <w:t xml:space="preserve">processes and levers to </w:t>
            </w:r>
            <w:r w:rsidR="00A30B72">
              <w:rPr>
                <w:rFonts w:cs="Arial"/>
                <w:sz w:val="20"/>
              </w:rPr>
              <w:t>ensure expectations are met and safe health services are delivered.</w:t>
            </w:r>
          </w:p>
        </w:tc>
      </w:tr>
      <w:tr w:rsidR="00814E00" w:rsidRPr="00D66EE6" w14:paraId="40221CEC" w14:textId="77777777" w:rsidTr="00D66EE6">
        <w:trPr>
          <w:trHeight w:val="1550"/>
        </w:trPr>
        <w:tc>
          <w:tcPr>
            <w:tcW w:w="288" w:type="pct"/>
            <w:hideMark/>
          </w:tcPr>
          <w:p w14:paraId="5754C2B1" w14:textId="77777777" w:rsidR="00814E00" w:rsidRPr="00D66EE6" w:rsidRDefault="00814E00" w:rsidP="001562A6">
            <w:pPr>
              <w:rPr>
                <w:rFonts w:cs="Arial"/>
                <w:sz w:val="20"/>
              </w:rPr>
            </w:pPr>
            <w:r w:rsidRPr="00D66EE6">
              <w:rPr>
                <w:rFonts w:cs="Arial"/>
                <w:sz w:val="20"/>
              </w:rPr>
              <w:t>46(3) and (4)</w:t>
            </w:r>
          </w:p>
          <w:p w14:paraId="69BDE022" w14:textId="77777777" w:rsidR="00814E00" w:rsidRPr="00D66EE6" w:rsidRDefault="00814E00" w:rsidP="001562A6">
            <w:pPr>
              <w:rPr>
                <w:rFonts w:cs="Arial"/>
                <w:sz w:val="20"/>
              </w:rPr>
            </w:pPr>
            <w:r w:rsidRPr="00D66EE6">
              <w:rPr>
                <w:rFonts w:cs="Arial"/>
                <w:color w:val="FF0000"/>
                <w:sz w:val="20"/>
              </w:rPr>
              <w:t>60(5) and (6)</w:t>
            </w:r>
          </w:p>
        </w:tc>
        <w:tc>
          <w:tcPr>
            <w:tcW w:w="1570" w:type="pct"/>
            <w:hideMark/>
          </w:tcPr>
          <w:p w14:paraId="344C5E68" w14:textId="77777777" w:rsidR="00814E00" w:rsidRPr="00D66EE6" w:rsidRDefault="00814E00" w:rsidP="001562A6">
            <w:pPr>
              <w:rPr>
                <w:rFonts w:cs="Arial"/>
                <w:b/>
                <w:bCs/>
                <w:sz w:val="20"/>
              </w:rPr>
            </w:pPr>
            <w:r w:rsidRPr="00D66EE6">
              <w:rPr>
                <w:rFonts w:cs="Arial"/>
                <w:b/>
                <w:bCs/>
                <w:sz w:val="20"/>
              </w:rPr>
              <w:t>Returns and reports to be given to the Secretary</w:t>
            </w:r>
          </w:p>
          <w:p w14:paraId="70CE7E64" w14:textId="77777777" w:rsidR="00814E00" w:rsidRPr="00D66EE6" w:rsidRDefault="00814E00" w:rsidP="00131778">
            <w:pPr>
              <w:pStyle w:val="ListParagraph"/>
              <w:numPr>
                <w:ilvl w:val="0"/>
                <w:numId w:val="25"/>
              </w:numPr>
              <w:spacing w:before="160" w:after="160" w:line="276" w:lineRule="auto"/>
              <w:contextualSpacing/>
              <w:rPr>
                <w:rFonts w:ascii="Arial" w:hAnsi="Arial" w:cs="Arial"/>
                <w:sz w:val="20"/>
                <w:szCs w:val="20"/>
              </w:rPr>
            </w:pPr>
            <w:r w:rsidRPr="00D66EE6">
              <w:rPr>
                <w:rFonts w:ascii="Arial" w:hAnsi="Arial" w:cs="Arial"/>
                <w:color w:val="FF0000"/>
                <w:sz w:val="20"/>
                <w:szCs w:val="20"/>
              </w:rPr>
              <w:t xml:space="preserve">The Secretary may determine to direct the proprietor of a health service establishment that provides health services solely at premises other than the premises for which it is registered to prepare a return in the manner and form directed by the Secretary. </w:t>
            </w:r>
          </w:p>
          <w:p w14:paraId="3CD3AE86" w14:textId="77777777" w:rsidR="00814E00" w:rsidRPr="00D66EE6" w:rsidRDefault="00814E00" w:rsidP="00131778">
            <w:pPr>
              <w:pStyle w:val="ListParagraph"/>
              <w:numPr>
                <w:ilvl w:val="0"/>
                <w:numId w:val="25"/>
              </w:numPr>
              <w:spacing w:before="160" w:after="160" w:line="276" w:lineRule="auto"/>
              <w:contextualSpacing/>
              <w:rPr>
                <w:rFonts w:ascii="Arial" w:hAnsi="Arial" w:cs="Arial"/>
                <w:sz w:val="20"/>
                <w:szCs w:val="20"/>
              </w:rPr>
            </w:pPr>
            <w:r w:rsidRPr="00D66EE6">
              <w:rPr>
                <w:rFonts w:ascii="Arial" w:hAnsi="Arial" w:cs="Arial"/>
                <w:color w:val="FF0000"/>
                <w:sz w:val="20"/>
                <w:szCs w:val="20"/>
              </w:rPr>
              <w:lastRenderedPageBreak/>
              <w:t>The proprietor of a health service establishment must ensure that a return prepared under subregulation (5) is given to the Secretary within the time directed by the Secretary.</w:t>
            </w:r>
          </w:p>
        </w:tc>
        <w:tc>
          <w:tcPr>
            <w:tcW w:w="1571" w:type="pct"/>
            <w:hideMark/>
          </w:tcPr>
          <w:p w14:paraId="7B46AFC6" w14:textId="29B7C7AC" w:rsidR="00814E00" w:rsidRPr="00D66EE6" w:rsidRDefault="00A6385A" w:rsidP="00F132F9">
            <w:pPr>
              <w:rPr>
                <w:rFonts w:cs="Arial"/>
                <w:b/>
                <w:bCs/>
                <w:sz w:val="20"/>
              </w:rPr>
            </w:pPr>
            <w:r w:rsidRPr="00325CBA">
              <w:rPr>
                <w:b/>
                <w:bCs/>
                <w:sz w:val="20"/>
              </w:rPr>
              <w:lastRenderedPageBreak/>
              <w:t xml:space="preserve">CHA/anonymous </w:t>
            </w:r>
            <w:r w:rsidR="00814E00" w:rsidRPr="00D66EE6">
              <w:rPr>
                <w:rFonts w:cs="Arial"/>
                <w:sz w:val="20"/>
              </w:rPr>
              <w:t>have no concerns with these amendments</w:t>
            </w:r>
            <w:r w:rsidR="00814E00" w:rsidRPr="00D66EE6">
              <w:rPr>
                <w:rFonts w:cs="Arial"/>
                <w:b/>
                <w:bCs/>
                <w:sz w:val="20"/>
              </w:rPr>
              <w:t>.</w:t>
            </w:r>
          </w:p>
          <w:p w14:paraId="72FDC03E" w14:textId="25DDC099" w:rsidR="00814E00" w:rsidRPr="00D66EE6" w:rsidRDefault="00814E00" w:rsidP="001562A6">
            <w:pPr>
              <w:rPr>
                <w:rFonts w:cs="Arial"/>
                <w:sz w:val="20"/>
              </w:rPr>
            </w:pPr>
          </w:p>
        </w:tc>
        <w:tc>
          <w:tcPr>
            <w:tcW w:w="1571" w:type="pct"/>
          </w:tcPr>
          <w:p w14:paraId="0BC4EFAE" w14:textId="77777777" w:rsidR="00814E00" w:rsidRPr="00D66EE6" w:rsidRDefault="00814E00" w:rsidP="001562A6">
            <w:pPr>
              <w:rPr>
                <w:rFonts w:cs="Arial"/>
                <w:sz w:val="20"/>
              </w:rPr>
            </w:pPr>
            <w:r w:rsidRPr="00D66EE6">
              <w:rPr>
                <w:rFonts w:cs="Arial"/>
                <w:sz w:val="20"/>
              </w:rPr>
              <w:t>n/a</w:t>
            </w:r>
          </w:p>
        </w:tc>
      </w:tr>
      <w:tr w:rsidR="00814E00" w:rsidRPr="00D66EE6" w14:paraId="03C59A15" w14:textId="77777777" w:rsidTr="00D66EE6">
        <w:trPr>
          <w:trHeight w:val="983"/>
        </w:trPr>
        <w:tc>
          <w:tcPr>
            <w:tcW w:w="288" w:type="pct"/>
            <w:shd w:val="clear" w:color="auto" w:fill="auto"/>
            <w:hideMark/>
          </w:tcPr>
          <w:p w14:paraId="46A57BD1" w14:textId="77777777" w:rsidR="00814E00" w:rsidRPr="00D66EE6" w:rsidRDefault="00814E00" w:rsidP="001562A6">
            <w:pPr>
              <w:rPr>
                <w:rFonts w:cs="Arial"/>
                <w:sz w:val="20"/>
              </w:rPr>
            </w:pPr>
            <w:r w:rsidRPr="00D66EE6">
              <w:rPr>
                <w:rFonts w:cs="Arial"/>
                <w:sz w:val="20"/>
              </w:rPr>
              <w:t>48(1)(b)</w:t>
            </w:r>
          </w:p>
          <w:p w14:paraId="558BD2BF" w14:textId="77777777" w:rsidR="00814E00" w:rsidRPr="00D66EE6" w:rsidRDefault="00814E00" w:rsidP="001562A6">
            <w:pPr>
              <w:rPr>
                <w:rFonts w:cs="Arial"/>
                <w:sz w:val="20"/>
              </w:rPr>
            </w:pPr>
            <w:r w:rsidRPr="00D66EE6">
              <w:rPr>
                <w:rFonts w:cs="Arial"/>
                <w:color w:val="FF0000"/>
                <w:sz w:val="20"/>
              </w:rPr>
              <w:t>63(1)(b) and (2)</w:t>
            </w:r>
          </w:p>
        </w:tc>
        <w:tc>
          <w:tcPr>
            <w:tcW w:w="1570" w:type="pct"/>
            <w:shd w:val="clear" w:color="auto" w:fill="auto"/>
            <w:hideMark/>
          </w:tcPr>
          <w:p w14:paraId="7020D0B6" w14:textId="77777777" w:rsidR="00814E00" w:rsidRPr="00D66EE6" w:rsidRDefault="00814E00" w:rsidP="001562A6">
            <w:pPr>
              <w:rPr>
                <w:rFonts w:cs="Arial"/>
                <w:b/>
                <w:sz w:val="20"/>
              </w:rPr>
            </w:pPr>
            <w:r w:rsidRPr="00D66EE6">
              <w:rPr>
                <w:rFonts w:cs="Arial"/>
                <w:b/>
                <w:sz w:val="20"/>
              </w:rPr>
              <w:t>Review of quality and safety of health services provided</w:t>
            </w:r>
          </w:p>
          <w:p w14:paraId="35F3C277" w14:textId="77777777" w:rsidR="00814E00" w:rsidRPr="00D66EE6" w:rsidRDefault="00814E00" w:rsidP="00131778">
            <w:pPr>
              <w:pStyle w:val="ListParagraph"/>
              <w:numPr>
                <w:ilvl w:val="0"/>
                <w:numId w:val="26"/>
              </w:numPr>
              <w:spacing w:before="160" w:after="160" w:line="276" w:lineRule="auto"/>
              <w:contextualSpacing/>
              <w:rPr>
                <w:rFonts w:ascii="Arial" w:hAnsi="Arial" w:cs="Arial"/>
                <w:sz w:val="20"/>
                <w:szCs w:val="20"/>
              </w:rPr>
            </w:pPr>
            <w:r w:rsidRPr="00D66EE6">
              <w:rPr>
                <w:rFonts w:ascii="Arial" w:hAnsi="Arial" w:cs="Arial"/>
                <w:sz w:val="20"/>
                <w:szCs w:val="20"/>
              </w:rPr>
              <w:t>The proprietor of a health service establishment must ensure the following information is recorded in writing and reviewed at least every 3 months—</w:t>
            </w:r>
          </w:p>
          <w:p w14:paraId="63781BE1" w14:textId="77777777" w:rsidR="00814E00" w:rsidRPr="00D66EE6" w:rsidRDefault="00814E00" w:rsidP="00131778">
            <w:pPr>
              <w:pStyle w:val="ListParagraph"/>
              <w:numPr>
                <w:ilvl w:val="1"/>
                <w:numId w:val="26"/>
              </w:numPr>
              <w:spacing w:before="160" w:after="160" w:line="276" w:lineRule="auto"/>
              <w:contextualSpacing/>
              <w:rPr>
                <w:rFonts w:ascii="Arial" w:hAnsi="Arial" w:cs="Arial"/>
                <w:sz w:val="20"/>
                <w:szCs w:val="20"/>
              </w:rPr>
            </w:pPr>
            <w:r w:rsidRPr="00D66EE6">
              <w:rPr>
                <w:rFonts w:ascii="Arial" w:hAnsi="Arial" w:cs="Arial"/>
                <w:sz w:val="20"/>
                <w:szCs w:val="20"/>
              </w:rPr>
              <w:t>information in relation to the decisions and actions taken for the purposes of improving the quality and safety of health services provided;</w:t>
            </w:r>
          </w:p>
          <w:p w14:paraId="11D27FFA" w14:textId="77777777" w:rsidR="00814E00" w:rsidRPr="00D66EE6" w:rsidRDefault="00814E00" w:rsidP="00131778">
            <w:pPr>
              <w:pStyle w:val="ListParagraph"/>
              <w:numPr>
                <w:ilvl w:val="1"/>
                <w:numId w:val="26"/>
              </w:numPr>
              <w:spacing w:before="160" w:after="160" w:line="276" w:lineRule="auto"/>
              <w:contextualSpacing/>
              <w:rPr>
                <w:rFonts w:ascii="Arial" w:hAnsi="Arial" w:cs="Arial"/>
                <w:sz w:val="20"/>
                <w:szCs w:val="20"/>
              </w:rPr>
            </w:pPr>
            <w:r w:rsidRPr="00D66EE6">
              <w:rPr>
                <w:rFonts w:ascii="Arial" w:hAnsi="Arial" w:cs="Arial"/>
                <w:sz w:val="20"/>
                <w:szCs w:val="20"/>
              </w:rPr>
              <w:t>if applicable, information in relation to—</w:t>
            </w:r>
          </w:p>
          <w:p w14:paraId="53844940" w14:textId="77777777" w:rsidR="00814E00" w:rsidRPr="00D66EE6" w:rsidRDefault="00814E00" w:rsidP="00131778">
            <w:pPr>
              <w:pStyle w:val="ListParagraph"/>
              <w:numPr>
                <w:ilvl w:val="2"/>
                <w:numId w:val="26"/>
              </w:numPr>
              <w:spacing w:before="160" w:after="160" w:line="276" w:lineRule="auto"/>
              <w:contextualSpacing/>
              <w:rPr>
                <w:rFonts w:ascii="Arial" w:hAnsi="Arial" w:cs="Arial"/>
                <w:sz w:val="20"/>
                <w:szCs w:val="20"/>
              </w:rPr>
            </w:pPr>
            <w:r w:rsidRPr="00D66EE6">
              <w:rPr>
                <w:rFonts w:ascii="Arial" w:hAnsi="Arial" w:cs="Arial"/>
                <w:sz w:val="20"/>
                <w:szCs w:val="20"/>
              </w:rPr>
              <w:t>all adverse events occurring at the health service establishment; and</w:t>
            </w:r>
          </w:p>
          <w:p w14:paraId="14FAF545" w14:textId="77777777" w:rsidR="00814E00" w:rsidRPr="00D66EE6" w:rsidRDefault="00814E00" w:rsidP="00131778">
            <w:pPr>
              <w:pStyle w:val="ListParagraph"/>
              <w:numPr>
                <w:ilvl w:val="2"/>
                <w:numId w:val="26"/>
              </w:numPr>
              <w:spacing w:before="160" w:after="160" w:line="276" w:lineRule="auto"/>
              <w:contextualSpacing/>
              <w:rPr>
                <w:rFonts w:ascii="Arial" w:hAnsi="Arial" w:cs="Arial"/>
                <w:sz w:val="20"/>
                <w:szCs w:val="20"/>
              </w:rPr>
            </w:pPr>
            <w:r w:rsidRPr="00D66EE6">
              <w:rPr>
                <w:rFonts w:ascii="Arial" w:hAnsi="Arial" w:cs="Arial"/>
                <w:sz w:val="20"/>
                <w:szCs w:val="20"/>
              </w:rPr>
              <w:t>all sentinel events occurring at the health service establishment; and</w:t>
            </w:r>
          </w:p>
          <w:p w14:paraId="7AA00372" w14:textId="77777777" w:rsidR="00814E00" w:rsidRPr="00D66EE6" w:rsidRDefault="00814E00" w:rsidP="00131778">
            <w:pPr>
              <w:pStyle w:val="ListParagraph"/>
              <w:numPr>
                <w:ilvl w:val="2"/>
                <w:numId w:val="26"/>
              </w:numPr>
              <w:spacing w:before="160" w:after="160" w:line="276" w:lineRule="auto"/>
              <w:contextualSpacing/>
              <w:rPr>
                <w:rFonts w:ascii="Arial" w:hAnsi="Arial" w:cs="Arial"/>
                <w:color w:val="FF0000"/>
                <w:sz w:val="20"/>
                <w:szCs w:val="20"/>
              </w:rPr>
            </w:pPr>
            <w:r w:rsidRPr="00D66EE6">
              <w:rPr>
                <w:rFonts w:ascii="Arial" w:hAnsi="Arial" w:cs="Arial"/>
                <w:sz w:val="20"/>
                <w:szCs w:val="20"/>
              </w:rPr>
              <w:t>mortality and morbidity occurring at the health service establishment; and</w:t>
            </w:r>
          </w:p>
          <w:p w14:paraId="67B13322" w14:textId="77777777" w:rsidR="00814E00" w:rsidRPr="00D66EE6" w:rsidRDefault="00814E00" w:rsidP="00131778">
            <w:pPr>
              <w:pStyle w:val="ListParagraph"/>
              <w:numPr>
                <w:ilvl w:val="2"/>
                <w:numId w:val="26"/>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all transfers of patients from the health service establishment to another health service establishment or health care agency for the escalation of patient care; and</w:t>
            </w:r>
          </w:p>
          <w:p w14:paraId="14038FF9" w14:textId="77777777" w:rsidR="00814E00" w:rsidRPr="00D66EE6" w:rsidRDefault="00814E00" w:rsidP="00131778">
            <w:pPr>
              <w:pStyle w:val="ListParagraph"/>
              <w:numPr>
                <w:ilvl w:val="2"/>
                <w:numId w:val="26"/>
              </w:numPr>
              <w:spacing w:before="160" w:after="160" w:line="276" w:lineRule="auto"/>
              <w:contextualSpacing/>
              <w:rPr>
                <w:rFonts w:ascii="Arial" w:hAnsi="Arial" w:cs="Arial"/>
                <w:sz w:val="20"/>
                <w:szCs w:val="20"/>
              </w:rPr>
            </w:pPr>
            <w:r w:rsidRPr="00D66EE6">
              <w:rPr>
                <w:rFonts w:ascii="Arial" w:hAnsi="Arial" w:cs="Arial"/>
                <w:sz w:val="20"/>
                <w:szCs w:val="20"/>
              </w:rPr>
              <w:t>compliance with the health service establishment's protocols; and</w:t>
            </w:r>
          </w:p>
          <w:p w14:paraId="67B6F728" w14:textId="77777777" w:rsidR="00814E00" w:rsidRPr="00D66EE6" w:rsidRDefault="00814E00" w:rsidP="00131778">
            <w:pPr>
              <w:pStyle w:val="ListParagraph"/>
              <w:numPr>
                <w:ilvl w:val="2"/>
                <w:numId w:val="26"/>
              </w:numPr>
              <w:spacing w:before="160" w:after="160" w:line="276" w:lineRule="auto"/>
              <w:contextualSpacing/>
              <w:rPr>
                <w:rFonts w:ascii="Arial" w:hAnsi="Arial" w:cs="Arial"/>
                <w:sz w:val="20"/>
                <w:szCs w:val="20"/>
              </w:rPr>
            </w:pPr>
            <w:r w:rsidRPr="00D66EE6">
              <w:rPr>
                <w:rFonts w:ascii="Arial" w:hAnsi="Arial" w:cs="Arial"/>
                <w:sz w:val="20"/>
                <w:szCs w:val="20"/>
              </w:rPr>
              <w:t>results from surveys about patient experience and about staff safety culture.</w:t>
            </w:r>
          </w:p>
          <w:p w14:paraId="7134A01B" w14:textId="77777777" w:rsidR="00814E00" w:rsidRPr="00D66EE6" w:rsidRDefault="00814E00" w:rsidP="00131778">
            <w:pPr>
              <w:pStyle w:val="ListParagraph"/>
              <w:numPr>
                <w:ilvl w:val="0"/>
                <w:numId w:val="26"/>
              </w:numPr>
              <w:spacing w:before="160" w:after="160" w:line="276" w:lineRule="auto"/>
              <w:contextualSpacing/>
              <w:rPr>
                <w:rFonts w:ascii="Arial" w:hAnsi="Arial" w:cs="Arial"/>
                <w:sz w:val="20"/>
                <w:szCs w:val="20"/>
              </w:rPr>
            </w:pPr>
            <w:r w:rsidRPr="00D66EE6">
              <w:rPr>
                <w:rFonts w:ascii="Arial" w:hAnsi="Arial" w:cs="Arial"/>
                <w:color w:val="FF0000"/>
                <w:sz w:val="20"/>
                <w:szCs w:val="20"/>
              </w:rPr>
              <w:t>The proprietor of a health service establishment must make information recorded under this regulation available to the Secretary on request.</w:t>
            </w:r>
          </w:p>
        </w:tc>
        <w:tc>
          <w:tcPr>
            <w:tcW w:w="1571" w:type="pct"/>
            <w:shd w:val="clear" w:color="auto" w:fill="auto"/>
            <w:hideMark/>
          </w:tcPr>
          <w:p w14:paraId="1FB6AE6B" w14:textId="77777777" w:rsidR="009736D7" w:rsidRPr="00325CBA" w:rsidRDefault="009736D7" w:rsidP="009736D7">
            <w:pPr>
              <w:rPr>
                <w:rFonts w:cs="Arial"/>
                <w:b/>
                <w:bCs/>
                <w:sz w:val="20"/>
              </w:rPr>
            </w:pPr>
            <w:r w:rsidRPr="00325CBA">
              <w:rPr>
                <w:b/>
                <w:bCs/>
                <w:sz w:val="20"/>
              </w:rPr>
              <w:t xml:space="preserve">CHA/anonymous </w:t>
            </w:r>
          </w:p>
          <w:p w14:paraId="24BC960D" w14:textId="77777777" w:rsidR="00814E00" w:rsidRPr="00D66EE6" w:rsidRDefault="00814E00" w:rsidP="001562A6">
            <w:pPr>
              <w:rPr>
                <w:rFonts w:cs="Arial"/>
                <w:b/>
                <w:bCs/>
                <w:sz w:val="20"/>
                <w:u w:val="single"/>
              </w:rPr>
            </w:pPr>
            <w:r w:rsidRPr="00D66EE6">
              <w:rPr>
                <w:rFonts w:cs="Arial"/>
                <w:sz w:val="20"/>
              </w:rPr>
              <w:t>No concerns regarding amendment. Notes that similar requirements should be required of mobile health services.</w:t>
            </w:r>
          </w:p>
          <w:p w14:paraId="304EB244" w14:textId="77777777" w:rsidR="00814E00" w:rsidRPr="00D66EE6" w:rsidRDefault="00814E00" w:rsidP="00FF4C69">
            <w:pPr>
              <w:rPr>
                <w:rFonts w:cs="Arial"/>
                <w:b/>
                <w:bCs/>
                <w:sz w:val="20"/>
              </w:rPr>
            </w:pPr>
            <w:r w:rsidRPr="00D66EE6">
              <w:rPr>
                <w:rFonts w:cs="Arial"/>
                <w:b/>
                <w:bCs/>
                <w:sz w:val="20"/>
              </w:rPr>
              <w:t>Healthscope</w:t>
            </w:r>
          </w:p>
          <w:p w14:paraId="56199C90" w14:textId="26335716" w:rsidR="00814E00" w:rsidRPr="00D66EE6" w:rsidRDefault="00814E00" w:rsidP="00FF4C69">
            <w:pPr>
              <w:rPr>
                <w:rFonts w:cs="Arial"/>
                <w:sz w:val="20"/>
              </w:rPr>
            </w:pPr>
            <w:r w:rsidRPr="00D66EE6">
              <w:rPr>
                <w:rFonts w:cs="Arial"/>
                <w:sz w:val="20"/>
              </w:rPr>
              <w:t>Does not support amendment. However, if it does go ahead, encourage that capture of data is through existing software and reporting is done on the basis of harm associated with clinical deterioration with serious adverse outcome.</w:t>
            </w:r>
          </w:p>
          <w:p w14:paraId="2F98338E" w14:textId="77777777" w:rsidR="00814E00" w:rsidRPr="00D66EE6" w:rsidRDefault="00814E00" w:rsidP="00FF4C69">
            <w:pPr>
              <w:rPr>
                <w:rFonts w:cs="Arial"/>
                <w:sz w:val="20"/>
              </w:rPr>
            </w:pPr>
            <w:r w:rsidRPr="00D66EE6">
              <w:rPr>
                <w:rFonts w:cs="Arial"/>
                <w:sz w:val="20"/>
              </w:rPr>
              <w:t>Notes the benchmark ‘escalation of care’ and that bar is too low therefore encourages inclusion of an Incident Severity Rating (or similar) to ensure the trigger for reporting is associated with patient deterioration and not transfer, for example, diagnostics.</w:t>
            </w:r>
          </w:p>
          <w:p w14:paraId="71D536C7" w14:textId="77777777" w:rsidR="00814E00" w:rsidRPr="00D66EE6" w:rsidRDefault="00814E00" w:rsidP="001562A6">
            <w:pPr>
              <w:rPr>
                <w:rFonts w:cs="Arial"/>
                <w:b/>
                <w:bCs/>
                <w:sz w:val="20"/>
              </w:rPr>
            </w:pPr>
            <w:r w:rsidRPr="00D66EE6">
              <w:rPr>
                <w:rFonts w:cs="Arial"/>
                <w:b/>
                <w:bCs/>
                <w:sz w:val="20"/>
              </w:rPr>
              <w:t>ASMIRT</w:t>
            </w:r>
          </w:p>
          <w:p w14:paraId="1BA36A21" w14:textId="77777777" w:rsidR="00814E00" w:rsidRPr="00D66EE6" w:rsidRDefault="00814E00" w:rsidP="001562A6">
            <w:pPr>
              <w:rPr>
                <w:rFonts w:cs="Arial"/>
                <w:sz w:val="20"/>
              </w:rPr>
            </w:pPr>
            <w:r w:rsidRPr="00D66EE6">
              <w:rPr>
                <w:rFonts w:cs="Arial"/>
                <w:sz w:val="20"/>
              </w:rPr>
              <w:t>Supports</w:t>
            </w:r>
          </w:p>
          <w:p w14:paraId="715A62C2" w14:textId="77777777" w:rsidR="00814E00" w:rsidRPr="00D66EE6" w:rsidRDefault="00814E00" w:rsidP="001562A6">
            <w:pPr>
              <w:rPr>
                <w:rFonts w:cs="Arial"/>
                <w:b/>
                <w:bCs/>
                <w:sz w:val="20"/>
              </w:rPr>
            </w:pPr>
            <w:r w:rsidRPr="00D66EE6">
              <w:rPr>
                <w:rFonts w:cs="Arial"/>
                <w:b/>
                <w:bCs/>
                <w:sz w:val="20"/>
              </w:rPr>
              <w:t>ANMF</w:t>
            </w:r>
          </w:p>
          <w:p w14:paraId="338BAAF5" w14:textId="77777777" w:rsidR="00814E00" w:rsidRPr="00D66EE6" w:rsidRDefault="00814E00" w:rsidP="001562A6">
            <w:pPr>
              <w:rPr>
                <w:rFonts w:cs="Arial"/>
                <w:b/>
                <w:bCs/>
                <w:sz w:val="20"/>
                <w:u w:val="single"/>
              </w:rPr>
            </w:pPr>
            <w:r w:rsidRPr="00D66EE6">
              <w:rPr>
                <w:rFonts w:cs="Arial"/>
                <w:sz w:val="20"/>
              </w:rPr>
              <w:t>Advocates that:</w:t>
            </w:r>
          </w:p>
          <w:p w14:paraId="102A43DC" w14:textId="77777777" w:rsidR="00814E00" w:rsidRPr="00D66EE6" w:rsidRDefault="00814E00" w:rsidP="00131778">
            <w:pPr>
              <w:pStyle w:val="ListParagraph"/>
              <w:numPr>
                <w:ilvl w:val="0"/>
                <w:numId w:val="35"/>
              </w:numPr>
              <w:spacing w:before="160" w:after="160" w:line="276" w:lineRule="auto"/>
              <w:contextualSpacing/>
              <w:rPr>
                <w:rFonts w:ascii="Arial" w:hAnsi="Arial" w:cs="Arial"/>
                <w:sz w:val="20"/>
                <w:szCs w:val="20"/>
              </w:rPr>
            </w:pPr>
            <w:r w:rsidRPr="00D66EE6">
              <w:rPr>
                <w:rFonts w:ascii="Arial" w:hAnsi="Arial" w:cs="Arial"/>
                <w:sz w:val="20"/>
                <w:szCs w:val="20"/>
              </w:rPr>
              <w:t>the frequency and mode of reporting adverse events must align with that set out by Safer Care Victoria, and which applies to public health care services</w:t>
            </w:r>
          </w:p>
          <w:p w14:paraId="407A1402" w14:textId="77777777" w:rsidR="00814E00" w:rsidRPr="00D66EE6" w:rsidRDefault="00814E00" w:rsidP="00131778">
            <w:pPr>
              <w:pStyle w:val="ListParagraph"/>
              <w:numPr>
                <w:ilvl w:val="0"/>
                <w:numId w:val="35"/>
              </w:numPr>
              <w:spacing w:before="160" w:after="160" w:line="276" w:lineRule="auto"/>
              <w:contextualSpacing/>
              <w:rPr>
                <w:rFonts w:ascii="Arial" w:hAnsi="Arial" w:cs="Arial"/>
                <w:sz w:val="20"/>
                <w:szCs w:val="20"/>
              </w:rPr>
            </w:pPr>
            <w:r w:rsidRPr="00D66EE6">
              <w:rPr>
                <w:rFonts w:ascii="Arial" w:hAnsi="Arial" w:cs="Arial"/>
                <w:sz w:val="20"/>
                <w:szCs w:val="20"/>
              </w:rPr>
              <w:t>all transfers should be recorded and reported, not just those arising from an escalation of care</w:t>
            </w:r>
          </w:p>
          <w:p w14:paraId="265E5656" w14:textId="77777777" w:rsidR="00814E00" w:rsidRPr="00D66EE6" w:rsidRDefault="00814E00" w:rsidP="00131778">
            <w:pPr>
              <w:pStyle w:val="ListParagraph"/>
              <w:numPr>
                <w:ilvl w:val="0"/>
                <w:numId w:val="35"/>
              </w:numPr>
              <w:spacing w:before="160" w:after="160" w:line="276" w:lineRule="auto"/>
              <w:contextualSpacing/>
              <w:rPr>
                <w:rFonts w:ascii="Arial" w:hAnsi="Arial" w:cs="Arial"/>
                <w:sz w:val="20"/>
                <w:szCs w:val="20"/>
              </w:rPr>
            </w:pPr>
            <w:r w:rsidRPr="00D66EE6">
              <w:rPr>
                <w:rFonts w:ascii="Arial" w:hAnsi="Arial" w:cs="Arial"/>
                <w:sz w:val="20"/>
                <w:szCs w:val="20"/>
              </w:rPr>
              <w:t>Judge Cain’s recommendation be implemented requiring root cause analysis of SAPSEs and SEs with an independent member on a panel consistent with the requirements for public hospitals.</w:t>
            </w:r>
          </w:p>
          <w:p w14:paraId="0C22F145" w14:textId="77777777" w:rsidR="00814E00" w:rsidRPr="00D66EE6" w:rsidRDefault="00814E00" w:rsidP="00131778">
            <w:pPr>
              <w:pStyle w:val="ListParagraph"/>
              <w:numPr>
                <w:ilvl w:val="0"/>
                <w:numId w:val="35"/>
              </w:numPr>
              <w:spacing w:before="160" w:after="160" w:line="276" w:lineRule="auto"/>
              <w:contextualSpacing/>
              <w:rPr>
                <w:rFonts w:ascii="Arial" w:hAnsi="Arial" w:cs="Arial"/>
                <w:sz w:val="20"/>
                <w:szCs w:val="20"/>
              </w:rPr>
            </w:pPr>
            <w:r w:rsidRPr="00D66EE6">
              <w:rPr>
                <w:rFonts w:ascii="Arial" w:hAnsi="Arial" w:cs="Arial"/>
                <w:sz w:val="20"/>
                <w:szCs w:val="20"/>
              </w:rPr>
              <w:t>robust systems and tools (including use of the ISBAR tool) are used to assist in the proper handover of patients between health services.</w:t>
            </w:r>
          </w:p>
          <w:p w14:paraId="338E973E" w14:textId="77777777" w:rsidR="00814E00" w:rsidRPr="00D66EE6" w:rsidRDefault="00814E00" w:rsidP="001562A6">
            <w:pPr>
              <w:rPr>
                <w:rFonts w:cs="Arial"/>
                <w:sz w:val="20"/>
              </w:rPr>
            </w:pPr>
          </w:p>
        </w:tc>
        <w:tc>
          <w:tcPr>
            <w:tcW w:w="1571" w:type="pct"/>
            <w:shd w:val="clear" w:color="auto" w:fill="auto"/>
          </w:tcPr>
          <w:p w14:paraId="4885BA41" w14:textId="03D7CAA0" w:rsidR="00814E00" w:rsidRPr="00D66EE6" w:rsidRDefault="00814E00" w:rsidP="001562A6">
            <w:pPr>
              <w:rPr>
                <w:rFonts w:cs="Arial"/>
                <w:sz w:val="20"/>
              </w:rPr>
            </w:pPr>
            <w:r w:rsidRPr="00D66EE6">
              <w:rPr>
                <w:rFonts w:cs="Arial"/>
                <w:sz w:val="20"/>
              </w:rPr>
              <w:t xml:space="preserve">In response to </w:t>
            </w:r>
            <w:r w:rsidRPr="00D66EE6">
              <w:rPr>
                <w:rFonts w:cs="Arial"/>
                <w:b/>
                <w:bCs/>
                <w:sz w:val="20"/>
              </w:rPr>
              <w:t xml:space="preserve">CHA/anonymous </w:t>
            </w:r>
            <w:r w:rsidRPr="00D66EE6">
              <w:rPr>
                <w:rFonts w:cs="Arial"/>
                <w:sz w:val="20"/>
              </w:rPr>
              <w:t xml:space="preserve">feedback, the </w:t>
            </w:r>
            <w:r w:rsidR="00C87601">
              <w:rPr>
                <w:rFonts w:cs="Arial"/>
                <w:sz w:val="20"/>
              </w:rPr>
              <w:t>department</w:t>
            </w:r>
            <w:r w:rsidRPr="00D66EE6">
              <w:rPr>
                <w:rFonts w:cs="Arial"/>
                <w:sz w:val="20"/>
              </w:rPr>
              <w:t xml:space="preserve"> confirms that this Regulation applies to mobile services.</w:t>
            </w:r>
          </w:p>
          <w:p w14:paraId="17AEE6F6" w14:textId="77777777" w:rsidR="00814E00" w:rsidRPr="00D66EE6" w:rsidRDefault="00814E00" w:rsidP="001562A6">
            <w:pPr>
              <w:rPr>
                <w:rFonts w:cs="Arial"/>
                <w:sz w:val="20"/>
              </w:rPr>
            </w:pPr>
            <w:r w:rsidRPr="00D66EE6">
              <w:rPr>
                <w:rFonts w:cs="Arial"/>
                <w:sz w:val="20"/>
              </w:rPr>
              <w:t xml:space="preserve">In response to </w:t>
            </w:r>
            <w:r w:rsidRPr="00D66EE6">
              <w:rPr>
                <w:rFonts w:cs="Arial"/>
                <w:b/>
                <w:bCs/>
                <w:sz w:val="20"/>
              </w:rPr>
              <w:t xml:space="preserve">Healthscope’s </w:t>
            </w:r>
            <w:r w:rsidRPr="00D66EE6">
              <w:rPr>
                <w:rFonts w:cs="Arial"/>
                <w:sz w:val="20"/>
              </w:rPr>
              <w:t>feedback:</w:t>
            </w:r>
          </w:p>
          <w:p w14:paraId="5E3FD439" w14:textId="44A494ED" w:rsidR="00814E00" w:rsidRPr="00415FD4" w:rsidRDefault="00103E50" w:rsidP="00131778">
            <w:pPr>
              <w:pStyle w:val="ListParagraph"/>
              <w:numPr>
                <w:ilvl w:val="0"/>
                <w:numId w:val="39"/>
              </w:numPr>
              <w:spacing w:before="160" w:after="160" w:line="276" w:lineRule="auto"/>
              <w:contextualSpacing/>
              <w:rPr>
                <w:rFonts w:ascii="Arial" w:hAnsi="Arial" w:cs="Arial"/>
                <w:sz w:val="20"/>
                <w:szCs w:val="20"/>
              </w:rPr>
            </w:pPr>
            <w:r w:rsidRPr="00415FD4">
              <w:rPr>
                <w:rFonts w:ascii="Arial" w:hAnsi="Arial" w:cs="Arial"/>
                <w:sz w:val="20"/>
                <w:szCs w:val="20"/>
              </w:rPr>
              <w:t xml:space="preserve">Under </w:t>
            </w:r>
            <w:r w:rsidR="0053714F" w:rsidRPr="00415FD4">
              <w:rPr>
                <w:rFonts w:ascii="Arial" w:hAnsi="Arial" w:cs="Arial"/>
                <w:sz w:val="20"/>
                <w:szCs w:val="20"/>
              </w:rPr>
              <w:t>current requirements</w:t>
            </w:r>
            <w:r w:rsidR="00584FDE" w:rsidRPr="00415FD4">
              <w:rPr>
                <w:rFonts w:ascii="Arial" w:hAnsi="Arial" w:cs="Arial"/>
                <w:sz w:val="20"/>
                <w:szCs w:val="20"/>
              </w:rPr>
              <w:t xml:space="preserve"> for the Patient Admission and Discharge Register, which will be retained under</w:t>
            </w:r>
            <w:r w:rsidR="0053714F" w:rsidRPr="00415FD4">
              <w:rPr>
                <w:rFonts w:ascii="Arial" w:hAnsi="Arial" w:cs="Arial"/>
                <w:sz w:val="20"/>
                <w:szCs w:val="20"/>
              </w:rPr>
              <w:t xml:space="preserve"> </w:t>
            </w:r>
            <w:r w:rsidRPr="00415FD4">
              <w:rPr>
                <w:rFonts w:ascii="Arial" w:hAnsi="Arial" w:cs="Arial"/>
                <w:sz w:val="20"/>
                <w:szCs w:val="20"/>
              </w:rPr>
              <w:t xml:space="preserve">r.45(c)(viii), </w:t>
            </w:r>
            <w:r w:rsidR="00814E00" w:rsidRPr="00415FD4">
              <w:rPr>
                <w:rFonts w:ascii="Arial" w:hAnsi="Arial" w:cs="Arial"/>
                <w:sz w:val="20"/>
                <w:szCs w:val="20"/>
              </w:rPr>
              <w:t xml:space="preserve">HSEs </w:t>
            </w:r>
            <w:r w:rsidR="00584FDE" w:rsidRPr="00415FD4">
              <w:rPr>
                <w:rFonts w:ascii="Arial" w:hAnsi="Arial" w:cs="Arial"/>
                <w:sz w:val="20"/>
                <w:szCs w:val="20"/>
              </w:rPr>
              <w:t xml:space="preserve">must </w:t>
            </w:r>
            <w:r w:rsidR="00814E00" w:rsidRPr="00415FD4">
              <w:rPr>
                <w:rFonts w:ascii="Arial" w:hAnsi="Arial" w:cs="Arial"/>
                <w:sz w:val="20"/>
                <w:szCs w:val="20"/>
              </w:rPr>
              <w:t xml:space="preserve">already record </w:t>
            </w:r>
            <w:r w:rsidR="00814E00" w:rsidRPr="00415FD4">
              <w:rPr>
                <w:rFonts w:ascii="Arial" w:hAnsi="Arial" w:cs="Arial"/>
                <w:i/>
                <w:iCs/>
                <w:sz w:val="20"/>
                <w:szCs w:val="20"/>
              </w:rPr>
              <w:t>if the patient is transferred to another health service establishment or health care agency, the name of that establishment or agency and the reason for the transfer</w:t>
            </w:r>
            <w:r w:rsidR="0061316A">
              <w:rPr>
                <w:rFonts w:ascii="Arial" w:hAnsi="Arial" w:cs="Arial"/>
                <w:i/>
                <w:iCs/>
                <w:sz w:val="20"/>
                <w:szCs w:val="20"/>
              </w:rPr>
              <w:t>.</w:t>
            </w:r>
          </w:p>
          <w:p w14:paraId="144606A4" w14:textId="0320F6F4" w:rsidR="00A47655" w:rsidRDefault="007D4AEB" w:rsidP="00131778">
            <w:pPr>
              <w:pStyle w:val="ListParagraph"/>
              <w:numPr>
                <w:ilvl w:val="0"/>
                <w:numId w:val="39"/>
              </w:numPr>
              <w:spacing w:before="160" w:after="160" w:line="276" w:lineRule="auto"/>
              <w:contextualSpacing/>
              <w:rPr>
                <w:rFonts w:ascii="Arial" w:hAnsi="Arial" w:cs="Arial"/>
                <w:sz w:val="20"/>
                <w:szCs w:val="20"/>
              </w:rPr>
            </w:pPr>
            <w:r>
              <w:rPr>
                <w:rFonts w:ascii="Arial" w:hAnsi="Arial" w:cs="Arial"/>
                <w:sz w:val="20"/>
                <w:szCs w:val="20"/>
              </w:rPr>
              <w:t xml:space="preserve">Under current requirements for Returns and reports to be given to the Secretary, which will be retained under </w:t>
            </w:r>
            <w:r w:rsidR="006566AB">
              <w:rPr>
                <w:rFonts w:ascii="Arial" w:hAnsi="Arial" w:cs="Arial"/>
                <w:sz w:val="20"/>
                <w:szCs w:val="20"/>
              </w:rPr>
              <w:t xml:space="preserve">r.60, HSEs must already report monthly data </w:t>
            </w:r>
            <w:r w:rsidR="00897705">
              <w:rPr>
                <w:rFonts w:ascii="Arial" w:hAnsi="Arial" w:cs="Arial"/>
                <w:sz w:val="20"/>
                <w:szCs w:val="20"/>
              </w:rPr>
              <w:t>on patient admissions</w:t>
            </w:r>
            <w:r w:rsidR="00E70D5A">
              <w:rPr>
                <w:rFonts w:ascii="Arial" w:hAnsi="Arial" w:cs="Arial"/>
                <w:sz w:val="20"/>
                <w:szCs w:val="20"/>
              </w:rPr>
              <w:t xml:space="preserve"> and separations</w:t>
            </w:r>
            <w:r w:rsidR="00897705">
              <w:rPr>
                <w:rFonts w:ascii="Arial" w:hAnsi="Arial" w:cs="Arial"/>
                <w:sz w:val="20"/>
                <w:szCs w:val="20"/>
              </w:rPr>
              <w:t xml:space="preserve">. </w:t>
            </w:r>
            <w:r w:rsidR="00A55982">
              <w:rPr>
                <w:rFonts w:ascii="Arial" w:hAnsi="Arial" w:cs="Arial"/>
                <w:sz w:val="20"/>
                <w:szCs w:val="20"/>
              </w:rPr>
              <w:t>The information reported to VAED includes data about transfers</w:t>
            </w:r>
            <w:r w:rsidR="00F1649A">
              <w:rPr>
                <w:rFonts w:ascii="Arial" w:hAnsi="Arial" w:cs="Arial"/>
                <w:sz w:val="20"/>
                <w:szCs w:val="20"/>
              </w:rPr>
              <w:t xml:space="preserve"> </w:t>
            </w:r>
            <w:r w:rsidR="00F1649A" w:rsidRPr="00D66EE6">
              <w:rPr>
                <w:rFonts w:ascii="Arial" w:hAnsi="Arial" w:cs="Arial"/>
                <w:sz w:val="20"/>
                <w:szCs w:val="20"/>
              </w:rPr>
              <w:t>(noting that clinical reasons are not captured)</w:t>
            </w:r>
            <w:r w:rsidR="00F1649A">
              <w:rPr>
                <w:rFonts w:ascii="Arial" w:hAnsi="Arial" w:cs="Arial"/>
                <w:sz w:val="20"/>
                <w:szCs w:val="20"/>
              </w:rPr>
              <w:t>.</w:t>
            </w:r>
          </w:p>
          <w:p w14:paraId="4B9C2CF4" w14:textId="4FE00684" w:rsidR="00814E00" w:rsidRPr="00D66EE6" w:rsidRDefault="00814E00" w:rsidP="00131778">
            <w:pPr>
              <w:pStyle w:val="ListParagraph"/>
              <w:numPr>
                <w:ilvl w:val="0"/>
                <w:numId w:val="39"/>
              </w:numPr>
              <w:spacing w:before="160" w:after="160" w:line="276" w:lineRule="auto"/>
              <w:contextualSpacing/>
              <w:rPr>
                <w:rFonts w:ascii="Arial" w:hAnsi="Arial" w:cs="Arial"/>
                <w:sz w:val="20"/>
                <w:szCs w:val="20"/>
              </w:rPr>
            </w:pPr>
            <w:r w:rsidRPr="00D66EE6">
              <w:rPr>
                <w:rFonts w:ascii="Arial" w:hAnsi="Arial" w:cs="Arial"/>
                <w:sz w:val="20"/>
                <w:szCs w:val="20"/>
              </w:rPr>
              <w:t xml:space="preserve">Existing software used for the purposes </w:t>
            </w:r>
            <w:r w:rsidR="00F1649A">
              <w:rPr>
                <w:rFonts w:ascii="Arial" w:hAnsi="Arial" w:cs="Arial"/>
                <w:sz w:val="20"/>
                <w:szCs w:val="20"/>
              </w:rPr>
              <w:t xml:space="preserve">above </w:t>
            </w:r>
            <w:r w:rsidRPr="00D66EE6">
              <w:rPr>
                <w:rFonts w:ascii="Arial" w:hAnsi="Arial" w:cs="Arial"/>
                <w:sz w:val="20"/>
                <w:szCs w:val="20"/>
              </w:rPr>
              <w:t>will meet the requirements of this amended Regulation.</w:t>
            </w:r>
          </w:p>
          <w:p w14:paraId="4222A472" w14:textId="70C61A5E" w:rsidR="00814E00" w:rsidRPr="00D66EE6" w:rsidRDefault="00814E00" w:rsidP="00131778">
            <w:pPr>
              <w:pStyle w:val="ListParagraph"/>
              <w:numPr>
                <w:ilvl w:val="0"/>
                <w:numId w:val="39"/>
              </w:numPr>
              <w:spacing w:before="160" w:after="160" w:line="276" w:lineRule="auto"/>
              <w:contextualSpacing/>
              <w:rPr>
                <w:rFonts w:ascii="Arial" w:hAnsi="Arial" w:cs="Arial"/>
                <w:sz w:val="20"/>
                <w:szCs w:val="20"/>
              </w:rPr>
            </w:pPr>
            <w:r w:rsidRPr="00D66EE6">
              <w:rPr>
                <w:rFonts w:ascii="Arial" w:hAnsi="Arial" w:cs="Arial"/>
                <w:sz w:val="20"/>
                <w:szCs w:val="20"/>
              </w:rPr>
              <w:t xml:space="preserve">‘Escalation of care’ would not include transfers so that patients can receive different types of care of an equivalent or lower level, such as diagnostics or rehabilitation. ‘Escalation of care’ would typically be required where a patient’s condition has deteriorated, and </w:t>
            </w:r>
            <w:r w:rsidR="00F54A91">
              <w:rPr>
                <w:rFonts w:ascii="Arial" w:hAnsi="Arial" w:cs="Arial"/>
                <w:sz w:val="20"/>
                <w:szCs w:val="20"/>
              </w:rPr>
              <w:t xml:space="preserve">the </w:t>
            </w:r>
            <w:r w:rsidR="00C87601">
              <w:rPr>
                <w:rFonts w:ascii="Arial" w:hAnsi="Arial" w:cs="Arial"/>
                <w:sz w:val="20"/>
                <w:szCs w:val="20"/>
              </w:rPr>
              <w:t>department</w:t>
            </w:r>
            <w:r w:rsidR="00F54A91">
              <w:rPr>
                <w:rFonts w:ascii="Arial" w:hAnsi="Arial" w:cs="Arial"/>
                <w:sz w:val="20"/>
                <w:szCs w:val="20"/>
              </w:rPr>
              <w:t xml:space="preserve"> understands that </w:t>
            </w:r>
            <w:r w:rsidRPr="00D66EE6">
              <w:rPr>
                <w:rFonts w:ascii="Arial" w:hAnsi="Arial" w:cs="Arial"/>
                <w:sz w:val="20"/>
                <w:szCs w:val="20"/>
              </w:rPr>
              <w:t>these</w:t>
            </w:r>
            <w:r w:rsidR="00F54A91">
              <w:rPr>
                <w:rFonts w:ascii="Arial" w:hAnsi="Arial" w:cs="Arial"/>
                <w:sz w:val="20"/>
                <w:szCs w:val="20"/>
              </w:rPr>
              <w:t xml:space="preserve"> cases</w:t>
            </w:r>
            <w:r w:rsidRPr="00D66EE6">
              <w:rPr>
                <w:rFonts w:ascii="Arial" w:hAnsi="Arial" w:cs="Arial"/>
                <w:sz w:val="20"/>
                <w:szCs w:val="20"/>
              </w:rPr>
              <w:t xml:space="preserve"> are typically recorded in an HSE’s incident management software (e.g. Riskman).</w:t>
            </w:r>
          </w:p>
          <w:p w14:paraId="41024694" w14:textId="168CAB60" w:rsidR="00814E00" w:rsidRPr="00D66EE6" w:rsidRDefault="00814E00" w:rsidP="00131778">
            <w:pPr>
              <w:pStyle w:val="ListParagraph"/>
              <w:numPr>
                <w:ilvl w:val="0"/>
                <w:numId w:val="39"/>
              </w:numPr>
              <w:spacing w:before="160" w:after="160" w:line="276" w:lineRule="auto"/>
              <w:contextualSpacing/>
              <w:rPr>
                <w:rFonts w:ascii="Arial" w:hAnsi="Arial" w:cs="Arial"/>
                <w:sz w:val="20"/>
                <w:szCs w:val="20"/>
              </w:rPr>
            </w:pPr>
            <w:r w:rsidRPr="00D66EE6">
              <w:rPr>
                <w:rFonts w:ascii="Arial" w:hAnsi="Arial" w:cs="Arial"/>
                <w:sz w:val="20"/>
                <w:szCs w:val="20"/>
              </w:rPr>
              <w:t>The proposed Regulation requir</w:t>
            </w:r>
            <w:r w:rsidR="004F6F30">
              <w:rPr>
                <w:rFonts w:ascii="Arial" w:hAnsi="Arial" w:cs="Arial"/>
                <w:sz w:val="20"/>
                <w:szCs w:val="20"/>
              </w:rPr>
              <w:t>es</w:t>
            </w:r>
            <w:r w:rsidRPr="00D66EE6">
              <w:rPr>
                <w:rFonts w:ascii="Arial" w:hAnsi="Arial" w:cs="Arial"/>
                <w:sz w:val="20"/>
                <w:szCs w:val="20"/>
              </w:rPr>
              <w:t xml:space="preserve"> HSEs to review data they already capture so that they can identify systemic trends or issues.</w:t>
            </w:r>
            <w:r w:rsidR="009667F7">
              <w:rPr>
                <w:rFonts w:ascii="Arial" w:hAnsi="Arial" w:cs="Arial"/>
                <w:sz w:val="20"/>
                <w:szCs w:val="20"/>
              </w:rPr>
              <w:t xml:space="preserve"> The aim of the amendment is to drive quality and safety improvements within a</w:t>
            </w:r>
            <w:r w:rsidR="006B2380">
              <w:rPr>
                <w:rFonts w:ascii="Arial" w:hAnsi="Arial" w:cs="Arial"/>
                <w:sz w:val="20"/>
                <w:szCs w:val="20"/>
              </w:rPr>
              <w:t>n</w:t>
            </w:r>
            <w:r w:rsidR="009667F7">
              <w:rPr>
                <w:rFonts w:ascii="Arial" w:hAnsi="Arial" w:cs="Arial"/>
                <w:sz w:val="20"/>
                <w:szCs w:val="20"/>
              </w:rPr>
              <w:t xml:space="preserve"> HSE through </w:t>
            </w:r>
            <w:r w:rsidR="00325651">
              <w:rPr>
                <w:rFonts w:ascii="Arial" w:hAnsi="Arial" w:cs="Arial"/>
                <w:sz w:val="20"/>
                <w:szCs w:val="20"/>
              </w:rPr>
              <w:t xml:space="preserve">internal consideration and review of transfers </w:t>
            </w:r>
            <w:r w:rsidR="00185C36">
              <w:rPr>
                <w:rFonts w:ascii="Arial" w:hAnsi="Arial" w:cs="Arial"/>
                <w:sz w:val="20"/>
                <w:szCs w:val="20"/>
              </w:rPr>
              <w:t xml:space="preserve">out </w:t>
            </w:r>
            <w:r w:rsidR="00325651">
              <w:rPr>
                <w:rFonts w:ascii="Arial" w:hAnsi="Arial" w:cs="Arial"/>
                <w:sz w:val="20"/>
                <w:szCs w:val="20"/>
              </w:rPr>
              <w:t>for escalation of care.</w:t>
            </w:r>
          </w:p>
          <w:p w14:paraId="16669036" w14:textId="37AC49A1" w:rsidR="00814E00" w:rsidRPr="00D66EE6" w:rsidRDefault="00814E00" w:rsidP="00131778">
            <w:pPr>
              <w:pStyle w:val="ListParagraph"/>
              <w:numPr>
                <w:ilvl w:val="0"/>
                <w:numId w:val="39"/>
              </w:numPr>
              <w:spacing w:before="160" w:after="160" w:line="276" w:lineRule="auto"/>
              <w:contextualSpacing/>
              <w:rPr>
                <w:rFonts w:ascii="Arial" w:hAnsi="Arial" w:cs="Arial"/>
                <w:sz w:val="20"/>
                <w:szCs w:val="20"/>
              </w:rPr>
            </w:pPr>
            <w:r w:rsidRPr="00D66EE6">
              <w:rPr>
                <w:rFonts w:ascii="Arial" w:hAnsi="Arial" w:cs="Arial"/>
                <w:sz w:val="20"/>
                <w:szCs w:val="20"/>
              </w:rPr>
              <w:t xml:space="preserve">The proposed Regulation </w:t>
            </w:r>
            <w:r w:rsidR="004304F6">
              <w:rPr>
                <w:rFonts w:ascii="Arial" w:hAnsi="Arial" w:cs="Arial"/>
                <w:sz w:val="20"/>
                <w:szCs w:val="20"/>
              </w:rPr>
              <w:t>does</w:t>
            </w:r>
            <w:r w:rsidRPr="00D66EE6">
              <w:rPr>
                <w:rFonts w:ascii="Arial" w:hAnsi="Arial" w:cs="Arial"/>
                <w:sz w:val="20"/>
                <w:szCs w:val="20"/>
              </w:rPr>
              <w:t xml:space="preserve"> not impos</w:t>
            </w:r>
            <w:r w:rsidR="004304F6">
              <w:rPr>
                <w:rFonts w:ascii="Arial" w:hAnsi="Arial" w:cs="Arial"/>
                <w:sz w:val="20"/>
                <w:szCs w:val="20"/>
              </w:rPr>
              <w:t>e</w:t>
            </w:r>
            <w:r w:rsidRPr="00D66EE6">
              <w:rPr>
                <w:rFonts w:ascii="Arial" w:hAnsi="Arial" w:cs="Arial"/>
                <w:sz w:val="20"/>
                <w:szCs w:val="20"/>
              </w:rPr>
              <w:t xml:space="preserve"> an additional periodic reporting requirement. The Regulator may ask for information to be made available to assist in its compliance monitoring activities or where it has specific concerns about the quality and safety of health services.</w:t>
            </w:r>
          </w:p>
          <w:p w14:paraId="2DF021B7" w14:textId="77777777" w:rsidR="00814E00" w:rsidRPr="00D66EE6" w:rsidRDefault="00814E00" w:rsidP="00C15D43">
            <w:pPr>
              <w:rPr>
                <w:rFonts w:cs="Arial"/>
                <w:sz w:val="20"/>
              </w:rPr>
            </w:pPr>
            <w:r w:rsidRPr="00D66EE6">
              <w:rPr>
                <w:rFonts w:cs="Arial"/>
                <w:sz w:val="20"/>
              </w:rPr>
              <w:t xml:space="preserve">In response to </w:t>
            </w:r>
            <w:r w:rsidRPr="00D66EE6">
              <w:rPr>
                <w:rFonts w:cs="Arial"/>
                <w:b/>
                <w:bCs/>
                <w:sz w:val="20"/>
              </w:rPr>
              <w:t xml:space="preserve">ANMF’s </w:t>
            </w:r>
            <w:r w:rsidRPr="00D66EE6">
              <w:rPr>
                <w:rFonts w:cs="Arial"/>
                <w:sz w:val="20"/>
              </w:rPr>
              <w:t>feedback:</w:t>
            </w:r>
          </w:p>
          <w:p w14:paraId="597DF61D" w14:textId="444F2170" w:rsidR="00814E00" w:rsidRPr="00D66EE6" w:rsidRDefault="00814E00" w:rsidP="00131778">
            <w:pPr>
              <w:pStyle w:val="ListParagraph"/>
              <w:numPr>
                <w:ilvl w:val="0"/>
                <w:numId w:val="39"/>
              </w:numPr>
              <w:spacing w:before="160" w:after="160" w:line="276" w:lineRule="auto"/>
              <w:contextualSpacing/>
              <w:rPr>
                <w:rFonts w:ascii="Arial" w:hAnsi="Arial" w:cs="Arial"/>
                <w:sz w:val="20"/>
                <w:szCs w:val="20"/>
              </w:rPr>
            </w:pPr>
            <w:r w:rsidRPr="00D66EE6">
              <w:rPr>
                <w:rFonts w:ascii="Arial" w:hAnsi="Arial" w:cs="Arial"/>
                <w:sz w:val="20"/>
                <w:szCs w:val="20"/>
              </w:rPr>
              <w:t xml:space="preserve">Public hospitals report adverse events through VHIMS, which is not </w:t>
            </w:r>
            <w:r w:rsidR="00E40B52">
              <w:rPr>
                <w:rFonts w:ascii="Arial" w:hAnsi="Arial" w:cs="Arial"/>
                <w:sz w:val="20"/>
                <w:szCs w:val="20"/>
              </w:rPr>
              <w:t xml:space="preserve">currently </w:t>
            </w:r>
            <w:r w:rsidRPr="00D66EE6">
              <w:rPr>
                <w:rFonts w:ascii="Arial" w:hAnsi="Arial" w:cs="Arial"/>
                <w:sz w:val="20"/>
                <w:szCs w:val="20"/>
              </w:rPr>
              <w:t xml:space="preserve">available to all HSEs. Future reforms </w:t>
            </w:r>
            <w:r w:rsidR="00FA681B">
              <w:rPr>
                <w:rFonts w:ascii="Arial" w:hAnsi="Arial" w:cs="Arial"/>
                <w:sz w:val="20"/>
                <w:szCs w:val="20"/>
              </w:rPr>
              <w:t xml:space="preserve">related to </w:t>
            </w:r>
            <w:r w:rsidRPr="00D66EE6">
              <w:rPr>
                <w:rFonts w:ascii="Arial" w:hAnsi="Arial" w:cs="Arial"/>
                <w:sz w:val="20"/>
                <w:szCs w:val="20"/>
              </w:rPr>
              <w:t>incident reporting through VHIMS would require extensive sector consultation to assess costs, benefits and implementation requirements.</w:t>
            </w:r>
          </w:p>
          <w:p w14:paraId="50578D3A" w14:textId="77777777" w:rsidR="00814E00" w:rsidRPr="00D66EE6" w:rsidRDefault="00814E00" w:rsidP="00131778">
            <w:pPr>
              <w:pStyle w:val="ListParagraph"/>
              <w:numPr>
                <w:ilvl w:val="0"/>
                <w:numId w:val="39"/>
              </w:numPr>
              <w:spacing w:before="160" w:after="160" w:line="276" w:lineRule="auto"/>
              <w:contextualSpacing/>
              <w:rPr>
                <w:rFonts w:ascii="Arial" w:hAnsi="Arial" w:cs="Arial"/>
                <w:sz w:val="20"/>
                <w:szCs w:val="20"/>
              </w:rPr>
            </w:pPr>
            <w:r w:rsidRPr="00D66EE6">
              <w:rPr>
                <w:rFonts w:ascii="Arial" w:hAnsi="Arial" w:cs="Arial"/>
                <w:sz w:val="20"/>
                <w:szCs w:val="20"/>
              </w:rPr>
              <w:t>As noted above, all transfers out are recorded and reported to VAED (noting that clinical reasons are not captured).</w:t>
            </w:r>
          </w:p>
          <w:p w14:paraId="49D1C9FA" w14:textId="4D492A9F" w:rsidR="00814E00" w:rsidRPr="00D66EE6" w:rsidRDefault="00814E00" w:rsidP="00131778">
            <w:pPr>
              <w:pStyle w:val="ListParagraph"/>
              <w:numPr>
                <w:ilvl w:val="0"/>
                <w:numId w:val="39"/>
              </w:numPr>
              <w:spacing w:before="160" w:after="160" w:line="276" w:lineRule="auto"/>
              <w:contextualSpacing/>
              <w:rPr>
                <w:rFonts w:ascii="Arial" w:hAnsi="Arial" w:cs="Arial"/>
                <w:sz w:val="20"/>
                <w:szCs w:val="20"/>
              </w:rPr>
            </w:pPr>
            <w:r w:rsidRPr="00D66EE6">
              <w:rPr>
                <w:rFonts w:ascii="Arial" w:hAnsi="Arial" w:cs="Arial"/>
                <w:sz w:val="20"/>
                <w:szCs w:val="20"/>
              </w:rPr>
              <w:lastRenderedPageBreak/>
              <w:t xml:space="preserve">All SAPSEs are subject to the SDC and therefore require a review that meets the requirements set out in SCV’s </w:t>
            </w:r>
            <w:hyperlink r:id="rId33" w:history="1">
              <w:r w:rsidR="006A2F83" w:rsidRPr="006A2F83">
                <w:rPr>
                  <w:rStyle w:val="Hyperlink"/>
                  <w:rFonts w:ascii="Arial" w:hAnsi="Arial" w:cs="Arial"/>
                  <w:sz w:val="20"/>
                  <w:szCs w:val="20"/>
                </w:rPr>
                <w:t>Victorian Duty of Candour Guidelines</w:t>
              </w:r>
            </w:hyperlink>
            <w:r w:rsidRPr="00D66EE6">
              <w:rPr>
                <w:rFonts w:ascii="Arial" w:hAnsi="Arial" w:cs="Arial"/>
                <w:sz w:val="20"/>
                <w:szCs w:val="20"/>
              </w:rPr>
              <w:t>.</w:t>
            </w:r>
            <w:r w:rsidR="00A468F0">
              <w:rPr>
                <w:rStyle w:val="FootnoteReference"/>
                <w:rFonts w:ascii="Arial" w:hAnsi="Arial" w:cs="Arial"/>
                <w:sz w:val="20"/>
                <w:szCs w:val="20"/>
              </w:rPr>
              <w:footnoteReference w:id="20"/>
            </w:r>
            <w:r w:rsidRPr="00D66EE6">
              <w:rPr>
                <w:rFonts w:ascii="Arial" w:hAnsi="Arial" w:cs="Arial"/>
                <w:sz w:val="20"/>
                <w:szCs w:val="20"/>
              </w:rPr>
              <w:t xml:space="preserve"> Further, HSEs </w:t>
            </w:r>
            <w:r w:rsidR="00B665D1">
              <w:rPr>
                <w:rFonts w:ascii="Arial" w:hAnsi="Arial" w:cs="Arial"/>
                <w:sz w:val="20"/>
                <w:szCs w:val="20"/>
              </w:rPr>
              <w:t>may</w:t>
            </w:r>
            <w:r w:rsidRPr="00D66EE6">
              <w:rPr>
                <w:rFonts w:ascii="Arial" w:hAnsi="Arial" w:cs="Arial"/>
                <w:sz w:val="20"/>
                <w:szCs w:val="20"/>
              </w:rPr>
              <w:t xml:space="preserve"> conduct a protected SAPSE review with specific requirements for review methodology and panel composition.</w:t>
            </w:r>
          </w:p>
          <w:p w14:paraId="1CBA8882" w14:textId="54127131" w:rsidR="00814E00" w:rsidRPr="00D66EE6" w:rsidRDefault="00814E00" w:rsidP="00131778">
            <w:pPr>
              <w:pStyle w:val="ListParagraph"/>
              <w:numPr>
                <w:ilvl w:val="0"/>
                <w:numId w:val="39"/>
              </w:numPr>
              <w:spacing w:before="160" w:after="160" w:line="276" w:lineRule="auto"/>
              <w:contextualSpacing/>
              <w:rPr>
                <w:rFonts w:cs="Arial"/>
                <w:sz w:val="20"/>
              </w:rPr>
            </w:pPr>
            <w:r w:rsidRPr="00D66EE6">
              <w:rPr>
                <w:rFonts w:ascii="Arial" w:hAnsi="Arial" w:cs="Arial"/>
                <w:sz w:val="20"/>
                <w:szCs w:val="20"/>
              </w:rPr>
              <w:t>While the ISBAR tool is broadly used in the private sector, it is not practical to specify particular tools in the Regulations as they may change or be superseded over time.</w:t>
            </w:r>
          </w:p>
        </w:tc>
      </w:tr>
      <w:tr w:rsidR="00814E00" w:rsidRPr="00D66EE6" w14:paraId="28AA11F6" w14:textId="77777777" w:rsidTr="00D66EE6">
        <w:trPr>
          <w:trHeight w:val="1500"/>
        </w:trPr>
        <w:tc>
          <w:tcPr>
            <w:tcW w:w="288" w:type="pct"/>
            <w:shd w:val="clear" w:color="auto" w:fill="auto"/>
            <w:hideMark/>
          </w:tcPr>
          <w:p w14:paraId="4EB4DA2A" w14:textId="77777777" w:rsidR="00814E00" w:rsidRPr="00D66EE6" w:rsidRDefault="00814E00" w:rsidP="001562A6">
            <w:pPr>
              <w:rPr>
                <w:rFonts w:cs="Arial"/>
                <w:sz w:val="20"/>
              </w:rPr>
            </w:pPr>
            <w:r w:rsidRPr="00D66EE6">
              <w:rPr>
                <w:rFonts w:cs="Arial"/>
                <w:sz w:val="20"/>
              </w:rPr>
              <w:lastRenderedPageBreak/>
              <w:t>46A</w:t>
            </w:r>
          </w:p>
          <w:p w14:paraId="0B22627D" w14:textId="77777777" w:rsidR="00814E00" w:rsidRPr="00D66EE6" w:rsidRDefault="00814E00" w:rsidP="001562A6">
            <w:pPr>
              <w:rPr>
                <w:rFonts w:cs="Arial"/>
                <w:sz w:val="20"/>
              </w:rPr>
            </w:pPr>
            <w:r w:rsidRPr="00D66EE6">
              <w:rPr>
                <w:rFonts w:cs="Arial"/>
                <w:color w:val="FF0000"/>
                <w:sz w:val="20"/>
              </w:rPr>
              <w:t>66</w:t>
            </w:r>
          </w:p>
        </w:tc>
        <w:tc>
          <w:tcPr>
            <w:tcW w:w="1570" w:type="pct"/>
            <w:shd w:val="clear" w:color="auto" w:fill="auto"/>
            <w:hideMark/>
          </w:tcPr>
          <w:p w14:paraId="41291819" w14:textId="77777777" w:rsidR="00814E00" w:rsidRPr="00D66EE6" w:rsidRDefault="00814E00" w:rsidP="001562A6">
            <w:pPr>
              <w:rPr>
                <w:rFonts w:cs="Arial"/>
                <w:b/>
                <w:sz w:val="20"/>
              </w:rPr>
            </w:pPr>
            <w:r w:rsidRPr="00D66EE6">
              <w:rPr>
                <w:rFonts w:cs="Arial"/>
                <w:b/>
                <w:sz w:val="20"/>
              </w:rPr>
              <w:t>Reporting of sentinel events</w:t>
            </w:r>
          </w:p>
          <w:p w14:paraId="608E43E2" w14:textId="77777777" w:rsidR="00814E00" w:rsidRPr="00D66EE6" w:rsidRDefault="00814E00" w:rsidP="001562A6">
            <w:pPr>
              <w:rPr>
                <w:rFonts w:cs="Arial"/>
                <w:strike/>
                <w:sz w:val="20"/>
              </w:rPr>
            </w:pPr>
            <w:r w:rsidRPr="00D66EE6">
              <w:rPr>
                <w:rFonts w:cs="Arial"/>
                <w:sz w:val="20"/>
              </w:rPr>
              <w:t xml:space="preserve">The proprietor of a health service establishment must report in writing </w:t>
            </w:r>
            <w:r w:rsidRPr="00D66EE6">
              <w:rPr>
                <w:rFonts w:cs="Arial"/>
                <w:strike/>
                <w:sz w:val="20"/>
              </w:rPr>
              <w:t>a</w:t>
            </w:r>
            <w:r w:rsidRPr="00D66EE6">
              <w:rPr>
                <w:rFonts w:cs="Arial"/>
                <w:sz w:val="20"/>
              </w:rPr>
              <w:t xml:space="preserve"> </w:t>
            </w:r>
            <w:r w:rsidRPr="00D66EE6">
              <w:rPr>
                <w:rFonts w:cs="Arial"/>
                <w:color w:val="FF0000"/>
                <w:sz w:val="20"/>
              </w:rPr>
              <w:t xml:space="preserve">each </w:t>
            </w:r>
            <w:r w:rsidRPr="00D66EE6">
              <w:rPr>
                <w:rFonts w:cs="Arial"/>
                <w:sz w:val="20"/>
              </w:rPr>
              <w:t xml:space="preserve">sentinel event that </w:t>
            </w:r>
            <w:r w:rsidRPr="00D66EE6">
              <w:rPr>
                <w:rFonts w:cs="Arial"/>
                <w:strike/>
                <w:sz w:val="20"/>
              </w:rPr>
              <w:t>occurred</w:t>
            </w:r>
            <w:r w:rsidRPr="00D66EE6">
              <w:rPr>
                <w:rFonts w:cs="Arial"/>
                <w:sz w:val="20"/>
              </w:rPr>
              <w:t xml:space="preserve"> </w:t>
            </w:r>
            <w:r w:rsidRPr="00D66EE6">
              <w:rPr>
                <w:rFonts w:cs="Arial"/>
                <w:color w:val="FF0000"/>
                <w:sz w:val="20"/>
              </w:rPr>
              <w:t xml:space="preserve">occurs </w:t>
            </w:r>
            <w:r w:rsidRPr="00D66EE6">
              <w:rPr>
                <w:rFonts w:cs="Arial"/>
                <w:sz w:val="20"/>
              </w:rPr>
              <w:t xml:space="preserve">at the health service establishment to the Secretary— </w:t>
            </w:r>
            <w:r w:rsidRPr="00D66EE6">
              <w:rPr>
                <w:rFonts w:cs="Arial"/>
                <w:strike/>
                <w:sz w:val="20"/>
              </w:rPr>
              <w:t>within the time determined by the Secretary.</w:t>
            </w:r>
          </w:p>
          <w:p w14:paraId="4CCF15E9" w14:textId="77777777" w:rsidR="00814E00" w:rsidRPr="00D66EE6" w:rsidRDefault="00814E00" w:rsidP="00131778">
            <w:pPr>
              <w:pStyle w:val="ListParagraph"/>
              <w:numPr>
                <w:ilvl w:val="1"/>
                <w:numId w:val="27"/>
              </w:numPr>
              <w:spacing w:before="160" w:after="160" w:line="276" w:lineRule="auto"/>
              <w:contextualSpacing/>
              <w:rPr>
                <w:rFonts w:ascii="Arial" w:hAnsi="Arial" w:cs="Arial"/>
                <w:sz w:val="20"/>
                <w:szCs w:val="20"/>
              </w:rPr>
            </w:pPr>
            <w:r w:rsidRPr="00D66EE6">
              <w:rPr>
                <w:rFonts w:ascii="Arial" w:hAnsi="Arial" w:cs="Arial"/>
                <w:color w:val="FF0000"/>
                <w:sz w:val="20"/>
                <w:szCs w:val="20"/>
              </w:rPr>
              <w:t>within the time determined by the Secretary; and</w:t>
            </w:r>
          </w:p>
          <w:p w14:paraId="3F885932" w14:textId="77777777" w:rsidR="00814E00" w:rsidRPr="00D66EE6" w:rsidRDefault="00814E00" w:rsidP="00131778">
            <w:pPr>
              <w:pStyle w:val="ListParagraph"/>
              <w:numPr>
                <w:ilvl w:val="1"/>
                <w:numId w:val="27"/>
              </w:numPr>
              <w:spacing w:before="160" w:after="160" w:line="276" w:lineRule="auto"/>
              <w:contextualSpacing/>
              <w:rPr>
                <w:rFonts w:ascii="Arial" w:hAnsi="Arial" w:cs="Arial"/>
                <w:sz w:val="20"/>
                <w:szCs w:val="20"/>
              </w:rPr>
            </w:pPr>
            <w:r w:rsidRPr="00D66EE6">
              <w:rPr>
                <w:rFonts w:ascii="Arial" w:hAnsi="Arial" w:cs="Arial"/>
                <w:color w:val="FF0000"/>
                <w:sz w:val="20"/>
                <w:szCs w:val="20"/>
              </w:rPr>
              <w:t>in the form and manner determined by the Secretary.</w:t>
            </w:r>
          </w:p>
        </w:tc>
        <w:tc>
          <w:tcPr>
            <w:tcW w:w="1571" w:type="pct"/>
            <w:shd w:val="clear" w:color="auto" w:fill="auto"/>
            <w:hideMark/>
          </w:tcPr>
          <w:p w14:paraId="229F55D8" w14:textId="77777777" w:rsidR="006A1267" w:rsidRPr="00325CBA" w:rsidRDefault="006A1267" w:rsidP="006A1267">
            <w:pPr>
              <w:rPr>
                <w:rFonts w:cs="Arial"/>
                <w:b/>
                <w:bCs/>
                <w:sz w:val="20"/>
              </w:rPr>
            </w:pPr>
            <w:r w:rsidRPr="00325CBA">
              <w:rPr>
                <w:b/>
                <w:bCs/>
                <w:sz w:val="20"/>
              </w:rPr>
              <w:t xml:space="preserve">CHA/anonymous </w:t>
            </w:r>
          </w:p>
          <w:p w14:paraId="7B70B5D7" w14:textId="77777777" w:rsidR="00814E00" w:rsidRPr="00D66EE6" w:rsidRDefault="00814E00" w:rsidP="004A4D92">
            <w:pPr>
              <w:rPr>
                <w:rFonts w:cs="Arial"/>
                <w:b/>
                <w:bCs/>
                <w:sz w:val="20"/>
                <w:u w:val="single"/>
              </w:rPr>
            </w:pPr>
            <w:r w:rsidRPr="00D66EE6">
              <w:rPr>
                <w:rFonts w:cs="Arial"/>
                <w:sz w:val="20"/>
              </w:rPr>
              <w:t>No concerns regarding amendment. Notes that similar requirements should be required of mobile health services.</w:t>
            </w:r>
          </w:p>
          <w:p w14:paraId="2DFCF44A" w14:textId="77777777" w:rsidR="00814E00" w:rsidRPr="00D66EE6" w:rsidRDefault="00814E00" w:rsidP="001562A6">
            <w:pPr>
              <w:rPr>
                <w:rFonts w:cs="Arial"/>
                <w:b/>
                <w:bCs/>
                <w:sz w:val="20"/>
              </w:rPr>
            </w:pPr>
            <w:r w:rsidRPr="00D66EE6">
              <w:rPr>
                <w:rFonts w:cs="Arial"/>
                <w:b/>
                <w:bCs/>
                <w:sz w:val="20"/>
              </w:rPr>
              <w:t>ASMIRT</w:t>
            </w:r>
          </w:p>
          <w:p w14:paraId="5C348609" w14:textId="3CD5484A" w:rsidR="00814E00" w:rsidRPr="00D66EE6" w:rsidRDefault="00814E00" w:rsidP="001562A6">
            <w:pPr>
              <w:rPr>
                <w:rFonts w:cs="Arial"/>
                <w:sz w:val="20"/>
              </w:rPr>
            </w:pPr>
            <w:r w:rsidRPr="00D66EE6">
              <w:rPr>
                <w:rFonts w:cs="Arial"/>
                <w:sz w:val="20"/>
              </w:rPr>
              <w:t>Supports the amendment.</w:t>
            </w:r>
          </w:p>
          <w:p w14:paraId="71724378" w14:textId="77777777" w:rsidR="00814E00" w:rsidRPr="00D66EE6" w:rsidRDefault="00814E00" w:rsidP="001562A6">
            <w:pPr>
              <w:rPr>
                <w:rFonts w:cs="Arial"/>
                <w:b/>
                <w:bCs/>
                <w:sz w:val="20"/>
              </w:rPr>
            </w:pPr>
            <w:r w:rsidRPr="00D66EE6">
              <w:rPr>
                <w:rFonts w:cs="Arial"/>
                <w:b/>
                <w:bCs/>
                <w:sz w:val="20"/>
              </w:rPr>
              <w:t>ANMF</w:t>
            </w:r>
          </w:p>
          <w:p w14:paraId="77B446AF" w14:textId="1B4BA977" w:rsidR="00814E00" w:rsidRPr="00D66EE6" w:rsidRDefault="00814E00" w:rsidP="000E2AFE">
            <w:pPr>
              <w:rPr>
                <w:rFonts w:cs="Arial"/>
                <w:sz w:val="20"/>
              </w:rPr>
            </w:pPr>
            <w:r w:rsidRPr="00D66EE6">
              <w:rPr>
                <w:rFonts w:cs="Arial"/>
                <w:sz w:val="20"/>
              </w:rPr>
              <w:t xml:space="preserve">Supports amendment, but suggest that to reduce ambiguity and promote consistency, the Regulations be amended to stipulate the SCV Online Portal as the mechanism for reporting, rather than stating this will occur in ‘the form and manner determined by the Secretary’. </w:t>
            </w:r>
          </w:p>
        </w:tc>
        <w:tc>
          <w:tcPr>
            <w:tcW w:w="1571" w:type="pct"/>
            <w:shd w:val="clear" w:color="auto" w:fill="auto"/>
          </w:tcPr>
          <w:p w14:paraId="11B08A7D" w14:textId="2C1714B0" w:rsidR="00814E00" w:rsidRPr="00D66EE6" w:rsidRDefault="00814E00" w:rsidP="005B1BEE">
            <w:pPr>
              <w:rPr>
                <w:rFonts w:cs="Arial"/>
                <w:sz w:val="20"/>
              </w:rPr>
            </w:pPr>
            <w:r w:rsidRPr="00D66EE6">
              <w:rPr>
                <w:rFonts w:cs="Arial"/>
                <w:sz w:val="20"/>
              </w:rPr>
              <w:t xml:space="preserve">In response to </w:t>
            </w:r>
            <w:r w:rsidRPr="00D66EE6">
              <w:rPr>
                <w:rFonts w:cs="Arial"/>
                <w:b/>
                <w:bCs/>
                <w:sz w:val="20"/>
              </w:rPr>
              <w:t xml:space="preserve">CHA/anonymous </w:t>
            </w:r>
            <w:r w:rsidRPr="00D66EE6">
              <w:rPr>
                <w:rFonts w:cs="Arial"/>
                <w:sz w:val="20"/>
              </w:rPr>
              <w:t xml:space="preserve">feedback, the </w:t>
            </w:r>
            <w:r w:rsidR="00C87601">
              <w:rPr>
                <w:rFonts w:cs="Arial"/>
                <w:sz w:val="20"/>
              </w:rPr>
              <w:t>department</w:t>
            </w:r>
            <w:r w:rsidRPr="00D66EE6">
              <w:rPr>
                <w:rFonts w:cs="Arial"/>
                <w:sz w:val="20"/>
              </w:rPr>
              <w:t xml:space="preserve"> confirms that this Regulation applies to mobile services.</w:t>
            </w:r>
          </w:p>
          <w:p w14:paraId="159D9A17" w14:textId="3A2720F5" w:rsidR="00814E00" w:rsidRPr="00D66EE6" w:rsidRDefault="00814E00" w:rsidP="005B1BEE">
            <w:pPr>
              <w:spacing w:before="160" w:after="160" w:line="276" w:lineRule="auto"/>
              <w:contextualSpacing/>
              <w:rPr>
                <w:rFonts w:cs="Arial"/>
                <w:sz w:val="20"/>
              </w:rPr>
            </w:pPr>
            <w:r w:rsidRPr="00D66EE6">
              <w:rPr>
                <w:rFonts w:cs="Arial"/>
                <w:sz w:val="20"/>
              </w:rPr>
              <w:t xml:space="preserve">In response to </w:t>
            </w:r>
            <w:r w:rsidRPr="00D66EE6">
              <w:rPr>
                <w:rFonts w:cs="Arial"/>
                <w:b/>
                <w:bCs/>
                <w:sz w:val="20"/>
              </w:rPr>
              <w:t xml:space="preserve">ANMF’s </w:t>
            </w:r>
            <w:r w:rsidRPr="00D66EE6">
              <w:rPr>
                <w:rFonts w:cs="Arial"/>
                <w:sz w:val="20"/>
              </w:rPr>
              <w:t xml:space="preserve">feedback, it </w:t>
            </w:r>
            <w:r w:rsidR="00C0424D">
              <w:rPr>
                <w:rFonts w:cs="Arial"/>
                <w:sz w:val="20"/>
              </w:rPr>
              <w:t>may be limiting</w:t>
            </w:r>
            <w:r w:rsidRPr="00D66EE6">
              <w:rPr>
                <w:rFonts w:cs="Arial"/>
                <w:sz w:val="20"/>
              </w:rPr>
              <w:t xml:space="preserve"> to stipulate the SCV Online Portal in the Regulations as the name may change over time or the platform may be superseded. Changes like these can be more easily managed through updates to guidelines or policies determined by Secretary, as these could proceed without requiring the Regulations to be amended and remade.</w:t>
            </w:r>
          </w:p>
        </w:tc>
      </w:tr>
      <w:tr w:rsidR="00814E00" w:rsidRPr="00D66EE6" w14:paraId="5D3C95CA" w14:textId="77777777" w:rsidTr="00D66EE6">
        <w:trPr>
          <w:trHeight w:val="2100"/>
        </w:trPr>
        <w:tc>
          <w:tcPr>
            <w:tcW w:w="288" w:type="pct"/>
            <w:shd w:val="clear" w:color="auto" w:fill="auto"/>
            <w:hideMark/>
          </w:tcPr>
          <w:p w14:paraId="1F7FCC02" w14:textId="77777777" w:rsidR="00814E00" w:rsidRPr="00D66EE6" w:rsidRDefault="00814E00" w:rsidP="001562A6">
            <w:pPr>
              <w:rPr>
                <w:rFonts w:cs="Arial"/>
                <w:color w:val="FF0000"/>
                <w:sz w:val="20"/>
              </w:rPr>
            </w:pPr>
            <w:r w:rsidRPr="00D66EE6">
              <w:rPr>
                <w:rFonts w:cs="Arial"/>
                <w:color w:val="FF0000"/>
                <w:sz w:val="20"/>
              </w:rPr>
              <w:t>NEW</w:t>
            </w:r>
          </w:p>
          <w:p w14:paraId="04C220B4" w14:textId="77777777" w:rsidR="00814E00" w:rsidRPr="00D66EE6" w:rsidRDefault="00814E00" w:rsidP="001562A6">
            <w:pPr>
              <w:rPr>
                <w:rFonts w:cs="Arial"/>
                <w:sz w:val="20"/>
              </w:rPr>
            </w:pPr>
            <w:r w:rsidRPr="00D66EE6">
              <w:rPr>
                <w:rFonts w:cs="Arial"/>
                <w:color w:val="FF0000"/>
                <w:sz w:val="20"/>
              </w:rPr>
              <w:t>67</w:t>
            </w:r>
          </w:p>
        </w:tc>
        <w:tc>
          <w:tcPr>
            <w:tcW w:w="1570" w:type="pct"/>
            <w:shd w:val="clear" w:color="auto" w:fill="auto"/>
            <w:hideMark/>
          </w:tcPr>
          <w:p w14:paraId="266D40CE" w14:textId="77777777" w:rsidR="00814E00" w:rsidRPr="00D66EE6" w:rsidRDefault="00814E00" w:rsidP="001562A6">
            <w:pPr>
              <w:rPr>
                <w:rFonts w:cs="Arial"/>
                <w:b/>
                <w:color w:val="FF0000"/>
                <w:sz w:val="20"/>
              </w:rPr>
            </w:pPr>
            <w:r w:rsidRPr="00D66EE6">
              <w:rPr>
                <w:rFonts w:cs="Arial"/>
                <w:b/>
                <w:bCs/>
                <w:color w:val="FF0000"/>
                <w:sz w:val="20"/>
              </w:rPr>
              <w:t>Review of sentinel events</w:t>
            </w:r>
          </w:p>
          <w:p w14:paraId="485BE724" w14:textId="77777777" w:rsidR="00814E00" w:rsidRPr="00D66EE6" w:rsidRDefault="00814E00" w:rsidP="00131778">
            <w:pPr>
              <w:pStyle w:val="ListParagraph"/>
              <w:numPr>
                <w:ilvl w:val="0"/>
                <w:numId w:val="28"/>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For the purpose of ensuring the quality and safety of health services provided by a health service establishment, the proprietor of a health service establishment must ensure that a review is conducted of each sentinel event that occurs at the health service establishment.</w:t>
            </w:r>
          </w:p>
          <w:p w14:paraId="08BF34C9" w14:textId="77777777" w:rsidR="00814E00" w:rsidRPr="00D66EE6" w:rsidRDefault="00814E00" w:rsidP="00131778">
            <w:pPr>
              <w:pStyle w:val="ListParagraph"/>
              <w:numPr>
                <w:ilvl w:val="0"/>
                <w:numId w:val="28"/>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 xml:space="preserve">A review conducted under subregulation (1) must be conducted in the manner and within the time determined by the Secretary. </w:t>
            </w:r>
          </w:p>
          <w:p w14:paraId="2A58BB4B" w14:textId="77777777" w:rsidR="00814E00" w:rsidRPr="00D66EE6" w:rsidRDefault="00814E00" w:rsidP="00131778">
            <w:pPr>
              <w:pStyle w:val="ListParagraph"/>
              <w:numPr>
                <w:ilvl w:val="0"/>
                <w:numId w:val="28"/>
              </w:numPr>
              <w:spacing w:before="160" w:after="160" w:line="276" w:lineRule="auto"/>
              <w:contextualSpacing/>
              <w:rPr>
                <w:rFonts w:ascii="Arial" w:hAnsi="Arial" w:cs="Arial"/>
                <w:color w:val="FF0000"/>
                <w:sz w:val="20"/>
                <w:szCs w:val="20"/>
              </w:rPr>
            </w:pPr>
            <w:r w:rsidRPr="00D66EE6">
              <w:rPr>
                <w:rFonts w:ascii="Arial" w:hAnsi="Arial" w:cs="Arial"/>
                <w:color w:val="FF0000"/>
                <w:sz w:val="20"/>
                <w:szCs w:val="20"/>
              </w:rPr>
              <w:t>The proprietor of a health service establishment must record the outcome of a review conducted under subregulation (1) in writing and submit it to the Secretary within the time and in the form determined by the Secretary.</w:t>
            </w:r>
          </w:p>
        </w:tc>
        <w:tc>
          <w:tcPr>
            <w:tcW w:w="1571" w:type="pct"/>
            <w:shd w:val="clear" w:color="auto" w:fill="auto"/>
            <w:hideMark/>
          </w:tcPr>
          <w:p w14:paraId="514A2583" w14:textId="77777777" w:rsidR="006A1267" w:rsidRPr="00325CBA" w:rsidRDefault="006A1267" w:rsidP="006A1267">
            <w:pPr>
              <w:rPr>
                <w:rFonts w:cs="Arial"/>
                <w:b/>
                <w:bCs/>
                <w:sz w:val="20"/>
              </w:rPr>
            </w:pPr>
            <w:r w:rsidRPr="00325CBA">
              <w:rPr>
                <w:b/>
                <w:bCs/>
                <w:sz w:val="20"/>
              </w:rPr>
              <w:t xml:space="preserve">CHA/anonymous </w:t>
            </w:r>
          </w:p>
          <w:p w14:paraId="03C43D00" w14:textId="77777777" w:rsidR="00814E00" w:rsidRPr="00D66EE6" w:rsidRDefault="00814E00" w:rsidP="00F7157F">
            <w:pPr>
              <w:rPr>
                <w:rFonts w:cs="Arial"/>
                <w:b/>
                <w:bCs/>
                <w:sz w:val="20"/>
                <w:u w:val="single"/>
              </w:rPr>
            </w:pPr>
            <w:r w:rsidRPr="00D66EE6">
              <w:rPr>
                <w:rFonts w:cs="Arial"/>
                <w:sz w:val="20"/>
              </w:rPr>
              <w:t>No concerns regarding amendment. Notes that similar requirements should be required of mobile health services.</w:t>
            </w:r>
          </w:p>
          <w:p w14:paraId="1A64E698" w14:textId="77777777" w:rsidR="00814E00" w:rsidRPr="00D66EE6" w:rsidRDefault="00814E00" w:rsidP="00F7157F">
            <w:pPr>
              <w:rPr>
                <w:rFonts w:cs="Arial"/>
                <w:b/>
                <w:bCs/>
                <w:sz w:val="20"/>
              </w:rPr>
            </w:pPr>
            <w:r w:rsidRPr="00D66EE6">
              <w:rPr>
                <w:rFonts w:cs="Arial"/>
                <w:b/>
                <w:bCs/>
                <w:sz w:val="20"/>
              </w:rPr>
              <w:t>ASMIRT</w:t>
            </w:r>
          </w:p>
          <w:p w14:paraId="604CEC46" w14:textId="77777777" w:rsidR="00814E00" w:rsidRPr="00D66EE6" w:rsidRDefault="00814E00" w:rsidP="00F7157F">
            <w:pPr>
              <w:rPr>
                <w:rFonts w:cs="Arial"/>
                <w:sz w:val="20"/>
              </w:rPr>
            </w:pPr>
            <w:r w:rsidRPr="00D66EE6">
              <w:rPr>
                <w:rFonts w:cs="Arial"/>
                <w:sz w:val="20"/>
              </w:rPr>
              <w:t>Supports the amendment.</w:t>
            </w:r>
          </w:p>
          <w:p w14:paraId="7C72F71C" w14:textId="77777777" w:rsidR="00814E00" w:rsidRPr="00D66EE6" w:rsidRDefault="00814E00" w:rsidP="001562A6">
            <w:pPr>
              <w:rPr>
                <w:rFonts w:cs="Arial"/>
                <w:b/>
                <w:bCs/>
                <w:sz w:val="20"/>
              </w:rPr>
            </w:pPr>
            <w:r w:rsidRPr="00D66EE6">
              <w:rPr>
                <w:rFonts w:cs="Arial"/>
                <w:b/>
                <w:bCs/>
                <w:sz w:val="20"/>
              </w:rPr>
              <w:t>Healthscope</w:t>
            </w:r>
          </w:p>
          <w:p w14:paraId="617EF251" w14:textId="77777777" w:rsidR="00814E00" w:rsidRPr="00D66EE6" w:rsidRDefault="00814E00" w:rsidP="001562A6">
            <w:pPr>
              <w:rPr>
                <w:rFonts w:cs="Arial"/>
                <w:sz w:val="20"/>
              </w:rPr>
            </w:pPr>
            <w:r w:rsidRPr="00D66EE6">
              <w:rPr>
                <w:rFonts w:cs="Arial"/>
                <w:sz w:val="20"/>
              </w:rPr>
              <w:t>67(2) suggests the timeframe for completion of review needs to be extended to ensure the review teams can adhere to mandated timelines. In NSW the report submission timeline is 100 days; they encourage Victoria to extend from the current 30 days.</w:t>
            </w:r>
          </w:p>
          <w:p w14:paraId="5E230516" w14:textId="77777777" w:rsidR="00814E00" w:rsidRPr="00D66EE6" w:rsidRDefault="00814E00" w:rsidP="001562A6">
            <w:pPr>
              <w:rPr>
                <w:rFonts w:cs="Arial"/>
                <w:b/>
                <w:bCs/>
                <w:sz w:val="20"/>
              </w:rPr>
            </w:pPr>
            <w:r w:rsidRPr="00D66EE6">
              <w:rPr>
                <w:rFonts w:cs="Arial"/>
                <w:b/>
                <w:bCs/>
                <w:sz w:val="20"/>
              </w:rPr>
              <w:t>ANMF</w:t>
            </w:r>
          </w:p>
          <w:p w14:paraId="0086F9E8" w14:textId="77777777" w:rsidR="00814E00" w:rsidRPr="00D66EE6" w:rsidRDefault="00814E00" w:rsidP="001562A6">
            <w:pPr>
              <w:rPr>
                <w:rFonts w:cs="Arial"/>
                <w:sz w:val="20"/>
              </w:rPr>
            </w:pPr>
            <w:r w:rsidRPr="00D66EE6">
              <w:rPr>
                <w:rFonts w:cs="Arial"/>
                <w:sz w:val="20"/>
              </w:rPr>
              <w:t xml:space="preserve">Supports amendment, but suggest that to reduce ambiguity and promote consistency, the Regulations should stipulate that SEs and SAPSEs be reviewed in accordance with SCV’s </w:t>
            </w:r>
            <w:r w:rsidRPr="00D66EE6">
              <w:rPr>
                <w:rFonts w:cs="Arial"/>
                <w:i/>
                <w:iCs/>
                <w:sz w:val="20"/>
              </w:rPr>
              <w:t>Sentinel Events Guide</w:t>
            </w:r>
            <w:r w:rsidRPr="00D66EE6">
              <w:rPr>
                <w:rFonts w:cs="Arial"/>
                <w:sz w:val="20"/>
              </w:rPr>
              <w:t xml:space="preserve"> and </w:t>
            </w:r>
            <w:r w:rsidRPr="00D66EE6">
              <w:rPr>
                <w:rFonts w:cs="Arial"/>
                <w:i/>
                <w:iCs/>
                <w:sz w:val="20"/>
              </w:rPr>
              <w:t xml:space="preserve">Adverse </w:t>
            </w:r>
            <w:r w:rsidRPr="00D66EE6">
              <w:rPr>
                <w:rFonts w:cs="Arial"/>
                <w:i/>
                <w:iCs/>
                <w:sz w:val="20"/>
              </w:rPr>
              <w:lastRenderedPageBreak/>
              <w:t xml:space="preserve">Patient Safety Event Policy </w:t>
            </w:r>
            <w:r w:rsidRPr="00D66EE6">
              <w:rPr>
                <w:rFonts w:cs="Arial"/>
                <w:sz w:val="20"/>
              </w:rPr>
              <w:t>rather than stating this will occur in ‘the form and manner determined by the Secretary’.</w:t>
            </w:r>
          </w:p>
          <w:p w14:paraId="552DF5BF" w14:textId="77777777" w:rsidR="00814E00" w:rsidRPr="00D66EE6" w:rsidRDefault="00814E00" w:rsidP="001562A6">
            <w:pPr>
              <w:rPr>
                <w:rFonts w:cs="Arial"/>
                <w:sz w:val="20"/>
              </w:rPr>
            </w:pPr>
          </w:p>
          <w:p w14:paraId="5F3990A1" w14:textId="77777777" w:rsidR="00814E00" w:rsidRPr="00D66EE6" w:rsidRDefault="00814E00" w:rsidP="001562A6">
            <w:pPr>
              <w:rPr>
                <w:rFonts w:cs="Arial"/>
                <w:sz w:val="20"/>
              </w:rPr>
            </w:pPr>
          </w:p>
        </w:tc>
        <w:tc>
          <w:tcPr>
            <w:tcW w:w="1571" w:type="pct"/>
            <w:shd w:val="clear" w:color="auto" w:fill="auto"/>
          </w:tcPr>
          <w:p w14:paraId="40E8F471" w14:textId="5C6D27DD" w:rsidR="00814E00" w:rsidRPr="00D66EE6" w:rsidRDefault="00814E00" w:rsidP="00F7157F">
            <w:pPr>
              <w:rPr>
                <w:rFonts w:cs="Arial"/>
                <w:sz w:val="20"/>
              </w:rPr>
            </w:pPr>
            <w:r w:rsidRPr="00D66EE6">
              <w:rPr>
                <w:rFonts w:cs="Arial"/>
                <w:sz w:val="20"/>
              </w:rPr>
              <w:lastRenderedPageBreak/>
              <w:t xml:space="preserve">In response to </w:t>
            </w:r>
            <w:r w:rsidRPr="00D66EE6">
              <w:rPr>
                <w:rFonts w:cs="Arial"/>
                <w:b/>
                <w:bCs/>
                <w:sz w:val="20"/>
              </w:rPr>
              <w:t xml:space="preserve">CHA/anonymous </w:t>
            </w:r>
            <w:r w:rsidRPr="00D66EE6">
              <w:rPr>
                <w:rFonts w:cs="Arial"/>
                <w:sz w:val="20"/>
              </w:rPr>
              <w:t xml:space="preserve">feedback, the </w:t>
            </w:r>
            <w:r w:rsidR="00C87601">
              <w:rPr>
                <w:rFonts w:cs="Arial"/>
                <w:sz w:val="20"/>
              </w:rPr>
              <w:t>department</w:t>
            </w:r>
            <w:r w:rsidRPr="00D66EE6">
              <w:rPr>
                <w:rFonts w:cs="Arial"/>
                <w:sz w:val="20"/>
              </w:rPr>
              <w:t xml:space="preserve"> confirms that this Regulation applies to mobile services.</w:t>
            </w:r>
          </w:p>
          <w:p w14:paraId="5793D57C" w14:textId="77777777" w:rsidR="00814E00" w:rsidRPr="00D66EE6" w:rsidRDefault="00814E00" w:rsidP="00A73574">
            <w:pPr>
              <w:rPr>
                <w:rFonts w:cs="Arial"/>
                <w:sz w:val="20"/>
              </w:rPr>
            </w:pPr>
            <w:r w:rsidRPr="00D66EE6">
              <w:rPr>
                <w:rFonts w:cs="Arial"/>
                <w:sz w:val="20"/>
              </w:rPr>
              <w:t xml:space="preserve">In response to </w:t>
            </w:r>
            <w:r w:rsidRPr="00D66EE6">
              <w:rPr>
                <w:rFonts w:cs="Arial"/>
                <w:b/>
                <w:bCs/>
                <w:sz w:val="20"/>
              </w:rPr>
              <w:t xml:space="preserve">Healthscope’s </w:t>
            </w:r>
            <w:r w:rsidRPr="00D66EE6">
              <w:rPr>
                <w:rFonts w:cs="Arial"/>
                <w:sz w:val="20"/>
              </w:rPr>
              <w:t>feedback:</w:t>
            </w:r>
          </w:p>
          <w:p w14:paraId="3622A84E" w14:textId="1443107F" w:rsidR="00814E00" w:rsidRPr="00D66EE6" w:rsidRDefault="00814E00" w:rsidP="00131778">
            <w:pPr>
              <w:pStyle w:val="ListParagraph"/>
              <w:numPr>
                <w:ilvl w:val="0"/>
                <w:numId w:val="39"/>
              </w:numPr>
              <w:spacing w:before="160" w:after="160" w:line="276" w:lineRule="auto"/>
              <w:contextualSpacing/>
              <w:rPr>
                <w:rFonts w:ascii="Arial" w:hAnsi="Arial" w:cs="Arial"/>
                <w:sz w:val="20"/>
                <w:szCs w:val="20"/>
              </w:rPr>
            </w:pPr>
            <w:r w:rsidRPr="00D66EE6">
              <w:rPr>
                <w:rFonts w:ascii="Arial" w:hAnsi="Arial" w:cs="Arial"/>
                <w:sz w:val="20"/>
                <w:szCs w:val="20"/>
              </w:rPr>
              <w:t xml:space="preserve">The manner and timeframes for reviews determined by the Secretary will align with requirements set out in SCV’s </w:t>
            </w:r>
            <w:hyperlink r:id="rId34" w:history="1">
              <w:r w:rsidRPr="00A93993">
                <w:rPr>
                  <w:rStyle w:val="Hyperlink"/>
                  <w:rFonts w:ascii="Arial" w:hAnsi="Arial" w:cs="Arial"/>
                  <w:sz w:val="20"/>
                  <w:szCs w:val="20"/>
                </w:rPr>
                <w:t>Sentinel Events Guide</w:t>
              </w:r>
            </w:hyperlink>
            <w:r w:rsidR="00273743">
              <w:rPr>
                <w:rStyle w:val="FootnoteReference"/>
                <w:rFonts w:ascii="Arial" w:hAnsi="Arial" w:cs="Arial"/>
                <w:sz w:val="20"/>
                <w:szCs w:val="20"/>
              </w:rPr>
              <w:footnoteReference w:id="21"/>
            </w:r>
            <w:r w:rsidRPr="00D66EE6">
              <w:rPr>
                <w:rFonts w:ascii="Arial" w:hAnsi="Arial" w:cs="Arial"/>
                <w:sz w:val="20"/>
                <w:szCs w:val="20"/>
              </w:rPr>
              <w:t xml:space="preserve"> and </w:t>
            </w:r>
            <w:hyperlink r:id="rId35" w:history="1">
              <w:r w:rsidRPr="00273743">
                <w:rPr>
                  <w:rStyle w:val="Hyperlink"/>
                  <w:rFonts w:ascii="Arial" w:hAnsi="Arial" w:cs="Arial"/>
                  <w:sz w:val="20"/>
                  <w:szCs w:val="20"/>
                </w:rPr>
                <w:t>Adverse Patient Safety Event Policy</w:t>
              </w:r>
            </w:hyperlink>
            <w:r w:rsidRPr="009F4E35">
              <w:rPr>
                <w:rFonts w:ascii="Arial" w:hAnsi="Arial" w:cs="Arial"/>
                <w:sz w:val="20"/>
                <w:szCs w:val="20"/>
              </w:rPr>
              <w:t>.</w:t>
            </w:r>
            <w:r w:rsidR="006202EB">
              <w:rPr>
                <w:rStyle w:val="FootnoteReference"/>
                <w:rFonts w:ascii="Arial" w:hAnsi="Arial" w:cs="Arial"/>
                <w:sz w:val="20"/>
                <w:szCs w:val="20"/>
              </w:rPr>
              <w:footnoteReference w:id="22"/>
            </w:r>
            <w:r w:rsidRPr="009F4E35">
              <w:rPr>
                <w:rFonts w:ascii="Arial" w:hAnsi="Arial" w:cs="Arial"/>
                <w:sz w:val="20"/>
                <w:szCs w:val="20"/>
              </w:rPr>
              <w:t xml:space="preserve"> </w:t>
            </w:r>
            <w:r w:rsidR="00B062B0">
              <w:rPr>
                <w:rFonts w:ascii="Arial" w:hAnsi="Arial" w:cs="Arial"/>
                <w:sz w:val="20"/>
                <w:szCs w:val="20"/>
              </w:rPr>
              <w:t xml:space="preserve">Acknowledging that these are new requirements, and that </w:t>
            </w:r>
            <w:r w:rsidR="00572742">
              <w:rPr>
                <w:rFonts w:ascii="Arial" w:hAnsi="Arial" w:cs="Arial"/>
                <w:sz w:val="20"/>
                <w:szCs w:val="20"/>
              </w:rPr>
              <w:t xml:space="preserve">health service establishments </w:t>
            </w:r>
            <w:r w:rsidR="00C90DBC">
              <w:rPr>
                <w:rFonts w:ascii="Arial" w:hAnsi="Arial" w:cs="Arial"/>
                <w:sz w:val="20"/>
                <w:szCs w:val="20"/>
              </w:rPr>
              <w:t xml:space="preserve">may lack current expertise in </w:t>
            </w:r>
            <w:r w:rsidR="004E1589">
              <w:rPr>
                <w:rFonts w:ascii="Arial" w:hAnsi="Arial" w:cs="Arial"/>
                <w:sz w:val="20"/>
                <w:szCs w:val="20"/>
              </w:rPr>
              <w:t xml:space="preserve">review methodologies or may face challenges constituting a review panel, the department’s initial focus will be on </w:t>
            </w:r>
            <w:r w:rsidR="00AA6C89">
              <w:rPr>
                <w:rFonts w:ascii="Arial" w:hAnsi="Arial" w:cs="Arial"/>
                <w:sz w:val="20"/>
                <w:szCs w:val="20"/>
              </w:rPr>
              <w:t xml:space="preserve">providing </w:t>
            </w:r>
            <w:r w:rsidR="004E1589">
              <w:rPr>
                <w:rFonts w:ascii="Arial" w:hAnsi="Arial" w:cs="Arial"/>
                <w:sz w:val="20"/>
                <w:szCs w:val="20"/>
              </w:rPr>
              <w:t xml:space="preserve">education and </w:t>
            </w:r>
            <w:r w:rsidR="009176E0">
              <w:rPr>
                <w:rFonts w:ascii="Arial" w:hAnsi="Arial" w:cs="Arial"/>
                <w:sz w:val="20"/>
                <w:szCs w:val="20"/>
              </w:rPr>
              <w:t>practical support</w:t>
            </w:r>
            <w:r w:rsidR="003201F9">
              <w:rPr>
                <w:rFonts w:ascii="Arial" w:hAnsi="Arial" w:cs="Arial"/>
                <w:sz w:val="20"/>
                <w:szCs w:val="20"/>
              </w:rPr>
              <w:t xml:space="preserve">. It will not </w:t>
            </w:r>
            <w:r w:rsidR="00DB6A39">
              <w:rPr>
                <w:rFonts w:ascii="Arial" w:hAnsi="Arial" w:cs="Arial"/>
                <w:sz w:val="20"/>
                <w:szCs w:val="20"/>
              </w:rPr>
              <w:t>take</w:t>
            </w:r>
            <w:r w:rsidR="00D21809">
              <w:rPr>
                <w:rFonts w:ascii="Arial" w:hAnsi="Arial" w:cs="Arial"/>
                <w:sz w:val="20"/>
                <w:szCs w:val="20"/>
              </w:rPr>
              <w:t xml:space="preserve"> punitive enforcement measures</w:t>
            </w:r>
            <w:r w:rsidR="00DB6A39">
              <w:rPr>
                <w:rFonts w:ascii="Arial" w:hAnsi="Arial" w:cs="Arial"/>
                <w:sz w:val="20"/>
                <w:szCs w:val="20"/>
              </w:rPr>
              <w:t xml:space="preserve"> </w:t>
            </w:r>
            <w:r w:rsidR="002064F6">
              <w:rPr>
                <w:rFonts w:ascii="Arial" w:hAnsi="Arial" w:cs="Arial"/>
                <w:sz w:val="20"/>
                <w:szCs w:val="20"/>
              </w:rPr>
              <w:t xml:space="preserve">while health service establishments are </w:t>
            </w:r>
            <w:r w:rsidR="00195C0F">
              <w:rPr>
                <w:rFonts w:ascii="Arial" w:hAnsi="Arial" w:cs="Arial"/>
                <w:sz w:val="20"/>
                <w:szCs w:val="20"/>
              </w:rPr>
              <w:t xml:space="preserve">developing the </w:t>
            </w:r>
            <w:r w:rsidR="0047171B">
              <w:rPr>
                <w:rFonts w:ascii="Arial" w:hAnsi="Arial" w:cs="Arial"/>
                <w:sz w:val="20"/>
                <w:szCs w:val="20"/>
              </w:rPr>
              <w:t>ca</w:t>
            </w:r>
            <w:r w:rsidR="008347E1">
              <w:rPr>
                <w:rFonts w:ascii="Arial" w:hAnsi="Arial" w:cs="Arial"/>
                <w:sz w:val="20"/>
                <w:szCs w:val="20"/>
              </w:rPr>
              <w:t>pacity to undertake fulsome reviews of sentinel events.</w:t>
            </w:r>
            <w:r w:rsidR="00D21809">
              <w:rPr>
                <w:rFonts w:ascii="Arial" w:hAnsi="Arial" w:cs="Arial"/>
                <w:sz w:val="20"/>
                <w:szCs w:val="20"/>
              </w:rPr>
              <w:t xml:space="preserve"> </w:t>
            </w:r>
            <w:r w:rsidR="009176E0">
              <w:rPr>
                <w:rFonts w:ascii="Arial" w:hAnsi="Arial" w:cs="Arial"/>
                <w:sz w:val="20"/>
                <w:szCs w:val="20"/>
              </w:rPr>
              <w:t xml:space="preserve"> </w:t>
            </w:r>
          </w:p>
          <w:p w14:paraId="3B67159A" w14:textId="77777777" w:rsidR="00814E00" w:rsidRPr="00D66EE6" w:rsidRDefault="00814E00" w:rsidP="00131778">
            <w:pPr>
              <w:pStyle w:val="ListParagraph"/>
              <w:numPr>
                <w:ilvl w:val="0"/>
                <w:numId w:val="39"/>
              </w:numPr>
              <w:spacing w:before="160" w:after="160" w:line="276" w:lineRule="auto"/>
              <w:contextualSpacing/>
              <w:rPr>
                <w:rFonts w:ascii="Arial" w:hAnsi="Arial" w:cs="Arial"/>
                <w:sz w:val="20"/>
                <w:szCs w:val="20"/>
              </w:rPr>
            </w:pPr>
            <w:r w:rsidRPr="00D66EE6">
              <w:rPr>
                <w:rFonts w:ascii="Arial" w:hAnsi="Arial" w:cs="Arial"/>
                <w:sz w:val="20"/>
                <w:szCs w:val="20"/>
              </w:rPr>
              <w:t>As stated in the RIS:</w:t>
            </w:r>
          </w:p>
          <w:p w14:paraId="66A3D057" w14:textId="76372CFF" w:rsidR="00814E00" w:rsidRDefault="00814E00" w:rsidP="002C036F">
            <w:pPr>
              <w:pStyle w:val="ListParagraph"/>
              <w:spacing w:before="160" w:after="160" w:line="276" w:lineRule="auto"/>
              <w:ind w:left="360"/>
              <w:contextualSpacing/>
              <w:rPr>
                <w:rFonts w:ascii="Arial" w:hAnsi="Arial" w:cs="Arial"/>
                <w:i/>
                <w:iCs/>
                <w:sz w:val="20"/>
                <w:szCs w:val="20"/>
              </w:rPr>
            </w:pPr>
            <w:r w:rsidRPr="002C036F">
              <w:rPr>
                <w:rFonts w:ascii="Arial" w:hAnsi="Arial" w:cs="Arial"/>
                <w:i/>
                <w:iCs/>
                <w:sz w:val="20"/>
                <w:szCs w:val="20"/>
              </w:rPr>
              <w:t xml:space="preserve">The proprietor may seek, and the Secretary may grant, an extension of the submission deadlines for the review reports. This happens currently across the Sentinel Events Program as a practical response to the </w:t>
            </w:r>
            <w:r w:rsidRPr="002C036F">
              <w:rPr>
                <w:rFonts w:ascii="Arial" w:hAnsi="Arial" w:cs="Arial"/>
                <w:i/>
                <w:iCs/>
                <w:sz w:val="20"/>
                <w:szCs w:val="20"/>
              </w:rPr>
              <w:lastRenderedPageBreak/>
              <w:t xml:space="preserve">difficulties health services experience in timely completion of reviews, typically as a result of challenges resourcing the review panel. </w:t>
            </w:r>
          </w:p>
          <w:p w14:paraId="0814E9CF" w14:textId="7D2872A3" w:rsidR="00814E00" w:rsidRPr="00D66EE6" w:rsidRDefault="00814E00" w:rsidP="000D70F9">
            <w:pPr>
              <w:rPr>
                <w:rFonts w:cs="Arial"/>
                <w:sz w:val="20"/>
              </w:rPr>
            </w:pPr>
            <w:r w:rsidRPr="00D66EE6">
              <w:rPr>
                <w:rFonts w:cs="Arial"/>
                <w:sz w:val="20"/>
              </w:rPr>
              <w:t xml:space="preserve">In response to </w:t>
            </w:r>
            <w:r w:rsidRPr="00D66EE6">
              <w:rPr>
                <w:rFonts w:cs="Arial"/>
                <w:b/>
                <w:bCs/>
                <w:sz w:val="20"/>
              </w:rPr>
              <w:t xml:space="preserve">ANMF’s </w:t>
            </w:r>
            <w:r w:rsidRPr="00D66EE6">
              <w:rPr>
                <w:rFonts w:cs="Arial"/>
                <w:sz w:val="20"/>
              </w:rPr>
              <w:t xml:space="preserve">feedback, </w:t>
            </w:r>
            <w:r w:rsidR="00C0424D" w:rsidRPr="00D66EE6">
              <w:rPr>
                <w:rFonts w:cs="Arial"/>
                <w:sz w:val="20"/>
              </w:rPr>
              <w:t xml:space="preserve">it </w:t>
            </w:r>
            <w:r w:rsidR="00C0424D">
              <w:rPr>
                <w:rFonts w:cs="Arial"/>
                <w:sz w:val="20"/>
              </w:rPr>
              <w:t>may be limiting</w:t>
            </w:r>
            <w:r w:rsidR="00C0424D" w:rsidRPr="00D66EE6">
              <w:rPr>
                <w:rFonts w:cs="Arial"/>
                <w:sz w:val="20"/>
              </w:rPr>
              <w:t xml:space="preserve"> </w:t>
            </w:r>
            <w:r w:rsidRPr="00D66EE6">
              <w:rPr>
                <w:rFonts w:cs="Arial"/>
                <w:sz w:val="20"/>
              </w:rPr>
              <w:t xml:space="preserve">to stipulate the SCV’s </w:t>
            </w:r>
            <w:r w:rsidRPr="005624A4">
              <w:rPr>
                <w:rFonts w:cs="Arial"/>
                <w:i/>
                <w:iCs/>
                <w:sz w:val="20"/>
              </w:rPr>
              <w:t>Sentinel Events Guide</w:t>
            </w:r>
            <w:r w:rsidRPr="00EF0C13">
              <w:rPr>
                <w:rStyle w:val="FootnoteReference"/>
              </w:rPr>
              <w:t xml:space="preserve"> </w:t>
            </w:r>
            <w:r w:rsidRPr="00D66EE6">
              <w:rPr>
                <w:rFonts w:cs="Arial"/>
                <w:sz w:val="20"/>
              </w:rPr>
              <w:t xml:space="preserve">and </w:t>
            </w:r>
            <w:r w:rsidRPr="005624A4">
              <w:rPr>
                <w:rFonts w:cs="Arial"/>
                <w:i/>
                <w:iCs/>
                <w:sz w:val="20"/>
              </w:rPr>
              <w:t>Adverse Patient Safety Event Policy</w:t>
            </w:r>
            <w:r w:rsidRPr="00EF0C13">
              <w:rPr>
                <w:rStyle w:val="FootnoteReference"/>
              </w:rPr>
              <w:t xml:space="preserve"> </w:t>
            </w:r>
            <w:r w:rsidRPr="00D66EE6">
              <w:rPr>
                <w:rFonts w:cs="Arial"/>
                <w:sz w:val="20"/>
              </w:rPr>
              <w:t>in the Regulations as the names may change over time or be superseded by other documents. Changes like these can be more easily managed through updates to guidelines or policies determined by Secretary, as these could proceed without requiring the Regulations to be amended and remade.</w:t>
            </w:r>
          </w:p>
        </w:tc>
      </w:tr>
    </w:tbl>
    <w:p w14:paraId="59F37476" w14:textId="77777777" w:rsidR="00E44046" w:rsidRPr="00D66EE6" w:rsidRDefault="00E44046" w:rsidP="00E44046">
      <w:pPr>
        <w:pStyle w:val="Body"/>
        <w:rPr>
          <w:rFonts w:cs="Arial"/>
          <w:sz w:val="20"/>
        </w:rPr>
      </w:pPr>
    </w:p>
    <w:p w14:paraId="534188A5" w14:textId="77777777" w:rsidR="00E44046" w:rsidRDefault="00E44046" w:rsidP="00E44046">
      <w:pPr>
        <w:pStyle w:val="Body"/>
      </w:pPr>
    </w:p>
    <w:p w14:paraId="7D8CDB74" w14:textId="77777777" w:rsidR="00516B30" w:rsidRDefault="00516B30" w:rsidP="00E44046">
      <w:pPr>
        <w:pStyle w:val="Body"/>
      </w:pPr>
    </w:p>
    <w:p w14:paraId="6B58CCEC" w14:textId="77777777" w:rsidR="00516B30" w:rsidRDefault="00516B30" w:rsidP="00E44046">
      <w:pPr>
        <w:pStyle w:val="Body"/>
      </w:pPr>
    </w:p>
    <w:p w14:paraId="31558702" w14:textId="77777777" w:rsidR="00516B30" w:rsidRDefault="00516B30" w:rsidP="00E44046">
      <w:pPr>
        <w:pStyle w:val="Body"/>
      </w:pPr>
    </w:p>
    <w:p w14:paraId="78F2A0CA" w14:textId="77777777" w:rsidR="00516B30" w:rsidRDefault="00516B30" w:rsidP="00E44046">
      <w:pPr>
        <w:pStyle w:val="Body"/>
      </w:pPr>
    </w:p>
    <w:p w14:paraId="5145CCF5" w14:textId="77777777" w:rsidR="00D35833" w:rsidRDefault="00D35833" w:rsidP="00E44046">
      <w:pPr>
        <w:pStyle w:val="Body"/>
      </w:pPr>
    </w:p>
    <w:p w14:paraId="54C8926B" w14:textId="77777777" w:rsidR="00E44046" w:rsidRPr="00E44046" w:rsidRDefault="00E44046" w:rsidP="0099024C">
      <w:pPr>
        <w:pStyle w:val="Body"/>
      </w:pPr>
    </w:p>
    <w:tbl>
      <w:tblPr>
        <w:tblStyle w:val="TableGrid"/>
        <w:tblW w:w="20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08" w:type="dxa"/>
        </w:tblCellMar>
        <w:tblLook w:val="0600" w:firstRow="0" w:lastRow="0" w:firstColumn="0" w:lastColumn="0" w:noHBand="1" w:noVBand="1"/>
      </w:tblPr>
      <w:tblGrid>
        <w:gridCol w:w="20172"/>
      </w:tblGrid>
      <w:tr w:rsidR="0055119B" w14:paraId="144FA3D5" w14:textId="77777777" w:rsidTr="00EA325C">
        <w:trPr>
          <w:trHeight w:val="3030"/>
        </w:trPr>
        <w:tc>
          <w:tcPr>
            <w:tcW w:w="20172" w:type="dxa"/>
          </w:tcPr>
          <w:p w14:paraId="01E4FAA2" w14:textId="77777777" w:rsidR="009F5B56" w:rsidRDefault="0055119B" w:rsidP="00C975CA">
            <w:pPr>
              <w:pStyle w:val="Imprint"/>
              <w:rPr>
                <w:rStyle w:val="Hyperlink"/>
                <w:sz w:val="24"/>
                <w:szCs w:val="24"/>
              </w:rPr>
            </w:pPr>
            <w:r w:rsidRPr="00EA325C">
              <w:rPr>
                <w:sz w:val="24"/>
                <w:szCs w:val="24"/>
              </w:rPr>
              <w:t xml:space="preserve">To receive this document in another format, </w:t>
            </w:r>
            <w:hyperlink r:id="rId36" w:history="1">
              <w:r w:rsidR="00447A5A" w:rsidRPr="00EA325C">
                <w:rPr>
                  <w:rStyle w:val="Hyperlink"/>
                  <w:sz w:val="24"/>
                  <w:szCs w:val="24"/>
                </w:rPr>
                <w:t>email the Department of Health’s Legislative and Regulatory Reform Team</w:t>
              </w:r>
            </w:hyperlink>
          </w:p>
          <w:p w14:paraId="39EA7CEE" w14:textId="7A0DC536" w:rsidR="000D2DCF" w:rsidRPr="00EA325C" w:rsidRDefault="00447A5A" w:rsidP="00C975CA">
            <w:pPr>
              <w:pStyle w:val="Imprint"/>
              <w:rPr>
                <w:rFonts w:cs="Arial"/>
                <w:sz w:val="24"/>
                <w:szCs w:val="24"/>
              </w:rPr>
            </w:pPr>
            <w:r w:rsidRPr="00EA325C">
              <w:rPr>
                <w:sz w:val="24"/>
                <w:szCs w:val="24"/>
              </w:rPr>
              <w:t xml:space="preserve">at </w:t>
            </w:r>
            <w:r w:rsidR="009F5B56">
              <w:rPr>
                <w:sz w:val="24"/>
                <w:szCs w:val="24"/>
              </w:rPr>
              <w:t>&lt;</w:t>
            </w:r>
            <w:r w:rsidR="009F5B56" w:rsidRPr="009F5B56">
              <w:rPr>
                <w:rFonts w:cs="Arial"/>
                <w:sz w:val="24"/>
                <w:szCs w:val="24"/>
              </w:rPr>
              <w:t>legandregreform@health.vic.gov.au</w:t>
            </w:r>
            <w:r w:rsidR="009F5B56">
              <w:rPr>
                <w:rFonts w:cs="Arial"/>
                <w:sz w:val="24"/>
                <w:szCs w:val="24"/>
              </w:rPr>
              <w:t>&gt;.</w:t>
            </w:r>
          </w:p>
          <w:p w14:paraId="76D7E825" w14:textId="77777777" w:rsidR="000D2DCF" w:rsidRPr="00EA325C" w:rsidRDefault="000D2DCF" w:rsidP="00C975CA">
            <w:pPr>
              <w:pStyle w:val="Imprint"/>
              <w:rPr>
                <w:rFonts w:cs="Arial"/>
                <w:sz w:val="24"/>
                <w:szCs w:val="24"/>
              </w:rPr>
            </w:pPr>
          </w:p>
          <w:p w14:paraId="5657DABF" w14:textId="77777777" w:rsidR="00FD2A22" w:rsidRDefault="0055119B" w:rsidP="00D35833">
            <w:pPr>
              <w:pStyle w:val="Imprint"/>
              <w:spacing w:after="120"/>
            </w:pPr>
            <w:r w:rsidRPr="0055119B">
              <w:t>Authorised and published by the Victorian Government, 1 Treasury Place, Melbourne.</w:t>
            </w:r>
          </w:p>
          <w:p w14:paraId="036FA4C9" w14:textId="03A2FE44" w:rsidR="00FD2A22" w:rsidRDefault="0055119B" w:rsidP="00D35833">
            <w:pPr>
              <w:pStyle w:val="Imprint"/>
              <w:spacing w:before="120" w:after="120"/>
            </w:pPr>
            <w:r w:rsidRPr="0055119B">
              <w:t xml:space="preserve">© State of Victoria, Australia, Department </w:t>
            </w:r>
            <w:r w:rsidRPr="001B058F">
              <w:t xml:space="preserve">of </w:t>
            </w:r>
            <w:r w:rsidR="0037447A">
              <w:t>Health</w:t>
            </w:r>
            <w:r w:rsidRPr="001515D2">
              <w:rPr>
                <w:color w:val="auto"/>
              </w:rPr>
              <w:t xml:space="preserve">, </w:t>
            </w:r>
            <w:r w:rsidR="001515D2" w:rsidRPr="001515D2">
              <w:rPr>
                <w:color w:val="auto"/>
              </w:rPr>
              <w:t>July 2024</w:t>
            </w:r>
            <w:r w:rsidRPr="001515D2">
              <w:rPr>
                <w:color w:val="auto"/>
              </w:rPr>
              <w:t>.</w:t>
            </w:r>
            <w:bookmarkStart w:id="1" w:name="_Hlk62746129"/>
          </w:p>
          <w:p w14:paraId="624BF25E" w14:textId="19702658" w:rsidR="00FD2A22" w:rsidRDefault="0055119B" w:rsidP="00D35833">
            <w:pPr>
              <w:pStyle w:val="Imprint"/>
              <w:spacing w:after="120"/>
            </w:pPr>
            <w:r w:rsidRPr="0055119B">
              <w:t>ISBN</w:t>
            </w:r>
            <w:r w:rsidR="00C31487">
              <w:t xml:space="preserve"> 978-1-76131-626-5</w:t>
            </w:r>
            <w:r w:rsidRPr="00E33237">
              <w:rPr>
                <w:color w:val="004C97"/>
              </w:rPr>
              <w:t xml:space="preserve"> </w:t>
            </w:r>
            <w:r w:rsidRPr="0055119B">
              <w:t>(Word)</w:t>
            </w:r>
          </w:p>
          <w:p w14:paraId="432CBC07" w14:textId="77777777" w:rsidR="00D35833" w:rsidRDefault="0055119B" w:rsidP="00C975CA">
            <w:pPr>
              <w:pStyle w:val="Imprint"/>
              <w:rPr>
                <w:rStyle w:val="Hyperlink"/>
              </w:rPr>
            </w:pPr>
            <w:r w:rsidRPr="0055119B">
              <w:t xml:space="preserve">Available </w:t>
            </w:r>
            <w:r w:rsidR="00D35833" w:rsidRPr="008D4D83">
              <w:t xml:space="preserve">the Department of Health website </w:t>
            </w:r>
            <w:hyperlink r:id="rId37" w:history="1">
              <w:r w:rsidR="00D35833" w:rsidRPr="009111C6">
                <w:rPr>
                  <w:rStyle w:val="Hyperlink"/>
                </w:rPr>
                <w:t>Private Health Service Establishments</w:t>
              </w:r>
            </w:hyperlink>
          </w:p>
          <w:p w14:paraId="44D401A3" w14:textId="2636336F" w:rsidR="0055119B" w:rsidRDefault="00D35833" w:rsidP="00C975CA">
            <w:pPr>
              <w:pStyle w:val="Imprint"/>
            </w:pPr>
            <w:r>
              <w:t>&lt;</w:t>
            </w:r>
            <w:r w:rsidRPr="009111C6">
              <w:t>https://www.health.vic.gov.au/hospitals-and-health-services/private-health-service-establishments</w:t>
            </w:r>
            <w:r>
              <w:t>&gt;.</w:t>
            </w:r>
            <w:bookmarkEnd w:id="1"/>
          </w:p>
        </w:tc>
      </w:tr>
      <w:bookmarkEnd w:id="0"/>
    </w:tbl>
    <w:p w14:paraId="4E4CDF25" w14:textId="77777777" w:rsidR="00162CA9" w:rsidRPr="00993A86" w:rsidRDefault="00162CA9" w:rsidP="00162CA9">
      <w:pPr>
        <w:pStyle w:val="Body"/>
        <w:rPr>
          <w:sz w:val="2"/>
          <w:szCs w:val="2"/>
        </w:rPr>
      </w:pPr>
    </w:p>
    <w:sectPr w:rsidR="00162CA9" w:rsidRPr="00993A86" w:rsidSect="00D66EE6">
      <w:pgSz w:w="23811" w:h="16838" w:orient="landscape" w:code="8"/>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7B3F7" w14:textId="77777777" w:rsidR="00071FF3" w:rsidRDefault="00071FF3">
      <w:r>
        <w:separator/>
      </w:r>
    </w:p>
    <w:p w14:paraId="690FE577" w14:textId="77777777" w:rsidR="00071FF3" w:rsidRDefault="00071FF3"/>
  </w:endnote>
  <w:endnote w:type="continuationSeparator" w:id="0">
    <w:p w14:paraId="1D49C432" w14:textId="77777777" w:rsidR="00071FF3" w:rsidRDefault="00071FF3">
      <w:r>
        <w:continuationSeparator/>
      </w:r>
    </w:p>
    <w:p w14:paraId="31F884E3" w14:textId="77777777" w:rsidR="00071FF3" w:rsidRDefault="00071FF3"/>
  </w:endnote>
  <w:endnote w:type="continuationNotice" w:id="1">
    <w:p w14:paraId="1EF4EB0C" w14:textId="77777777" w:rsidR="00071FF3" w:rsidRDefault="00071F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Courier New"/>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1445F" w14:textId="3BC798ED" w:rsidR="003A20F4" w:rsidRDefault="003A20F4">
    <w:pPr>
      <w:pStyle w:val="Footer"/>
    </w:pPr>
    <w:r>
      <w:rPr>
        <w:noProof/>
      </w:rPr>
      <mc:AlternateContent>
        <mc:Choice Requires="wps">
          <w:drawing>
            <wp:anchor distT="0" distB="0" distL="0" distR="0" simplePos="0" relativeHeight="251658241" behindDoc="0" locked="0" layoutInCell="1" allowOverlap="1" wp14:anchorId="73428107" wp14:editId="5078CF8F">
              <wp:simplePos x="635" y="635"/>
              <wp:positionH relativeFrom="page">
                <wp:align>center</wp:align>
              </wp:positionH>
              <wp:positionV relativeFrom="page">
                <wp:align>bottom</wp:align>
              </wp:positionV>
              <wp:extent cx="656590" cy="369570"/>
              <wp:effectExtent l="0" t="0" r="10160" b="0"/>
              <wp:wrapNone/>
              <wp:docPr id="71549571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8452096" w14:textId="6EFFF993" w:rsidR="003A20F4" w:rsidRPr="003A20F4" w:rsidRDefault="003A20F4" w:rsidP="003A20F4">
                          <w:pPr>
                            <w:spacing w:after="0"/>
                            <w:rPr>
                              <w:rFonts w:ascii="Arial Black" w:eastAsia="Arial Black" w:hAnsi="Arial Black" w:cs="Arial Black"/>
                              <w:noProof/>
                              <w:color w:val="000000"/>
                              <w:sz w:val="20"/>
                            </w:rPr>
                          </w:pPr>
                          <w:r w:rsidRPr="003A20F4">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428107"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58452096" w14:textId="6EFFF993" w:rsidR="003A20F4" w:rsidRPr="003A20F4" w:rsidRDefault="003A20F4" w:rsidP="003A20F4">
                    <w:pPr>
                      <w:spacing w:after="0"/>
                      <w:rPr>
                        <w:rFonts w:ascii="Arial Black" w:eastAsia="Arial Black" w:hAnsi="Arial Black" w:cs="Arial Black"/>
                        <w:noProof/>
                        <w:color w:val="000000"/>
                        <w:sz w:val="20"/>
                      </w:rPr>
                    </w:pPr>
                    <w:r w:rsidRPr="003A20F4">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F45A8" w14:textId="61853EA2" w:rsidR="00C3696F" w:rsidRPr="00F65AA9" w:rsidRDefault="003A20F4" w:rsidP="00EF2C72">
    <w:pPr>
      <w:pStyle w:val="Footer"/>
    </w:pPr>
    <w:r>
      <w:rPr>
        <w:noProof/>
      </w:rPr>
      <mc:AlternateContent>
        <mc:Choice Requires="wps">
          <w:drawing>
            <wp:anchor distT="0" distB="0" distL="0" distR="0" simplePos="0" relativeHeight="251658242" behindDoc="0" locked="0" layoutInCell="1" allowOverlap="1" wp14:anchorId="4FC0C39D" wp14:editId="0C65E0CF">
              <wp:simplePos x="635" y="635"/>
              <wp:positionH relativeFrom="page">
                <wp:align>center</wp:align>
              </wp:positionH>
              <wp:positionV relativeFrom="page">
                <wp:align>bottom</wp:align>
              </wp:positionV>
              <wp:extent cx="656590" cy="369570"/>
              <wp:effectExtent l="0" t="0" r="10160" b="0"/>
              <wp:wrapNone/>
              <wp:docPr id="136900513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01EB354" w14:textId="04D258A3" w:rsidR="003A20F4" w:rsidRPr="003A20F4" w:rsidRDefault="003A20F4" w:rsidP="003A20F4">
                          <w:pPr>
                            <w:spacing w:after="0"/>
                            <w:rPr>
                              <w:rFonts w:ascii="Arial Black" w:eastAsia="Arial Black" w:hAnsi="Arial Black" w:cs="Arial Black"/>
                              <w:noProof/>
                              <w:color w:val="000000"/>
                              <w:sz w:val="20"/>
                            </w:rPr>
                          </w:pPr>
                          <w:r w:rsidRPr="003A20F4">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C0C39D"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101EB354" w14:textId="04D258A3" w:rsidR="003A20F4" w:rsidRPr="003A20F4" w:rsidRDefault="003A20F4" w:rsidP="003A20F4">
                    <w:pPr>
                      <w:spacing w:after="0"/>
                      <w:rPr>
                        <w:rFonts w:ascii="Arial Black" w:eastAsia="Arial Black" w:hAnsi="Arial Black" w:cs="Arial Black"/>
                        <w:noProof/>
                        <w:color w:val="000000"/>
                        <w:sz w:val="20"/>
                      </w:rPr>
                    </w:pPr>
                    <w:r w:rsidRPr="003A20F4">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CC88F" w14:textId="4FD59FA5" w:rsidR="003A20F4" w:rsidRDefault="003A20F4">
    <w:pPr>
      <w:pStyle w:val="Footer"/>
    </w:pPr>
    <w:r>
      <w:rPr>
        <w:noProof/>
      </w:rPr>
      <mc:AlternateContent>
        <mc:Choice Requires="wps">
          <w:drawing>
            <wp:anchor distT="0" distB="0" distL="0" distR="0" simplePos="0" relativeHeight="251658240" behindDoc="0" locked="0" layoutInCell="1" allowOverlap="1" wp14:anchorId="515A5090" wp14:editId="431628E0">
              <wp:simplePos x="635" y="635"/>
              <wp:positionH relativeFrom="page">
                <wp:align>center</wp:align>
              </wp:positionH>
              <wp:positionV relativeFrom="page">
                <wp:align>bottom</wp:align>
              </wp:positionV>
              <wp:extent cx="656590" cy="369570"/>
              <wp:effectExtent l="0" t="0" r="10160" b="0"/>
              <wp:wrapNone/>
              <wp:docPr id="54849980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E3802FB" w14:textId="55D72CAD" w:rsidR="003A20F4" w:rsidRPr="003A20F4" w:rsidRDefault="003A20F4" w:rsidP="003A20F4">
                          <w:pPr>
                            <w:spacing w:after="0"/>
                            <w:rPr>
                              <w:rFonts w:ascii="Arial Black" w:eastAsia="Arial Black" w:hAnsi="Arial Black" w:cs="Arial Black"/>
                              <w:noProof/>
                              <w:color w:val="000000"/>
                              <w:sz w:val="20"/>
                            </w:rPr>
                          </w:pPr>
                          <w:r w:rsidRPr="003A20F4">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5A5090"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4E3802FB" w14:textId="55D72CAD" w:rsidR="003A20F4" w:rsidRPr="003A20F4" w:rsidRDefault="003A20F4" w:rsidP="003A20F4">
                    <w:pPr>
                      <w:spacing w:after="0"/>
                      <w:rPr>
                        <w:rFonts w:ascii="Arial Black" w:eastAsia="Arial Black" w:hAnsi="Arial Black" w:cs="Arial Black"/>
                        <w:noProof/>
                        <w:color w:val="000000"/>
                        <w:sz w:val="20"/>
                      </w:rPr>
                    </w:pPr>
                    <w:r w:rsidRPr="003A20F4">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5446F" w14:textId="77777777" w:rsidR="00071FF3" w:rsidRDefault="00071FF3" w:rsidP="00207717">
      <w:pPr>
        <w:spacing w:before="120"/>
      </w:pPr>
      <w:r>
        <w:separator/>
      </w:r>
    </w:p>
  </w:footnote>
  <w:footnote w:type="continuationSeparator" w:id="0">
    <w:p w14:paraId="59040A68" w14:textId="77777777" w:rsidR="00071FF3" w:rsidRDefault="00071FF3">
      <w:r>
        <w:continuationSeparator/>
      </w:r>
    </w:p>
    <w:p w14:paraId="0B102B19" w14:textId="77777777" w:rsidR="00071FF3" w:rsidRDefault="00071FF3"/>
  </w:footnote>
  <w:footnote w:type="continuationNotice" w:id="1">
    <w:p w14:paraId="189A688B" w14:textId="77777777" w:rsidR="00071FF3" w:rsidRDefault="00071FF3">
      <w:pPr>
        <w:spacing w:after="0" w:line="240" w:lineRule="auto"/>
      </w:pPr>
    </w:p>
  </w:footnote>
  <w:footnote w:id="2">
    <w:p w14:paraId="7421F12C" w14:textId="2515C420" w:rsidR="00831688" w:rsidRDefault="00831688">
      <w:pPr>
        <w:pStyle w:val="FootnoteText"/>
      </w:pPr>
      <w:r>
        <w:rPr>
          <w:rStyle w:val="FootnoteReference"/>
        </w:rPr>
        <w:footnoteRef/>
      </w:r>
      <w:r>
        <w:t xml:space="preserve"> The new Regulation numbers have been used in this table.</w:t>
      </w:r>
    </w:p>
  </w:footnote>
  <w:footnote w:id="3">
    <w:p w14:paraId="7077D964" w14:textId="31570812" w:rsidR="000C6743" w:rsidRDefault="000C6743" w:rsidP="000C6743">
      <w:pPr>
        <w:pStyle w:val="FootnoteText"/>
      </w:pPr>
      <w:r>
        <w:rPr>
          <w:rStyle w:val="FootnoteReference"/>
        </w:rPr>
        <w:footnoteRef/>
      </w:r>
      <w:r w:rsidR="00183CDF">
        <w:t xml:space="preserve"> </w:t>
      </w:r>
      <w:r>
        <w:t xml:space="preserve">ANMF suggested adding </w:t>
      </w:r>
      <w:r w:rsidRPr="005E4CF8">
        <w:rPr>
          <w:i/>
          <w:iCs/>
        </w:rPr>
        <w:t>Requirements for Clinical Governance</w:t>
      </w:r>
      <w:r>
        <w:t>, which</w:t>
      </w:r>
      <w:r w:rsidRPr="00216B14">
        <w:t xml:space="preserve"> the </w:t>
      </w:r>
      <w:r w:rsidR="00C87601">
        <w:t>department</w:t>
      </w:r>
      <w:r w:rsidRPr="00216B14">
        <w:t xml:space="preserve"> </w:t>
      </w:r>
      <w:r>
        <w:t xml:space="preserve">has rephased as </w:t>
      </w:r>
      <w:r w:rsidRPr="00B666BA">
        <w:rPr>
          <w:i/>
          <w:iCs/>
        </w:rPr>
        <w:t>Requirements for health service establishment protocols for quality and safety</w:t>
      </w:r>
      <w:r w:rsidRPr="00B666BA">
        <w:t xml:space="preserve"> </w:t>
      </w:r>
      <w:r>
        <w:t xml:space="preserve">to achieve the same intent while </w:t>
      </w:r>
      <w:r w:rsidRPr="00216B14">
        <w:t>align</w:t>
      </w:r>
      <w:r>
        <w:t>ing</w:t>
      </w:r>
      <w:r w:rsidRPr="00216B14">
        <w:t xml:space="preserve"> with existing terminology in the Regulations</w:t>
      </w:r>
      <w:r>
        <w:t>.</w:t>
      </w:r>
    </w:p>
  </w:footnote>
  <w:footnote w:id="4">
    <w:p w14:paraId="3CBEFB28" w14:textId="77777777" w:rsidR="000C6743" w:rsidRDefault="000C6743" w:rsidP="000C6743">
      <w:pPr>
        <w:pStyle w:val="FootnoteText"/>
      </w:pPr>
      <w:r>
        <w:rPr>
          <w:rStyle w:val="FootnoteReference"/>
        </w:rPr>
        <w:footnoteRef/>
      </w:r>
      <w:r>
        <w:t xml:space="preserve"> The commencement date will now be 31 August 2025 instead of 28 February 2025.</w:t>
      </w:r>
    </w:p>
  </w:footnote>
  <w:footnote w:id="5">
    <w:p w14:paraId="188FA0E4" w14:textId="77777777" w:rsidR="00C10B2C" w:rsidRDefault="00C10B2C" w:rsidP="00C10B2C">
      <w:pPr>
        <w:pStyle w:val="FootnoteText"/>
      </w:pPr>
      <w:r>
        <w:rPr>
          <w:rStyle w:val="FootnoteReference"/>
        </w:rPr>
        <w:footnoteRef/>
      </w:r>
      <w:r>
        <w:t xml:space="preserve"> The commencement date will now be 28 February 2026 instead of 31 August 2025.</w:t>
      </w:r>
    </w:p>
  </w:footnote>
  <w:footnote w:id="6">
    <w:p w14:paraId="50334EA2" w14:textId="5BA8B04D" w:rsidR="00872EDE" w:rsidRDefault="00872EDE">
      <w:pPr>
        <w:pStyle w:val="FootnoteText"/>
      </w:pPr>
      <w:r>
        <w:rPr>
          <w:rStyle w:val="FootnoteReference"/>
        </w:rPr>
        <w:footnoteRef/>
      </w:r>
      <w:r>
        <w:t xml:space="preserve"> Australian Commission on Safety and Quality in Health Care, 2023, </w:t>
      </w:r>
      <w:hyperlink r:id="rId1" w:history="1">
        <w:r w:rsidR="006B3DD2" w:rsidRPr="00AF553E">
          <w:rPr>
            <w:rStyle w:val="Hyperlink"/>
          </w:rPr>
          <w:t>National Licensing Framework</w:t>
        </w:r>
      </w:hyperlink>
      <w:r>
        <w:t xml:space="preserve">, viewed July 2024, </w:t>
      </w:r>
      <w:r w:rsidR="006B3DD2">
        <w:t>&lt;</w:t>
      </w:r>
      <w:r w:rsidR="006B3DD2" w:rsidRPr="006B3DD2">
        <w:t>https://www.safetyandquality.gov.au/standards/national-safety-and-quality-cosmetic-surgery-standards/assessment-cosmetic-surgery-standards</w:t>
      </w:r>
      <w:r w:rsidR="006B3DD2">
        <w:t>&gt;</w:t>
      </w:r>
      <w:r w:rsidR="0071420C">
        <w:t>.</w:t>
      </w:r>
    </w:p>
  </w:footnote>
  <w:footnote w:id="7">
    <w:p w14:paraId="7DCFDCE0" w14:textId="6758A9B2" w:rsidR="008B330A" w:rsidRDefault="002F3E93">
      <w:pPr>
        <w:pStyle w:val="FootnoteText"/>
      </w:pPr>
      <w:r>
        <w:rPr>
          <w:rStyle w:val="FootnoteReference"/>
        </w:rPr>
        <w:footnoteRef/>
      </w:r>
      <w:r>
        <w:t xml:space="preserve"> </w:t>
      </w:r>
      <w:r w:rsidR="001A67CD">
        <w:t>Safer Care Victoria</w:t>
      </w:r>
      <w:r w:rsidR="00537519">
        <w:t xml:space="preserve">, </w:t>
      </w:r>
      <w:r w:rsidR="005449A7">
        <w:t>2017</w:t>
      </w:r>
      <w:r w:rsidR="006824FB">
        <w:t xml:space="preserve">, </w:t>
      </w:r>
      <w:hyperlink r:id="rId2" w:history="1">
        <w:r w:rsidR="006824FB" w:rsidRPr="00C8497B">
          <w:rPr>
            <w:rStyle w:val="Hyperlink"/>
          </w:rPr>
          <w:t>Clinical Governance Framework</w:t>
        </w:r>
      </w:hyperlink>
      <w:r w:rsidR="006824FB">
        <w:t>, State Government of Victoria, viewed July 202</w:t>
      </w:r>
      <w:r w:rsidR="004E4593">
        <w:t>4</w:t>
      </w:r>
      <w:r w:rsidR="006824FB">
        <w:t>,</w:t>
      </w:r>
      <w:r w:rsidR="00147103">
        <w:t xml:space="preserve"> </w:t>
      </w:r>
      <w:r w:rsidR="00EB732A">
        <w:t>&lt;</w:t>
      </w:r>
      <w:r w:rsidR="00EB732A" w:rsidRPr="00EB732A">
        <w:t>https://www.safercare.vic.gov.au/best-practice-improvement/publications/clinical-governance-framework</w:t>
      </w:r>
      <w:r w:rsidR="00EB732A">
        <w:t>&gt;.</w:t>
      </w:r>
    </w:p>
  </w:footnote>
  <w:footnote w:id="8">
    <w:p w14:paraId="4C98F55C" w14:textId="2FA5800B" w:rsidR="008B330A" w:rsidRDefault="008B330A">
      <w:pPr>
        <w:pStyle w:val="FootnoteText"/>
      </w:pPr>
      <w:r>
        <w:rPr>
          <w:rStyle w:val="FootnoteReference"/>
        </w:rPr>
        <w:footnoteRef/>
      </w:r>
      <w:r>
        <w:t xml:space="preserve"> </w:t>
      </w:r>
      <w:r w:rsidR="00677595">
        <w:t xml:space="preserve">Safer Care Victoria, 2020, </w:t>
      </w:r>
      <w:hyperlink r:id="rId3" w:history="1">
        <w:r w:rsidR="001C5E3E">
          <w:rPr>
            <w:rStyle w:val="Hyperlink"/>
          </w:rPr>
          <w:t>Credentialing and scope of clinical practice for senior medical practitioners policy</w:t>
        </w:r>
      </w:hyperlink>
      <w:r w:rsidR="00516F36">
        <w:t xml:space="preserve">, State Government of Victoria, viewed July 2024, </w:t>
      </w:r>
      <w:r w:rsidR="00A262D1">
        <w:t>&lt;</w:t>
      </w:r>
      <w:r w:rsidR="00A262D1" w:rsidRPr="00A262D1">
        <w:t>https://www.safercare.vic.gov.au/best-practice-improvement/publications/credentialing-and-scope-of-clinical-practice-for-senior-medical-practitioners-policy</w:t>
      </w:r>
      <w:r w:rsidR="00A262D1">
        <w:t>&gt;</w:t>
      </w:r>
      <w:r w:rsidR="00404C61">
        <w:t>.</w:t>
      </w:r>
    </w:p>
  </w:footnote>
  <w:footnote w:id="9">
    <w:p w14:paraId="12121F07" w14:textId="32FE6C7E" w:rsidR="004C70C7" w:rsidRDefault="004C70C7">
      <w:pPr>
        <w:pStyle w:val="FootnoteText"/>
      </w:pPr>
      <w:r>
        <w:rPr>
          <w:rStyle w:val="FootnoteReference"/>
        </w:rPr>
        <w:footnoteRef/>
      </w:r>
      <w:r>
        <w:t xml:space="preserve"> Safer Care Victoria, 20</w:t>
      </w:r>
      <w:r w:rsidR="00E41170">
        <w:t>24</w:t>
      </w:r>
      <w:r>
        <w:t xml:space="preserve">, </w:t>
      </w:r>
      <w:hyperlink r:id="rId4" w:history="1">
        <w:r w:rsidR="00E41170">
          <w:rPr>
            <w:rStyle w:val="Hyperlink"/>
          </w:rPr>
          <w:t>Sentinel Events Guide</w:t>
        </w:r>
      </w:hyperlink>
      <w:r>
        <w:t xml:space="preserve">, State Government of Victoria, viewed July 2024, </w:t>
      </w:r>
      <w:r w:rsidR="008F633F">
        <w:t>&lt;</w:t>
      </w:r>
      <w:r w:rsidR="008F633F" w:rsidRPr="008F633F">
        <w:t>https://www.safercare.vic.gov.au/best-practice-improvement/publications/sentinel-events-guide</w:t>
      </w:r>
      <w:r w:rsidR="008F633F">
        <w:t>&gt;.</w:t>
      </w:r>
    </w:p>
  </w:footnote>
  <w:footnote w:id="10">
    <w:p w14:paraId="0F800F5B" w14:textId="30B840E5" w:rsidR="006B50E8" w:rsidRDefault="006B50E8">
      <w:pPr>
        <w:pStyle w:val="FootnoteText"/>
      </w:pPr>
      <w:r>
        <w:rPr>
          <w:rStyle w:val="FootnoteReference"/>
        </w:rPr>
        <w:footnoteRef/>
      </w:r>
      <w:r>
        <w:t xml:space="preserve"> </w:t>
      </w:r>
      <w:r w:rsidR="008E6CD5">
        <w:t xml:space="preserve">Safer Care Victoria, 2023, </w:t>
      </w:r>
      <w:hyperlink r:id="rId5" w:history="1">
        <w:r w:rsidR="00FE630E" w:rsidRPr="00FE630E">
          <w:rPr>
            <w:rStyle w:val="Hyperlink"/>
          </w:rPr>
          <w:t>Adverse Patient Safety Event Policy</w:t>
        </w:r>
      </w:hyperlink>
      <w:r w:rsidR="00DF7002">
        <w:t>, State Government of Victoria, viewed July 2024, &lt;</w:t>
      </w:r>
      <w:r w:rsidR="00D1479B" w:rsidRPr="00D1479B">
        <w:t>https://www.safercare.vic.gov.au/best-practice-improvement/publications/policy-adverse-patient-safety-events</w:t>
      </w:r>
      <w:r w:rsidR="00D1479B">
        <w:t>&gt;.</w:t>
      </w:r>
    </w:p>
  </w:footnote>
  <w:footnote w:id="11">
    <w:p w14:paraId="063852C4" w14:textId="235BAF6D" w:rsidR="00831F20" w:rsidRDefault="00831F20" w:rsidP="00831F20">
      <w:pPr>
        <w:pStyle w:val="FootnoteText"/>
      </w:pPr>
      <w:r>
        <w:rPr>
          <w:rStyle w:val="FootnoteReference"/>
        </w:rPr>
        <w:footnoteRef/>
      </w:r>
      <w:r>
        <w:t xml:space="preserve"> Australian Commission on Safety and Quality in Health Care,</w:t>
      </w:r>
      <w:r w:rsidRPr="00831F20">
        <w:t xml:space="preserve"> </w:t>
      </w:r>
      <w:r>
        <w:t>20</w:t>
      </w:r>
      <w:r w:rsidR="00260E34">
        <w:t>15</w:t>
      </w:r>
      <w:r>
        <w:t xml:space="preserve">, </w:t>
      </w:r>
      <w:hyperlink r:id="rId6" w:history="1">
        <w:r w:rsidR="00260E34">
          <w:rPr>
            <w:rStyle w:val="Hyperlink"/>
          </w:rPr>
          <w:t>Credentialing health practitioners and defining their scope of clinical practice: A guide for managers and practitioners</w:t>
        </w:r>
      </w:hyperlink>
      <w:r>
        <w:t>, viewed July 2024, &lt;</w:t>
      </w:r>
      <w:r w:rsidR="00577408" w:rsidRPr="00577408">
        <w:t>https://www.safetyandquality.gov.au/publications-and-resources/resource-library/credentialing-health-practitioners-and-defining-their-scope-clinical-practice-guide-managers-and-practitioners</w:t>
      </w:r>
      <w:r>
        <w:t>&gt;.</w:t>
      </w:r>
    </w:p>
    <w:p w14:paraId="1047356C" w14:textId="39CBCC1F" w:rsidR="00831F20" w:rsidRDefault="00831F20">
      <w:pPr>
        <w:pStyle w:val="FootnoteText"/>
      </w:pPr>
    </w:p>
  </w:footnote>
  <w:footnote w:id="12">
    <w:p w14:paraId="266CD277" w14:textId="69F99AED" w:rsidR="00E47AB6" w:rsidRDefault="00E47AB6">
      <w:pPr>
        <w:pStyle w:val="FootnoteText"/>
      </w:pPr>
      <w:r>
        <w:rPr>
          <w:rStyle w:val="FootnoteReference"/>
        </w:rPr>
        <w:footnoteRef/>
      </w:r>
      <w:r>
        <w:t xml:space="preserve"> Safer Care Victoria, 2017, </w:t>
      </w:r>
      <w:hyperlink r:id="rId7" w:history="1">
        <w:r w:rsidRPr="00C8497B">
          <w:rPr>
            <w:rStyle w:val="Hyperlink"/>
          </w:rPr>
          <w:t>Clinical Governance Framework</w:t>
        </w:r>
      </w:hyperlink>
      <w:r>
        <w:t>, State Government of Victoria, viewed July 2024, &lt;</w:t>
      </w:r>
      <w:r w:rsidRPr="00EB732A">
        <w:t>https://www.safercare.vic.gov.au/best-practice-improvement/publications/clinical-governance-framework</w:t>
      </w:r>
      <w:r>
        <w:t>&gt;.</w:t>
      </w:r>
    </w:p>
  </w:footnote>
  <w:footnote w:id="13">
    <w:p w14:paraId="2A588E2A" w14:textId="77777777" w:rsidR="008A373C" w:rsidRDefault="00E47AB6" w:rsidP="008A373C">
      <w:pPr>
        <w:pStyle w:val="FootnoteText"/>
      </w:pPr>
      <w:r>
        <w:rPr>
          <w:rStyle w:val="FootnoteReference"/>
        </w:rPr>
        <w:footnoteRef/>
      </w:r>
      <w:r>
        <w:t xml:space="preserve"> </w:t>
      </w:r>
      <w:r w:rsidR="008A373C">
        <w:t xml:space="preserve">Safer Care Victoria, 2020, </w:t>
      </w:r>
      <w:hyperlink r:id="rId8" w:history="1">
        <w:r w:rsidR="008A373C">
          <w:rPr>
            <w:rStyle w:val="Hyperlink"/>
          </w:rPr>
          <w:t>Credentialing and scope of clinical practice for senior medical practitioners policy</w:t>
        </w:r>
      </w:hyperlink>
      <w:r w:rsidR="008A373C">
        <w:t>, State Government of Victoria, viewed July 2024, &lt;</w:t>
      </w:r>
      <w:r w:rsidR="008A373C" w:rsidRPr="00A262D1">
        <w:t>https://www.safercare.vic.gov.au/best-practice-improvement/publications/credentialing-and-scope-of-clinical-practice-for-senior-medical-practitioners-policy</w:t>
      </w:r>
      <w:r w:rsidR="008A373C">
        <w:t>&gt;.</w:t>
      </w:r>
    </w:p>
    <w:p w14:paraId="66653FA6" w14:textId="2252A5BF" w:rsidR="00E47AB6" w:rsidRDefault="00E47AB6">
      <w:pPr>
        <w:pStyle w:val="FootnoteText"/>
      </w:pPr>
    </w:p>
  </w:footnote>
  <w:footnote w:id="14">
    <w:p w14:paraId="0F28213C" w14:textId="410A5CCF" w:rsidR="003B6231" w:rsidRDefault="003B6231">
      <w:pPr>
        <w:pStyle w:val="FootnoteText"/>
      </w:pPr>
      <w:r>
        <w:rPr>
          <w:rStyle w:val="FootnoteReference"/>
        </w:rPr>
        <w:footnoteRef/>
      </w:r>
      <w:r>
        <w:t xml:space="preserve"> Australian Commission on Safety and Quality in Health Care,</w:t>
      </w:r>
      <w:r w:rsidRPr="00831F20">
        <w:t xml:space="preserve"> </w:t>
      </w:r>
      <w:r>
        <w:t xml:space="preserve">2021, </w:t>
      </w:r>
      <w:hyperlink r:id="rId9" w:history="1">
        <w:r w:rsidR="008E6126">
          <w:rPr>
            <w:rStyle w:val="Hyperlink"/>
          </w:rPr>
          <w:t>AS18/10: Informed financial consent</w:t>
        </w:r>
      </w:hyperlink>
      <w:r>
        <w:t>, viewed July 2024, &lt;</w:t>
      </w:r>
      <w:r w:rsidR="008E6126" w:rsidRPr="008E6126">
        <w:t>https://www.safetyandquality.gov.au/publications-and-resources/resource-library/as1810-informed-financial-consent</w:t>
      </w:r>
      <w:r>
        <w:t>&gt;.</w:t>
      </w:r>
    </w:p>
  </w:footnote>
  <w:footnote w:id="15">
    <w:p w14:paraId="0D7787AD" w14:textId="625D46AF" w:rsidR="00E425C5" w:rsidRDefault="00027CB2" w:rsidP="00E425C5">
      <w:pPr>
        <w:pStyle w:val="FootnoteText"/>
      </w:pPr>
      <w:r>
        <w:rPr>
          <w:rStyle w:val="FootnoteReference"/>
        </w:rPr>
        <w:footnoteRef/>
      </w:r>
      <w:r>
        <w:t xml:space="preserve"> </w:t>
      </w:r>
      <w:r w:rsidR="00E425C5">
        <w:t>Australian Commission on Safety and Quality in Health Care,</w:t>
      </w:r>
      <w:r w:rsidR="00E425C5" w:rsidRPr="00831F20">
        <w:t xml:space="preserve"> </w:t>
      </w:r>
      <w:r w:rsidR="00E425C5">
        <w:t xml:space="preserve">2021, </w:t>
      </w:r>
      <w:hyperlink r:id="rId10" w:history="1">
        <w:r w:rsidR="00E425C5">
          <w:rPr>
            <w:rStyle w:val="Hyperlink"/>
          </w:rPr>
          <w:t>AS18/10: Informed financial consent</w:t>
        </w:r>
      </w:hyperlink>
      <w:r w:rsidR="00E425C5">
        <w:t>, viewed July 2024, &lt;</w:t>
      </w:r>
      <w:r w:rsidR="00E425C5" w:rsidRPr="008E6126">
        <w:t>https://www.safetyandquality.gov.au/publications-and-resources/resource-library/as1810-informed-financial-consent</w:t>
      </w:r>
      <w:r w:rsidR="00E425C5">
        <w:t>&gt;.</w:t>
      </w:r>
    </w:p>
    <w:p w14:paraId="0274D794" w14:textId="3D9CACBF" w:rsidR="00027CB2" w:rsidRDefault="00027CB2">
      <w:pPr>
        <w:pStyle w:val="FootnoteText"/>
      </w:pPr>
    </w:p>
  </w:footnote>
  <w:footnote w:id="16">
    <w:p w14:paraId="2903403B" w14:textId="1C7227FE" w:rsidR="00D21BFD" w:rsidRDefault="00D21BFD">
      <w:pPr>
        <w:pStyle w:val="FootnoteText"/>
      </w:pPr>
      <w:r>
        <w:rPr>
          <w:rStyle w:val="FootnoteReference"/>
        </w:rPr>
        <w:footnoteRef/>
      </w:r>
      <w:r>
        <w:t xml:space="preserve"> Department of Health, </w:t>
      </w:r>
      <w:r w:rsidR="00623CA5">
        <w:t xml:space="preserve">2023, </w:t>
      </w:r>
      <w:hyperlink r:id="rId11" w:history="1">
        <w:r w:rsidR="00812638" w:rsidRPr="00812638">
          <w:rPr>
            <w:rStyle w:val="Hyperlink"/>
          </w:rPr>
          <w:t>Guidance note: Inclusive collection and reporting of sex and gender data</w:t>
        </w:r>
      </w:hyperlink>
      <w:r w:rsidR="00812638">
        <w:t>, State Government of Victoria, viewed July 2024, &lt;</w:t>
      </w:r>
      <w:r w:rsidR="00812638" w:rsidRPr="00812638">
        <w:t>https://www.health.vic.gov.au/publications/inclusive-collection-and-reporting-of-sex-and-gender-data</w:t>
      </w:r>
      <w:r w:rsidR="00812638">
        <w:t>&gt;.</w:t>
      </w:r>
    </w:p>
  </w:footnote>
  <w:footnote w:id="17">
    <w:p w14:paraId="23F4DC8B" w14:textId="77777777" w:rsidR="00E425C5" w:rsidRDefault="00E425C5" w:rsidP="00E425C5">
      <w:pPr>
        <w:pStyle w:val="FootnoteText"/>
      </w:pPr>
      <w:r>
        <w:rPr>
          <w:rStyle w:val="FootnoteReference"/>
        </w:rPr>
        <w:footnoteRef/>
      </w:r>
      <w:r>
        <w:t xml:space="preserve"> Department of Health, 2023, </w:t>
      </w:r>
      <w:hyperlink r:id="rId12" w:history="1">
        <w:r w:rsidRPr="00812638">
          <w:rPr>
            <w:rStyle w:val="Hyperlink"/>
          </w:rPr>
          <w:t>Guidance note: Inclusive collection and reporting of sex and gender data</w:t>
        </w:r>
      </w:hyperlink>
      <w:r>
        <w:t>, State Government of Victoria, viewed July 2024, &lt;</w:t>
      </w:r>
      <w:r w:rsidRPr="00812638">
        <w:t>https://www.health.vic.gov.au/publications/inclusive-collection-and-reporting-of-sex-and-gender-data</w:t>
      </w:r>
      <w:r>
        <w:t>&gt;.</w:t>
      </w:r>
    </w:p>
    <w:p w14:paraId="690BBCE2" w14:textId="2A2336AA" w:rsidR="00BA6A46" w:rsidRDefault="00BA6A46">
      <w:pPr>
        <w:pStyle w:val="FootnoteText"/>
      </w:pPr>
    </w:p>
  </w:footnote>
  <w:footnote w:id="18">
    <w:p w14:paraId="27FCAC8F" w14:textId="56267DE6" w:rsidR="00023DAA" w:rsidRDefault="00023DAA">
      <w:pPr>
        <w:pStyle w:val="FootnoteText"/>
      </w:pPr>
      <w:r>
        <w:rPr>
          <w:rStyle w:val="FootnoteReference"/>
        </w:rPr>
        <w:footnoteRef/>
      </w:r>
      <w:r>
        <w:t xml:space="preserve"> Premier of Victoria, 2023</w:t>
      </w:r>
      <w:r w:rsidR="007C4DA2">
        <w:t xml:space="preserve">, </w:t>
      </w:r>
      <w:hyperlink r:id="rId13" w:history="1">
        <w:r w:rsidR="00A4093F" w:rsidRPr="009700C2">
          <w:rPr>
            <w:rStyle w:val="Hyperlink"/>
          </w:rPr>
          <w:t>Reform to Better Protect Victorians</w:t>
        </w:r>
      </w:hyperlink>
      <w:r w:rsidR="00CC67ED">
        <w:t>, State Government of Victoria, viewed July 2024, &lt;</w:t>
      </w:r>
      <w:r w:rsidR="009700C2" w:rsidRPr="009700C2">
        <w:t>https://www.premier.vic.gov.au/reform-better-protect-victorians</w:t>
      </w:r>
      <w:r w:rsidR="00CC67ED">
        <w:t xml:space="preserve">&gt;. </w:t>
      </w:r>
    </w:p>
  </w:footnote>
  <w:footnote w:id="19">
    <w:p w14:paraId="5CD184FC" w14:textId="1C653AAF" w:rsidR="00636EAF" w:rsidRDefault="00636EAF">
      <w:pPr>
        <w:pStyle w:val="FootnoteText"/>
      </w:pPr>
      <w:r>
        <w:rPr>
          <w:rStyle w:val="FootnoteReference"/>
        </w:rPr>
        <w:footnoteRef/>
      </w:r>
      <w:r>
        <w:t xml:space="preserve"> Department of Health, 202</w:t>
      </w:r>
      <w:r w:rsidR="00FE363E">
        <w:t>4</w:t>
      </w:r>
      <w:r>
        <w:t xml:space="preserve">, </w:t>
      </w:r>
      <w:hyperlink r:id="rId14" w:history="1">
        <w:r w:rsidR="00BC618C">
          <w:rPr>
            <w:rStyle w:val="Hyperlink"/>
          </w:rPr>
          <w:t>Reforms to health regulation in Victoria consultation paper</w:t>
        </w:r>
      </w:hyperlink>
      <w:r>
        <w:t>, State Government of Victoria, viewed July 2024, &lt;</w:t>
      </w:r>
      <w:r w:rsidR="00524C3F" w:rsidRPr="00524C3F">
        <w:t>https://www.health.vic.gov.au/legislation/reforms-to-health-regulation-in-victoria</w:t>
      </w:r>
      <w:r>
        <w:t>&gt;.</w:t>
      </w:r>
    </w:p>
  </w:footnote>
  <w:footnote w:id="20">
    <w:p w14:paraId="0AF4F766" w14:textId="1131A91B" w:rsidR="00A468F0" w:rsidRDefault="00A468F0">
      <w:pPr>
        <w:pStyle w:val="FootnoteText"/>
      </w:pPr>
      <w:r>
        <w:rPr>
          <w:rStyle w:val="FootnoteReference"/>
        </w:rPr>
        <w:footnoteRef/>
      </w:r>
      <w:r>
        <w:t xml:space="preserve"> Safer Care Victoria, 20</w:t>
      </w:r>
      <w:r w:rsidR="00136DCA">
        <w:t>22</w:t>
      </w:r>
      <w:r>
        <w:t xml:space="preserve">, </w:t>
      </w:r>
      <w:hyperlink r:id="rId15" w:history="1">
        <w:r w:rsidR="00A94FD7">
          <w:rPr>
            <w:rStyle w:val="Hyperlink"/>
          </w:rPr>
          <w:t>Victorian Duty of Candour Guidelines</w:t>
        </w:r>
      </w:hyperlink>
      <w:r>
        <w:t>, State Government of Victoria, viewed July 2024, &lt;</w:t>
      </w:r>
      <w:r w:rsidR="000876FF" w:rsidRPr="000876FF">
        <w:t>https://www.safercare.vic.gov.au/report-manage-issues/sentinel-events/adverse-event-review-and-response/duty-of-candour</w:t>
      </w:r>
      <w:r>
        <w:t>&gt;.</w:t>
      </w:r>
    </w:p>
  </w:footnote>
  <w:footnote w:id="21">
    <w:p w14:paraId="354DE6C0" w14:textId="725AA18E" w:rsidR="00273743" w:rsidRDefault="00273743">
      <w:pPr>
        <w:pStyle w:val="FootnoteText"/>
      </w:pPr>
      <w:r>
        <w:rPr>
          <w:rStyle w:val="FootnoteReference"/>
        </w:rPr>
        <w:footnoteRef/>
      </w:r>
      <w:r>
        <w:t xml:space="preserve"> </w:t>
      </w:r>
      <w:r w:rsidR="006202EB">
        <w:t xml:space="preserve">Safer Care Victoria, 2024, </w:t>
      </w:r>
      <w:hyperlink r:id="rId16" w:history="1">
        <w:r w:rsidR="006202EB">
          <w:rPr>
            <w:rStyle w:val="Hyperlink"/>
          </w:rPr>
          <w:t>Sentinel Events Guide</w:t>
        </w:r>
      </w:hyperlink>
      <w:r w:rsidR="006202EB">
        <w:t>, State Government of Victoria, viewed July 2024, &lt;</w:t>
      </w:r>
      <w:r w:rsidR="006202EB" w:rsidRPr="008F633F">
        <w:t>https://www.safercare.vic.gov.au/best-practice-improvement/publications/sentinel-events-guide</w:t>
      </w:r>
      <w:r w:rsidR="006202EB">
        <w:t>&gt;.</w:t>
      </w:r>
    </w:p>
  </w:footnote>
  <w:footnote w:id="22">
    <w:p w14:paraId="6BDC8996" w14:textId="0F87CA5F" w:rsidR="006202EB" w:rsidRDefault="006202EB">
      <w:pPr>
        <w:pStyle w:val="FootnoteText"/>
      </w:pPr>
      <w:r>
        <w:rPr>
          <w:rStyle w:val="FootnoteReference"/>
        </w:rPr>
        <w:footnoteRef/>
      </w:r>
      <w:r>
        <w:t xml:space="preserve"> Safer Care Victoria, 2023, </w:t>
      </w:r>
      <w:hyperlink r:id="rId17" w:history="1">
        <w:r w:rsidRPr="00FE630E">
          <w:rPr>
            <w:rStyle w:val="Hyperlink"/>
          </w:rPr>
          <w:t>Adverse Patient Safety Event Policy</w:t>
        </w:r>
      </w:hyperlink>
      <w:r>
        <w:t>, State Government of Victoria, viewed July 2024, &lt;</w:t>
      </w:r>
      <w:r w:rsidRPr="00D1479B">
        <w:t>https://www.safercare.vic.gov.au/best-practice-improvement/publications/policy-adverse-patient-safety-events</w:t>
      </w:r>
      <w: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0516647"/>
      <w:docPartObj>
        <w:docPartGallery w:val="Page Numbers (Top of Page)"/>
        <w:docPartUnique/>
      </w:docPartObj>
    </w:sdtPr>
    <w:sdtEndPr>
      <w:rPr>
        <w:noProof/>
      </w:rPr>
    </w:sdtEndPr>
    <w:sdtContent>
      <w:p w14:paraId="57E602D7" w14:textId="130B1D32" w:rsidR="000618E4" w:rsidRDefault="000618E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7078E22" w14:textId="77777777" w:rsidR="00D205CE" w:rsidRDefault="00D20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6370606"/>
      <w:docPartObj>
        <w:docPartGallery w:val="Page Numbers (Top of Page)"/>
        <w:docPartUnique/>
      </w:docPartObj>
    </w:sdtPr>
    <w:sdtEndPr>
      <w:rPr>
        <w:noProof/>
      </w:rPr>
    </w:sdtEndPr>
    <w:sdtContent>
      <w:p w14:paraId="56C61DA5" w14:textId="2C62D266" w:rsidR="000618E4" w:rsidRDefault="000618E4">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715"/>
    <w:multiLevelType w:val="multilevel"/>
    <w:tmpl w:val="FD3204DC"/>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 w15:restartNumberingAfterBreak="0">
    <w:nsid w:val="03630D92"/>
    <w:multiLevelType w:val="multilevel"/>
    <w:tmpl w:val="C39E0140"/>
    <w:lvl w:ilvl="0">
      <w:start w:val="2"/>
      <w:numFmt w:val="decimal"/>
      <w:isLgl/>
      <w:lvlText w:val="(%1)"/>
      <w:lvlJc w:val="left"/>
      <w:pPr>
        <w:ind w:left="360" w:hanging="360"/>
      </w:pPr>
      <w:rPr>
        <w:rFonts w:hint="default"/>
      </w:rPr>
    </w:lvl>
    <w:lvl w:ilvl="1">
      <w:start w:val="2"/>
      <w:numFmt w:val="lowerLetter"/>
      <w:lvlText w:val="(%2)"/>
      <w:lvlJc w:val="left"/>
      <w:pPr>
        <w:ind w:left="720" w:hanging="360"/>
      </w:pPr>
      <w:rPr>
        <w:rFonts w:hint="default"/>
        <w:color w:val="auto"/>
      </w:rPr>
    </w:lvl>
    <w:lvl w:ilvl="2">
      <w:start w:val="1"/>
      <w:numFmt w:val="lowerRoman"/>
      <w:lvlText w:val="(%3)"/>
      <w:lvlJc w:val="right"/>
      <w:pPr>
        <w:ind w:left="851" w:hanging="131"/>
      </w:pPr>
      <w:rPr>
        <w:rFonts w:hint="default"/>
        <w:color w:val="FF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A50056"/>
    <w:multiLevelType w:val="multilevel"/>
    <w:tmpl w:val="93A8045C"/>
    <w:numStyleLink w:val="ZZNumbersloweralpha"/>
  </w:abstractNum>
  <w:abstractNum w:abstractNumId="3" w15:restartNumberingAfterBreak="0">
    <w:nsid w:val="0456092D"/>
    <w:multiLevelType w:val="multilevel"/>
    <w:tmpl w:val="8878EFD0"/>
    <w:lvl w:ilvl="0">
      <w:start w:val="3"/>
      <w:numFmt w:val="decimal"/>
      <w:isLgl/>
      <w:lvlText w:val="(%1)"/>
      <w:lvlJc w:val="left"/>
      <w:pPr>
        <w:ind w:left="360" w:hanging="360"/>
      </w:pPr>
      <w:rPr>
        <w:rFonts w:hint="default"/>
      </w:rPr>
    </w:lvl>
    <w:lvl w:ilvl="1">
      <w:start w:val="2"/>
      <w:numFmt w:val="lowerLetter"/>
      <w:lvlText w:val="(%2)"/>
      <w:lvlJc w:val="left"/>
      <w:pPr>
        <w:ind w:left="720" w:hanging="360"/>
      </w:pPr>
      <w:rPr>
        <w:rFonts w:ascii="Arial" w:hAnsi="Arial" w:cs="Arial" w:hint="default"/>
        <w:color w:val="auto"/>
      </w:rPr>
    </w:lvl>
    <w:lvl w:ilvl="2">
      <w:start w:val="1"/>
      <w:numFmt w:val="lowerRoman"/>
      <w:lvlText w:val="(%3)"/>
      <w:lvlJc w:val="right"/>
      <w:pPr>
        <w:ind w:left="851" w:hanging="131"/>
      </w:pPr>
      <w:rPr>
        <w:rFonts w:hint="default"/>
        <w:color w:val="FF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3474AA"/>
    <w:multiLevelType w:val="hybridMultilevel"/>
    <w:tmpl w:val="3684CD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9392E72C">
      <w:start w:val="3"/>
      <w:numFmt w:val="bullet"/>
      <w:lvlText w:val="-"/>
      <w:lvlJc w:val="left"/>
      <w:pPr>
        <w:ind w:left="1800" w:hanging="36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B8D43DB"/>
    <w:multiLevelType w:val="multilevel"/>
    <w:tmpl w:val="FD3204DC"/>
    <w:numStyleLink w:val="ZZNumbersdigit"/>
  </w:abstractNum>
  <w:abstractNum w:abstractNumId="6"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0D9247B5"/>
    <w:multiLevelType w:val="multilevel"/>
    <w:tmpl w:val="C55AA34A"/>
    <w:lvl w:ilvl="0">
      <w:start w:val="3"/>
      <w:numFmt w:val="decimal"/>
      <w:isLgl/>
      <w:lvlText w:val="(%1)"/>
      <w:lvlJc w:val="left"/>
      <w:pPr>
        <w:ind w:left="360" w:hanging="360"/>
      </w:pPr>
      <w:rPr>
        <w:rFonts w:hint="default"/>
      </w:rPr>
    </w:lvl>
    <w:lvl w:ilvl="1">
      <w:start w:val="9"/>
      <w:numFmt w:val="lowerLetter"/>
      <w:lvlText w:val="(%2)"/>
      <w:lvlJc w:val="left"/>
      <w:pPr>
        <w:ind w:left="720" w:hanging="360"/>
      </w:pPr>
      <w:rPr>
        <w:rFonts w:ascii="Arial" w:hAnsi="Arial" w:cs="Arial" w:hint="default"/>
        <w:color w:val="auto"/>
      </w:rPr>
    </w:lvl>
    <w:lvl w:ilvl="2">
      <w:start w:val="1"/>
      <w:numFmt w:val="lowerRoman"/>
      <w:lvlText w:val="(%3)"/>
      <w:lvlJc w:val="right"/>
      <w:pPr>
        <w:ind w:left="851" w:hanging="131"/>
      </w:pPr>
      <w:rPr>
        <w:rFonts w:hint="default"/>
        <w:color w:val="FF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D9D7BC8"/>
    <w:multiLevelType w:val="multilevel"/>
    <w:tmpl w:val="49EA1630"/>
    <w:lvl w:ilvl="0">
      <w:start w:val="4"/>
      <w:numFmt w:val="decimal"/>
      <w:isLgl/>
      <w:lvlText w:val="(%1)"/>
      <w:lvlJc w:val="left"/>
      <w:pPr>
        <w:ind w:left="360" w:hanging="360"/>
      </w:pPr>
      <w:rPr>
        <w:rFonts w:hint="default"/>
      </w:rPr>
    </w:lvl>
    <w:lvl w:ilvl="1">
      <w:start w:val="5"/>
      <w:numFmt w:val="lowerLetter"/>
      <w:lvlText w:val="(%2)"/>
      <w:lvlJc w:val="left"/>
      <w:pPr>
        <w:ind w:left="720" w:hanging="360"/>
      </w:pPr>
      <w:rPr>
        <w:rFonts w:hint="default"/>
        <w:color w:val="FF0000"/>
      </w:rPr>
    </w:lvl>
    <w:lvl w:ilvl="2">
      <w:start w:val="1"/>
      <w:numFmt w:val="lowerRoman"/>
      <w:lvlText w:val="(%3)"/>
      <w:lvlJc w:val="right"/>
      <w:pPr>
        <w:ind w:left="851" w:hanging="131"/>
      </w:pPr>
      <w:rPr>
        <w:rFonts w:hint="default"/>
        <w:color w:val="FF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145268B"/>
    <w:multiLevelType w:val="multilevel"/>
    <w:tmpl w:val="F8127D86"/>
    <w:lvl w:ilvl="0">
      <w:start w:val="1"/>
      <w:numFmt w:val="decimal"/>
      <w:isLgl/>
      <w:lvlText w:val="(%1)"/>
      <w:lvlJc w:val="left"/>
      <w:pPr>
        <w:ind w:left="360" w:hanging="360"/>
      </w:pPr>
      <w:rPr>
        <w:rFonts w:hint="default"/>
        <w:color w:val="auto"/>
      </w:rPr>
    </w:lvl>
    <w:lvl w:ilvl="1">
      <w:start w:val="1"/>
      <w:numFmt w:val="lowerLetter"/>
      <w:lvlText w:val="(%2)"/>
      <w:lvlJc w:val="left"/>
      <w:pPr>
        <w:ind w:left="720" w:hanging="360"/>
      </w:pPr>
      <w:rPr>
        <w:rFonts w:hint="default"/>
        <w:color w:val="auto"/>
      </w:rPr>
    </w:lvl>
    <w:lvl w:ilvl="2">
      <w:start w:val="1"/>
      <w:numFmt w:val="lowerRoman"/>
      <w:lvlText w:val="(%3)"/>
      <w:lvlJc w:val="right"/>
      <w:pPr>
        <w:ind w:left="851" w:hanging="131"/>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A94520"/>
    <w:multiLevelType w:val="hybridMultilevel"/>
    <w:tmpl w:val="2BAE08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8EA729A"/>
    <w:multiLevelType w:val="multilevel"/>
    <w:tmpl w:val="37EE1814"/>
    <w:lvl w:ilvl="0">
      <w:start w:val="1"/>
      <w:numFmt w:val="decimal"/>
      <w:isLgl/>
      <w:lvlText w:val="(%1)"/>
      <w:lvlJc w:val="left"/>
      <w:pPr>
        <w:ind w:left="360" w:hanging="360"/>
      </w:pPr>
      <w:rPr>
        <w:rFonts w:hint="default"/>
        <w:color w:val="FF0000"/>
      </w:rPr>
    </w:lvl>
    <w:lvl w:ilvl="1">
      <w:start w:val="1"/>
      <w:numFmt w:val="lowerLetter"/>
      <w:lvlText w:val="(%2)"/>
      <w:lvlJc w:val="left"/>
      <w:pPr>
        <w:ind w:left="720" w:hanging="360"/>
      </w:pPr>
      <w:rPr>
        <w:rFonts w:hint="default"/>
        <w:color w:val="auto"/>
      </w:rPr>
    </w:lvl>
    <w:lvl w:ilvl="2">
      <w:start w:val="1"/>
      <w:numFmt w:val="lowerRoman"/>
      <w:lvlText w:val="(%3)"/>
      <w:lvlJc w:val="right"/>
      <w:pPr>
        <w:ind w:left="851" w:hanging="131"/>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95F09E3"/>
    <w:multiLevelType w:val="multilevel"/>
    <w:tmpl w:val="BDAC02D8"/>
    <w:lvl w:ilvl="0">
      <w:start w:val="3"/>
      <w:numFmt w:val="decimal"/>
      <w:isLgl/>
      <w:lvlText w:val="(%1)"/>
      <w:lvlJc w:val="left"/>
      <w:pPr>
        <w:ind w:left="360" w:hanging="360"/>
      </w:pPr>
      <w:rPr>
        <w:rFonts w:hint="default"/>
      </w:rPr>
    </w:lvl>
    <w:lvl w:ilvl="1">
      <w:start w:val="9"/>
      <w:numFmt w:val="lowerLetter"/>
      <w:lvlText w:val="(%2)"/>
      <w:lvlJc w:val="left"/>
      <w:pPr>
        <w:ind w:left="720" w:hanging="360"/>
      </w:pPr>
      <w:rPr>
        <w:rFonts w:ascii="Arial" w:hAnsi="Arial" w:cs="Arial" w:hint="default"/>
        <w:color w:val="auto"/>
      </w:rPr>
    </w:lvl>
    <w:lvl w:ilvl="2">
      <w:start w:val="2"/>
      <w:numFmt w:val="lowerRoman"/>
      <w:lvlText w:val="(%3)"/>
      <w:lvlJc w:val="right"/>
      <w:pPr>
        <w:ind w:left="851" w:hanging="131"/>
      </w:pPr>
      <w:rPr>
        <w:rFonts w:hint="default"/>
        <w:color w:val="FF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E4212C"/>
    <w:multiLevelType w:val="hybridMultilevel"/>
    <w:tmpl w:val="780E33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FC801DB"/>
    <w:multiLevelType w:val="hybridMultilevel"/>
    <w:tmpl w:val="E0E435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1421D70"/>
    <w:multiLevelType w:val="hybridMultilevel"/>
    <w:tmpl w:val="FA0C4C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1BE3C7A"/>
    <w:multiLevelType w:val="multilevel"/>
    <w:tmpl w:val="0FB01D64"/>
    <w:lvl w:ilvl="0">
      <w:start w:val="2"/>
      <w:numFmt w:val="decimal"/>
      <w:isLgl/>
      <w:lvlText w:val="(%1)"/>
      <w:lvlJc w:val="left"/>
      <w:pPr>
        <w:ind w:left="360" w:hanging="360"/>
      </w:pPr>
      <w:rPr>
        <w:rFonts w:ascii="Arial" w:hAnsi="Arial" w:cs="Arial" w:hint="default"/>
      </w:rPr>
    </w:lvl>
    <w:lvl w:ilvl="1">
      <w:start w:val="1"/>
      <w:numFmt w:val="lowerLetter"/>
      <w:lvlText w:val="(%2)"/>
      <w:lvlJc w:val="left"/>
      <w:pPr>
        <w:ind w:left="720" w:hanging="360"/>
      </w:pPr>
      <w:rPr>
        <w:rFonts w:ascii="Arial" w:hAnsi="Arial" w:cs="Arial" w:hint="default"/>
        <w:color w:val="auto"/>
      </w:rPr>
    </w:lvl>
    <w:lvl w:ilvl="2">
      <w:start w:val="1"/>
      <w:numFmt w:val="lowerRoman"/>
      <w:lvlText w:val="(%3)"/>
      <w:lvlJc w:val="right"/>
      <w:pPr>
        <w:ind w:left="851" w:hanging="131"/>
      </w:pPr>
      <w:rPr>
        <w:rFonts w:hint="default"/>
        <w:color w:val="FF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3C14E96"/>
    <w:multiLevelType w:val="multilevel"/>
    <w:tmpl w:val="CAE8AEAE"/>
    <w:lvl w:ilvl="0">
      <w:start w:val="3"/>
      <w:numFmt w:val="decimal"/>
      <w:isLgl/>
      <w:lvlText w:val="(%1)"/>
      <w:lvlJc w:val="left"/>
      <w:pPr>
        <w:ind w:left="360" w:hanging="360"/>
      </w:pPr>
      <w:rPr>
        <w:rFonts w:hint="default"/>
      </w:rPr>
    </w:lvl>
    <w:lvl w:ilvl="1">
      <w:start w:val="1"/>
      <w:numFmt w:val="lowerLetter"/>
      <w:lvlText w:val="(%2)"/>
      <w:lvlJc w:val="left"/>
      <w:pPr>
        <w:ind w:left="720" w:hanging="360"/>
      </w:pPr>
      <w:rPr>
        <w:rFonts w:hint="default"/>
        <w:color w:val="auto"/>
      </w:rPr>
    </w:lvl>
    <w:lvl w:ilvl="2">
      <w:start w:val="1"/>
      <w:numFmt w:val="lowerRoman"/>
      <w:lvlText w:val="(%3)"/>
      <w:lvlJc w:val="right"/>
      <w:pPr>
        <w:ind w:left="851" w:hanging="131"/>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5D216BE"/>
    <w:multiLevelType w:val="multilevel"/>
    <w:tmpl w:val="C55AA34A"/>
    <w:lvl w:ilvl="0">
      <w:start w:val="3"/>
      <w:numFmt w:val="decimal"/>
      <w:isLgl/>
      <w:lvlText w:val="(%1)"/>
      <w:lvlJc w:val="left"/>
      <w:pPr>
        <w:ind w:left="360" w:hanging="360"/>
      </w:pPr>
      <w:rPr>
        <w:rFonts w:hint="default"/>
      </w:rPr>
    </w:lvl>
    <w:lvl w:ilvl="1">
      <w:start w:val="9"/>
      <w:numFmt w:val="lowerLetter"/>
      <w:lvlText w:val="(%2)"/>
      <w:lvlJc w:val="left"/>
      <w:pPr>
        <w:ind w:left="720" w:hanging="360"/>
      </w:pPr>
      <w:rPr>
        <w:rFonts w:ascii="Arial" w:hAnsi="Arial" w:cs="Arial" w:hint="default"/>
        <w:color w:val="auto"/>
      </w:rPr>
    </w:lvl>
    <w:lvl w:ilvl="2">
      <w:start w:val="1"/>
      <w:numFmt w:val="lowerRoman"/>
      <w:lvlText w:val="(%3)"/>
      <w:lvlJc w:val="right"/>
      <w:pPr>
        <w:ind w:left="851" w:hanging="131"/>
      </w:pPr>
      <w:rPr>
        <w:rFonts w:hint="default"/>
        <w:color w:val="FF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64430D4"/>
    <w:multiLevelType w:val="hybridMultilevel"/>
    <w:tmpl w:val="BECAC2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7400D1E"/>
    <w:multiLevelType w:val="hybridMultilevel"/>
    <w:tmpl w:val="E5E2CC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9920C60"/>
    <w:multiLevelType w:val="hybridMultilevel"/>
    <w:tmpl w:val="06680D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A774127"/>
    <w:multiLevelType w:val="multilevel"/>
    <w:tmpl w:val="C7049D9E"/>
    <w:lvl w:ilvl="0">
      <w:start w:val="1"/>
      <w:numFmt w:val="decimal"/>
      <w:isLgl/>
      <w:lvlText w:val="(%1)"/>
      <w:lvlJc w:val="left"/>
      <w:pPr>
        <w:ind w:left="360" w:hanging="360"/>
      </w:pPr>
      <w:rPr>
        <w:rFonts w:hint="default"/>
      </w:rPr>
    </w:lvl>
    <w:lvl w:ilvl="1">
      <w:start w:val="1"/>
      <w:numFmt w:val="lowerLetter"/>
      <w:lvlText w:val="(%2)"/>
      <w:lvlJc w:val="left"/>
      <w:pPr>
        <w:ind w:left="720" w:hanging="360"/>
      </w:pPr>
      <w:rPr>
        <w:rFonts w:ascii="Arial" w:hAnsi="Arial" w:cs="Arial" w:hint="default"/>
        <w:color w:val="auto"/>
      </w:rPr>
    </w:lvl>
    <w:lvl w:ilvl="2">
      <w:start w:val="1"/>
      <w:numFmt w:val="lowerRoman"/>
      <w:lvlText w:val="(%3)"/>
      <w:lvlJc w:val="right"/>
      <w:pPr>
        <w:ind w:left="851" w:hanging="131"/>
      </w:pPr>
      <w:rPr>
        <w:rFonts w:hint="default"/>
        <w:color w:val="FF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B2312AE"/>
    <w:multiLevelType w:val="multilevel"/>
    <w:tmpl w:val="BBB6C3F2"/>
    <w:lvl w:ilvl="0">
      <w:start w:val="1"/>
      <w:numFmt w:val="decimal"/>
      <w:isLgl/>
      <w:lvlText w:val="(%1)"/>
      <w:lvlJc w:val="left"/>
      <w:pPr>
        <w:ind w:left="360" w:hanging="360"/>
      </w:pPr>
      <w:rPr>
        <w:rFonts w:hint="default"/>
      </w:rPr>
    </w:lvl>
    <w:lvl w:ilvl="1">
      <w:start w:val="1"/>
      <w:numFmt w:val="lowerLetter"/>
      <w:lvlText w:val="(%2)"/>
      <w:lvlJc w:val="left"/>
      <w:pPr>
        <w:ind w:left="720" w:hanging="360"/>
      </w:pPr>
      <w:rPr>
        <w:rFonts w:hint="default"/>
        <w:color w:val="auto"/>
      </w:rPr>
    </w:lvl>
    <w:lvl w:ilvl="2">
      <w:start w:val="1"/>
      <w:numFmt w:val="lowerRoman"/>
      <w:lvlText w:val="(%3)"/>
      <w:lvlJc w:val="right"/>
      <w:pPr>
        <w:ind w:left="851" w:hanging="131"/>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B632249"/>
    <w:multiLevelType w:val="multilevel"/>
    <w:tmpl w:val="2402EC7C"/>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color w:val="FF0000"/>
      </w:rPr>
    </w:lvl>
    <w:lvl w:ilvl="2">
      <w:start w:val="1"/>
      <w:numFmt w:val="lowerRoman"/>
      <w:lvlText w:val="(%3)"/>
      <w:lvlJc w:val="right"/>
      <w:pPr>
        <w:ind w:left="851" w:hanging="131"/>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C475A7F"/>
    <w:multiLevelType w:val="hybridMultilevel"/>
    <w:tmpl w:val="E1C4C5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D375B96"/>
    <w:multiLevelType w:val="multilevel"/>
    <w:tmpl w:val="DD2C7930"/>
    <w:lvl w:ilvl="0">
      <w:start w:val="1"/>
      <w:numFmt w:val="decimal"/>
      <w:isLgl/>
      <w:lvlText w:val="(%1)"/>
      <w:lvlJc w:val="left"/>
      <w:pPr>
        <w:ind w:left="360" w:hanging="360"/>
      </w:pPr>
      <w:rPr>
        <w:rFonts w:hint="default"/>
        <w:color w:val="auto"/>
      </w:rPr>
    </w:lvl>
    <w:lvl w:ilvl="1">
      <w:start w:val="1"/>
      <w:numFmt w:val="lowerLetter"/>
      <w:lvlText w:val="(%2)"/>
      <w:lvlJc w:val="left"/>
      <w:pPr>
        <w:ind w:left="720" w:hanging="360"/>
      </w:pPr>
      <w:rPr>
        <w:rFonts w:hint="default"/>
        <w:color w:val="FF0000"/>
      </w:rPr>
    </w:lvl>
    <w:lvl w:ilvl="2">
      <w:start w:val="1"/>
      <w:numFmt w:val="lowerRoman"/>
      <w:lvlText w:val="(%3)"/>
      <w:lvlJc w:val="right"/>
      <w:pPr>
        <w:ind w:left="851" w:firstLine="17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1DE5EFF"/>
    <w:multiLevelType w:val="hybridMultilevel"/>
    <w:tmpl w:val="4D029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2070652"/>
    <w:multiLevelType w:val="multilevel"/>
    <w:tmpl w:val="CE481C16"/>
    <w:lvl w:ilvl="0">
      <w:start w:val="3"/>
      <w:numFmt w:val="decimal"/>
      <w:isLgl/>
      <w:lvlText w:val="(%1)"/>
      <w:lvlJc w:val="left"/>
      <w:pPr>
        <w:ind w:left="360" w:hanging="360"/>
      </w:pPr>
      <w:rPr>
        <w:rFonts w:hint="default"/>
      </w:rPr>
    </w:lvl>
    <w:lvl w:ilvl="1">
      <w:start w:val="1"/>
      <w:numFmt w:val="lowerLetter"/>
      <w:lvlText w:val="(%2)"/>
      <w:lvlJc w:val="left"/>
      <w:pPr>
        <w:ind w:left="720" w:hanging="360"/>
      </w:pPr>
      <w:rPr>
        <w:rFonts w:ascii="Arial" w:hAnsi="Arial" w:cs="Arial" w:hint="default"/>
        <w:color w:val="auto"/>
      </w:rPr>
    </w:lvl>
    <w:lvl w:ilvl="2">
      <w:start w:val="1"/>
      <w:numFmt w:val="lowerRoman"/>
      <w:lvlText w:val="(%3)"/>
      <w:lvlJc w:val="right"/>
      <w:pPr>
        <w:ind w:left="851" w:hanging="131"/>
      </w:pPr>
      <w:rPr>
        <w:rFonts w:hint="default"/>
        <w:color w:val="FF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3C9614F"/>
    <w:multiLevelType w:val="multilevel"/>
    <w:tmpl w:val="8878EFD0"/>
    <w:lvl w:ilvl="0">
      <w:start w:val="3"/>
      <w:numFmt w:val="decimal"/>
      <w:isLgl/>
      <w:lvlText w:val="(%1)"/>
      <w:lvlJc w:val="left"/>
      <w:pPr>
        <w:ind w:left="360" w:hanging="360"/>
      </w:pPr>
      <w:rPr>
        <w:rFonts w:hint="default"/>
      </w:rPr>
    </w:lvl>
    <w:lvl w:ilvl="1">
      <w:start w:val="2"/>
      <w:numFmt w:val="lowerLetter"/>
      <w:lvlText w:val="(%2)"/>
      <w:lvlJc w:val="left"/>
      <w:pPr>
        <w:ind w:left="720" w:hanging="360"/>
      </w:pPr>
      <w:rPr>
        <w:rFonts w:ascii="Arial" w:hAnsi="Arial" w:cs="Arial" w:hint="default"/>
        <w:color w:val="auto"/>
      </w:rPr>
    </w:lvl>
    <w:lvl w:ilvl="2">
      <w:start w:val="1"/>
      <w:numFmt w:val="lowerRoman"/>
      <w:lvlText w:val="(%3)"/>
      <w:lvlJc w:val="right"/>
      <w:pPr>
        <w:ind w:left="851" w:hanging="131"/>
      </w:pPr>
      <w:rPr>
        <w:rFonts w:hint="default"/>
        <w:color w:val="FF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5233FE0"/>
    <w:multiLevelType w:val="hybridMultilevel"/>
    <w:tmpl w:val="7E5C0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8DC1ABA"/>
    <w:multiLevelType w:val="multilevel"/>
    <w:tmpl w:val="50A6838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color w:val="auto"/>
      </w:rPr>
    </w:lvl>
    <w:lvl w:ilvl="2">
      <w:start w:val="1"/>
      <w:numFmt w:val="lowerRoman"/>
      <w:lvlText w:val="(%3)"/>
      <w:lvlJc w:val="right"/>
      <w:pPr>
        <w:ind w:left="851" w:hanging="131"/>
      </w:pPr>
      <w:rPr>
        <w:rFonts w:hint="default"/>
        <w:color w:val="FF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9BC1973"/>
    <w:multiLevelType w:val="hybridMultilevel"/>
    <w:tmpl w:val="1952A5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C5F4799"/>
    <w:multiLevelType w:val="multilevel"/>
    <w:tmpl w:val="B48ABB60"/>
    <w:lvl w:ilvl="0">
      <w:start w:val="5"/>
      <w:numFmt w:val="decimal"/>
      <w:isLgl/>
      <w:lvlText w:val="(%1)"/>
      <w:lvlJc w:val="left"/>
      <w:pPr>
        <w:ind w:left="360" w:hanging="360"/>
      </w:pPr>
      <w:rPr>
        <w:rFonts w:hint="default"/>
        <w:color w:val="FF0000"/>
      </w:rPr>
    </w:lvl>
    <w:lvl w:ilvl="1">
      <w:start w:val="1"/>
      <w:numFmt w:val="lowerLetter"/>
      <w:lvlText w:val="(%2)"/>
      <w:lvlJc w:val="left"/>
      <w:pPr>
        <w:ind w:left="720" w:hanging="360"/>
      </w:pPr>
      <w:rPr>
        <w:rFonts w:hint="default"/>
        <w:color w:val="auto"/>
      </w:rPr>
    </w:lvl>
    <w:lvl w:ilvl="2">
      <w:start w:val="1"/>
      <w:numFmt w:val="lowerRoman"/>
      <w:lvlText w:val="(%3)"/>
      <w:lvlJc w:val="right"/>
      <w:pPr>
        <w:ind w:left="851" w:hanging="131"/>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E6C68D4"/>
    <w:multiLevelType w:val="multilevel"/>
    <w:tmpl w:val="FD3204DC"/>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5"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3F381478"/>
    <w:multiLevelType w:val="multilevel"/>
    <w:tmpl w:val="A7ECA690"/>
    <w:lvl w:ilvl="0">
      <w:start w:val="1"/>
      <w:numFmt w:val="decimal"/>
      <w:isLgl/>
      <w:lvlText w:val="(%1)"/>
      <w:lvlJc w:val="left"/>
      <w:pPr>
        <w:ind w:left="360" w:hanging="360"/>
      </w:pPr>
      <w:rPr>
        <w:rFonts w:hint="default"/>
      </w:rPr>
    </w:lvl>
    <w:lvl w:ilvl="1">
      <w:start w:val="5"/>
      <w:numFmt w:val="lowerLetter"/>
      <w:lvlText w:val="(%2)"/>
      <w:lvlJc w:val="left"/>
      <w:pPr>
        <w:ind w:left="720" w:hanging="360"/>
      </w:pPr>
      <w:rPr>
        <w:rFonts w:hint="default"/>
        <w:color w:val="auto"/>
      </w:rPr>
    </w:lvl>
    <w:lvl w:ilvl="2">
      <w:start w:val="1"/>
      <w:numFmt w:val="lowerRoman"/>
      <w:lvlText w:val="(%3)"/>
      <w:lvlJc w:val="right"/>
      <w:pPr>
        <w:ind w:left="851" w:hanging="131"/>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3402EA6"/>
    <w:multiLevelType w:val="hybridMultilevel"/>
    <w:tmpl w:val="880C93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6E7518B"/>
    <w:multiLevelType w:val="multilevel"/>
    <w:tmpl w:val="386CD43C"/>
    <w:lvl w:ilvl="0">
      <w:start w:val="3"/>
      <w:numFmt w:val="decimal"/>
      <w:isLgl/>
      <w:lvlText w:val="(%1)"/>
      <w:lvlJc w:val="left"/>
      <w:pPr>
        <w:ind w:left="360" w:hanging="360"/>
      </w:pPr>
      <w:rPr>
        <w:rFonts w:hint="default"/>
      </w:rPr>
    </w:lvl>
    <w:lvl w:ilvl="1">
      <w:start w:val="9"/>
      <w:numFmt w:val="lowerLetter"/>
      <w:lvlText w:val="(%2)"/>
      <w:lvlJc w:val="left"/>
      <w:pPr>
        <w:ind w:left="720" w:hanging="360"/>
      </w:pPr>
      <w:rPr>
        <w:rFonts w:ascii="Arial" w:hAnsi="Arial" w:cs="Arial" w:hint="default"/>
        <w:color w:val="auto"/>
      </w:rPr>
    </w:lvl>
    <w:lvl w:ilvl="2">
      <w:start w:val="2"/>
      <w:numFmt w:val="lowerRoman"/>
      <w:lvlText w:val="(%3)"/>
      <w:lvlJc w:val="right"/>
      <w:pPr>
        <w:ind w:left="851" w:hanging="131"/>
      </w:pPr>
      <w:rPr>
        <w:rFonts w:hint="default"/>
        <w:color w:val="FF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A2F42D9"/>
    <w:multiLevelType w:val="multilevel"/>
    <w:tmpl w:val="C220C86A"/>
    <w:lvl w:ilvl="0">
      <w:start w:val="2"/>
      <w:numFmt w:val="decimal"/>
      <w:isLgl/>
      <w:lvlText w:val="(%1)"/>
      <w:lvlJc w:val="left"/>
      <w:pPr>
        <w:ind w:left="360" w:hanging="360"/>
      </w:pPr>
      <w:rPr>
        <w:rFonts w:hint="default"/>
        <w:b w:val="0"/>
        <w:bCs/>
        <w:color w:val="auto"/>
      </w:rPr>
    </w:lvl>
    <w:lvl w:ilvl="1">
      <w:start w:val="1"/>
      <w:numFmt w:val="lowerLetter"/>
      <w:lvlText w:val="(%2)"/>
      <w:lvlJc w:val="left"/>
      <w:pPr>
        <w:ind w:left="720" w:hanging="360"/>
      </w:pPr>
      <w:rPr>
        <w:rFonts w:hint="default"/>
        <w:b w:val="0"/>
        <w:bCs/>
        <w:color w:val="auto"/>
      </w:rPr>
    </w:lvl>
    <w:lvl w:ilvl="2">
      <w:start w:val="1"/>
      <w:numFmt w:val="lowerRoman"/>
      <w:lvlText w:val="(%3)"/>
      <w:lvlJc w:val="right"/>
      <w:pPr>
        <w:ind w:left="851" w:hanging="131"/>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C2974FA"/>
    <w:multiLevelType w:val="multilevel"/>
    <w:tmpl w:val="B5CE1D7A"/>
    <w:lvl w:ilvl="0">
      <w:start w:val="2"/>
      <w:numFmt w:val="decimal"/>
      <w:isLgl/>
      <w:lvlText w:val="(%1)"/>
      <w:lvlJc w:val="left"/>
      <w:pPr>
        <w:ind w:left="360" w:hanging="360"/>
      </w:pPr>
      <w:rPr>
        <w:rFonts w:hint="default"/>
      </w:rPr>
    </w:lvl>
    <w:lvl w:ilvl="1">
      <w:start w:val="1"/>
      <w:numFmt w:val="lowerLetter"/>
      <w:lvlText w:val="(%2)"/>
      <w:lvlJc w:val="left"/>
      <w:pPr>
        <w:ind w:left="720" w:hanging="360"/>
      </w:pPr>
      <w:rPr>
        <w:rFonts w:hint="default"/>
        <w:color w:val="auto"/>
      </w:rPr>
    </w:lvl>
    <w:lvl w:ilvl="2">
      <w:start w:val="1"/>
      <w:numFmt w:val="lowerRoman"/>
      <w:lvlText w:val="(%3)"/>
      <w:lvlJc w:val="right"/>
      <w:pPr>
        <w:ind w:left="851" w:hanging="131"/>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D381D5F"/>
    <w:multiLevelType w:val="hybridMultilevel"/>
    <w:tmpl w:val="7E54D6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EAC7153"/>
    <w:multiLevelType w:val="hybridMultilevel"/>
    <w:tmpl w:val="0D0606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4F913059"/>
    <w:multiLevelType w:val="multilevel"/>
    <w:tmpl w:val="D424EF42"/>
    <w:lvl w:ilvl="0">
      <w:start w:val="1"/>
      <w:numFmt w:val="decimal"/>
      <w:isLgl/>
      <w:lvlText w:val="(%1)"/>
      <w:lvlJc w:val="left"/>
      <w:pPr>
        <w:ind w:left="360" w:hanging="360"/>
      </w:pPr>
      <w:rPr>
        <w:rFonts w:hint="default"/>
        <w:color w:val="auto"/>
      </w:rPr>
    </w:lvl>
    <w:lvl w:ilvl="1">
      <w:start w:val="1"/>
      <w:numFmt w:val="lowerLetter"/>
      <w:lvlText w:val="(%2)"/>
      <w:lvlJc w:val="left"/>
      <w:pPr>
        <w:ind w:left="720" w:hanging="360"/>
      </w:pPr>
      <w:rPr>
        <w:rFonts w:hint="default"/>
        <w:color w:val="auto"/>
      </w:rPr>
    </w:lvl>
    <w:lvl w:ilvl="2">
      <w:start w:val="1"/>
      <w:numFmt w:val="lowerRoman"/>
      <w:lvlText w:val="(%3)"/>
      <w:lvlJc w:val="right"/>
      <w:pPr>
        <w:ind w:left="851" w:hanging="131"/>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1DF2F01"/>
    <w:multiLevelType w:val="multilevel"/>
    <w:tmpl w:val="5EC64CE6"/>
    <w:lvl w:ilvl="0">
      <w:start w:val="1"/>
      <w:numFmt w:val="decimal"/>
      <w:isLgl/>
      <w:lvlText w:val="(%1)"/>
      <w:lvlJc w:val="left"/>
      <w:pPr>
        <w:ind w:left="360" w:hanging="360"/>
      </w:pPr>
      <w:rPr>
        <w:rFonts w:hint="default"/>
      </w:rPr>
    </w:lvl>
    <w:lvl w:ilvl="1">
      <w:start w:val="4"/>
      <w:numFmt w:val="lowerLetter"/>
      <w:lvlText w:val="(%2)"/>
      <w:lvlJc w:val="left"/>
      <w:pPr>
        <w:ind w:left="720" w:hanging="360"/>
      </w:pPr>
      <w:rPr>
        <w:rFonts w:hint="default"/>
        <w:color w:val="auto"/>
      </w:rPr>
    </w:lvl>
    <w:lvl w:ilvl="2">
      <w:start w:val="1"/>
      <w:numFmt w:val="lowerRoman"/>
      <w:lvlText w:val="(%3)"/>
      <w:lvlJc w:val="right"/>
      <w:pPr>
        <w:ind w:left="851" w:hanging="131"/>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6" w15:restartNumberingAfterBreak="0">
    <w:nsid w:val="54BA1E5A"/>
    <w:multiLevelType w:val="multilevel"/>
    <w:tmpl w:val="2A4A9E4C"/>
    <w:styleLink w:val="ZZBullets"/>
    <w:lvl w:ilvl="0">
      <w:start w:val="1"/>
      <w:numFmt w:val="bullet"/>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7" w15:restartNumberingAfterBreak="0">
    <w:nsid w:val="58893C7B"/>
    <w:multiLevelType w:val="hybridMultilevel"/>
    <w:tmpl w:val="2494B7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58AB58E0"/>
    <w:multiLevelType w:val="hybridMultilevel"/>
    <w:tmpl w:val="98129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CC076E8"/>
    <w:multiLevelType w:val="hybridMultilevel"/>
    <w:tmpl w:val="D30C3198"/>
    <w:lvl w:ilvl="0" w:tplc="25B01776">
      <w:start w:val="1"/>
      <w:numFmt w:val="bullet"/>
      <w:pStyle w:val="Bullet1"/>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5F53312D"/>
    <w:multiLevelType w:val="multilevel"/>
    <w:tmpl w:val="9EA82F38"/>
    <w:lvl w:ilvl="0">
      <w:start w:val="3"/>
      <w:numFmt w:val="decimal"/>
      <w:isLgl/>
      <w:lvlText w:val="(%1)"/>
      <w:lvlJc w:val="left"/>
      <w:pPr>
        <w:ind w:left="360" w:hanging="360"/>
      </w:pPr>
      <w:rPr>
        <w:rFonts w:hint="default"/>
      </w:rPr>
    </w:lvl>
    <w:lvl w:ilvl="1">
      <w:start w:val="9"/>
      <w:numFmt w:val="lowerLetter"/>
      <w:lvlText w:val="(%2)"/>
      <w:lvlJc w:val="left"/>
      <w:pPr>
        <w:ind w:left="720" w:hanging="360"/>
      </w:pPr>
      <w:rPr>
        <w:rFonts w:ascii="Arial" w:hAnsi="Arial" w:cs="Arial" w:hint="default"/>
        <w:color w:val="auto"/>
      </w:rPr>
    </w:lvl>
    <w:lvl w:ilvl="2">
      <w:start w:val="3"/>
      <w:numFmt w:val="lowerRoman"/>
      <w:lvlText w:val="(%3)"/>
      <w:lvlJc w:val="right"/>
      <w:pPr>
        <w:ind w:left="851" w:hanging="131"/>
      </w:pPr>
      <w:rPr>
        <w:rFonts w:hint="default"/>
        <w:color w:val="FF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1606860"/>
    <w:multiLevelType w:val="multilevel"/>
    <w:tmpl w:val="A7420946"/>
    <w:lvl w:ilvl="0">
      <w:start w:val="1"/>
      <w:numFmt w:val="decimal"/>
      <w:isLgl/>
      <w:lvlText w:val="(%1)"/>
      <w:lvlJc w:val="left"/>
      <w:pPr>
        <w:ind w:left="360" w:hanging="360"/>
      </w:pPr>
      <w:rPr>
        <w:rFonts w:hint="default"/>
      </w:rPr>
    </w:lvl>
    <w:lvl w:ilvl="1">
      <w:start w:val="1"/>
      <w:numFmt w:val="lowerLetter"/>
      <w:lvlText w:val="(%2)"/>
      <w:lvlJc w:val="left"/>
      <w:pPr>
        <w:ind w:left="720" w:hanging="360"/>
      </w:pPr>
      <w:rPr>
        <w:rFonts w:hint="default"/>
        <w:color w:val="auto"/>
      </w:rPr>
    </w:lvl>
    <w:lvl w:ilvl="2">
      <w:start w:val="4"/>
      <w:numFmt w:val="lowerRoman"/>
      <w:lvlText w:val="(%3)"/>
      <w:lvlJc w:val="right"/>
      <w:pPr>
        <w:ind w:left="851" w:hanging="131"/>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3" w15:restartNumberingAfterBreak="0">
    <w:nsid w:val="64C47094"/>
    <w:multiLevelType w:val="multilevel"/>
    <w:tmpl w:val="8878EFD0"/>
    <w:lvl w:ilvl="0">
      <w:start w:val="3"/>
      <w:numFmt w:val="decimal"/>
      <w:isLgl/>
      <w:lvlText w:val="(%1)"/>
      <w:lvlJc w:val="left"/>
      <w:pPr>
        <w:ind w:left="360" w:hanging="360"/>
      </w:pPr>
      <w:rPr>
        <w:rFonts w:hint="default"/>
      </w:rPr>
    </w:lvl>
    <w:lvl w:ilvl="1">
      <w:start w:val="2"/>
      <w:numFmt w:val="lowerLetter"/>
      <w:lvlText w:val="(%2)"/>
      <w:lvlJc w:val="left"/>
      <w:pPr>
        <w:ind w:left="720" w:hanging="360"/>
      </w:pPr>
      <w:rPr>
        <w:rFonts w:ascii="Arial" w:hAnsi="Arial" w:cs="Arial" w:hint="default"/>
        <w:color w:val="auto"/>
      </w:rPr>
    </w:lvl>
    <w:lvl w:ilvl="2">
      <w:start w:val="1"/>
      <w:numFmt w:val="lowerRoman"/>
      <w:lvlText w:val="(%3)"/>
      <w:lvlJc w:val="right"/>
      <w:pPr>
        <w:ind w:left="851" w:hanging="131"/>
      </w:pPr>
      <w:rPr>
        <w:rFonts w:hint="default"/>
        <w:color w:val="FF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5274615"/>
    <w:multiLevelType w:val="hybridMultilevel"/>
    <w:tmpl w:val="4C526B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66B163DB"/>
    <w:multiLevelType w:val="multilevel"/>
    <w:tmpl w:val="6550221C"/>
    <w:lvl w:ilvl="0">
      <w:start w:val="3"/>
      <w:numFmt w:val="decimal"/>
      <w:isLgl/>
      <w:lvlText w:val="(%1)"/>
      <w:lvlJc w:val="left"/>
      <w:pPr>
        <w:ind w:left="360" w:hanging="360"/>
      </w:pPr>
      <w:rPr>
        <w:rFonts w:hint="default"/>
      </w:rPr>
    </w:lvl>
    <w:lvl w:ilvl="1">
      <w:start w:val="5"/>
      <w:numFmt w:val="lowerLetter"/>
      <w:lvlText w:val="(%2)"/>
      <w:lvlJc w:val="left"/>
      <w:pPr>
        <w:ind w:left="720" w:hanging="360"/>
      </w:pPr>
      <w:rPr>
        <w:rFonts w:hint="default"/>
        <w:color w:val="FF0000"/>
      </w:rPr>
    </w:lvl>
    <w:lvl w:ilvl="2">
      <w:start w:val="1"/>
      <w:numFmt w:val="lowerRoman"/>
      <w:lvlText w:val="(%3)"/>
      <w:lvlJc w:val="right"/>
      <w:pPr>
        <w:ind w:left="851" w:hanging="131"/>
      </w:pPr>
      <w:rPr>
        <w:rFonts w:hint="default"/>
        <w:color w:val="FF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D6B686E"/>
    <w:multiLevelType w:val="multilevel"/>
    <w:tmpl w:val="8878EFD0"/>
    <w:lvl w:ilvl="0">
      <w:start w:val="3"/>
      <w:numFmt w:val="decimal"/>
      <w:isLgl/>
      <w:lvlText w:val="(%1)"/>
      <w:lvlJc w:val="left"/>
      <w:pPr>
        <w:ind w:left="360" w:hanging="360"/>
      </w:pPr>
      <w:rPr>
        <w:rFonts w:hint="default"/>
      </w:rPr>
    </w:lvl>
    <w:lvl w:ilvl="1">
      <w:start w:val="2"/>
      <w:numFmt w:val="lowerLetter"/>
      <w:lvlText w:val="(%2)"/>
      <w:lvlJc w:val="left"/>
      <w:pPr>
        <w:ind w:left="720" w:hanging="360"/>
      </w:pPr>
      <w:rPr>
        <w:rFonts w:ascii="Arial" w:hAnsi="Arial" w:cs="Arial" w:hint="default"/>
        <w:color w:val="auto"/>
      </w:rPr>
    </w:lvl>
    <w:lvl w:ilvl="2">
      <w:start w:val="1"/>
      <w:numFmt w:val="lowerRoman"/>
      <w:lvlText w:val="(%3)"/>
      <w:lvlJc w:val="right"/>
      <w:pPr>
        <w:ind w:left="851" w:hanging="131"/>
      </w:pPr>
      <w:rPr>
        <w:rFonts w:hint="default"/>
        <w:color w:val="FF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DE824AE"/>
    <w:multiLevelType w:val="multilevel"/>
    <w:tmpl w:val="D67E1820"/>
    <w:lvl w:ilvl="0">
      <w:start w:val="1"/>
      <w:numFmt w:val="decimal"/>
      <w:isLgl/>
      <w:lvlText w:val="(%1)"/>
      <w:lvlJc w:val="left"/>
      <w:pPr>
        <w:ind w:left="360" w:hanging="360"/>
      </w:pPr>
      <w:rPr>
        <w:rFonts w:hint="default"/>
        <w:color w:val="auto"/>
      </w:rPr>
    </w:lvl>
    <w:lvl w:ilvl="1">
      <w:start w:val="1"/>
      <w:numFmt w:val="lowerLetter"/>
      <w:lvlText w:val="(%2)"/>
      <w:lvlJc w:val="left"/>
      <w:pPr>
        <w:ind w:left="720" w:hanging="360"/>
      </w:pPr>
      <w:rPr>
        <w:rFonts w:hint="default"/>
        <w:color w:val="FF0000"/>
      </w:rPr>
    </w:lvl>
    <w:lvl w:ilvl="2">
      <w:start w:val="1"/>
      <w:numFmt w:val="lowerRoman"/>
      <w:lvlText w:val="(%3)"/>
      <w:lvlJc w:val="right"/>
      <w:pPr>
        <w:ind w:left="851" w:hanging="131"/>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E243ADB"/>
    <w:multiLevelType w:val="multilevel"/>
    <w:tmpl w:val="8878EFD0"/>
    <w:lvl w:ilvl="0">
      <w:start w:val="3"/>
      <w:numFmt w:val="decimal"/>
      <w:isLgl/>
      <w:lvlText w:val="(%1)"/>
      <w:lvlJc w:val="left"/>
      <w:pPr>
        <w:ind w:left="360" w:hanging="360"/>
      </w:pPr>
      <w:rPr>
        <w:rFonts w:hint="default"/>
      </w:rPr>
    </w:lvl>
    <w:lvl w:ilvl="1">
      <w:start w:val="2"/>
      <w:numFmt w:val="lowerLetter"/>
      <w:lvlText w:val="(%2)"/>
      <w:lvlJc w:val="left"/>
      <w:pPr>
        <w:ind w:left="720" w:hanging="360"/>
      </w:pPr>
      <w:rPr>
        <w:rFonts w:ascii="Arial" w:hAnsi="Arial" w:cs="Arial" w:hint="default"/>
        <w:color w:val="auto"/>
      </w:rPr>
    </w:lvl>
    <w:lvl w:ilvl="2">
      <w:start w:val="1"/>
      <w:numFmt w:val="lowerRoman"/>
      <w:lvlText w:val="(%3)"/>
      <w:lvlJc w:val="right"/>
      <w:pPr>
        <w:ind w:left="851" w:hanging="131"/>
      </w:pPr>
      <w:rPr>
        <w:rFonts w:hint="default"/>
        <w:color w:val="FF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71924AAD"/>
    <w:multiLevelType w:val="multilevel"/>
    <w:tmpl w:val="B5CE1D7A"/>
    <w:lvl w:ilvl="0">
      <w:start w:val="2"/>
      <w:numFmt w:val="decimal"/>
      <w:isLgl/>
      <w:lvlText w:val="(%1)"/>
      <w:lvlJc w:val="left"/>
      <w:pPr>
        <w:ind w:left="360" w:hanging="360"/>
      </w:pPr>
      <w:rPr>
        <w:rFonts w:hint="default"/>
      </w:rPr>
    </w:lvl>
    <w:lvl w:ilvl="1">
      <w:start w:val="1"/>
      <w:numFmt w:val="lowerLetter"/>
      <w:lvlText w:val="(%2)"/>
      <w:lvlJc w:val="left"/>
      <w:pPr>
        <w:ind w:left="720" w:hanging="360"/>
      </w:pPr>
      <w:rPr>
        <w:rFonts w:hint="default"/>
        <w:color w:val="auto"/>
      </w:rPr>
    </w:lvl>
    <w:lvl w:ilvl="2">
      <w:start w:val="1"/>
      <w:numFmt w:val="lowerRoman"/>
      <w:lvlText w:val="(%3)"/>
      <w:lvlJc w:val="right"/>
      <w:pPr>
        <w:ind w:left="851" w:hanging="131"/>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29D3F40"/>
    <w:multiLevelType w:val="multilevel"/>
    <w:tmpl w:val="F4FAC572"/>
    <w:lvl w:ilvl="0">
      <w:start w:val="3"/>
      <w:numFmt w:val="decimal"/>
      <w:isLgl/>
      <w:lvlText w:val="(%1)"/>
      <w:lvlJc w:val="left"/>
      <w:pPr>
        <w:ind w:left="360" w:hanging="360"/>
      </w:pPr>
      <w:rPr>
        <w:rFonts w:hint="default"/>
      </w:rPr>
    </w:lvl>
    <w:lvl w:ilvl="1">
      <w:start w:val="8"/>
      <w:numFmt w:val="lowerLetter"/>
      <w:lvlText w:val="(%2)"/>
      <w:lvlJc w:val="left"/>
      <w:pPr>
        <w:ind w:left="720" w:hanging="360"/>
      </w:pPr>
      <w:rPr>
        <w:rFonts w:ascii="Arial" w:hAnsi="Arial" w:cs="Arial" w:hint="default"/>
        <w:color w:val="auto"/>
      </w:rPr>
    </w:lvl>
    <w:lvl w:ilvl="2">
      <w:start w:val="1"/>
      <w:numFmt w:val="lowerRoman"/>
      <w:lvlText w:val="(%3)"/>
      <w:lvlJc w:val="right"/>
      <w:pPr>
        <w:ind w:left="851" w:hanging="131"/>
      </w:pPr>
      <w:rPr>
        <w:rFonts w:hint="default"/>
        <w:color w:val="FF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72C42CE9"/>
    <w:multiLevelType w:val="multilevel"/>
    <w:tmpl w:val="D35ADD12"/>
    <w:lvl w:ilvl="0">
      <w:start w:val="3"/>
      <w:numFmt w:val="decimal"/>
      <w:isLgl/>
      <w:lvlText w:val="(%1)"/>
      <w:lvlJc w:val="left"/>
      <w:pPr>
        <w:ind w:left="360" w:hanging="360"/>
      </w:pPr>
      <w:rPr>
        <w:rFonts w:hint="default"/>
      </w:rPr>
    </w:lvl>
    <w:lvl w:ilvl="1">
      <w:start w:val="2"/>
      <w:numFmt w:val="lowerLetter"/>
      <w:lvlText w:val="(%2)"/>
      <w:lvlJc w:val="left"/>
      <w:pPr>
        <w:ind w:left="720" w:hanging="360"/>
      </w:pPr>
      <w:rPr>
        <w:rFonts w:ascii="Arial" w:hAnsi="Arial" w:cs="Arial" w:hint="default"/>
        <w:color w:val="auto"/>
      </w:rPr>
    </w:lvl>
    <w:lvl w:ilvl="2">
      <w:start w:val="1"/>
      <w:numFmt w:val="lowerRoman"/>
      <w:lvlText w:val="(%3)"/>
      <w:lvlJc w:val="right"/>
      <w:pPr>
        <w:ind w:left="851" w:hanging="131"/>
      </w:pPr>
      <w:rPr>
        <w:rFonts w:hint="default"/>
        <w:color w:val="FF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749E2445"/>
    <w:multiLevelType w:val="multilevel"/>
    <w:tmpl w:val="C93CAB5C"/>
    <w:lvl w:ilvl="0">
      <w:start w:val="1"/>
      <w:numFmt w:val="decimal"/>
      <w:isLgl/>
      <w:lvlText w:val="(%1)"/>
      <w:lvlJc w:val="left"/>
      <w:pPr>
        <w:ind w:left="360" w:hanging="360"/>
      </w:pPr>
      <w:rPr>
        <w:rFonts w:hint="default"/>
        <w:color w:val="FF0000"/>
      </w:rPr>
    </w:lvl>
    <w:lvl w:ilvl="1">
      <w:start w:val="1"/>
      <w:numFmt w:val="lowerLetter"/>
      <w:lvlText w:val="(%2)"/>
      <w:lvlJc w:val="left"/>
      <w:pPr>
        <w:ind w:left="720" w:hanging="360"/>
      </w:pPr>
      <w:rPr>
        <w:rFonts w:hint="default"/>
        <w:color w:val="FF0000"/>
      </w:rPr>
    </w:lvl>
    <w:lvl w:ilvl="2">
      <w:start w:val="1"/>
      <w:numFmt w:val="lowerRoman"/>
      <w:lvlText w:val="(%3)"/>
      <w:lvlJc w:val="right"/>
      <w:pPr>
        <w:ind w:left="851" w:hanging="131"/>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6B370A3"/>
    <w:multiLevelType w:val="multilevel"/>
    <w:tmpl w:val="B8261FA4"/>
    <w:lvl w:ilvl="0">
      <w:start w:val="1"/>
      <w:numFmt w:val="decimal"/>
      <w:isLgl/>
      <w:lvlText w:val="(%1)"/>
      <w:lvlJc w:val="left"/>
      <w:pPr>
        <w:ind w:left="360" w:hanging="360"/>
      </w:pPr>
      <w:rPr>
        <w:rFonts w:hint="default"/>
      </w:rPr>
    </w:lvl>
    <w:lvl w:ilvl="1">
      <w:start w:val="1"/>
      <w:numFmt w:val="lowerLetter"/>
      <w:lvlText w:val="(%2)"/>
      <w:lvlJc w:val="left"/>
      <w:pPr>
        <w:ind w:left="720" w:hanging="360"/>
      </w:pPr>
      <w:rPr>
        <w:rFonts w:hint="default"/>
        <w:color w:val="auto"/>
      </w:rPr>
    </w:lvl>
    <w:lvl w:ilvl="2">
      <w:start w:val="1"/>
      <w:numFmt w:val="lowerRoman"/>
      <w:lvlText w:val="(%3)"/>
      <w:lvlJc w:val="right"/>
      <w:pPr>
        <w:ind w:left="851" w:hanging="131"/>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79E87D9D"/>
    <w:multiLevelType w:val="hybridMultilevel"/>
    <w:tmpl w:val="872649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8384042">
    <w:abstractNumId w:val="34"/>
  </w:num>
  <w:num w:numId="2" w16cid:durableId="1499614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2176354">
    <w:abstractNumId w:val="46"/>
  </w:num>
  <w:num w:numId="4" w16cid:durableId="1825659094">
    <w:abstractNumId w:val="45"/>
  </w:num>
  <w:num w:numId="5" w16cid:durableId="124012448">
    <w:abstractNumId w:val="52"/>
  </w:num>
  <w:num w:numId="6" w16cid:durableId="42870128">
    <w:abstractNumId w:val="35"/>
  </w:num>
  <w:num w:numId="7" w16cid:durableId="1517695401">
    <w:abstractNumId w:val="6"/>
  </w:num>
  <w:num w:numId="8" w16cid:durableId="351763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2112953">
    <w:abstractNumId w:val="41"/>
  </w:num>
  <w:num w:numId="10" w16cid:durableId="2076706140">
    <w:abstractNumId w:val="47"/>
  </w:num>
  <w:num w:numId="11" w16cid:durableId="1246106507">
    <w:abstractNumId w:val="49"/>
  </w:num>
  <w:num w:numId="12" w16cid:durableId="96414561">
    <w:abstractNumId w:val="23"/>
  </w:num>
  <w:num w:numId="13" w16cid:durableId="1765304860">
    <w:abstractNumId w:val="22"/>
  </w:num>
  <w:num w:numId="14" w16cid:durableId="186717151">
    <w:abstractNumId w:val="24"/>
  </w:num>
  <w:num w:numId="15" w16cid:durableId="98186262">
    <w:abstractNumId w:val="62"/>
  </w:num>
  <w:num w:numId="16" w16cid:durableId="1998413267">
    <w:abstractNumId w:val="39"/>
  </w:num>
  <w:num w:numId="17" w16cid:durableId="1048185212">
    <w:abstractNumId w:val="43"/>
  </w:num>
  <w:num w:numId="18" w16cid:durableId="1727214553">
    <w:abstractNumId w:val="26"/>
  </w:num>
  <w:num w:numId="19" w16cid:durableId="2018575026">
    <w:abstractNumId w:val="17"/>
  </w:num>
  <w:num w:numId="20" w16cid:durableId="505481425">
    <w:abstractNumId w:val="55"/>
  </w:num>
  <w:num w:numId="21" w16cid:durableId="1051222577">
    <w:abstractNumId w:val="36"/>
  </w:num>
  <w:num w:numId="22" w16cid:durableId="975718741">
    <w:abstractNumId w:val="59"/>
  </w:num>
  <w:num w:numId="23" w16cid:durableId="10568515">
    <w:abstractNumId w:val="40"/>
  </w:num>
  <w:num w:numId="24" w16cid:durableId="1462963344">
    <w:abstractNumId w:val="63"/>
  </w:num>
  <w:num w:numId="25" w16cid:durableId="1316908759">
    <w:abstractNumId w:val="33"/>
  </w:num>
  <w:num w:numId="26" w16cid:durableId="970785067">
    <w:abstractNumId w:val="9"/>
  </w:num>
  <w:num w:numId="27" w16cid:durableId="200944284">
    <w:abstractNumId w:val="57"/>
  </w:num>
  <w:num w:numId="28" w16cid:durableId="1366255185">
    <w:abstractNumId w:val="11"/>
  </w:num>
  <w:num w:numId="29" w16cid:durableId="1436441625">
    <w:abstractNumId w:val="44"/>
  </w:num>
  <w:num w:numId="30" w16cid:durableId="106389066">
    <w:abstractNumId w:val="4"/>
  </w:num>
  <w:num w:numId="31" w16cid:durableId="1932661125">
    <w:abstractNumId w:val="42"/>
  </w:num>
  <w:num w:numId="32" w16cid:durableId="1193423395">
    <w:abstractNumId w:val="13"/>
  </w:num>
  <w:num w:numId="33" w16cid:durableId="1631862942">
    <w:abstractNumId w:val="21"/>
  </w:num>
  <w:num w:numId="34" w16cid:durableId="1180394857">
    <w:abstractNumId w:val="32"/>
  </w:num>
  <w:num w:numId="35" w16cid:durableId="694039418">
    <w:abstractNumId w:val="14"/>
  </w:num>
  <w:num w:numId="36" w16cid:durableId="2111658630">
    <w:abstractNumId w:val="10"/>
  </w:num>
  <w:num w:numId="37" w16cid:durableId="168721591">
    <w:abstractNumId w:val="37"/>
  </w:num>
  <w:num w:numId="38" w16cid:durableId="1911884457">
    <w:abstractNumId w:val="25"/>
  </w:num>
  <w:num w:numId="39" w16cid:durableId="1892768122">
    <w:abstractNumId w:val="54"/>
  </w:num>
  <w:num w:numId="40" w16cid:durableId="1286810596">
    <w:abstractNumId w:val="64"/>
  </w:num>
  <w:num w:numId="41" w16cid:durableId="1204947234">
    <w:abstractNumId w:val="15"/>
  </w:num>
  <w:num w:numId="42" w16cid:durableId="1513572958">
    <w:abstractNumId w:val="16"/>
  </w:num>
  <w:num w:numId="43" w16cid:durableId="1601718626">
    <w:abstractNumId w:val="61"/>
  </w:num>
  <w:num w:numId="44" w16cid:durableId="1348096705">
    <w:abstractNumId w:val="1"/>
  </w:num>
  <w:num w:numId="45" w16cid:durableId="369112121">
    <w:abstractNumId w:val="31"/>
  </w:num>
  <w:num w:numId="46" w16cid:durableId="1647322719">
    <w:abstractNumId w:val="28"/>
  </w:num>
  <w:num w:numId="47" w16cid:durableId="696852629">
    <w:abstractNumId w:val="58"/>
  </w:num>
  <w:num w:numId="48" w16cid:durableId="868646682">
    <w:abstractNumId w:val="60"/>
  </w:num>
  <w:num w:numId="49" w16cid:durableId="571352042">
    <w:abstractNumId w:val="3"/>
  </w:num>
  <w:num w:numId="50" w16cid:durableId="432164697">
    <w:abstractNumId w:val="56"/>
  </w:num>
  <w:num w:numId="51" w16cid:durableId="1754473825">
    <w:abstractNumId w:val="18"/>
  </w:num>
  <w:num w:numId="52" w16cid:durableId="1764958646">
    <w:abstractNumId w:val="29"/>
  </w:num>
  <w:num w:numId="53" w16cid:durableId="789006974">
    <w:abstractNumId w:val="7"/>
  </w:num>
  <w:num w:numId="54" w16cid:durableId="1001617765">
    <w:abstractNumId w:val="50"/>
  </w:num>
  <w:num w:numId="55" w16cid:durableId="803158099">
    <w:abstractNumId w:val="53"/>
  </w:num>
  <w:num w:numId="56" w16cid:durableId="2011566944">
    <w:abstractNumId w:val="12"/>
  </w:num>
  <w:num w:numId="57" w16cid:durableId="1358775128">
    <w:abstractNumId w:val="38"/>
  </w:num>
  <w:num w:numId="58" w16cid:durableId="913468467">
    <w:abstractNumId w:val="20"/>
  </w:num>
  <w:num w:numId="59" w16cid:durableId="1297419167">
    <w:abstractNumId w:val="8"/>
  </w:num>
  <w:num w:numId="60" w16cid:durableId="866674211">
    <w:abstractNumId w:val="19"/>
  </w:num>
  <w:num w:numId="61" w16cid:durableId="1764640517">
    <w:abstractNumId w:val="49"/>
  </w:num>
  <w:num w:numId="62" w16cid:durableId="20591612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968914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493614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29019784">
    <w:abstractNumId w:val="0"/>
  </w:num>
  <w:num w:numId="66" w16cid:durableId="296882886">
    <w:abstractNumId w:val="48"/>
  </w:num>
  <w:num w:numId="67" w16cid:durableId="143663068">
    <w:abstractNumId w:val="51"/>
  </w:num>
  <w:num w:numId="68" w16cid:durableId="1510756194">
    <w:abstractNumId w:val="27"/>
  </w:num>
  <w:num w:numId="69" w16cid:durableId="682050488">
    <w:abstractNumId w:val="3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820"/>
    <w:rsid w:val="000004A0"/>
    <w:rsid w:val="000004AC"/>
    <w:rsid w:val="00000719"/>
    <w:rsid w:val="000009B4"/>
    <w:rsid w:val="00001199"/>
    <w:rsid w:val="00001A3F"/>
    <w:rsid w:val="00001D5F"/>
    <w:rsid w:val="00001DBD"/>
    <w:rsid w:val="00001F13"/>
    <w:rsid w:val="000021D1"/>
    <w:rsid w:val="00002283"/>
    <w:rsid w:val="0000246F"/>
    <w:rsid w:val="000025BE"/>
    <w:rsid w:val="00002869"/>
    <w:rsid w:val="000029BF"/>
    <w:rsid w:val="00002D68"/>
    <w:rsid w:val="00002D7E"/>
    <w:rsid w:val="0000301D"/>
    <w:rsid w:val="00003403"/>
    <w:rsid w:val="000038FD"/>
    <w:rsid w:val="00003E07"/>
    <w:rsid w:val="0000415A"/>
    <w:rsid w:val="0000447F"/>
    <w:rsid w:val="0000458B"/>
    <w:rsid w:val="00004967"/>
    <w:rsid w:val="0000499F"/>
    <w:rsid w:val="00004A18"/>
    <w:rsid w:val="00004BEA"/>
    <w:rsid w:val="00004F8D"/>
    <w:rsid w:val="000050D5"/>
    <w:rsid w:val="00005347"/>
    <w:rsid w:val="0000544E"/>
    <w:rsid w:val="00005804"/>
    <w:rsid w:val="0000586E"/>
    <w:rsid w:val="00005CE5"/>
    <w:rsid w:val="0000636E"/>
    <w:rsid w:val="000071DC"/>
    <w:rsid w:val="000072B6"/>
    <w:rsid w:val="00007BA9"/>
    <w:rsid w:val="00007E42"/>
    <w:rsid w:val="00010064"/>
    <w:rsid w:val="000100D1"/>
    <w:rsid w:val="0001021B"/>
    <w:rsid w:val="000108A2"/>
    <w:rsid w:val="00011379"/>
    <w:rsid w:val="00011800"/>
    <w:rsid w:val="00011CAC"/>
    <w:rsid w:val="00011D89"/>
    <w:rsid w:val="0001233A"/>
    <w:rsid w:val="000128D0"/>
    <w:rsid w:val="000129D3"/>
    <w:rsid w:val="00012C5E"/>
    <w:rsid w:val="00012C79"/>
    <w:rsid w:val="00012F4D"/>
    <w:rsid w:val="000133BA"/>
    <w:rsid w:val="000134E0"/>
    <w:rsid w:val="00014394"/>
    <w:rsid w:val="0001447D"/>
    <w:rsid w:val="00014DDF"/>
    <w:rsid w:val="000152F2"/>
    <w:rsid w:val="000154FD"/>
    <w:rsid w:val="0001573E"/>
    <w:rsid w:val="000158FA"/>
    <w:rsid w:val="00015B25"/>
    <w:rsid w:val="000161A6"/>
    <w:rsid w:val="000163DB"/>
    <w:rsid w:val="00016DC5"/>
    <w:rsid w:val="000170C4"/>
    <w:rsid w:val="00017410"/>
    <w:rsid w:val="00017484"/>
    <w:rsid w:val="00017993"/>
    <w:rsid w:val="00017A98"/>
    <w:rsid w:val="00020033"/>
    <w:rsid w:val="000205F6"/>
    <w:rsid w:val="0002078B"/>
    <w:rsid w:val="000208E6"/>
    <w:rsid w:val="00020DFD"/>
    <w:rsid w:val="000211D9"/>
    <w:rsid w:val="00021284"/>
    <w:rsid w:val="000212E5"/>
    <w:rsid w:val="00021450"/>
    <w:rsid w:val="00021659"/>
    <w:rsid w:val="00021C61"/>
    <w:rsid w:val="00021EC4"/>
    <w:rsid w:val="0002221D"/>
    <w:rsid w:val="00022271"/>
    <w:rsid w:val="0002227E"/>
    <w:rsid w:val="0002274B"/>
    <w:rsid w:val="00022BAA"/>
    <w:rsid w:val="000235E8"/>
    <w:rsid w:val="00023B56"/>
    <w:rsid w:val="00023C2D"/>
    <w:rsid w:val="00023C74"/>
    <w:rsid w:val="00023DAA"/>
    <w:rsid w:val="00024128"/>
    <w:rsid w:val="0002430D"/>
    <w:rsid w:val="0002453B"/>
    <w:rsid w:val="000248FC"/>
    <w:rsid w:val="00024A46"/>
    <w:rsid w:val="00024D89"/>
    <w:rsid w:val="000250B6"/>
    <w:rsid w:val="0002578F"/>
    <w:rsid w:val="0002586C"/>
    <w:rsid w:val="00025FC5"/>
    <w:rsid w:val="00026038"/>
    <w:rsid w:val="0002642F"/>
    <w:rsid w:val="00026FF4"/>
    <w:rsid w:val="00027550"/>
    <w:rsid w:val="00027910"/>
    <w:rsid w:val="00027CB2"/>
    <w:rsid w:val="00027DAA"/>
    <w:rsid w:val="000300B4"/>
    <w:rsid w:val="00030193"/>
    <w:rsid w:val="0003102D"/>
    <w:rsid w:val="00031325"/>
    <w:rsid w:val="000314F8"/>
    <w:rsid w:val="00031527"/>
    <w:rsid w:val="0003191D"/>
    <w:rsid w:val="00031A1F"/>
    <w:rsid w:val="00031D96"/>
    <w:rsid w:val="000320CA"/>
    <w:rsid w:val="0003216F"/>
    <w:rsid w:val="000333AD"/>
    <w:rsid w:val="00033417"/>
    <w:rsid w:val="0003387C"/>
    <w:rsid w:val="00033D1B"/>
    <w:rsid w:val="00033D81"/>
    <w:rsid w:val="00034334"/>
    <w:rsid w:val="00034495"/>
    <w:rsid w:val="0003470C"/>
    <w:rsid w:val="00034A34"/>
    <w:rsid w:val="00034A95"/>
    <w:rsid w:val="00034C86"/>
    <w:rsid w:val="0003543B"/>
    <w:rsid w:val="0003566A"/>
    <w:rsid w:val="000357AD"/>
    <w:rsid w:val="00035B23"/>
    <w:rsid w:val="00035E2D"/>
    <w:rsid w:val="0003651E"/>
    <w:rsid w:val="00036995"/>
    <w:rsid w:val="00037366"/>
    <w:rsid w:val="00037715"/>
    <w:rsid w:val="00037823"/>
    <w:rsid w:val="00040FE1"/>
    <w:rsid w:val="000412CB"/>
    <w:rsid w:val="0004134A"/>
    <w:rsid w:val="00041582"/>
    <w:rsid w:val="0004179B"/>
    <w:rsid w:val="00041928"/>
    <w:rsid w:val="000419C4"/>
    <w:rsid w:val="00041BF0"/>
    <w:rsid w:val="00041D71"/>
    <w:rsid w:val="00042140"/>
    <w:rsid w:val="0004231E"/>
    <w:rsid w:val="000428EA"/>
    <w:rsid w:val="00042C67"/>
    <w:rsid w:val="00042C8A"/>
    <w:rsid w:val="00042F54"/>
    <w:rsid w:val="00042F75"/>
    <w:rsid w:val="00043397"/>
    <w:rsid w:val="00043491"/>
    <w:rsid w:val="00043552"/>
    <w:rsid w:val="00043913"/>
    <w:rsid w:val="00044270"/>
    <w:rsid w:val="00044277"/>
    <w:rsid w:val="00044379"/>
    <w:rsid w:val="000451F8"/>
    <w:rsid w:val="0004536B"/>
    <w:rsid w:val="000453F5"/>
    <w:rsid w:val="00045672"/>
    <w:rsid w:val="00045D86"/>
    <w:rsid w:val="00045F5D"/>
    <w:rsid w:val="00046B68"/>
    <w:rsid w:val="00046B7D"/>
    <w:rsid w:val="00046C9A"/>
    <w:rsid w:val="00050016"/>
    <w:rsid w:val="00050F95"/>
    <w:rsid w:val="00050FC1"/>
    <w:rsid w:val="00051019"/>
    <w:rsid w:val="00051637"/>
    <w:rsid w:val="000519E3"/>
    <w:rsid w:val="00051C8D"/>
    <w:rsid w:val="00051DAB"/>
    <w:rsid w:val="00051E08"/>
    <w:rsid w:val="00051E4E"/>
    <w:rsid w:val="00052239"/>
    <w:rsid w:val="000526D2"/>
    <w:rsid w:val="000527DD"/>
    <w:rsid w:val="00052D4E"/>
    <w:rsid w:val="0005307D"/>
    <w:rsid w:val="000531FD"/>
    <w:rsid w:val="000534BD"/>
    <w:rsid w:val="0005421B"/>
    <w:rsid w:val="0005476C"/>
    <w:rsid w:val="000548CA"/>
    <w:rsid w:val="00054D2F"/>
    <w:rsid w:val="00054D57"/>
    <w:rsid w:val="000554AB"/>
    <w:rsid w:val="00055EE7"/>
    <w:rsid w:val="000562FF"/>
    <w:rsid w:val="00056301"/>
    <w:rsid w:val="0005636B"/>
    <w:rsid w:val="00056A23"/>
    <w:rsid w:val="00056BAA"/>
    <w:rsid w:val="00056BAF"/>
    <w:rsid w:val="00057074"/>
    <w:rsid w:val="00057600"/>
    <w:rsid w:val="000578B2"/>
    <w:rsid w:val="000604C1"/>
    <w:rsid w:val="000604CB"/>
    <w:rsid w:val="000607BD"/>
    <w:rsid w:val="00060959"/>
    <w:rsid w:val="00060C8F"/>
    <w:rsid w:val="00060CBD"/>
    <w:rsid w:val="00060D47"/>
    <w:rsid w:val="0006128C"/>
    <w:rsid w:val="000618E4"/>
    <w:rsid w:val="00061956"/>
    <w:rsid w:val="000624EE"/>
    <w:rsid w:val="000624F9"/>
    <w:rsid w:val="000626B9"/>
    <w:rsid w:val="0006298A"/>
    <w:rsid w:val="000629EC"/>
    <w:rsid w:val="00062E22"/>
    <w:rsid w:val="00063444"/>
    <w:rsid w:val="000635F7"/>
    <w:rsid w:val="0006360E"/>
    <w:rsid w:val="000637AB"/>
    <w:rsid w:val="000639AC"/>
    <w:rsid w:val="00064076"/>
    <w:rsid w:val="0006419F"/>
    <w:rsid w:val="00064D7F"/>
    <w:rsid w:val="0006526E"/>
    <w:rsid w:val="00065568"/>
    <w:rsid w:val="000657FD"/>
    <w:rsid w:val="00066071"/>
    <w:rsid w:val="000660E9"/>
    <w:rsid w:val="000663CD"/>
    <w:rsid w:val="00066642"/>
    <w:rsid w:val="000667AC"/>
    <w:rsid w:val="000667F7"/>
    <w:rsid w:val="000669DF"/>
    <w:rsid w:val="00066F56"/>
    <w:rsid w:val="00067556"/>
    <w:rsid w:val="000675B2"/>
    <w:rsid w:val="00067984"/>
    <w:rsid w:val="00067DEE"/>
    <w:rsid w:val="00067EC6"/>
    <w:rsid w:val="00070491"/>
    <w:rsid w:val="00070500"/>
    <w:rsid w:val="000710E9"/>
    <w:rsid w:val="00071308"/>
    <w:rsid w:val="00071603"/>
    <w:rsid w:val="00071EA7"/>
    <w:rsid w:val="00071FF3"/>
    <w:rsid w:val="000723A9"/>
    <w:rsid w:val="000727F4"/>
    <w:rsid w:val="00072B7B"/>
    <w:rsid w:val="00072D21"/>
    <w:rsid w:val="000733FE"/>
    <w:rsid w:val="000736B0"/>
    <w:rsid w:val="00074219"/>
    <w:rsid w:val="0007443D"/>
    <w:rsid w:val="000745D8"/>
    <w:rsid w:val="000749D7"/>
    <w:rsid w:val="00074AE4"/>
    <w:rsid w:val="00074ED5"/>
    <w:rsid w:val="0007534E"/>
    <w:rsid w:val="00075351"/>
    <w:rsid w:val="000757A5"/>
    <w:rsid w:val="00075830"/>
    <w:rsid w:val="0007589C"/>
    <w:rsid w:val="00075AA7"/>
    <w:rsid w:val="00075CA6"/>
    <w:rsid w:val="0007608B"/>
    <w:rsid w:val="00076208"/>
    <w:rsid w:val="000765ED"/>
    <w:rsid w:val="00076802"/>
    <w:rsid w:val="000769B7"/>
    <w:rsid w:val="00076B4A"/>
    <w:rsid w:val="00076CAB"/>
    <w:rsid w:val="00076FF5"/>
    <w:rsid w:val="000775A3"/>
    <w:rsid w:val="000775F0"/>
    <w:rsid w:val="000778C4"/>
    <w:rsid w:val="00077937"/>
    <w:rsid w:val="00077A55"/>
    <w:rsid w:val="00077C4E"/>
    <w:rsid w:val="00077EC5"/>
    <w:rsid w:val="0008085E"/>
    <w:rsid w:val="00080D5F"/>
    <w:rsid w:val="00081203"/>
    <w:rsid w:val="000812ED"/>
    <w:rsid w:val="00081797"/>
    <w:rsid w:val="00082A4A"/>
    <w:rsid w:val="00083287"/>
    <w:rsid w:val="00083871"/>
    <w:rsid w:val="000838C0"/>
    <w:rsid w:val="00083EC7"/>
    <w:rsid w:val="00084068"/>
    <w:rsid w:val="000840AC"/>
    <w:rsid w:val="00084654"/>
    <w:rsid w:val="00084A8C"/>
    <w:rsid w:val="0008508E"/>
    <w:rsid w:val="00085290"/>
    <w:rsid w:val="00086557"/>
    <w:rsid w:val="00086654"/>
    <w:rsid w:val="00086FBB"/>
    <w:rsid w:val="000872A1"/>
    <w:rsid w:val="00087364"/>
    <w:rsid w:val="00087411"/>
    <w:rsid w:val="000876FF"/>
    <w:rsid w:val="00087951"/>
    <w:rsid w:val="00087C83"/>
    <w:rsid w:val="00087CBB"/>
    <w:rsid w:val="00087F36"/>
    <w:rsid w:val="00087F98"/>
    <w:rsid w:val="000900C5"/>
    <w:rsid w:val="00090A6A"/>
    <w:rsid w:val="000910EB"/>
    <w:rsid w:val="0009113B"/>
    <w:rsid w:val="00091282"/>
    <w:rsid w:val="00091285"/>
    <w:rsid w:val="00091361"/>
    <w:rsid w:val="0009145C"/>
    <w:rsid w:val="000916D4"/>
    <w:rsid w:val="00091928"/>
    <w:rsid w:val="00091D25"/>
    <w:rsid w:val="00091E52"/>
    <w:rsid w:val="00091EFA"/>
    <w:rsid w:val="00091F74"/>
    <w:rsid w:val="000920B2"/>
    <w:rsid w:val="0009236E"/>
    <w:rsid w:val="00092957"/>
    <w:rsid w:val="00092982"/>
    <w:rsid w:val="00092AB3"/>
    <w:rsid w:val="00092C52"/>
    <w:rsid w:val="00093402"/>
    <w:rsid w:val="0009343A"/>
    <w:rsid w:val="000936B7"/>
    <w:rsid w:val="00093A08"/>
    <w:rsid w:val="00093C80"/>
    <w:rsid w:val="00093DAE"/>
    <w:rsid w:val="00093E1C"/>
    <w:rsid w:val="000947FF"/>
    <w:rsid w:val="00094DA3"/>
    <w:rsid w:val="000952C1"/>
    <w:rsid w:val="000954E5"/>
    <w:rsid w:val="00095507"/>
    <w:rsid w:val="0009593C"/>
    <w:rsid w:val="00095A13"/>
    <w:rsid w:val="00095BA1"/>
    <w:rsid w:val="00095E47"/>
    <w:rsid w:val="00096CD1"/>
    <w:rsid w:val="00097057"/>
    <w:rsid w:val="0009746E"/>
    <w:rsid w:val="000978F8"/>
    <w:rsid w:val="00097A13"/>
    <w:rsid w:val="00097D19"/>
    <w:rsid w:val="00097DE1"/>
    <w:rsid w:val="000A012C"/>
    <w:rsid w:val="000A076A"/>
    <w:rsid w:val="000A07F9"/>
    <w:rsid w:val="000A0B51"/>
    <w:rsid w:val="000A0EB9"/>
    <w:rsid w:val="000A13E9"/>
    <w:rsid w:val="000A15D3"/>
    <w:rsid w:val="000A17C0"/>
    <w:rsid w:val="000A186C"/>
    <w:rsid w:val="000A1A9D"/>
    <w:rsid w:val="000A1EA4"/>
    <w:rsid w:val="000A2125"/>
    <w:rsid w:val="000A2476"/>
    <w:rsid w:val="000A26BA"/>
    <w:rsid w:val="000A2AFF"/>
    <w:rsid w:val="000A2EF6"/>
    <w:rsid w:val="000A3980"/>
    <w:rsid w:val="000A3DFE"/>
    <w:rsid w:val="000A419C"/>
    <w:rsid w:val="000A441D"/>
    <w:rsid w:val="000A4681"/>
    <w:rsid w:val="000A472A"/>
    <w:rsid w:val="000A4F0B"/>
    <w:rsid w:val="000A4F25"/>
    <w:rsid w:val="000A4FBE"/>
    <w:rsid w:val="000A4FF8"/>
    <w:rsid w:val="000A5179"/>
    <w:rsid w:val="000A52A4"/>
    <w:rsid w:val="000A56D5"/>
    <w:rsid w:val="000A5B61"/>
    <w:rsid w:val="000A5C29"/>
    <w:rsid w:val="000A641A"/>
    <w:rsid w:val="000A65E8"/>
    <w:rsid w:val="000A67D1"/>
    <w:rsid w:val="000A687C"/>
    <w:rsid w:val="000A6910"/>
    <w:rsid w:val="000A70B4"/>
    <w:rsid w:val="000A75B7"/>
    <w:rsid w:val="000A77A8"/>
    <w:rsid w:val="000A7D01"/>
    <w:rsid w:val="000B00B2"/>
    <w:rsid w:val="000B0281"/>
    <w:rsid w:val="000B0607"/>
    <w:rsid w:val="000B061B"/>
    <w:rsid w:val="000B0677"/>
    <w:rsid w:val="000B1266"/>
    <w:rsid w:val="000B1472"/>
    <w:rsid w:val="000B172F"/>
    <w:rsid w:val="000B1870"/>
    <w:rsid w:val="000B19B9"/>
    <w:rsid w:val="000B1AE2"/>
    <w:rsid w:val="000B1C13"/>
    <w:rsid w:val="000B1DE1"/>
    <w:rsid w:val="000B2117"/>
    <w:rsid w:val="000B2182"/>
    <w:rsid w:val="000B21CE"/>
    <w:rsid w:val="000B268D"/>
    <w:rsid w:val="000B2796"/>
    <w:rsid w:val="000B27A4"/>
    <w:rsid w:val="000B27B1"/>
    <w:rsid w:val="000B2957"/>
    <w:rsid w:val="000B2CEB"/>
    <w:rsid w:val="000B327A"/>
    <w:rsid w:val="000B37F4"/>
    <w:rsid w:val="000B3933"/>
    <w:rsid w:val="000B3AB8"/>
    <w:rsid w:val="000B3EDB"/>
    <w:rsid w:val="000B44E8"/>
    <w:rsid w:val="000B451C"/>
    <w:rsid w:val="000B470D"/>
    <w:rsid w:val="000B4B17"/>
    <w:rsid w:val="000B4CB2"/>
    <w:rsid w:val="000B5004"/>
    <w:rsid w:val="000B51C0"/>
    <w:rsid w:val="000B52CB"/>
    <w:rsid w:val="000B5386"/>
    <w:rsid w:val="000B543D"/>
    <w:rsid w:val="000B5538"/>
    <w:rsid w:val="000B55F9"/>
    <w:rsid w:val="000B57E0"/>
    <w:rsid w:val="000B5914"/>
    <w:rsid w:val="000B5BF7"/>
    <w:rsid w:val="000B6218"/>
    <w:rsid w:val="000B644F"/>
    <w:rsid w:val="000B65DA"/>
    <w:rsid w:val="000B6BC8"/>
    <w:rsid w:val="000B7085"/>
    <w:rsid w:val="000B7A98"/>
    <w:rsid w:val="000B7E76"/>
    <w:rsid w:val="000C0303"/>
    <w:rsid w:val="000C0AB5"/>
    <w:rsid w:val="000C135F"/>
    <w:rsid w:val="000C1488"/>
    <w:rsid w:val="000C1989"/>
    <w:rsid w:val="000C1F76"/>
    <w:rsid w:val="000C24EF"/>
    <w:rsid w:val="000C2736"/>
    <w:rsid w:val="000C3435"/>
    <w:rsid w:val="000C362D"/>
    <w:rsid w:val="000C3C44"/>
    <w:rsid w:val="000C4111"/>
    <w:rsid w:val="000C41A4"/>
    <w:rsid w:val="000C42EA"/>
    <w:rsid w:val="000C4546"/>
    <w:rsid w:val="000C495D"/>
    <w:rsid w:val="000C55D4"/>
    <w:rsid w:val="000C55D9"/>
    <w:rsid w:val="000C57EC"/>
    <w:rsid w:val="000C5C78"/>
    <w:rsid w:val="000C6564"/>
    <w:rsid w:val="000C6743"/>
    <w:rsid w:val="000C6D0B"/>
    <w:rsid w:val="000C75C5"/>
    <w:rsid w:val="000C7924"/>
    <w:rsid w:val="000C7AFD"/>
    <w:rsid w:val="000C7F66"/>
    <w:rsid w:val="000D0722"/>
    <w:rsid w:val="000D0987"/>
    <w:rsid w:val="000D0AB7"/>
    <w:rsid w:val="000D0E2C"/>
    <w:rsid w:val="000D0E65"/>
    <w:rsid w:val="000D0F03"/>
    <w:rsid w:val="000D0F9C"/>
    <w:rsid w:val="000D1017"/>
    <w:rsid w:val="000D117D"/>
    <w:rsid w:val="000D1242"/>
    <w:rsid w:val="000D1451"/>
    <w:rsid w:val="000D146C"/>
    <w:rsid w:val="000D1488"/>
    <w:rsid w:val="000D1532"/>
    <w:rsid w:val="000D164A"/>
    <w:rsid w:val="000D1947"/>
    <w:rsid w:val="000D19DF"/>
    <w:rsid w:val="000D1A46"/>
    <w:rsid w:val="000D1F88"/>
    <w:rsid w:val="000D20F3"/>
    <w:rsid w:val="000D21BB"/>
    <w:rsid w:val="000D2260"/>
    <w:rsid w:val="000D23B1"/>
    <w:rsid w:val="000D2760"/>
    <w:rsid w:val="000D2A9A"/>
    <w:rsid w:val="000D2D3B"/>
    <w:rsid w:val="000D2DCF"/>
    <w:rsid w:val="000D3094"/>
    <w:rsid w:val="000D33B2"/>
    <w:rsid w:val="000D38BF"/>
    <w:rsid w:val="000D40E1"/>
    <w:rsid w:val="000D4144"/>
    <w:rsid w:val="000D414C"/>
    <w:rsid w:val="000D4385"/>
    <w:rsid w:val="000D4706"/>
    <w:rsid w:val="000D4A8A"/>
    <w:rsid w:val="000D507E"/>
    <w:rsid w:val="000D50D0"/>
    <w:rsid w:val="000D5262"/>
    <w:rsid w:val="000D59A7"/>
    <w:rsid w:val="000D5DF2"/>
    <w:rsid w:val="000D6506"/>
    <w:rsid w:val="000D6A54"/>
    <w:rsid w:val="000D6F9F"/>
    <w:rsid w:val="000D70F9"/>
    <w:rsid w:val="000D7F50"/>
    <w:rsid w:val="000E01F4"/>
    <w:rsid w:val="000E0970"/>
    <w:rsid w:val="000E0AA8"/>
    <w:rsid w:val="000E120A"/>
    <w:rsid w:val="000E1230"/>
    <w:rsid w:val="000E18A8"/>
    <w:rsid w:val="000E1C94"/>
    <w:rsid w:val="000E2401"/>
    <w:rsid w:val="000E29DC"/>
    <w:rsid w:val="000E2AFE"/>
    <w:rsid w:val="000E2C0A"/>
    <w:rsid w:val="000E3ACD"/>
    <w:rsid w:val="000E3B88"/>
    <w:rsid w:val="000E3CC7"/>
    <w:rsid w:val="000E3E41"/>
    <w:rsid w:val="000E3F31"/>
    <w:rsid w:val="000E41B2"/>
    <w:rsid w:val="000E420B"/>
    <w:rsid w:val="000E45CB"/>
    <w:rsid w:val="000E4DF9"/>
    <w:rsid w:val="000E5116"/>
    <w:rsid w:val="000E5347"/>
    <w:rsid w:val="000E5480"/>
    <w:rsid w:val="000E5891"/>
    <w:rsid w:val="000E5A22"/>
    <w:rsid w:val="000E5A49"/>
    <w:rsid w:val="000E5BDB"/>
    <w:rsid w:val="000E5FF2"/>
    <w:rsid w:val="000E60DA"/>
    <w:rsid w:val="000E66E4"/>
    <w:rsid w:val="000E671B"/>
    <w:rsid w:val="000E6BD4"/>
    <w:rsid w:val="000E6C67"/>
    <w:rsid w:val="000E6D6D"/>
    <w:rsid w:val="000E6EEE"/>
    <w:rsid w:val="000E71BC"/>
    <w:rsid w:val="000E7346"/>
    <w:rsid w:val="000E7484"/>
    <w:rsid w:val="000E797F"/>
    <w:rsid w:val="000E7C47"/>
    <w:rsid w:val="000E7F4A"/>
    <w:rsid w:val="000F003D"/>
    <w:rsid w:val="000F00D7"/>
    <w:rsid w:val="000F10BD"/>
    <w:rsid w:val="000F1561"/>
    <w:rsid w:val="000F168A"/>
    <w:rsid w:val="000F17FE"/>
    <w:rsid w:val="000F1E7A"/>
    <w:rsid w:val="000F1F1E"/>
    <w:rsid w:val="000F2165"/>
    <w:rsid w:val="000F2259"/>
    <w:rsid w:val="000F2609"/>
    <w:rsid w:val="000F2DDA"/>
    <w:rsid w:val="000F2EA0"/>
    <w:rsid w:val="000F3577"/>
    <w:rsid w:val="000F36B8"/>
    <w:rsid w:val="000F3E90"/>
    <w:rsid w:val="000F3FD1"/>
    <w:rsid w:val="000F4138"/>
    <w:rsid w:val="000F424F"/>
    <w:rsid w:val="000F4C53"/>
    <w:rsid w:val="000F5213"/>
    <w:rsid w:val="000F5443"/>
    <w:rsid w:val="000F5859"/>
    <w:rsid w:val="000F6260"/>
    <w:rsid w:val="000F64C5"/>
    <w:rsid w:val="000F6C58"/>
    <w:rsid w:val="000F6DB8"/>
    <w:rsid w:val="000F7120"/>
    <w:rsid w:val="000F71C6"/>
    <w:rsid w:val="000F7582"/>
    <w:rsid w:val="000F7F55"/>
    <w:rsid w:val="0010025A"/>
    <w:rsid w:val="0010042F"/>
    <w:rsid w:val="001005E0"/>
    <w:rsid w:val="00100866"/>
    <w:rsid w:val="0010098D"/>
    <w:rsid w:val="00100B01"/>
    <w:rsid w:val="00100F71"/>
    <w:rsid w:val="00101001"/>
    <w:rsid w:val="001013CD"/>
    <w:rsid w:val="0010184A"/>
    <w:rsid w:val="00101997"/>
    <w:rsid w:val="00101C52"/>
    <w:rsid w:val="00102306"/>
    <w:rsid w:val="0010237E"/>
    <w:rsid w:val="00102C93"/>
    <w:rsid w:val="00103276"/>
    <w:rsid w:val="00103523"/>
    <w:rsid w:val="0010392D"/>
    <w:rsid w:val="00103C6F"/>
    <w:rsid w:val="00103E50"/>
    <w:rsid w:val="0010438D"/>
    <w:rsid w:val="0010447F"/>
    <w:rsid w:val="001045AC"/>
    <w:rsid w:val="001045C9"/>
    <w:rsid w:val="0010467E"/>
    <w:rsid w:val="00104731"/>
    <w:rsid w:val="00104965"/>
    <w:rsid w:val="00104E3D"/>
    <w:rsid w:val="00104FE3"/>
    <w:rsid w:val="00105560"/>
    <w:rsid w:val="00105D0F"/>
    <w:rsid w:val="001063F3"/>
    <w:rsid w:val="001069DD"/>
    <w:rsid w:val="001069FC"/>
    <w:rsid w:val="00106C7E"/>
    <w:rsid w:val="00106D62"/>
    <w:rsid w:val="0010714F"/>
    <w:rsid w:val="0010719E"/>
    <w:rsid w:val="0010720D"/>
    <w:rsid w:val="00107B36"/>
    <w:rsid w:val="00107BC3"/>
    <w:rsid w:val="00107D86"/>
    <w:rsid w:val="00107F02"/>
    <w:rsid w:val="0011044B"/>
    <w:rsid w:val="0011049C"/>
    <w:rsid w:val="001107F4"/>
    <w:rsid w:val="001110B9"/>
    <w:rsid w:val="001113AA"/>
    <w:rsid w:val="00111490"/>
    <w:rsid w:val="0011178D"/>
    <w:rsid w:val="00111C57"/>
    <w:rsid w:val="00112017"/>
    <w:rsid w:val="001120BC"/>
    <w:rsid w:val="001120C5"/>
    <w:rsid w:val="00113007"/>
    <w:rsid w:val="00113190"/>
    <w:rsid w:val="001131F9"/>
    <w:rsid w:val="00113554"/>
    <w:rsid w:val="00113949"/>
    <w:rsid w:val="00113C7A"/>
    <w:rsid w:val="00114101"/>
    <w:rsid w:val="00114494"/>
    <w:rsid w:val="001144D1"/>
    <w:rsid w:val="00114ECA"/>
    <w:rsid w:val="00115081"/>
    <w:rsid w:val="00115572"/>
    <w:rsid w:val="0011567B"/>
    <w:rsid w:val="00115986"/>
    <w:rsid w:val="00115EEB"/>
    <w:rsid w:val="001163C7"/>
    <w:rsid w:val="001164E9"/>
    <w:rsid w:val="00116DC7"/>
    <w:rsid w:val="00117297"/>
    <w:rsid w:val="00117701"/>
    <w:rsid w:val="00117912"/>
    <w:rsid w:val="001179A1"/>
    <w:rsid w:val="00117B5E"/>
    <w:rsid w:val="00117BBB"/>
    <w:rsid w:val="001209D9"/>
    <w:rsid w:val="00120BD3"/>
    <w:rsid w:val="00121BFC"/>
    <w:rsid w:val="00122253"/>
    <w:rsid w:val="00122276"/>
    <w:rsid w:val="001229BC"/>
    <w:rsid w:val="00122C57"/>
    <w:rsid w:val="00122FEA"/>
    <w:rsid w:val="00123149"/>
    <w:rsid w:val="001232BD"/>
    <w:rsid w:val="001235B7"/>
    <w:rsid w:val="001235F7"/>
    <w:rsid w:val="0012401D"/>
    <w:rsid w:val="001240F4"/>
    <w:rsid w:val="001243FD"/>
    <w:rsid w:val="00124ED5"/>
    <w:rsid w:val="0012519F"/>
    <w:rsid w:val="00125A24"/>
    <w:rsid w:val="00125E05"/>
    <w:rsid w:val="00125FED"/>
    <w:rsid w:val="00126595"/>
    <w:rsid w:val="00126635"/>
    <w:rsid w:val="00127000"/>
    <w:rsid w:val="00127276"/>
    <w:rsid w:val="00127556"/>
    <w:rsid w:val="001276FA"/>
    <w:rsid w:val="00127751"/>
    <w:rsid w:val="00127B62"/>
    <w:rsid w:val="00130054"/>
    <w:rsid w:val="001302A4"/>
    <w:rsid w:val="0013034F"/>
    <w:rsid w:val="001308AD"/>
    <w:rsid w:val="00130B7B"/>
    <w:rsid w:val="00130CC5"/>
    <w:rsid w:val="00130F5F"/>
    <w:rsid w:val="00131404"/>
    <w:rsid w:val="001316BF"/>
    <w:rsid w:val="00131778"/>
    <w:rsid w:val="00131A9B"/>
    <w:rsid w:val="00131D0A"/>
    <w:rsid w:val="00132161"/>
    <w:rsid w:val="001327FB"/>
    <w:rsid w:val="00132B72"/>
    <w:rsid w:val="00132DD4"/>
    <w:rsid w:val="00133124"/>
    <w:rsid w:val="00133758"/>
    <w:rsid w:val="001339DF"/>
    <w:rsid w:val="00133C18"/>
    <w:rsid w:val="0013422F"/>
    <w:rsid w:val="00134391"/>
    <w:rsid w:val="00134747"/>
    <w:rsid w:val="001347E3"/>
    <w:rsid w:val="00134CCA"/>
    <w:rsid w:val="00135703"/>
    <w:rsid w:val="0013610B"/>
    <w:rsid w:val="0013639E"/>
    <w:rsid w:val="0013642F"/>
    <w:rsid w:val="001368A1"/>
    <w:rsid w:val="001369B4"/>
    <w:rsid w:val="00136DCA"/>
    <w:rsid w:val="0013709B"/>
    <w:rsid w:val="00137145"/>
    <w:rsid w:val="001375E7"/>
    <w:rsid w:val="00137E01"/>
    <w:rsid w:val="001402CE"/>
    <w:rsid w:val="001404F5"/>
    <w:rsid w:val="00140CA0"/>
    <w:rsid w:val="00140D18"/>
    <w:rsid w:val="0014122E"/>
    <w:rsid w:val="0014134E"/>
    <w:rsid w:val="001415FF"/>
    <w:rsid w:val="0014196F"/>
    <w:rsid w:val="00141CD7"/>
    <w:rsid w:val="001420D9"/>
    <w:rsid w:val="001423CC"/>
    <w:rsid w:val="00142422"/>
    <w:rsid w:val="00142970"/>
    <w:rsid w:val="00142AF4"/>
    <w:rsid w:val="00142B77"/>
    <w:rsid w:val="00142D4B"/>
    <w:rsid w:val="00142E79"/>
    <w:rsid w:val="00142F9A"/>
    <w:rsid w:val="001436F5"/>
    <w:rsid w:val="001437FF"/>
    <w:rsid w:val="00143E65"/>
    <w:rsid w:val="001447B3"/>
    <w:rsid w:val="00144B11"/>
    <w:rsid w:val="00144D0B"/>
    <w:rsid w:val="00144DAD"/>
    <w:rsid w:val="00144F85"/>
    <w:rsid w:val="0014500F"/>
    <w:rsid w:val="00145E60"/>
    <w:rsid w:val="001463F0"/>
    <w:rsid w:val="00146A68"/>
    <w:rsid w:val="00146B47"/>
    <w:rsid w:val="00146CB0"/>
    <w:rsid w:val="00146F8C"/>
    <w:rsid w:val="00147103"/>
    <w:rsid w:val="001471B5"/>
    <w:rsid w:val="001471E1"/>
    <w:rsid w:val="001476BB"/>
    <w:rsid w:val="00147D88"/>
    <w:rsid w:val="001503AF"/>
    <w:rsid w:val="001506AC"/>
    <w:rsid w:val="00150C16"/>
    <w:rsid w:val="00150F81"/>
    <w:rsid w:val="00150FF2"/>
    <w:rsid w:val="00151260"/>
    <w:rsid w:val="00151537"/>
    <w:rsid w:val="001515D2"/>
    <w:rsid w:val="00151A3B"/>
    <w:rsid w:val="00151E36"/>
    <w:rsid w:val="00152073"/>
    <w:rsid w:val="0015242E"/>
    <w:rsid w:val="0015279A"/>
    <w:rsid w:val="00152BF7"/>
    <w:rsid w:val="00152C61"/>
    <w:rsid w:val="00152E9B"/>
    <w:rsid w:val="0015356A"/>
    <w:rsid w:val="0015365D"/>
    <w:rsid w:val="0015394B"/>
    <w:rsid w:val="00153DC5"/>
    <w:rsid w:val="001540C5"/>
    <w:rsid w:val="0015422E"/>
    <w:rsid w:val="00154609"/>
    <w:rsid w:val="00154BA0"/>
    <w:rsid w:val="00154D5D"/>
    <w:rsid w:val="0015542A"/>
    <w:rsid w:val="001557C8"/>
    <w:rsid w:val="001561B6"/>
    <w:rsid w:val="001561F8"/>
    <w:rsid w:val="001562A6"/>
    <w:rsid w:val="00156598"/>
    <w:rsid w:val="00156B92"/>
    <w:rsid w:val="00156F02"/>
    <w:rsid w:val="00157578"/>
    <w:rsid w:val="001578F0"/>
    <w:rsid w:val="00157A9E"/>
    <w:rsid w:val="00157BE9"/>
    <w:rsid w:val="00157C15"/>
    <w:rsid w:val="00160076"/>
    <w:rsid w:val="00160381"/>
    <w:rsid w:val="001604C6"/>
    <w:rsid w:val="00160784"/>
    <w:rsid w:val="00160B9C"/>
    <w:rsid w:val="00160D65"/>
    <w:rsid w:val="00161208"/>
    <w:rsid w:val="001612EA"/>
    <w:rsid w:val="00161580"/>
    <w:rsid w:val="00161939"/>
    <w:rsid w:val="00161AA0"/>
    <w:rsid w:val="00161C34"/>
    <w:rsid w:val="00161D2E"/>
    <w:rsid w:val="00161DE5"/>
    <w:rsid w:val="00161E94"/>
    <w:rsid w:val="00161F3E"/>
    <w:rsid w:val="00162093"/>
    <w:rsid w:val="001621AF"/>
    <w:rsid w:val="00162818"/>
    <w:rsid w:val="001628F3"/>
    <w:rsid w:val="0016292A"/>
    <w:rsid w:val="00162CA9"/>
    <w:rsid w:val="00163168"/>
    <w:rsid w:val="0016317A"/>
    <w:rsid w:val="00163670"/>
    <w:rsid w:val="00163D7B"/>
    <w:rsid w:val="00163DD9"/>
    <w:rsid w:val="00164B6F"/>
    <w:rsid w:val="00165407"/>
    <w:rsid w:val="00165459"/>
    <w:rsid w:val="00165492"/>
    <w:rsid w:val="001659D9"/>
    <w:rsid w:val="00165A57"/>
    <w:rsid w:val="00165AFA"/>
    <w:rsid w:val="00165C39"/>
    <w:rsid w:val="00166154"/>
    <w:rsid w:val="001662A7"/>
    <w:rsid w:val="001669E7"/>
    <w:rsid w:val="00167445"/>
    <w:rsid w:val="001678A0"/>
    <w:rsid w:val="00167A11"/>
    <w:rsid w:val="00167D7B"/>
    <w:rsid w:val="00167DE8"/>
    <w:rsid w:val="0017062B"/>
    <w:rsid w:val="00170697"/>
    <w:rsid w:val="00171221"/>
    <w:rsid w:val="001712C2"/>
    <w:rsid w:val="001713CA"/>
    <w:rsid w:val="00171C06"/>
    <w:rsid w:val="00171D50"/>
    <w:rsid w:val="00171EC1"/>
    <w:rsid w:val="00172157"/>
    <w:rsid w:val="0017280D"/>
    <w:rsid w:val="00172957"/>
    <w:rsid w:val="00172BAF"/>
    <w:rsid w:val="0017331A"/>
    <w:rsid w:val="0017364B"/>
    <w:rsid w:val="00173BD4"/>
    <w:rsid w:val="001743B8"/>
    <w:rsid w:val="001748EC"/>
    <w:rsid w:val="00174943"/>
    <w:rsid w:val="00174CA7"/>
    <w:rsid w:val="00174EC6"/>
    <w:rsid w:val="001750BA"/>
    <w:rsid w:val="001758B5"/>
    <w:rsid w:val="0017619D"/>
    <w:rsid w:val="00176266"/>
    <w:rsid w:val="0017674D"/>
    <w:rsid w:val="0017680D"/>
    <w:rsid w:val="00176E8A"/>
    <w:rsid w:val="00176EE0"/>
    <w:rsid w:val="001771DD"/>
    <w:rsid w:val="0017749B"/>
    <w:rsid w:val="0017763E"/>
    <w:rsid w:val="001778C3"/>
    <w:rsid w:val="0017797E"/>
    <w:rsid w:val="00177995"/>
    <w:rsid w:val="001779D5"/>
    <w:rsid w:val="00177A8C"/>
    <w:rsid w:val="00177CE0"/>
    <w:rsid w:val="001806F8"/>
    <w:rsid w:val="00180D88"/>
    <w:rsid w:val="00180DBD"/>
    <w:rsid w:val="00180FAD"/>
    <w:rsid w:val="0018114C"/>
    <w:rsid w:val="00181282"/>
    <w:rsid w:val="00181634"/>
    <w:rsid w:val="001818F8"/>
    <w:rsid w:val="00181A15"/>
    <w:rsid w:val="0018279D"/>
    <w:rsid w:val="001830BA"/>
    <w:rsid w:val="001831D6"/>
    <w:rsid w:val="00183230"/>
    <w:rsid w:val="00183660"/>
    <w:rsid w:val="00183CDF"/>
    <w:rsid w:val="00184234"/>
    <w:rsid w:val="001846C3"/>
    <w:rsid w:val="0018480E"/>
    <w:rsid w:val="00184A21"/>
    <w:rsid w:val="00184AE3"/>
    <w:rsid w:val="00184CF3"/>
    <w:rsid w:val="00184E56"/>
    <w:rsid w:val="0018515A"/>
    <w:rsid w:val="00185270"/>
    <w:rsid w:val="00185C36"/>
    <w:rsid w:val="00186030"/>
    <w:rsid w:val="00186B2D"/>
    <w:rsid w:val="00186B33"/>
    <w:rsid w:val="00186C71"/>
    <w:rsid w:val="00186CC5"/>
    <w:rsid w:val="00186CDF"/>
    <w:rsid w:val="00186E7B"/>
    <w:rsid w:val="00187261"/>
    <w:rsid w:val="00187398"/>
    <w:rsid w:val="00187A14"/>
    <w:rsid w:val="00187CF8"/>
    <w:rsid w:val="001900FC"/>
    <w:rsid w:val="00190248"/>
    <w:rsid w:val="00190E54"/>
    <w:rsid w:val="00191234"/>
    <w:rsid w:val="00191479"/>
    <w:rsid w:val="001916F6"/>
    <w:rsid w:val="00192583"/>
    <w:rsid w:val="001928BD"/>
    <w:rsid w:val="00192AAA"/>
    <w:rsid w:val="00192BDF"/>
    <w:rsid w:val="00192E8F"/>
    <w:rsid w:val="00192F18"/>
    <w:rsid w:val="00192F9D"/>
    <w:rsid w:val="0019313C"/>
    <w:rsid w:val="00193525"/>
    <w:rsid w:val="001938CC"/>
    <w:rsid w:val="00193926"/>
    <w:rsid w:val="00193B79"/>
    <w:rsid w:val="00193C44"/>
    <w:rsid w:val="0019409F"/>
    <w:rsid w:val="0019434F"/>
    <w:rsid w:val="00194B60"/>
    <w:rsid w:val="00194D4B"/>
    <w:rsid w:val="001955B5"/>
    <w:rsid w:val="001956FC"/>
    <w:rsid w:val="00195C0F"/>
    <w:rsid w:val="0019664F"/>
    <w:rsid w:val="00196A57"/>
    <w:rsid w:val="00196AF5"/>
    <w:rsid w:val="00196EB8"/>
    <w:rsid w:val="00196EFB"/>
    <w:rsid w:val="0019710E"/>
    <w:rsid w:val="00197726"/>
    <w:rsid w:val="001979FF"/>
    <w:rsid w:val="00197B17"/>
    <w:rsid w:val="00197F06"/>
    <w:rsid w:val="001A00B9"/>
    <w:rsid w:val="001A0317"/>
    <w:rsid w:val="001A0AA5"/>
    <w:rsid w:val="001A0EB6"/>
    <w:rsid w:val="001A12CD"/>
    <w:rsid w:val="001A1852"/>
    <w:rsid w:val="001A1950"/>
    <w:rsid w:val="001A19D8"/>
    <w:rsid w:val="001A1A12"/>
    <w:rsid w:val="001A1C54"/>
    <w:rsid w:val="001A1D99"/>
    <w:rsid w:val="001A202A"/>
    <w:rsid w:val="001A2A4D"/>
    <w:rsid w:val="001A2A9C"/>
    <w:rsid w:val="001A2B95"/>
    <w:rsid w:val="001A334D"/>
    <w:rsid w:val="001A3ACE"/>
    <w:rsid w:val="001A3BD7"/>
    <w:rsid w:val="001A3BE1"/>
    <w:rsid w:val="001A41AE"/>
    <w:rsid w:val="001A4791"/>
    <w:rsid w:val="001A4A10"/>
    <w:rsid w:val="001A5AB0"/>
    <w:rsid w:val="001A5BD8"/>
    <w:rsid w:val="001A5D9F"/>
    <w:rsid w:val="001A6007"/>
    <w:rsid w:val="001A6139"/>
    <w:rsid w:val="001A61CB"/>
    <w:rsid w:val="001A67CD"/>
    <w:rsid w:val="001A79A6"/>
    <w:rsid w:val="001A7B84"/>
    <w:rsid w:val="001A7BD3"/>
    <w:rsid w:val="001A7D62"/>
    <w:rsid w:val="001A7F29"/>
    <w:rsid w:val="001B058F"/>
    <w:rsid w:val="001B07C5"/>
    <w:rsid w:val="001B0A40"/>
    <w:rsid w:val="001B0AAC"/>
    <w:rsid w:val="001B0BDB"/>
    <w:rsid w:val="001B19EC"/>
    <w:rsid w:val="001B21C3"/>
    <w:rsid w:val="001B29F5"/>
    <w:rsid w:val="001B2A36"/>
    <w:rsid w:val="001B2B0A"/>
    <w:rsid w:val="001B2C7C"/>
    <w:rsid w:val="001B2CA6"/>
    <w:rsid w:val="001B2D09"/>
    <w:rsid w:val="001B2D8E"/>
    <w:rsid w:val="001B3462"/>
    <w:rsid w:val="001B34A5"/>
    <w:rsid w:val="001B378A"/>
    <w:rsid w:val="001B3B51"/>
    <w:rsid w:val="001B3CF3"/>
    <w:rsid w:val="001B42DF"/>
    <w:rsid w:val="001B43BC"/>
    <w:rsid w:val="001B565E"/>
    <w:rsid w:val="001B569B"/>
    <w:rsid w:val="001B59A8"/>
    <w:rsid w:val="001B5D1D"/>
    <w:rsid w:val="001B5FED"/>
    <w:rsid w:val="001B6103"/>
    <w:rsid w:val="001B6227"/>
    <w:rsid w:val="001B6B96"/>
    <w:rsid w:val="001B703E"/>
    <w:rsid w:val="001B7228"/>
    <w:rsid w:val="001B738B"/>
    <w:rsid w:val="001B76AC"/>
    <w:rsid w:val="001B7757"/>
    <w:rsid w:val="001C0165"/>
    <w:rsid w:val="001C09B6"/>
    <w:rsid w:val="001C09DB"/>
    <w:rsid w:val="001C0D50"/>
    <w:rsid w:val="001C0D58"/>
    <w:rsid w:val="001C11C2"/>
    <w:rsid w:val="001C15E6"/>
    <w:rsid w:val="001C225F"/>
    <w:rsid w:val="001C2581"/>
    <w:rsid w:val="001C277E"/>
    <w:rsid w:val="001C2A72"/>
    <w:rsid w:val="001C31B7"/>
    <w:rsid w:val="001C3817"/>
    <w:rsid w:val="001C3D5D"/>
    <w:rsid w:val="001C3F1A"/>
    <w:rsid w:val="001C41C6"/>
    <w:rsid w:val="001C4357"/>
    <w:rsid w:val="001C456D"/>
    <w:rsid w:val="001C4F27"/>
    <w:rsid w:val="001C500F"/>
    <w:rsid w:val="001C5275"/>
    <w:rsid w:val="001C5502"/>
    <w:rsid w:val="001C5850"/>
    <w:rsid w:val="001C5CAE"/>
    <w:rsid w:val="001C5D3C"/>
    <w:rsid w:val="001C5E3E"/>
    <w:rsid w:val="001C5FD0"/>
    <w:rsid w:val="001C60FF"/>
    <w:rsid w:val="001C6766"/>
    <w:rsid w:val="001C6B1F"/>
    <w:rsid w:val="001C6E44"/>
    <w:rsid w:val="001C72E8"/>
    <w:rsid w:val="001C75D1"/>
    <w:rsid w:val="001C7A19"/>
    <w:rsid w:val="001D0545"/>
    <w:rsid w:val="001D0B75"/>
    <w:rsid w:val="001D10A8"/>
    <w:rsid w:val="001D136D"/>
    <w:rsid w:val="001D13C6"/>
    <w:rsid w:val="001D1804"/>
    <w:rsid w:val="001D2013"/>
    <w:rsid w:val="001D20F3"/>
    <w:rsid w:val="001D2595"/>
    <w:rsid w:val="001D27D6"/>
    <w:rsid w:val="001D2884"/>
    <w:rsid w:val="001D3357"/>
    <w:rsid w:val="001D39A5"/>
    <w:rsid w:val="001D3C09"/>
    <w:rsid w:val="001D3EE1"/>
    <w:rsid w:val="001D40D3"/>
    <w:rsid w:val="001D438B"/>
    <w:rsid w:val="001D44E8"/>
    <w:rsid w:val="001D460C"/>
    <w:rsid w:val="001D464F"/>
    <w:rsid w:val="001D494A"/>
    <w:rsid w:val="001D4B9B"/>
    <w:rsid w:val="001D4BB9"/>
    <w:rsid w:val="001D55A6"/>
    <w:rsid w:val="001D5701"/>
    <w:rsid w:val="001D5755"/>
    <w:rsid w:val="001D59AC"/>
    <w:rsid w:val="001D5E03"/>
    <w:rsid w:val="001D5F08"/>
    <w:rsid w:val="001D60EC"/>
    <w:rsid w:val="001D6619"/>
    <w:rsid w:val="001D6F59"/>
    <w:rsid w:val="001D6FF0"/>
    <w:rsid w:val="001D7745"/>
    <w:rsid w:val="001E00E9"/>
    <w:rsid w:val="001E0118"/>
    <w:rsid w:val="001E0531"/>
    <w:rsid w:val="001E074D"/>
    <w:rsid w:val="001E0CC0"/>
    <w:rsid w:val="001E12FE"/>
    <w:rsid w:val="001E18F8"/>
    <w:rsid w:val="001E1A9B"/>
    <w:rsid w:val="001E1B4D"/>
    <w:rsid w:val="001E1C40"/>
    <w:rsid w:val="001E1FD4"/>
    <w:rsid w:val="001E2089"/>
    <w:rsid w:val="001E2DF8"/>
    <w:rsid w:val="001E2F11"/>
    <w:rsid w:val="001E351E"/>
    <w:rsid w:val="001E35B0"/>
    <w:rsid w:val="001E3842"/>
    <w:rsid w:val="001E3E09"/>
    <w:rsid w:val="001E4052"/>
    <w:rsid w:val="001E416E"/>
    <w:rsid w:val="001E448F"/>
    <w:rsid w:val="001E44DF"/>
    <w:rsid w:val="001E4A22"/>
    <w:rsid w:val="001E4EFE"/>
    <w:rsid w:val="001E4F6A"/>
    <w:rsid w:val="001E57D7"/>
    <w:rsid w:val="001E5D61"/>
    <w:rsid w:val="001E5EA7"/>
    <w:rsid w:val="001E65FE"/>
    <w:rsid w:val="001E68A5"/>
    <w:rsid w:val="001E6BB0"/>
    <w:rsid w:val="001E6BD7"/>
    <w:rsid w:val="001E70F0"/>
    <w:rsid w:val="001E7282"/>
    <w:rsid w:val="001E72A2"/>
    <w:rsid w:val="001E7337"/>
    <w:rsid w:val="001E7457"/>
    <w:rsid w:val="001E774A"/>
    <w:rsid w:val="001F067C"/>
    <w:rsid w:val="001F0684"/>
    <w:rsid w:val="001F07BF"/>
    <w:rsid w:val="001F0A9D"/>
    <w:rsid w:val="001F0C4B"/>
    <w:rsid w:val="001F128E"/>
    <w:rsid w:val="001F14EF"/>
    <w:rsid w:val="001F15B1"/>
    <w:rsid w:val="001F1771"/>
    <w:rsid w:val="001F1A19"/>
    <w:rsid w:val="001F2258"/>
    <w:rsid w:val="001F2618"/>
    <w:rsid w:val="001F26E3"/>
    <w:rsid w:val="001F29E2"/>
    <w:rsid w:val="001F2B6A"/>
    <w:rsid w:val="001F2D32"/>
    <w:rsid w:val="001F2E17"/>
    <w:rsid w:val="001F351B"/>
    <w:rsid w:val="001F35BF"/>
    <w:rsid w:val="001F3826"/>
    <w:rsid w:val="001F395E"/>
    <w:rsid w:val="001F432C"/>
    <w:rsid w:val="001F434E"/>
    <w:rsid w:val="001F44B8"/>
    <w:rsid w:val="001F44D8"/>
    <w:rsid w:val="001F4A04"/>
    <w:rsid w:val="001F5139"/>
    <w:rsid w:val="001F53FD"/>
    <w:rsid w:val="001F54C7"/>
    <w:rsid w:val="001F607A"/>
    <w:rsid w:val="001F61B0"/>
    <w:rsid w:val="001F627E"/>
    <w:rsid w:val="001F6866"/>
    <w:rsid w:val="001F6CD8"/>
    <w:rsid w:val="001F6E46"/>
    <w:rsid w:val="001F6FEA"/>
    <w:rsid w:val="001F7C91"/>
    <w:rsid w:val="00200042"/>
    <w:rsid w:val="00200C9B"/>
    <w:rsid w:val="00200DB6"/>
    <w:rsid w:val="0020101F"/>
    <w:rsid w:val="00201CDA"/>
    <w:rsid w:val="0020225F"/>
    <w:rsid w:val="00202586"/>
    <w:rsid w:val="002027D4"/>
    <w:rsid w:val="002027E9"/>
    <w:rsid w:val="002028D3"/>
    <w:rsid w:val="00202F57"/>
    <w:rsid w:val="0020305F"/>
    <w:rsid w:val="0020319B"/>
    <w:rsid w:val="0020330E"/>
    <w:rsid w:val="002033B7"/>
    <w:rsid w:val="00203849"/>
    <w:rsid w:val="00204BA6"/>
    <w:rsid w:val="00204CB3"/>
    <w:rsid w:val="00204CEE"/>
    <w:rsid w:val="00204EE3"/>
    <w:rsid w:val="002053F5"/>
    <w:rsid w:val="00205402"/>
    <w:rsid w:val="002057E4"/>
    <w:rsid w:val="002058EE"/>
    <w:rsid w:val="00205A21"/>
    <w:rsid w:val="002061C5"/>
    <w:rsid w:val="00206463"/>
    <w:rsid w:val="002064F6"/>
    <w:rsid w:val="00206B05"/>
    <w:rsid w:val="00206F2F"/>
    <w:rsid w:val="00207042"/>
    <w:rsid w:val="00207311"/>
    <w:rsid w:val="00207363"/>
    <w:rsid w:val="00207717"/>
    <w:rsid w:val="00207856"/>
    <w:rsid w:val="00207DAC"/>
    <w:rsid w:val="00210003"/>
    <w:rsid w:val="002102E6"/>
    <w:rsid w:val="0021040C"/>
    <w:rsid w:val="0021053D"/>
    <w:rsid w:val="00210A92"/>
    <w:rsid w:val="00211185"/>
    <w:rsid w:val="00211584"/>
    <w:rsid w:val="00211F5F"/>
    <w:rsid w:val="0021291F"/>
    <w:rsid w:val="002129E5"/>
    <w:rsid w:val="00212C73"/>
    <w:rsid w:val="00212CD8"/>
    <w:rsid w:val="00212E89"/>
    <w:rsid w:val="00213598"/>
    <w:rsid w:val="002140C3"/>
    <w:rsid w:val="00214194"/>
    <w:rsid w:val="002149C4"/>
    <w:rsid w:val="00214B94"/>
    <w:rsid w:val="002150C6"/>
    <w:rsid w:val="00215194"/>
    <w:rsid w:val="002157BC"/>
    <w:rsid w:val="00215B09"/>
    <w:rsid w:val="00215B3B"/>
    <w:rsid w:val="00215B44"/>
    <w:rsid w:val="00215BB1"/>
    <w:rsid w:val="00216A9E"/>
    <w:rsid w:val="00216B09"/>
    <w:rsid w:val="00216B14"/>
    <w:rsid w:val="00216C03"/>
    <w:rsid w:val="00216CAE"/>
    <w:rsid w:val="00217629"/>
    <w:rsid w:val="00217882"/>
    <w:rsid w:val="002178AA"/>
    <w:rsid w:val="00217A63"/>
    <w:rsid w:val="00217D8A"/>
    <w:rsid w:val="00220380"/>
    <w:rsid w:val="0022040A"/>
    <w:rsid w:val="0022050D"/>
    <w:rsid w:val="002206C8"/>
    <w:rsid w:val="002206F4"/>
    <w:rsid w:val="00220C04"/>
    <w:rsid w:val="0022112C"/>
    <w:rsid w:val="00221401"/>
    <w:rsid w:val="002214CA"/>
    <w:rsid w:val="00221770"/>
    <w:rsid w:val="00221820"/>
    <w:rsid w:val="00221C82"/>
    <w:rsid w:val="00222556"/>
    <w:rsid w:val="0022278D"/>
    <w:rsid w:val="00222972"/>
    <w:rsid w:val="0022308F"/>
    <w:rsid w:val="0022317A"/>
    <w:rsid w:val="0022344A"/>
    <w:rsid w:val="00223475"/>
    <w:rsid w:val="0022353E"/>
    <w:rsid w:val="0022374E"/>
    <w:rsid w:val="0022417F"/>
    <w:rsid w:val="002248FB"/>
    <w:rsid w:val="0022511A"/>
    <w:rsid w:val="002257D9"/>
    <w:rsid w:val="00225E0F"/>
    <w:rsid w:val="00226A12"/>
    <w:rsid w:val="0022701F"/>
    <w:rsid w:val="002271FA"/>
    <w:rsid w:val="002278A1"/>
    <w:rsid w:val="00227C68"/>
    <w:rsid w:val="00230229"/>
    <w:rsid w:val="0023050D"/>
    <w:rsid w:val="00230513"/>
    <w:rsid w:val="00230D9E"/>
    <w:rsid w:val="002317A4"/>
    <w:rsid w:val="00231E23"/>
    <w:rsid w:val="00231E33"/>
    <w:rsid w:val="002327D2"/>
    <w:rsid w:val="002329F4"/>
    <w:rsid w:val="00232CD5"/>
    <w:rsid w:val="002331C8"/>
    <w:rsid w:val="002333F5"/>
    <w:rsid w:val="00233724"/>
    <w:rsid w:val="002337F8"/>
    <w:rsid w:val="002339E1"/>
    <w:rsid w:val="00233B0B"/>
    <w:rsid w:val="00233CCF"/>
    <w:rsid w:val="00234AD2"/>
    <w:rsid w:val="0023505F"/>
    <w:rsid w:val="00235DDD"/>
    <w:rsid w:val="00235F40"/>
    <w:rsid w:val="00236081"/>
    <w:rsid w:val="002365B4"/>
    <w:rsid w:val="00236F63"/>
    <w:rsid w:val="00237224"/>
    <w:rsid w:val="00237395"/>
    <w:rsid w:val="0023739F"/>
    <w:rsid w:val="00237AED"/>
    <w:rsid w:val="00237E91"/>
    <w:rsid w:val="002400DF"/>
    <w:rsid w:val="002404BE"/>
    <w:rsid w:val="002413EC"/>
    <w:rsid w:val="00241BB1"/>
    <w:rsid w:val="00242378"/>
    <w:rsid w:val="0024284D"/>
    <w:rsid w:val="00242A1B"/>
    <w:rsid w:val="00242DD4"/>
    <w:rsid w:val="002432D0"/>
    <w:rsid w:val="002432E1"/>
    <w:rsid w:val="00243742"/>
    <w:rsid w:val="00243904"/>
    <w:rsid w:val="00243FB4"/>
    <w:rsid w:val="00244116"/>
    <w:rsid w:val="002443F3"/>
    <w:rsid w:val="00244BAF"/>
    <w:rsid w:val="00244EFF"/>
    <w:rsid w:val="002459EC"/>
    <w:rsid w:val="00246207"/>
    <w:rsid w:val="00246646"/>
    <w:rsid w:val="002466BD"/>
    <w:rsid w:val="002467BD"/>
    <w:rsid w:val="00246A83"/>
    <w:rsid w:val="00246BF5"/>
    <w:rsid w:val="00246C3D"/>
    <w:rsid w:val="00246C5E"/>
    <w:rsid w:val="00247197"/>
    <w:rsid w:val="00247649"/>
    <w:rsid w:val="0025070C"/>
    <w:rsid w:val="00250960"/>
    <w:rsid w:val="00250DC4"/>
    <w:rsid w:val="00250DF5"/>
    <w:rsid w:val="00250F80"/>
    <w:rsid w:val="002511C0"/>
    <w:rsid w:val="00251343"/>
    <w:rsid w:val="00251626"/>
    <w:rsid w:val="002519FE"/>
    <w:rsid w:val="00251EF8"/>
    <w:rsid w:val="00252561"/>
    <w:rsid w:val="0025256C"/>
    <w:rsid w:val="00252989"/>
    <w:rsid w:val="00252A80"/>
    <w:rsid w:val="00252E12"/>
    <w:rsid w:val="002530A1"/>
    <w:rsid w:val="00253416"/>
    <w:rsid w:val="002536A4"/>
    <w:rsid w:val="002539A0"/>
    <w:rsid w:val="00253ABC"/>
    <w:rsid w:val="00253F31"/>
    <w:rsid w:val="002541F0"/>
    <w:rsid w:val="002545C0"/>
    <w:rsid w:val="00254F58"/>
    <w:rsid w:val="002555DE"/>
    <w:rsid w:val="00255C31"/>
    <w:rsid w:val="0025672E"/>
    <w:rsid w:val="00256A42"/>
    <w:rsid w:val="00256C40"/>
    <w:rsid w:val="00256DA0"/>
    <w:rsid w:val="00256DB9"/>
    <w:rsid w:val="00256E66"/>
    <w:rsid w:val="00256EC8"/>
    <w:rsid w:val="002574C2"/>
    <w:rsid w:val="002574CB"/>
    <w:rsid w:val="00257562"/>
    <w:rsid w:val="00257915"/>
    <w:rsid w:val="00257971"/>
    <w:rsid w:val="00257A92"/>
    <w:rsid w:val="00260357"/>
    <w:rsid w:val="00260359"/>
    <w:rsid w:val="00260384"/>
    <w:rsid w:val="002609D6"/>
    <w:rsid w:val="00260E34"/>
    <w:rsid w:val="0026118C"/>
    <w:rsid w:val="0026123B"/>
    <w:rsid w:val="00261315"/>
    <w:rsid w:val="002618AF"/>
    <w:rsid w:val="002618B8"/>
    <w:rsid w:val="00261B2A"/>
    <w:rsid w:val="002620B9"/>
    <w:rsid w:val="002620BC"/>
    <w:rsid w:val="002621D0"/>
    <w:rsid w:val="00262802"/>
    <w:rsid w:val="002638DD"/>
    <w:rsid w:val="0026393F"/>
    <w:rsid w:val="00263A90"/>
    <w:rsid w:val="00263C11"/>
    <w:rsid w:val="00263D1B"/>
    <w:rsid w:val="00263F31"/>
    <w:rsid w:val="00263FB4"/>
    <w:rsid w:val="0026408B"/>
    <w:rsid w:val="00264092"/>
    <w:rsid w:val="002641CB"/>
    <w:rsid w:val="0026423F"/>
    <w:rsid w:val="0026424C"/>
    <w:rsid w:val="00264307"/>
    <w:rsid w:val="00264A96"/>
    <w:rsid w:val="00264D6E"/>
    <w:rsid w:val="00264D71"/>
    <w:rsid w:val="0026582F"/>
    <w:rsid w:val="00265A25"/>
    <w:rsid w:val="00265AD3"/>
    <w:rsid w:val="00265B63"/>
    <w:rsid w:val="00265E5D"/>
    <w:rsid w:val="00265E68"/>
    <w:rsid w:val="00266720"/>
    <w:rsid w:val="00266970"/>
    <w:rsid w:val="002669B5"/>
    <w:rsid w:val="00266ED2"/>
    <w:rsid w:val="00267204"/>
    <w:rsid w:val="00267303"/>
    <w:rsid w:val="00267599"/>
    <w:rsid w:val="00267C3E"/>
    <w:rsid w:val="0027001B"/>
    <w:rsid w:val="0027029F"/>
    <w:rsid w:val="002709BB"/>
    <w:rsid w:val="00270BA5"/>
    <w:rsid w:val="00270BD9"/>
    <w:rsid w:val="00270EE6"/>
    <w:rsid w:val="00271080"/>
    <w:rsid w:val="00271219"/>
    <w:rsid w:val="0027131C"/>
    <w:rsid w:val="00271F48"/>
    <w:rsid w:val="00271FAB"/>
    <w:rsid w:val="0027279E"/>
    <w:rsid w:val="00272A17"/>
    <w:rsid w:val="00272CF3"/>
    <w:rsid w:val="00272FCA"/>
    <w:rsid w:val="0027340E"/>
    <w:rsid w:val="002734E8"/>
    <w:rsid w:val="00273743"/>
    <w:rsid w:val="00273BAC"/>
    <w:rsid w:val="0027448A"/>
    <w:rsid w:val="002747B6"/>
    <w:rsid w:val="0027583A"/>
    <w:rsid w:val="0027610E"/>
    <w:rsid w:val="002763B3"/>
    <w:rsid w:val="0027679C"/>
    <w:rsid w:val="00276847"/>
    <w:rsid w:val="00276968"/>
    <w:rsid w:val="00276A0D"/>
    <w:rsid w:val="00276BCC"/>
    <w:rsid w:val="00276F07"/>
    <w:rsid w:val="00277178"/>
    <w:rsid w:val="00277682"/>
    <w:rsid w:val="00277A5F"/>
    <w:rsid w:val="00277D6A"/>
    <w:rsid w:val="002802E3"/>
    <w:rsid w:val="00280471"/>
    <w:rsid w:val="002804A1"/>
    <w:rsid w:val="00281144"/>
    <w:rsid w:val="00281170"/>
    <w:rsid w:val="002811C7"/>
    <w:rsid w:val="00281EFB"/>
    <w:rsid w:val="0028213D"/>
    <w:rsid w:val="0028233E"/>
    <w:rsid w:val="00282BB6"/>
    <w:rsid w:val="00282E3E"/>
    <w:rsid w:val="002831C7"/>
    <w:rsid w:val="00283293"/>
    <w:rsid w:val="002834B7"/>
    <w:rsid w:val="00283C8E"/>
    <w:rsid w:val="00283F3C"/>
    <w:rsid w:val="00283F4F"/>
    <w:rsid w:val="00283FBC"/>
    <w:rsid w:val="002843EB"/>
    <w:rsid w:val="00285094"/>
    <w:rsid w:val="0028599A"/>
    <w:rsid w:val="00285A1F"/>
    <w:rsid w:val="00285E58"/>
    <w:rsid w:val="00285FAA"/>
    <w:rsid w:val="00286212"/>
    <w:rsid w:val="002862F1"/>
    <w:rsid w:val="00286616"/>
    <w:rsid w:val="002869FD"/>
    <w:rsid w:val="00286C39"/>
    <w:rsid w:val="00286E73"/>
    <w:rsid w:val="00287412"/>
    <w:rsid w:val="00287B0B"/>
    <w:rsid w:val="00290324"/>
    <w:rsid w:val="00290AF6"/>
    <w:rsid w:val="00290F4B"/>
    <w:rsid w:val="00291373"/>
    <w:rsid w:val="002915BE"/>
    <w:rsid w:val="002920E1"/>
    <w:rsid w:val="0029281F"/>
    <w:rsid w:val="00292A9E"/>
    <w:rsid w:val="00292B77"/>
    <w:rsid w:val="00292FC9"/>
    <w:rsid w:val="002934AC"/>
    <w:rsid w:val="00293856"/>
    <w:rsid w:val="00293F46"/>
    <w:rsid w:val="0029448B"/>
    <w:rsid w:val="002949B0"/>
    <w:rsid w:val="00294F2C"/>
    <w:rsid w:val="00295399"/>
    <w:rsid w:val="00295688"/>
    <w:rsid w:val="0029593A"/>
    <w:rsid w:val="0029597D"/>
    <w:rsid w:val="00295BB7"/>
    <w:rsid w:val="00295BCB"/>
    <w:rsid w:val="00295EE1"/>
    <w:rsid w:val="00295FE7"/>
    <w:rsid w:val="002962C3"/>
    <w:rsid w:val="002962EA"/>
    <w:rsid w:val="0029668C"/>
    <w:rsid w:val="00296984"/>
    <w:rsid w:val="002969AE"/>
    <w:rsid w:val="00296FDB"/>
    <w:rsid w:val="00297238"/>
    <w:rsid w:val="0029752B"/>
    <w:rsid w:val="00297778"/>
    <w:rsid w:val="002A032E"/>
    <w:rsid w:val="002A047E"/>
    <w:rsid w:val="002A0589"/>
    <w:rsid w:val="002A0A9C"/>
    <w:rsid w:val="002A0E08"/>
    <w:rsid w:val="002A0EB3"/>
    <w:rsid w:val="002A1434"/>
    <w:rsid w:val="002A19A0"/>
    <w:rsid w:val="002A3341"/>
    <w:rsid w:val="002A3C73"/>
    <w:rsid w:val="002A3F4E"/>
    <w:rsid w:val="002A4243"/>
    <w:rsid w:val="002A42B6"/>
    <w:rsid w:val="002A483C"/>
    <w:rsid w:val="002A4ECF"/>
    <w:rsid w:val="002A5934"/>
    <w:rsid w:val="002A59D0"/>
    <w:rsid w:val="002A5D6B"/>
    <w:rsid w:val="002A6D8B"/>
    <w:rsid w:val="002A72E0"/>
    <w:rsid w:val="002A73E7"/>
    <w:rsid w:val="002A755D"/>
    <w:rsid w:val="002A770D"/>
    <w:rsid w:val="002A785F"/>
    <w:rsid w:val="002A78CB"/>
    <w:rsid w:val="002A7FD9"/>
    <w:rsid w:val="002A7FDD"/>
    <w:rsid w:val="002B06A5"/>
    <w:rsid w:val="002B071D"/>
    <w:rsid w:val="002B08A4"/>
    <w:rsid w:val="002B0ACB"/>
    <w:rsid w:val="002B0C7C"/>
    <w:rsid w:val="002B0D2C"/>
    <w:rsid w:val="002B0D41"/>
    <w:rsid w:val="002B0D5F"/>
    <w:rsid w:val="002B128C"/>
    <w:rsid w:val="002B128D"/>
    <w:rsid w:val="002B1729"/>
    <w:rsid w:val="002B1D61"/>
    <w:rsid w:val="002B2463"/>
    <w:rsid w:val="002B2A44"/>
    <w:rsid w:val="002B32DA"/>
    <w:rsid w:val="002B3411"/>
    <w:rsid w:val="002B36C7"/>
    <w:rsid w:val="002B482B"/>
    <w:rsid w:val="002B4DD4"/>
    <w:rsid w:val="002B50AF"/>
    <w:rsid w:val="002B50B9"/>
    <w:rsid w:val="002B5277"/>
    <w:rsid w:val="002B5375"/>
    <w:rsid w:val="002B6146"/>
    <w:rsid w:val="002B67F2"/>
    <w:rsid w:val="002B6811"/>
    <w:rsid w:val="002B6BC3"/>
    <w:rsid w:val="002B6E5F"/>
    <w:rsid w:val="002B6F2C"/>
    <w:rsid w:val="002B7350"/>
    <w:rsid w:val="002B753B"/>
    <w:rsid w:val="002B7775"/>
    <w:rsid w:val="002B77C1"/>
    <w:rsid w:val="002B7A33"/>
    <w:rsid w:val="002B7F73"/>
    <w:rsid w:val="002B7FE5"/>
    <w:rsid w:val="002C0320"/>
    <w:rsid w:val="002C036F"/>
    <w:rsid w:val="002C0B76"/>
    <w:rsid w:val="002C0ED7"/>
    <w:rsid w:val="002C1284"/>
    <w:rsid w:val="002C1508"/>
    <w:rsid w:val="002C1609"/>
    <w:rsid w:val="002C1728"/>
    <w:rsid w:val="002C1C4E"/>
    <w:rsid w:val="002C2032"/>
    <w:rsid w:val="002C253E"/>
    <w:rsid w:val="002C2728"/>
    <w:rsid w:val="002C291E"/>
    <w:rsid w:val="002C3727"/>
    <w:rsid w:val="002C44FD"/>
    <w:rsid w:val="002C4574"/>
    <w:rsid w:val="002C479E"/>
    <w:rsid w:val="002C49D0"/>
    <w:rsid w:val="002C51A0"/>
    <w:rsid w:val="002C5362"/>
    <w:rsid w:val="002C6B40"/>
    <w:rsid w:val="002C76A6"/>
    <w:rsid w:val="002C77AA"/>
    <w:rsid w:val="002C7C6C"/>
    <w:rsid w:val="002D04E5"/>
    <w:rsid w:val="002D0518"/>
    <w:rsid w:val="002D0B94"/>
    <w:rsid w:val="002D19EB"/>
    <w:rsid w:val="002D1A01"/>
    <w:rsid w:val="002D1CED"/>
    <w:rsid w:val="002D1E0D"/>
    <w:rsid w:val="002D1F95"/>
    <w:rsid w:val="002D2313"/>
    <w:rsid w:val="002D23A5"/>
    <w:rsid w:val="002D266C"/>
    <w:rsid w:val="002D27E4"/>
    <w:rsid w:val="002D29C9"/>
    <w:rsid w:val="002D2A10"/>
    <w:rsid w:val="002D2BBE"/>
    <w:rsid w:val="002D2D7F"/>
    <w:rsid w:val="002D35EA"/>
    <w:rsid w:val="002D3783"/>
    <w:rsid w:val="002D3B2B"/>
    <w:rsid w:val="002D43B4"/>
    <w:rsid w:val="002D45C7"/>
    <w:rsid w:val="002D4A3C"/>
    <w:rsid w:val="002D4F4C"/>
    <w:rsid w:val="002D4FC5"/>
    <w:rsid w:val="002D5006"/>
    <w:rsid w:val="002D5167"/>
    <w:rsid w:val="002D5550"/>
    <w:rsid w:val="002D576E"/>
    <w:rsid w:val="002D5830"/>
    <w:rsid w:val="002D58D5"/>
    <w:rsid w:val="002D599C"/>
    <w:rsid w:val="002D5EF6"/>
    <w:rsid w:val="002D6339"/>
    <w:rsid w:val="002D64FF"/>
    <w:rsid w:val="002D666F"/>
    <w:rsid w:val="002D6AEA"/>
    <w:rsid w:val="002D6F14"/>
    <w:rsid w:val="002D7D4F"/>
    <w:rsid w:val="002E01D0"/>
    <w:rsid w:val="002E0924"/>
    <w:rsid w:val="002E09DD"/>
    <w:rsid w:val="002E161D"/>
    <w:rsid w:val="002E1D28"/>
    <w:rsid w:val="002E1EAB"/>
    <w:rsid w:val="002E1ED1"/>
    <w:rsid w:val="002E2601"/>
    <w:rsid w:val="002E3100"/>
    <w:rsid w:val="002E3154"/>
    <w:rsid w:val="002E3AE4"/>
    <w:rsid w:val="002E3B77"/>
    <w:rsid w:val="002E43CA"/>
    <w:rsid w:val="002E48A0"/>
    <w:rsid w:val="002E515A"/>
    <w:rsid w:val="002E582E"/>
    <w:rsid w:val="002E5D55"/>
    <w:rsid w:val="002E6083"/>
    <w:rsid w:val="002E62C2"/>
    <w:rsid w:val="002E6C95"/>
    <w:rsid w:val="002E6DA0"/>
    <w:rsid w:val="002E7437"/>
    <w:rsid w:val="002E7C36"/>
    <w:rsid w:val="002E7CE6"/>
    <w:rsid w:val="002F0050"/>
    <w:rsid w:val="002F006E"/>
    <w:rsid w:val="002F01CE"/>
    <w:rsid w:val="002F05D5"/>
    <w:rsid w:val="002F05F8"/>
    <w:rsid w:val="002F0639"/>
    <w:rsid w:val="002F0A3F"/>
    <w:rsid w:val="002F1125"/>
    <w:rsid w:val="002F13A5"/>
    <w:rsid w:val="002F18D0"/>
    <w:rsid w:val="002F1AC1"/>
    <w:rsid w:val="002F217E"/>
    <w:rsid w:val="002F2262"/>
    <w:rsid w:val="002F22E9"/>
    <w:rsid w:val="002F24E6"/>
    <w:rsid w:val="002F295A"/>
    <w:rsid w:val="002F2DC9"/>
    <w:rsid w:val="002F3266"/>
    <w:rsid w:val="002F3326"/>
    <w:rsid w:val="002F35A9"/>
    <w:rsid w:val="002F369A"/>
    <w:rsid w:val="002F3838"/>
    <w:rsid w:val="002F3866"/>
    <w:rsid w:val="002F3878"/>
    <w:rsid w:val="002F3A3B"/>
    <w:rsid w:val="002F3ADF"/>
    <w:rsid w:val="002F3D32"/>
    <w:rsid w:val="002F3E04"/>
    <w:rsid w:val="002F3E93"/>
    <w:rsid w:val="002F3FA9"/>
    <w:rsid w:val="002F401A"/>
    <w:rsid w:val="002F44B1"/>
    <w:rsid w:val="002F508B"/>
    <w:rsid w:val="002F5198"/>
    <w:rsid w:val="002F5212"/>
    <w:rsid w:val="002F52F8"/>
    <w:rsid w:val="002F58C8"/>
    <w:rsid w:val="002F59AE"/>
    <w:rsid w:val="002F5C91"/>
    <w:rsid w:val="002F5EFE"/>
    <w:rsid w:val="002F5F31"/>
    <w:rsid w:val="002F5F46"/>
    <w:rsid w:val="002F6CDC"/>
    <w:rsid w:val="002F7303"/>
    <w:rsid w:val="002F7FF2"/>
    <w:rsid w:val="003003A2"/>
    <w:rsid w:val="003014A8"/>
    <w:rsid w:val="0030213B"/>
    <w:rsid w:val="00302216"/>
    <w:rsid w:val="00302C16"/>
    <w:rsid w:val="003032F0"/>
    <w:rsid w:val="00303617"/>
    <w:rsid w:val="003037D8"/>
    <w:rsid w:val="00303C72"/>
    <w:rsid w:val="00303E53"/>
    <w:rsid w:val="00303EA2"/>
    <w:rsid w:val="003041B5"/>
    <w:rsid w:val="003041F8"/>
    <w:rsid w:val="0030420B"/>
    <w:rsid w:val="00304BC1"/>
    <w:rsid w:val="00304C07"/>
    <w:rsid w:val="00305173"/>
    <w:rsid w:val="003054C6"/>
    <w:rsid w:val="00305934"/>
    <w:rsid w:val="00305C7C"/>
    <w:rsid w:val="00305CC1"/>
    <w:rsid w:val="00305D06"/>
    <w:rsid w:val="00305D27"/>
    <w:rsid w:val="003061EC"/>
    <w:rsid w:val="003062F6"/>
    <w:rsid w:val="003068C6"/>
    <w:rsid w:val="00306E5F"/>
    <w:rsid w:val="00307120"/>
    <w:rsid w:val="003074BF"/>
    <w:rsid w:val="003079F2"/>
    <w:rsid w:val="00307AA2"/>
    <w:rsid w:val="00307E14"/>
    <w:rsid w:val="00307E8C"/>
    <w:rsid w:val="003108F0"/>
    <w:rsid w:val="00310F29"/>
    <w:rsid w:val="00311432"/>
    <w:rsid w:val="00311815"/>
    <w:rsid w:val="00311CA6"/>
    <w:rsid w:val="00311CD6"/>
    <w:rsid w:val="00311EB7"/>
    <w:rsid w:val="00312643"/>
    <w:rsid w:val="00313675"/>
    <w:rsid w:val="00313895"/>
    <w:rsid w:val="00313A0C"/>
    <w:rsid w:val="00313A7D"/>
    <w:rsid w:val="00313EC5"/>
    <w:rsid w:val="00314054"/>
    <w:rsid w:val="003149F1"/>
    <w:rsid w:val="00314A61"/>
    <w:rsid w:val="00314B42"/>
    <w:rsid w:val="00314B90"/>
    <w:rsid w:val="00314DF9"/>
    <w:rsid w:val="00314F3E"/>
    <w:rsid w:val="003154BF"/>
    <w:rsid w:val="00315846"/>
    <w:rsid w:val="003158E4"/>
    <w:rsid w:val="0031626C"/>
    <w:rsid w:val="00316901"/>
    <w:rsid w:val="00316960"/>
    <w:rsid w:val="00316D83"/>
    <w:rsid w:val="00316F27"/>
    <w:rsid w:val="00317111"/>
    <w:rsid w:val="00317774"/>
    <w:rsid w:val="00320083"/>
    <w:rsid w:val="003200EA"/>
    <w:rsid w:val="003201F9"/>
    <w:rsid w:val="0032033C"/>
    <w:rsid w:val="003207CF"/>
    <w:rsid w:val="0032083E"/>
    <w:rsid w:val="00320C43"/>
    <w:rsid w:val="00320D91"/>
    <w:rsid w:val="00320DC0"/>
    <w:rsid w:val="00320E60"/>
    <w:rsid w:val="003210F5"/>
    <w:rsid w:val="00321190"/>
    <w:rsid w:val="003214F1"/>
    <w:rsid w:val="00321C21"/>
    <w:rsid w:val="00321FDD"/>
    <w:rsid w:val="00321FE8"/>
    <w:rsid w:val="0032244E"/>
    <w:rsid w:val="0032262A"/>
    <w:rsid w:val="00322E4B"/>
    <w:rsid w:val="00322F47"/>
    <w:rsid w:val="003231A1"/>
    <w:rsid w:val="003232FD"/>
    <w:rsid w:val="0032346F"/>
    <w:rsid w:val="0032374D"/>
    <w:rsid w:val="0032479B"/>
    <w:rsid w:val="00324936"/>
    <w:rsid w:val="003249D0"/>
    <w:rsid w:val="00324ACE"/>
    <w:rsid w:val="00324AFF"/>
    <w:rsid w:val="00324B30"/>
    <w:rsid w:val="00324D25"/>
    <w:rsid w:val="00325651"/>
    <w:rsid w:val="003258FB"/>
    <w:rsid w:val="00325CBA"/>
    <w:rsid w:val="003260DB"/>
    <w:rsid w:val="003262AF"/>
    <w:rsid w:val="003268C3"/>
    <w:rsid w:val="00327870"/>
    <w:rsid w:val="003278A6"/>
    <w:rsid w:val="00327C80"/>
    <w:rsid w:val="00330504"/>
    <w:rsid w:val="003306A8"/>
    <w:rsid w:val="00330C88"/>
    <w:rsid w:val="00330FCA"/>
    <w:rsid w:val="00331194"/>
    <w:rsid w:val="003315F6"/>
    <w:rsid w:val="0033167A"/>
    <w:rsid w:val="00331A51"/>
    <w:rsid w:val="00331E9F"/>
    <w:rsid w:val="00331EE2"/>
    <w:rsid w:val="00331EFE"/>
    <w:rsid w:val="00332327"/>
    <w:rsid w:val="0033259D"/>
    <w:rsid w:val="0033285B"/>
    <w:rsid w:val="003333D2"/>
    <w:rsid w:val="00333C8E"/>
    <w:rsid w:val="00335066"/>
    <w:rsid w:val="00335CBC"/>
    <w:rsid w:val="00335F70"/>
    <w:rsid w:val="0033668C"/>
    <w:rsid w:val="003369F4"/>
    <w:rsid w:val="00337339"/>
    <w:rsid w:val="00337F5D"/>
    <w:rsid w:val="003403C7"/>
    <w:rsid w:val="00340628"/>
    <w:rsid w:val="003406C6"/>
    <w:rsid w:val="0034071E"/>
    <w:rsid w:val="00340CE6"/>
    <w:rsid w:val="00341364"/>
    <w:rsid w:val="0034151A"/>
    <w:rsid w:val="0034169C"/>
    <w:rsid w:val="003418CC"/>
    <w:rsid w:val="00341B08"/>
    <w:rsid w:val="00341C5C"/>
    <w:rsid w:val="003421A9"/>
    <w:rsid w:val="003424DE"/>
    <w:rsid w:val="003427F5"/>
    <w:rsid w:val="00342B13"/>
    <w:rsid w:val="00342C0C"/>
    <w:rsid w:val="00342DD5"/>
    <w:rsid w:val="00343093"/>
    <w:rsid w:val="003433EB"/>
    <w:rsid w:val="00343552"/>
    <w:rsid w:val="003435C0"/>
    <w:rsid w:val="003435F9"/>
    <w:rsid w:val="003438B7"/>
    <w:rsid w:val="00343BC3"/>
    <w:rsid w:val="00343EC9"/>
    <w:rsid w:val="00343F5C"/>
    <w:rsid w:val="00343FC2"/>
    <w:rsid w:val="003445D0"/>
    <w:rsid w:val="0034464A"/>
    <w:rsid w:val="003449CC"/>
    <w:rsid w:val="00344CA0"/>
    <w:rsid w:val="00344D22"/>
    <w:rsid w:val="00345166"/>
    <w:rsid w:val="003451CC"/>
    <w:rsid w:val="003455AD"/>
    <w:rsid w:val="00345899"/>
    <w:rsid w:val="003459BD"/>
    <w:rsid w:val="0034608C"/>
    <w:rsid w:val="003465B5"/>
    <w:rsid w:val="00346682"/>
    <w:rsid w:val="003468E1"/>
    <w:rsid w:val="00346C86"/>
    <w:rsid w:val="00346D24"/>
    <w:rsid w:val="003471AC"/>
    <w:rsid w:val="003473EF"/>
    <w:rsid w:val="0034761F"/>
    <w:rsid w:val="00347627"/>
    <w:rsid w:val="0034765B"/>
    <w:rsid w:val="003476AC"/>
    <w:rsid w:val="00347B60"/>
    <w:rsid w:val="00347BA9"/>
    <w:rsid w:val="00347EC4"/>
    <w:rsid w:val="00347FAB"/>
    <w:rsid w:val="0035023D"/>
    <w:rsid w:val="0035033D"/>
    <w:rsid w:val="0035053C"/>
    <w:rsid w:val="0035070E"/>
    <w:rsid w:val="00350A75"/>
    <w:rsid w:val="00350D38"/>
    <w:rsid w:val="00350D94"/>
    <w:rsid w:val="0035121A"/>
    <w:rsid w:val="003517E7"/>
    <w:rsid w:val="00351A3E"/>
    <w:rsid w:val="00351ACF"/>
    <w:rsid w:val="00351B36"/>
    <w:rsid w:val="00352244"/>
    <w:rsid w:val="003524F7"/>
    <w:rsid w:val="00352622"/>
    <w:rsid w:val="003527AC"/>
    <w:rsid w:val="003529F3"/>
    <w:rsid w:val="00353029"/>
    <w:rsid w:val="00353279"/>
    <w:rsid w:val="003538A3"/>
    <w:rsid w:val="0035497A"/>
    <w:rsid w:val="00354E76"/>
    <w:rsid w:val="0035503C"/>
    <w:rsid w:val="00355197"/>
    <w:rsid w:val="00355A15"/>
    <w:rsid w:val="0035673E"/>
    <w:rsid w:val="00356C24"/>
    <w:rsid w:val="00356E7E"/>
    <w:rsid w:val="003571CB"/>
    <w:rsid w:val="00357263"/>
    <w:rsid w:val="00357526"/>
    <w:rsid w:val="00357684"/>
    <w:rsid w:val="00357796"/>
    <w:rsid w:val="00357A94"/>
    <w:rsid w:val="00357B4E"/>
    <w:rsid w:val="00357E6B"/>
    <w:rsid w:val="003602F8"/>
    <w:rsid w:val="00360555"/>
    <w:rsid w:val="00360702"/>
    <w:rsid w:val="003609DB"/>
    <w:rsid w:val="00360DE5"/>
    <w:rsid w:val="0036133C"/>
    <w:rsid w:val="003613EF"/>
    <w:rsid w:val="0036180A"/>
    <w:rsid w:val="003619A0"/>
    <w:rsid w:val="003620F4"/>
    <w:rsid w:val="00362341"/>
    <w:rsid w:val="003628D2"/>
    <w:rsid w:val="00362A0D"/>
    <w:rsid w:val="00362D31"/>
    <w:rsid w:val="003635AB"/>
    <w:rsid w:val="003640E3"/>
    <w:rsid w:val="00364291"/>
    <w:rsid w:val="003643A4"/>
    <w:rsid w:val="00364825"/>
    <w:rsid w:val="00364958"/>
    <w:rsid w:val="00364A1A"/>
    <w:rsid w:val="00364AD9"/>
    <w:rsid w:val="00364B6F"/>
    <w:rsid w:val="00364C6B"/>
    <w:rsid w:val="003650BF"/>
    <w:rsid w:val="0036578E"/>
    <w:rsid w:val="003658F0"/>
    <w:rsid w:val="00365E8F"/>
    <w:rsid w:val="00365F93"/>
    <w:rsid w:val="00365F98"/>
    <w:rsid w:val="0036633D"/>
    <w:rsid w:val="003663A9"/>
    <w:rsid w:val="0036656B"/>
    <w:rsid w:val="00366F5E"/>
    <w:rsid w:val="00367163"/>
    <w:rsid w:val="003674DA"/>
    <w:rsid w:val="003679F3"/>
    <w:rsid w:val="00367C4A"/>
    <w:rsid w:val="00367E00"/>
    <w:rsid w:val="00370256"/>
    <w:rsid w:val="00370494"/>
    <w:rsid w:val="003708A1"/>
    <w:rsid w:val="00370BF2"/>
    <w:rsid w:val="00370C34"/>
    <w:rsid w:val="003710B9"/>
    <w:rsid w:val="003711D0"/>
    <w:rsid w:val="00371305"/>
    <w:rsid w:val="0037131C"/>
    <w:rsid w:val="003716FD"/>
    <w:rsid w:val="00371A6C"/>
    <w:rsid w:val="00371B38"/>
    <w:rsid w:val="00371EAB"/>
    <w:rsid w:val="0037204B"/>
    <w:rsid w:val="00372257"/>
    <w:rsid w:val="0037238B"/>
    <w:rsid w:val="0037286D"/>
    <w:rsid w:val="00372EB4"/>
    <w:rsid w:val="00372FEF"/>
    <w:rsid w:val="00373371"/>
    <w:rsid w:val="00373488"/>
    <w:rsid w:val="003736CF"/>
    <w:rsid w:val="00373D76"/>
    <w:rsid w:val="003743AB"/>
    <w:rsid w:val="0037447A"/>
    <w:rsid w:val="003744CF"/>
    <w:rsid w:val="00374610"/>
    <w:rsid w:val="00374717"/>
    <w:rsid w:val="00374D74"/>
    <w:rsid w:val="00374FC6"/>
    <w:rsid w:val="003750E1"/>
    <w:rsid w:val="00375608"/>
    <w:rsid w:val="00375851"/>
    <w:rsid w:val="0037586C"/>
    <w:rsid w:val="00375CA7"/>
    <w:rsid w:val="00375E02"/>
    <w:rsid w:val="00375E78"/>
    <w:rsid w:val="003760EF"/>
    <w:rsid w:val="0037676C"/>
    <w:rsid w:val="0037692C"/>
    <w:rsid w:val="00376943"/>
    <w:rsid w:val="00376C48"/>
    <w:rsid w:val="00376CF6"/>
    <w:rsid w:val="00376D3E"/>
    <w:rsid w:val="003772F7"/>
    <w:rsid w:val="003774C7"/>
    <w:rsid w:val="0037750C"/>
    <w:rsid w:val="003777DE"/>
    <w:rsid w:val="003778F6"/>
    <w:rsid w:val="00377D70"/>
    <w:rsid w:val="003803C0"/>
    <w:rsid w:val="0038046D"/>
    <w:rsid w:val="00380A8E"/>
    <w:rsid w:val="00381043"/>
    <w:rsid w:val="00381356"/>
    <w:rsid w:val="00381A57"/>
    <w:rsid w:val="00381C50"/>
    <w:rsid w:val="00381F55"/>
    <w:rsid w:val="0038242D"/>
    <w:rsid w:val="003827DE"/>
    <w:rsid w:val="003829E5"/>
    <w:rsid w:val="00382A91"/>
    <w:rsid w:val="00382AB3"/>
    <w:rsid w:val="00382F4C"/>
    <w:rsid w:val="00383197"/>
    <w:rsid w:val="0038338C"/>
    <w:rsid w:val="00383845"/>
    <w:rsid w:val="00383A88"/>
    <w:rsid w:val="0038427D"/>
    <w:rsid w:val="003848E7"/>
    <w:rsid w:val="0038507D"/>
    <w:rsid w:val="00385B2F"/>
    <w:rsid w:val="00385F3C"/>
    <w:rsid w:val="00386109"/>
    <w:rsid w:val="0038625B"/>
    <w:rsid w:val="003863B0"/>
    <w:rsid w:val="00386944"/>
    <w:rsid w:val="00386A58"/>
    <w:rsid w:val="00386CD8"/>
    <w:rsid w:val="00386CF1"/>
    <w:rsid w:val="00387856"/>
    <w:rsid w:val="003902AE"/>
    <w:rsid w:val="003905DA"/>
    <w:rsid w:val="003906A8"/>
    <w:rsid w:val="00390BDB"/>
    <w:rsid w:val="00390E29"/>
    <w:rsid w:val="003911A0"/>
    <w:rsid w:val="0039189E"/>
    <w:rsid w:val="00391E64"/>
    <w:rsid w:val="00392530"/>
    <w:rsid w:val="0039341F"/>
    <w:rsid w:val="0039383B"/>
    <w:rsid w:val="0039385C"/>
    <w:rsid w:val="00393AB1"/>
    <w:rsid w:val="00393B09"/>
    <w:rsid w:val="003943F5"/>
    <w:rsid w:val="0039452D"/>
    <w:rsid w:val="00394BBD"/>
    <w:rsid w:val="003956CC"/>
    <w:rsid w:val="00395975"/>
    <w:rsid w:val="00395A65"/>
    <w:rsid w:val="00395C9A"/>
    <w:rsid w:val="00395CCC"/>
    <w:rsid w:val="00395F91"/>
    <w:rsid w:val="0039673F"/>
    <w:rsid w:val="00396E0F"/>
    <w:rsid w:val="00397257"/>
    <w:rsid w:val="00397373"/>
    <w:rsid w:val="00397481"/>
    <w:rsid w:val="00397D75"/>
    <w:rsid w:val="003A0412"/>
    <w:rsid w:val="003A0481"/>
    <w:rsid w:val="003A04E1"/>
    <w:rsid w:val="003A0853"/>
    <w:rsid w:val="003A1181"/>
    <w:rsid w:val="003A1535"/>
    <w:rsid w:val="003A2071"/>
    <w:rsid w:val="003A20F4"/>
    <w:rsid w:val="003A24FE"/>
    <w:rsid w:val="003A2B01"/>
    <w:rsid w:val="003A2B11"/>
    <w:rsid w:val="003A2B81"/>
    <w:rsid w:val="003A2C38"/>
    <w:rsid w:val="003A37D3"/>
    <w:rsid w:val="003A3CE2"/>
    <w:rsid w:val="003A4580"/>
    <w:rsid w:val="003A5E50"/>
    <w:rsid w:val="003A6B45"/>
    <w:rsid w:val="003A6B67"/>
    <w:rsid w:val="003A7D09"/>
    <w:rsid w:val="003A7DCE"/>
    <w:rsid w:val="003B0643"/>
    <w:rsid w:val="003B0BF8"/>
    <w:rsid w:val="003B1280"/>
    <w:rsid w:val="003B13B6"/>
    <w:rsid w:val="003B14C3"/>
    <w:rsid w:val="003B15E6"/>
    <w:rsid w:val="003B1BDC"/>
    <w:rsid w:val="003B2423"/>
    <w:rsid w:val="003B2723"/>
    <w:rsid w:val="003B2A63"/>
    <w:rsid w:val="003B2EEA"/>
    <w:rsid w:val="003B2FE2"/>
    <w:rsid w:val="003B3506"/>
    <w:rsid w:val="003B3557"/>
    <w:rsid w:val="003B3689"/>
    <w:rsid w:val="003B3DE9"/>
    <w:rsid w:val="003B3FF1"/>
    <w:rsid w:val="003B408A"/>
    <w:rsid w:val="003B4AE6"/>
    <w:rsid w:val="003B50E3"/>
    <w:rsid w:val="003B61B0"/>
    <w:rsid w:val="003B6231"/>
    <w:rsid w:val="003B643C"/>
    <w:rsid w:val="003B6545"/>
    <w:rsid w:val="003B6796"/>
    <w:rsid w:val="003B70ED"/>
    <w:rsid w:val="003B7150"/>
    <w:rsid w:val="003B73BB"/>
    <w:rsid w:val="003B73C7"/>
    <w:rsid w:val="003B7704"/>
    <w:rsid w:val="003B7B90"/>
    <w:rsid w:val="003C08A2"/>
    <w:rsid w:val="003C0AC5"/>
    <w:rsid w:val="003C0B68"/>
    <w:rsid w:val="003C0B6E"/>
    <w:rsid w:val="003C0E5C"/>
    <w:rsid w:val="003C1069"/>
    <w:rsid w:val="003C114D"/>
    <w:rsid w:val="003C1217"/>
    <w:rsid w:val="003C1896"/>
    <w:rsid w:val="003C191B"/>
    <w:rsid w:val="003C1A5C"/>
    <w:rsid w:val="003C1AD7"/>
    <w:rsid w:val="003C1FAE"/>
    <w:rsid w:val="003C2045"/>
    <w:rsid w:val="003C264F"/>
    <w:rsid w:val="003C2688"/>
    <w:rsid w:val="003C29C7"/>
    <w:rsid w:val="003C3461"/>
    <w:rsid w:val="003C347E"/>
    <w:rsid w:val="003C3625"/>
    <w:rsid w:val="003C3652"/>
    <w:rsid w:val="003C36B6"/>
    <w:rsid w:val="003C375B"/>
    <w:rsid w:val="003C3946"/>
    <w:rsid w:val="003C3971"/>
    <w:rsid w:val="003C406B"/>
    <w:rsid w:val="003C4253"/>
    <w:rsid w:val="003C43A1"/>
    <w:rsid w:val="003C4A45"/>
    <w:rsid w:val="003C4D74"/>
    <w:rsid w:val="003C4FC0"/>
    <w:rsid w:val="003C5103"/>
    <w:rsid w:val="003C55F4"/>
    <w:rsid w:val="003C5628"/>
    <w:rsid w:val="003C5629"/>
    <w:rsid w:val="003C5936"/>
    <w:rsid w:val="003C6261"/>
    <w:rsid w:val="003C6327"/>
    <w:rsid w:val="003C63F6"/>
    <w:rsid w:val="003C65E2"/>
    <w:rsid w:val="003C69CA"/>
    <w:rsid w:val="003C6A1E"/>
    <w:rsid w:val="003C72D7"/>
    <w:rsid w:val="003C7553"/>
    <w:rsid w:val="003C7700"/>
    <w:rsid w:val="003C7897"/>
    <w:rsid w:val="003C7A3F"/>
    <w:rsid w:val="003D00DD"/>
    <w:rsid w:val="003D00FF"/>
    <w:rsid w:val="003D0342"/>
    <w:rsid w:val="003D1B8C"/>
    <w:rsid w:val="003D2447"/>
    <w:rsid w:val="003D2766"/>
    <w:rsid w:val="003D2A74"/>
    <w:rsid w:val="003D2F9D"/>
    <w:rsid w:val="003D35BE"/>
    <w:rsid w:val="003D381C"/>
    <w:rsid w:val="003D3E8F"/>
    <w:rsid w:val="003D452F"/>
    <w:rsid w:val="003D45D6"/>
    <w:rsid w:val="003D47D7"/>
    <w:rsid w:val="003D4C03"/>
    <w:rsid w:val="003D51AA"/>
    <w:rsid w:val="003D5539"/>
    <w:rsid w:val="003D5788"/>
    <w:rsid w:val="003D59A1"/>
    <w:rsid w:val="003D6475"/>
    <w:rsid w:val="003D6D0D"/>
    <w:rsid w:val="003D6EE6"/>
    <w:rsid w:val="003D710E"/>
    <w:rsid w:val="003D713E"/>
    <w:rsid w:val="003D7186"/>
    <w:rsid w:val="003D740E"/>
    <w:rsid w:val="003D77EA"/>
    <w:rsid w:val="003D78F4"/>
    <w:rsid w:val="003E01B1"/>
    <w:rsid w:val="003E069A"/>
    <w:rsid w:val="003E06D9"/>
    <w:rsid w:val="003E0EAA"/>
    <w:rsid w:val="003E18B9"/>
    <w:rsid w:val="003E19BD"/>
    <w:rsid w:val="003E1D58"/>
    <w:rsid w:val="003E2047"/>
    <w:rsid w:val="003E2056"/>
    <w:rsid w:val="003E284A"/>
    <w:rsid w:val="003E2988"/>
    <w:rsid w:val="003E2A1C"/>
    <w:rsid w:val="003E2A4E"/>
    <w:rsid w:val="003E2B4E"/>
    <w:rsid w:val="003E317B"/>
    <w:rsid w:val="003E3373"/>
    <w:rsid w:val="003E375C"/>
    <w:rsid w:val="003E3B6D"/>
    <w:rsid w:val="003E4086"/>
    <w:rsid w:val="003E4416"/>
    <w:rsid w:val="003E46C8"/>
    <w:rsid w:val="003E46CC"/>
    <w:rsid w:val="003E46CE"/>
    <w:rsid w:val="003E4A59"/>
    <w:rsid w:val="003E50E0"/>
    <w:rsid w:val="003E5FC8"/>
    <w:rsid w:val="003E618B"/>
    <w:rsid w:val="003E6235"/>
    <w:rsid w:val="003E639E"/>
    <w:rsid w:val="003E6461"/>
    <w:rsid w:val="003E6646"/>
    <w:rsid w:val="003E6D67"/>
    <w:rsid w:val="003E6E71"/>
    <w:rsid w:val="003E71C1"/>
    <w:rsid w:val="003E71E5"/>
    <w:rsid w:val="003E7260"/>
    <w:rsid w:val="003E72BF"/>
    <w:rsid w:val="003E7426"/>
    <w:rsid w:val="003E76D5"/>
    <w:rsid w:val="003E7CC4"/>
    <w:rsid w:val="003E7F46"/>
    <w:rsid w:val="003F0023"/>
    <w:rsid w:val="003F0109"/>
    <w:rsid w:val="003F026A"/>
    <w:rsid w:val="003F0410"/>
    <w:rsid w:val="003F0445"/>
    <w:rsid w:val="003F07FD"/>
    <w:rsid w:val="003F0ACD"/>
    <w:rsid w:val="003F0C25"/>
    <w:rsid w:val="003F0CF0"/>
    <w:rsid w:val="003F0D0F"/>
    <w:rsid w:val="003F13A4"/>
    <w:rsid w:val="003F14B1"/>
    <w:rsid w:val="003F17E2"/>
    <w:rsid w:val="003F17F0"/>
    <w:rsid w:val="003F1BC7"/>
    <w:rsid w:val="003F1D1E"/>
    <w:rsid w:val="003F1D44"/>
    <w:rsid w:val="003F20E1"/>
    <w:rsid w:val="003F2148"/>
    <w:rsid w:val="003F2745"/>
    <w:rsid w:val="003F28F0"/>
    <w:rsid w:val="003F2A3A"/>
    <w:rsid w:val="003F2B20"/>
    <w:rsid w:val="003F2F0C"/>
    <w:rsid w:val="003F2FFB"/>
    <w:rsid w:val="003F323F"/>
    <w:rsid w:val="003F3289"/>
    <w:rsid w:val="003F385F"/>
    <w:rsid w:val="003F3B3F"/>
    <w:rsid w:val="003F3C62"/>
    <w:rsid w:val="003F3FC6"/>
    <w:rsid w:val="003F4944"/>
    <w:rsid w:val="003F4957"/>
    <w:rsid w:val="003F49C0"/>
    <w:rsid w:val="003F4EC7"/>
    <w:rsid w:val="003F5023"/>
    <w:rsid w:val="003F5180"/>
    <w:rsid w:val="003F56A7"/>
    <w:rsid w:val="003F578D"/>
    <w:rsid w:val="003F593B"/>
    <w:rsid w:val="003F5CB9"/>
    <w:rsid w:val="003F60E5"/>
    <w:rsid w:val="003F6677"/>
    <w:rsid w:val="003F67CD"/>
    <w:rsid w:val="003F6A9D"/>
    <w:rsid w:val="003F6E04"/>
    <w:rsid w:val="003F7EA6"/>
    <w:rsid w:val="0040016C"/>
    <w:rsid w:val="00400A55"/>
    <w:rsid w:val="00400FBA"/>
    <w:rsid w:val="004010A2"/>
    <w:rsid w:val="004013C7"/>
    <w:rsid w:val="004014D2"/>
    <w:rsid w:val="004014D5"/>
    <w:rsid w:val="00401CC1"/>
    <w:rsid w:val="00401FCF"/>
    <w:rsid w:val="004028AE"/>
    <w:rsid w:val="00402973"/>
    <w:rsid w:val="004029F8"/>
    <w:rsid w:val="00402B7E"/>
    <w:rsid w:val="00402DB7"/>
    <w:rsid w:val="00403023"/>
    <w:rsid w:val="0040352D"/>
    <w:rsid w:val="00403632"/>
    <w:rsid w:val="004036E5"/>
    <w:rsid w:val="004038C8"/>
    <w:rsid w:val="00403C3E"/>
    <w:rsid w:val="00403F5D"/>
    <w:rsid w:val="0040491D"/>
    <w:rsid w:val="00404C61"/>
    <w:rsid w:val="00404CC0"/>
    <w:rsid w:val="00404CD3"/>
    <w:rsid w:val="0040518B"/>
    <w:rsid w:val="00405266"/>
    <w:rsid w:val="004052E4"/>
    <w:rsid w:val="004053E2"/>
    <w:rsid w:val="00405948"/>
    <w:rsid w:val="00405A6B"/>
    <w:rsid w:val="00405FAA"/>
    <w:rsid w:val="00406285"/>
    <w:rsid w:val="0040633C"/>
    <w:rsid w:val="00406406"/>
    <w:rsid w:val="004071EA"/>
    <w:rsid w:val="004071FB"/>
    <w:rsid w:val="00407971"/>
    <w:rsid w:val="00410B72"/>
    <w:rsid w:val="00410D6D"/>
    <w:rsid w:val="00410E9A"/>
    <w:rsid w:val="00410F63"/>
    <w:rsid w:val="00411187"/>
    <w:rsid w:val="00411526"/>
    <w:rsid w:val="0041153D"/>
    <w:rsid w:val="00411570"/>
    <w:rsid w:val="00411B39"/>
    <w:rsid w:val="00411C0F"/>
    <w:rsid w:val="00412867"/>
    <w:rsid w:val="00412CBF"/>
    <w:rsid w:val="00413544"/>
    <w:rsid w:val="00413D08"/>
    <w:rsid w:val="00414006"/>
    <w:rsid w:val="004142D8"/>
    <w:rsid w:val="004148F9"/>
    <w:rsid w:val="00414AE0"/>
    <w:rsid w:val="00414B68"/>
    <w:rsid w:val="00414CEB"/>
    <w:rsid w:val="00414E17"/>
    <w:rsid w:val="0041524F"/>
    <w:rsid w:val="0041555B"/>
    <w:rsid w:val="00415608"/>
    <w:rsid w:val="00415B9D"/>
    <w:rsid w:val="00415FD4"/>
    <w:rsid w:val="00416104"/>
    <w:rsid w:val="0041661E"/>
    <w:rsid w:val="004166F6"/>
    <w:rsid w:val="00416917"/>
    <w:rsid w:val="00416C20"/>
    <w:rsid w:val="00416E5A"/>
    <w:rsid w:val="00416EBE"/>
    <w:rsid w:val="0041723C"/>
    <w:rsid w:val="00417460"/>
    <w:rsid w:val="004176BF"/>
    <w:rsid w:val="00417BFE"/>
    <w:rsid w:val="0042084E"/>
    <w:rsid w:val="00420A11"/>
    <w:rsid w:val="00421197"/>
    <w:rsid w:val="00421392"/>
    <w:rsid w:val="004217D1"/>
    <w:rsid w:val="00421967"/>
    <w:rsid w:val="00421DA0"/>
    <w:rsid w:val="00421E1B"/>
    <w:rsid w:val="00421EEF"/>
    <w:rsid w:val="00422004"/>
    <w:rsid w:val="00422A42"/>
    <w:rsid w:val="004231C6"/>
    <w:rsid w:val="004234A8"/>
    <w:rsid w:val="00423B3F"/>
    <w:rsid w:val="00424618"/>
    <w:rsid w:val="0042489A"/>
    <w:rsid w:val="004248D1"/>
    <w:rsid w:val="00424D65"/>
    <w:rsid w:val="004251AF"/>
    <w:rsid w:val="004252D6"/>
    <w:rsid w:val="004253FD"/>
    <w:rsid w:val="00425902"/>
    <w:rsid w:val="00425AEF"/>
    <w:rsid w:val="00425B82"/>
    <w:rsid w:val="00426320"/>
    <w:rsid w:val="0042671D"/>
    <w:rsid w:val="00426962"/>
    <w:rsid w:val="00426B25"/>
    <w:rsid w:val="00426F04"/>
    <w:rsid w:val="00426F38"/>
    <w:rsid w:val="00427192"/>
    <w:rsid w:val="0042781E"/>
    <w:rsid w:val="00427D62"/>
    <w:rsid w:val="00430274"/>
    <w:rsid w:val="00430393"/>
    <w:rsid w:val="004304F6"/>
    <w:rsid w:val="00430C63"/>
    <w:rsid w:val="00430E47"/>
    <w:rsid w:val="004311CC"/>
    <w:rsid w:val="004311CD"/>
    <w:rsid w:val="0043162E"/>
    <w:rsid w:val="00431806"/>
    <w:rsid w:val="004318C7"/>
    <w:rsid w:val="0043197B"/>
    <w:rsid w:val="00431A97"/>
    <w:rsid w:val="004327A6"/>
    <w:rsid w:val="004330B7"/>
    <w:rsid w:val="00433BF5"/>
    <w:rsid w:val="00434371"/>
    <w:rsid w:val="004344C3"/>
    <w:rsid w:val="00434771"/>
    <w:rsid w:val="00434DAD"/>
    <w:rsid w:val="00434EAD"/>
    <w:rsid w:val="0043505A"/>
    <w:rsid w:val="004352D9"/>
    <w:rsid w:val="0043590C"/>
    <w:rsid w:val="00435936"/>
    <w:rsid w:val="00436101"/>
    <w:rsid w:val="00436AC8"/>
    <w:rsid w:val="00436DBE"/>
    <w:rsid w:val="00437037"/>
    <w:rsid w:val="00437677"/>
    <w:rsid w:val="00437AC5"/>
    <w:rsid w:val="00437B53"/>
    <w:rsid w:val="004401E1"/>
    <w:rsid w:val="004402F8"/>
    <w:rsid w:val="00440478"/>
    <w:rsid w:val="0044067F"/>
    <w:rsid w:val="00440790"/>
    <w:rsid w:val="004409C1"/>
    <w:rsid w:val="004421FE"/>
    <w:rsid w:val="00442342"/>
    <w:rsid w:val="004429A8"/>
    <w:rsid w:val="00442C6C"/>
    <w:rsid w:val="00443251"/>
    <w:rsid w:val="00443287"/>
    <w:rsid w:val="00443330"/>
    <w:rsid w:val="0044333D"/>
    <w:rsid w:val="0044343F"/>
    <w:rsid w:val="0044358D"/>
    <w:rsid w:val="00443CBE"/>
    <w:rsid w:val="00443E8A"/>
    <w:rsid w:val="004441BC"/>
    <w:rsid w:val="00444F3D"/>
    <w:rsid w:val="00445EAC"/>
    <w:rsid w:val="0044651E"/>
    <w:rsid w:val="004468B4"/>
    <w:rsid w:val="004468E4"/>
    <w:rsid w:val="00446912"/>
    <w:rsid w:val="00446A4C"/>
    <w:rsid w:val="00447679"/>
    <w:rsid w:val="0044782E"/>
    <w:rsid w:val="00447A5A"/>
    <w:rsid w:val="00447BEE"/>
    <w:rsid w:val="00450310"/>
    <w:rsid w:val="004505DB"/>
    <w:rsid w:val="00450D9B"/>
    <w:rsid w:val="00450E43"/>
    <w:rsid w:val="00450E48"/>
    <w:rsid w:val="0045116D"/>
    <w:rsid w:val="004515AE"/>
    <w:rsid w:val="0045183E"/>
    <w:rsid w:val="00451F31"/>
    <w:rsid w:val="00451F65"/>
    <w:rsid w:val="0045230A"/>
    <w:rsid w:val="0045265C"/>
    <w:rsid w:val="00452710"/>
    <w:rsid w:val="004528BB"/>
    <w:rsid w:val="004528C4"/>
    <w:rsid w:val="00453295"/>
    <w:rsid w:val="00454025"/>
    <w:rsid w:val="00454421"/>
    <w:rsid w:val="00454423"/>
    <w:rsid w:val="004545FE"/>
    <w:rsid w:val="00454A51"/>
    <w:rsid w:val="00454A63"/>
    <w:rsid w:val="00454AD0"/>
    <w:rsid w:val="004555EA"/>
    <w:rsid w:val="00455AD0"/>
    <w:rsid w:val="00455AFA"/>
    <w:rsid w:val="00456134"/>
    <w:rsid w:val="00457071"/>
    <w:rsid w:val="00457337"/>
    <w:rsid w:val="004578E9"/>
    <w:rsid w:val="00457A42"/>
    <w:rsid w:val="00457AF5"/>
    <w:rsid w:val="00457CAA"/>
    <w:rsid w:val="00457F9A"/>
    <w:rsid w:val="00460508"/>
    <w:rsid w:val="004605D2"/>
    <w:rsid w:val="0046078B"/>
    <w:rsid w:val="00460925"/>
    <w:rsid w:val="004609E7"/>
    <w:rsid w:val="00460CF9"/>
    <w:rsid w:val="00461326"/>
    <w:rsid w:val="00461529"/>
    <w:rsid w:val="004616E6"/>
    <w:rsid w:val="00462007"/>
    <w:rsid w:val="0046270F"/>
    <w:rsid w:val="00462B10"/>
    <w:rsid w:val="00462E28"/>
    <w:rsid w:val="00462E3D"/>
    <w:rsid w:val="0046313D"/>
    <w:rsid w:val="00463B24"/>
    <w:rsid w:val="00463CC7"/>
    <w:rsid w:val="00463F13"/>
    <w:rsid w:val="0046433C"/>
    <w:rsid w:val="00464441"/>
    <w:rsid w:val="00464A0D"/>
    <w:rsid w:val="00464AE3"/>
    <w:rsid w:val="00464AE6"/>
    <w:rsid w:val="00464BAE"/>
    <w:rsid w:val="00464E5C"/>
    <w:rsid w:val="00465231"/>
    <w:rsid w:val="00465547"/>
    <w:rsid w:val="004657E1"/>
    <w:rsid w:val="00465BE3"/>
    <w:rsid w:val="0046613D"/>
    <w:rsid w:val="00466141"/>
    <w:rsid w:val="0046657B"/>
    <w:rsid w:val="00466E79"/>
    <w:rsid w:val="00466E91"/>
    <w:rsid w:val="004672FE"/>
    <w:rsid w:val="004674E1"/>
    <w:rsid w:val="004675CA"/>
    <w:rsid w:val="00467A8F"/>
    <w:rsid w:val="004702D4"/>
    <w:rsid w:val="00470456"/>
    <w:rsid w:val="0047083C"/>
    <w:rsid w:val="00470D7D"/>
    <w:rsid w:val="0047162E"/>
    <w:rsid w:val="0047171B"/>
    <w:rsid w:val="004719EC"/>
    <w:rsid w:val="00471B65"/>
    <w:rsid w:val="00471C80"/>
    <w:rsid w:val="00471CDB"/>
    <w:rsid w:val="00471EFD"/>
    <w:rsid w:val="0047214C"/>
    <w:rsid w:val="004729FF"/>
    <w:rsid w:val="00472DC1"/>
    <w:rsid w:val="00473002"/>
    <w:rsid w:val="0047305E"/>
    <w:rsid w:val="00473109"/>
    <w:rsid w:val="0047324D"/>
    <w:rsid w:val="0047372D"/>
    <w:rsid w:val="00473BA3"/>
    <w:rsid w:val="00473DC2"/>
    <w:rsid w:val="004743DD"/>
    <w:rsid w:val="00474A1E"/>
    <w:rsid w:val="00474CEA"/>
    <w:rsid w:val="00474E95"/>
    <w:rsid w:val="00475383"/>
    <w:rsid w:val="004758C9"/>
    <w:rsid w:val="00475B8D"/>
    <w:rsid w:val="00475F77"/>
    <w:rsid w:val="004760A4"/>
    <w:rsid w:val="004764E8"/>
    <w:rsid w:val="004769EA"/>
    <w:rsid w:val="00476B25"/>
    <w:rsid w:val="0047727D"/>
    <w:rsid w:val="004772B2"/>
    <w:rsid w:val="00477B88"/>
    <w:rsid w:val="00477DC8"/>
    <w:rsid w:val="00477F76"/>
    <w:rsid w:val="00477F80"/>
    <w:rsid w:val="004801E4"/>
    <w:rsid w:val="00480273"/>
    <w:rsid w:val="00480B5D"/>
    <w:rsid w:val="00480E8D"/>
    <w:rsid w:val="00480FD3"/>
    <w:rsid w:val="00481219"/>
    <w:rsid w:val="00481274"/>
    <w:rsid w:val="0048136C"/>
    <w:rsid w:val="004815FF"/>
    <w:rsid w:val="00481F32"/>
    <w:rsid w:val="00481F59"/>
    <w:rsid w:val="004821F9"/>
    <w:rsid w:val="00483968"/>
    <w:rsid w:val="00483BAB"/>
    <w:rsid w:val="00484005"/>
    <w:rsid w:val="004841BE"/>
    <w:rsid w:val="004842A1"/>
    <w:rsid w:val="00484556"/>
    <w:rsid w:val="004847FE"/>
    <w:rsid w:val="00484881"/>
    <w:rsid w:val="00484F86"/>
    <w:rsid w:val="00485022"/>
    <w:rsid w:val="004850DD"/>
    <w:rsid w:val="00485110"/>
    <w:rsid w:val="0048524C"/>
    <w:rsid w:val="00485942"/>
    <w:rsid w:val="00485D1C"/>
    <w:rsid w:val="00486503"/>
    <w:rsid w:val="0048656B"/>
    <w:rsid w:val="00486774"/>
    <w:rsid w:val="004867D1"/>
    <w:rsid w:val="0048697B"/>
    <w:rsid w:val="00486B28"/>
    <w:rsid w:val="004873CC"/>
    <w:rsid w:val="00487784"/>
    <w:rsid w:val="00487879"/>
    <w:rsid w:val="00487F3C"/>
    <w:rsid w:val="0049007E"/>
    <w:rsid w:val="004900D7"/>
    <w:rsid w:val="00490746"/>
    <w:rsid w:val="00490747"/>
    <w:rsid w:val="00490852"/>
    <w:rsid w:val="00490F98"/>
    <w:rsid w:val="0049142D"/>
    <w:rsid w:val="00491662"/>
    <w:rsid w:val="00491862"/>
    <w:rsid w:val="00491C9C"/>
    <w:rsid w:val="00491E1A"/>
    <w:rsid w:val="00491E70"/>
    <w:rsid w:val="0049237F"/>
    <w:rsid w:val="0049259D"/>
    <w:rsid w:val="0049261D"/>
    <w:rsid w:val="004927F1"/>
    <w:rsid w:val="00492C7A"/>
    <w:rsid w:val="00492F30"/>
    <w:rsid w:val="00493028"/>
    <w:rsid w:val="00493371"/>
    <w:rsid w:val="00493436"/>
    <w:rsid w:val="0049435A"/>
    <w:rsid w:val="004946F4"/>
    <w:rsid w:val="0049487E"/>
    <w:rsid w:val="0049495A"/>
    <w:rsid w:val="00494B86"/>
    <w:rsid w:val="00494F44"/>
    <w:rsid w:val="004957A8"/>
    <w:rsid w:val="00495D2C"/>
    <w:rsid w:val="00495D9F"/>
    <w:rsid w:val="00495E3D"/>
    <w:rsid w:val="004962A3"/>
    <w:rsid w:val="00496AAA"/>
    <w:rsid w:val="00497C1D"/>
    <w:rsid w:val="004A0787"/>
    <w:rsid w:val="004A0843"/>
    <w:rsid w:val="004A0BE0"/>
    <w:rsid w:val="004A0DD4"/>
    <w:rsid w:val="004A0DEB"/>
    <w:rsid w:val="004A1144"/>
    <w:rsid w:val="004A1325"/>
    <w:rsid w:val="004A13FB"/>
    <w:rsid w:val="004A160D"/>
    <w:rsid w:val="004A1A6F"/>
    <w:rsid w:val="004A1D37"/>
    <w:rsid w:val="004A25B1"/>
    <w:rsid w:val="004A2734"/>
    <w:rsid w:val="004A293D"/>
    <w:rsid w:val="004A307B"/>
    <w:rsid w:val="004A3203"/>
    <w:rsid w:val="004A3642"/>
    <w:rsid w:val="004A3E4D"/>
    <w:rsid w:val="004A3E81"/>
    <w:rsid w:val="004A3E97"/>
    <w:rsid w:val="004A4195"/>
    <w:rsid w:val="004A4961"/>
    <w:rsid w:val="004A4D92"/>
    <w:rsid w:val="004A4F50"/>
    <w:rsid w:val="004A50DC"/>
    <w:rsid w:val="004A5A76"/>
    <w:rsid w:val="004A5C62"/>
    <w:rsid w:val="004A5CE5"/>
    <w:rsid w:val="004A6878"/>
    <w:rsid w:val="004A707D"/>
    <w:rsid w:val="004A70B4"/>
    <w:rsid w:val="004A713C"/>
    <w:rsid w:val="004B002A"/>
    <w:rsid w:val="004B0272"/>
    <w:rsid w:val="004B0B3D"/>
    <w:rsid w:val="004B0BBB"/>
    <w:rsid w:val="004B169B"/>
    <w:rsid w:val="004B170C"/>
    <w:rsid w:val="004B17B0"/>
    <w:rsid w:val="004B1F85"/>
    <w:rsid w:val="004B1FDE"/>
    <w:rsid w:val="004B2378"/>
    <w:rsid w:val="004B2739"/>
    <w:rsid w:val="004B277C"/>
    <w:rsid w:val="004B2A41"/>
    <w:rsid w:val="004B333D"/>
    <w:rsid w:val="004B361D"/>
    <w:rsid w:val="004B3C46"/>
    <w:rsid w:val="004B3F9C"/>
    <w:rsid w:val="004B4185"/>
    <w:rsid w:val="004B4220"/>
    <w:rsid w:val="004B462A"/>
    <w:rsid w:val="004B4C8B"/>
    <w:rsid w:val="004B4D18"/>
    <w:rsid w:val="004B5276"/>
    <w:rsid w:val="004B57DA"/>
    <w:rsid w:val="004B58BA"/>
    <w:rsid w:val="004B5E3E"/>
    <w:rsid w:val="004B6453"/>
    <w:rsid w:val="004B686B"/>
    <w:rsid w:val="004B6978"/>
    <w:rsid w:val="004B6AFC"/>
    <w:rsid w:val="004B7497"/>
    <w:rsid w:val="004B756A"/>
    <w:rsid w:val="004B7623"/>
    <w:rsid w:val="004B7AD5"/>
    <w:rsid w:val="004B7B92"/>
    <w:rsid w:val="004B7C4A"/>
    <w:rsid w:val="004B7CD7"/>
    <w:rsid w:val="004B7D0B"/>
    <w:rsid w:val="004B7D5B"/>
    <w:rsid w:val="004C02B2"/>
    <w:rsid w:val="004C0DE7"/>
    <w:rsid w:val="004C1068"/>
    <w:rsid w:val="004C141E"/>
    <w:rsid w:val="004C15E1"/>
    <w:rsid w:val="004C1699"/>
    <w:rsid w:val="004C1E0B"/>
    <w:rsid w:val="004C1EA6"/>
    <w:rsid w:val="004C1EEB"/>
    <w:rsid w:val="004C24B7"/>
    <w:rsid w:val="004C283E"/>
    <w:rsid w:val="004C295D"/>
    <w:rsid w:val="004C2AA5"/>
    <w:rsid w:val="004C2BBF"/>
    <w:rsid w:val="004C2CCE"/>
    <w:rsid w:val="004C3338"/>
    <w:rsid w:val="004C3881"/>
    <w:rsid w:val="004C3B17"/>
    <w:rsid w:val="004C4053"/>
    <w:rsid w:val="004C41E7"/>
    <w:rsid w:val="004C42B2"/>
    <w:rsid w:val="004C4A58"/>
    <w:rsid w:val="004C4DD4"/>
    <w:rsid w:val="004C503F"/>
    <w:rsid w:val="004C50E9"/>
    <w:rsid w:val="004C5541"/>
    <w:rsid w:val="004C58A4"/>
    <w:rsid w:val="004C5B0B"/>
    <w:rsid w:val="004C610D"/>
    <w:rsid w:val="004C6DE1"/>
    <w:rsid w:val="004C6E46"/>
    <w:rsid w:val="004C6EEE"/>
    <w:rsid w:val="004C6FEC"/>
    <w:rsid w:val="004C702B"/>
    <w:rsid w:val="004C70C7"/>
    <w:rsid w:val="004C77CD"/>
    <w:rsid w:val="004C7FA7"/>
    <w:rsid w:val="004D0033"/>
    <w:rsid w:val="004D0052"/>
    <w:rsid w:val="004D0118"/>
    <w:rsid w:val="004D016B"/>
    <w:rsid w:val="004D033E"/>
    <w:rsid w:val="004D0702"/>
    <w:rsid w:val="004D089A"/>
    <w:rsid w:val="004D090A"/>
    <w:rsid w:val="004D0AE0"/>
    <w:rsid w:val="004D0D7D"/>
    <w:rsid w:val="004D183A"/>
    <w:rsid w:val="004D1A68"/>
    <w:rsid w:val="004D1B22"/>
    <w:rsid w:val="004D1B48"/>
    <w:rsid w:val="004D22FE"/>
    <w:rsid w:val="004D23CC"/>
    <w:rsid w:val="004D2462"/>
    <w:rsid w:val="004D2B4F"/>
    <w:rsid w:val="004D2DF6"/>
    <w:rsid w:val="004D3032"/>
    <w:rsid w:val="004D31E6"/>
    <w:rsid w:val="004D36F2"/>
    <w:rsid w:val="004D375C"/>
    <w:rsid w:val="004D395D"/>
    <w:rsid w:val="004D3D6F"/>
    <w:rsid w:val="004D400A"/>
    <w:rsid w:val="004D4A7B"/>
    <w:rsid w:val="004D4E84"/>
    <w:rsid w:val="004D54C8"/>
    <w:rsid w:val="004D5667"/>
    <w:rsid w:val="004D58C3"/>
    <w:rsid w:val="004D5D46"/>
    <w:rsid w:val="004D60EE"/>
    <w:rsid w:val="004D6167"/>
    <w:rsid w:val="004D74C9"/>
    <w:rsid w:val="004D77BC"/>
    <w:rsid w:val="004D7AEA"/>
    <w:rsid w:val="004E044B"/>
    <w:rsid w:val="004E0472"/>
    <w:rsid w:val="004E0795"/>
    <w:rsid w:val="004E08CF"/>
    <w:rsid w:val="004E091E"/>
    <w:rsid w:val="004E1106"/>
    <w:rsid w:val="004E129E"/>
    <w:rsid w:val="004E138F"/>
    <w:rsid w:val="004E13D5"/>
    <w:rsid w:val="004E1589"/>
    <w:rsid w:val="004E16AA"/>
    <w:rsid w:val="004E16E3"/>
    <w:rsid w:val="004E18F4"/>
    <w:rsid w:val="004E1BB5"/>
    <w:rsid w:val="004E1D1B"/>
    <w:rsid w:val="004E1F55"/>
    <w:rsid w:val="004E2874"/>
    <w:rsid w:val="004E2CBF"/>
    <w:rsid w:val="004E2E0A"/>
    <w:rsid w:val="004E2FE8"/>
    <w:rsid w:val="004E33A3"/>
    <w:rsid w:val="004E3417"/>
    <w:rsid w:val="004E346F"/>
    <w:rsid w:val="004E363B"/>
    <w:rsid w:val="004E39BB"/>
    <w:rsid w:val="004E43C4"/>
    <w:rsid w:val="004E43E5"/>
    <w:rsid w:val="004E4517"/>
    <w:rsid w:val="004E4593"/>
    <w:rsid w:val="004E4649"/>
    <w:rsid w:val="004E489B"/>
    <w:rsid w:val="004E4C8A"/>
    <w:rsid w:val="004E4F5E"/>
    <w:rsid w:val="004E5459"/>
    <w:rsid w:val="004E5488"/>
    <w:rsid w:val="004E55EA"/>
    <w:rsid w:val="004E5A32"/>
    <w:rsid w:val="004E5C2B"/>
    <w:rsid w:val="004E66B1"/>
    <w:rsid w:val="004E7E05"/>
    <w:rsid w:val="004E7EC9"/>
    <w:rsid w:val="004F00DD"/>
    <w:rsid w:val="004F035C"/>
    <w:rsid w:val="004F059B"/>
    <w:rsid w:val="004F090A"/>
    <w:rsid w:val="004F0C36"/>
    <w:rsid w:val="004F0CD6"/>
    <w:rsid w:val="004F0D60"/>
    <w:rsid w:val="004F0F30"/>
    <w:rsid w:val="004F0F93"/>
    <w:rsid w:val="004F17FF"/>
    <w:rsid w:val="004F1DD4"/>
    <w:rsid w:val="004F2133"/>
    <w:rsid w:val="004F27CC"/>
    <w:rsid w:val="004F2891"/>
    <w:rsid w:val="004F2C52"/>
    <w:rsid w:val="004F2C54"/>
    <w:rsid w:val="004F2DAD"/>
    <w:rsid w:val="004F3C5F"/>
    <w:rsid w:val="004F3E78"/>
    <w:rsid w:val="004F43BE"/>
    <w:rsid w:val="004F4799"/>
    <w:rsid w:val="004F4E5C"/>
    <w:rsid w:val="004F529B"/>
    <w:rsid w:val="004F5398"/>
    <w:rsid w:val="004F55C7"/>
    <w:rsid w:val="004F55F1"/>
    <w:rsid w:val="004F5EBF"/>
    <w:rsid w:val="004F61E9"/>
    <w:rsid w:val="004F6463"/>
    <w:rsid w:val="004F6936"/>
    <w:rsid w:val="004F6F30"/>
    <w:rsid w:val="004F771E"/>
    <w:rsid w:val="004F7B35"/>
    <w:rsid w:val="004F7CB2"/>
    <w:rsid w:val="0050010F"/>
    <w:rsid w:val="00500617"/>
    <w:rsid w:val="00500888"/>
    <w:rsid w:val="005008D4"/>
    <w:rsid w:val="00500D9D"/>
    <w:rsid w:val="00501346"/>
    <w:rsid w:val="005018BB"/>
    <w:rsid w:val="00501CC6"/>
    <w:rsid w:val="005020F3"/>
    <w:rsid w:val="0050249A"/>
    <w:rsid w:val="0050257A"/>
    <w:rsid w:val="00502603"/>
    <w:rsid w:val="00502DC7"/>
    <w:rsid w:val="005031BE"/>
    <w:rsid w:val="00503B0D"/>
    <w:rsid w:val="00503BF9"/>
    <w:rsid w:val="00503DC6"/>
    <w:rsid w:val="00503F59"/>
    <w:rsid w:val="00504191"/>
    <w:rsid w:val="0050462B"/>
    <w:rsid w:val="00504945"/>
    <w:rsid w:val="00504D7D"/>
    <w:rsid w:val="00504DE8"/>
    <w:rsid w:val="0050537E"/>
    <w:rsid w:val="005061C8"/>
    <w:rsid w:val="00506433"/>
    <w:rsid w:val="00506F5D"/>
    <w:rsid w:val="00506FB6"/>
    <w:rsid w:val="00507744"/>
    <w:rsid w:val="005077AE"/>
    <w:rsid w:val="00507AE8"/>
    <w:rsid w:val="00507B02"/>
    <w:rsid w:val="00510A6D"/>
    <w:rsid w:val="00510C37"/>
    <w:rsid w:val="00511518"/>
    <w:rsid w:val="0051186B"/>
    <w:rsid w:val="00511A81"/>
    <w:rsid w:val="00511D89"/>
    <w:rsid w:val="00511DB3"/>
    <w:rsid w:val="00511F82"/>
    <w:rsid w:val="005126D0"/>
    <w:rsid w:val="005126F9"/>
    <w:rsid w:val="005128EF"/>
    <w:rsid w:val="00512ADF"/>
    <w:rsid w:val="00512ED9"/>
    <w:rsid w:val="00513183"/>
    <w:rsid w:val="005137BA"/>
    <w:rsid w:val="00514422"/>
    <w:rsid w:val="00514667"/>
    <w:rsid w:val="00514A21"/>
    <w:rsid w:val="005150C2"/>
    <w:rsid w:val="005152C5"/>
    <w:rsid w:val="005155AF"/>
    <w:rsid w:val="005155CD"/>
    <w:rsid w:val="0051568D"/>
    <w:rsid w:val="005161EC"/>
    <w:rsid w:val="00516B30"/>
    <w:rsid w:val="00516E02"/>
    <w:rsid w:val="00516F36"/>
    <w:rsid w:val="005170C0"/>
    <w:rsid w:val="00517885"/>
    <w:rsid w:val="00520068"/>
    <w:rsid w:val="0052090F"/>
    <w:rsid w:val="00520914"/>
    <w:rsid w:val="00520CBD"/>
    <w:rsid w:val="00520CCB"/>
    <w:rsid w:val="00520CDA"/>
    <w:rsid w:val="00520E71"/>
    <w:rsid w:val="00520EAF"/>
    <w:rsid w:val="00521281"/>
    <w:rsid w:val="00521790"/>
    <w:rsid w:val="00521851"/>
    <w:rsid w:val="00521B14"/>
    <w:rsid w:val="005229EF"/>
    <w:rsid w:val="00522EC4"/>
    <w:rsid w:val="0052323C"/>
    <w:rsid w:val="005232E4"/>
    <w:rsid w:val="005232FD"/>
    <w:rsid w:val="00523801"/>
    <w:rsid w:val="00523A09"/>
    <w:rsid w:val="0052459C"/>
    <w:rsid w:val="005247F0"/>
    <w:rsid w:val="00524C3F"/>
    <w:rsid w:val="00524DE9"/>
    <w:rsid w:val="00524F8E"/>
    <w:rsid w:val="00525216"/>
    <w:rsid w:val="005252D8"/>
    <w:rsid w:val="005256A4"/>
    <w:rsid w:val="005256DF"/>
    <w:rsid w:val="00525A10"/>
    <w:rsid w:val="00525BA9"/>
    <w:rsid w:val="0052687E"/>
    <w:rsid w:val="00526AC7"/>
    <w:rsid w:val="00526B12"/>
    <w:rsid w:val="00526C15"/>
    <w:rsid w:val="00527446"/>
    <w:rsid w:val="005276B3"/>
    <w:rsid w:val="0052771A"/>
    <w:rsid w:val="0052786E"/>
    <w:rsid w:val="00527ABC"/>
    <w:rsid w:val="005301E3"/>
    <w:rsid w:val="005303B7"/>
    <w:rsid w:val="00530402"/>
    <w:rsid w:val="00530680"/>
    <w:rsid w:val="00530E31"/>
    <w:rsid w:val="00530E4B"/>
    <w:rsid w:val="005317C0"/>
    <w:rsid w:val="005318CC"/>
    <w:rsid w:val="00531957"/>
    <w:rsid w:val="005319A1"/>
    <w:rsid w:val="00531A7D"/>
    <w:rsid w:val="00531C10"/>
    <w:rsid w:val="00531E3F"/>
    <w:rsid w:val="005326C9"/>
    <w:rsid w:val="00532885"/>
    <w:rsid w:val="005337B0"/>
    <w:rsid w:val="00534245"/>
    <w:rsid w:val="00534733"/>
    <w:rsid w:val="00534967"/>
    <w:rsid w:val="00534A2A"/>
    <w:rsid w:val="00534C03"/>
    <w:rsid w:val="005353CB"/>
    <w:rsid w:val="0053548E"/>
    <w:rsid w:val="0053573E"/>
    <w:rsid w:val="005359EE"/>
    <w:rsid w:val="00535E12"/>
    <w:rsid w:val="00536499"/>
    <w:rsid w:val="005368DA"/>
    <w:rsid w:val="00536AC5"/>
    <w:rsid w:val="0053714F"/>
    <w:rsid w:val="005371A3"/>
    <w:rsid w:val="00537519"/>
    <w:rsid w:val="0053799C"/>
    <w:rsid w:val="00537B0D"/>
    <w:rsid w:val="00537EB6"/>
    <w:rsid w:val="00540807"/>
    <w:rsid w:val="0054093B"/>
    <w:rsid w:val="00541865"/>
    <w:rsid w:val="005419FC"/>
    <w:rsid w:val="00541ACC"/>
    <w:rsid w:val="00542408"/>
    <w:rsid w:val="005428E0"/>
    <w:rsid w:val="00542989"/>
    <w:rsid w:val="00542A03"/>
    <w:rsid w:val="00542D0F"/>
    <w:rsid w:val="00542EDE"/>
    <w:rsid w:val="00543072"/>
    <w:rsid w:val="005430B5"/>
    <w:rsid w:val="00543903"/>
    <w:rsid w:val="00543B16"/>
    <w:rsid w:val="00543D8D"/>
    <w:rsid w:val="00543F11"/>
    <w:rsid w:val="00544186"/>
    <w:rsid w:val="0054418F"/>
    <w:rsid w:val="005449A7"/>
    <w:rsid w:val="00545395"/>
    <w:rsid w:val="005456A9"/>
    <w:rsid w:val="005456E1"/>
    <w:rsid w:val="00545838"/>
    <w:rsid w:val="00545A40"/>
    <w:rsid w:val="00545E19"/>
    <w:rsid w:val="00546305"/>
    <w:rsid w:val="00546520"/>
    <w:rsid w:val="005468B4"/>
    <w:rsid w:val="005469EE"/>
    <w:rsid w:val="00547397"/>
    <w:rsid w:val="00547A95"/>
    <w:rsid w:val="00547FE9"/>
    <w:rsid w:val="00550280"/>
    <w:rsid w:val="00550563"/>
    <w:rsid w:val="00550AB5"/>
    <w:rsid w:val="0055119B"/>
    <w:rsid w:val="005511D6"/>
    <w:rsid w:val="00551951"/>
    <w:rsid w:val="00551F9C"/>
    <w:rsid w:val="005528F9"/>
    <w:rsid w:val="00552A75"/>
    <w:rsid w:val="00552B3F"/>
    <w:rsid w:val="00552B44"/>
    <w:rsid w:val="00552BBE"/>
    <w:rsid w:val="005538B3"/>
    <w:rsid w:val="00554244"/>
    <w:rsid w:val="005544AA"/>
    <w:rsid w:val="00554FCD"/>
    <w:rsid w:val="00555199"/>
    <w:rsid w:val="00555388"/>
    <w:rsid w:val="0055570E"/>
    <w:rsid w:val="005559F0"/>
    <w:rsid w:val="00555D74"/>
    <w:rsid w:val="00556246"/>
    <w:rsid w:val="005564E8"/>
    <w:rsid w:val="00556A1E"/>
    <w:rsid w:val="00556A3F"/>
    <w:rsid w:val="0055774D"/>
    <w:rsid w:val="0055779B"/>
    <w:rsid w:val="00560946"/>
    <w:rsid w:val="00561008"/>
    <w:rsid w:val="00561202"/>
    <w:rsid w:val="00561764"/>
    <w:rsid w:val="005620F3"/>
    <w:rsid w:val="00562203"/>
    <w:rsid w:val="005624A4"/>
    <w:rsid w:val="005628B2"/>
    <w:rsid w:val="00562DF3"/>
    <w:rsid w:val="005635C4"/>
    <w:rsid w:val="005638E4"/>
    <w:rsid w:val="005639E0"/>
    <w:rsid w:val="00564A44"/>
    <w:rsid w:val="00564D91"/>
    <w:rsid w:val="00564EDE"/>
    <w:rsid w:val="00565090"/>
    <w:rsid w:val="005650E4"/>
    <w:rsid w:val="00565113"/>
    <w:rsid w:val="005652FC"/>
    <w:rsid w:val="005656FC"/>
    <w:rsid w:val="00565B23"/>
    <w:rsid w:val="00565D1D"/>
    <w:rsid w:val="005662A7"/>
    <w:rsid w:val="005667A3"/>
    <w:rsid w:val="005667AE"/>
    <w:rsid w:val="00566E8E"/>
    <w:rsid w:val="00567433"/>
    <w:rsid w:val="005674A0"/>
    <w:rsid w:val="00567B73"/>
    <w:rsid w:val="0057003A"/>
    <w:rsid w:val="00570081"/>
    <w:rsid w:val="0057011F"/>
    <w:rsid w:val="005703A5"/>
    <w:rsid w:val="005707E8"/>
    <w:rsid w:val="00570F1E"/>
    <w:rsid w:val="005716CB"/>
    <w:rsid w:val="005717C9"/>
    <w:rsid w:val="005717DA"/>
    <w:rsid w:val="005718C0"/>
    <w:rsid w:val="00571B7E"/>
    <w:rsid w:val="00572031"/>
    <w:rsid w:val="00572282"/>
    <w:rsid w:val="00572742"/>
    <w:rsid w:val="00572AB4"/>
    <w:rsid w:val="00572C43"/>
    <w:rsid w:val="00572D2B"/>
    <w:rsid w:val="00572F05"/>
    <w:rsid w:val="00573797"/>
    <w:rsid w:val="005737A3"/>
    <w:rsid w:val="005737D3"/>
    <w:rsid w:val="00573AC1"/>
    <w:rsid w:val="00573CE3"/>
    <w:rsid w:val="00574244"/>
    <w:rsid w:val="0057453D"/>
    <w:rsid w:val="00574AE4"/>
    <w:rsid w:val="00575247"/>
    <w:rsid w:val="005758D1"/>
    <w:rsid w:val="00575B58"/>
    <w:rsid w:val="00575DF3"/>
    <w:rsid w:val="00575FA4"/>
    <w:rsid w:val="00576205"/>
    <w:rsid w:val="00576A17"/>
    <w:rsid w:val="00576E84"/>
    <w:rsid w:val="00577075"/>
    <w:rsid w:val="00577252"/>
    <w:rsid w:val="00577408"/>
    <w:rsid w:val="00577EB0"/>
    <w:rsid w:val="00577FC4"/>
    <w:rsid w:val="00577FFD"/>
    <w:rsid w:val="00580394"/>
    <w:rsid w:val="005809AD"/>
    <w:rsid w:val="005809CD"/>
    <w:rsid w:val="00580EFB"/>
    <w:rsid w:val="00581973"/>
    <w:rsid w:val="00582168"/>
    <w:rsid w:val="00582671"/>
    <w:rsid w:val="005826DA"/>
    <w:rsid w:val="005827B8"/>
    <w:rsid w:val="00582AEE"/>
    <w:rsid w:val="00582B8C"/>
    <w:rsid w:val="005830B5"/>
    <w:rsid w:val="00583B43"/>
    <w:rsid w:val="00584588"/>
    <w:rsid w:val="00584A07"/>
    <w:rsid w:val="00584FDE"/>
    <w:rsid w:val="00585156"/>
    <w:rsid w:val="00585488"/>
    <w:rsid w:val="005854F3"/>
    <w:rsid w:val="005859D2"/>
    <w:rsid w:val="00585C03"/>
    <w:rsid w:val="00585C26"/>
    <w:rsid w:val="00585E30"/>
    <w:rsid w:val="005864E2"/>
    <w:rsid w:val="0058650A"/>
    <w:rsid w:val="0058666D"/>
    <w:rsid w:val="00586894"/>
    <w:rsid w:val="00586B99"/>
    <w:rsid w:val="00586E3B"/>
    <w:rsid w:val="00587168"/>
    <w:rsid w:val="005872B2"/>
    <w:rsid w:val="005872F8"/>
    <w:rsid w:val="0058757E"/>
    <w:rsid w:val="00587629"/>
    <w:rsid w:val="00587BB4"/>
    <w:rsid w:val="00587E11"/>
    <w:rsid w:val="00590025"/>
    <w:rsid w:val="00590451"/>
    <w:rsid w:val="00590548"/>
    <w:rsid w:val="00590A02"/>
    <w:rsid w:val="00590A5F"/>
    <w:rsid w:val="00591141"/>
    <w:rsid w:val="00591410"/>
    <w:rsid w:val="005919FC"/>
    <w:rsid w:val="00591B45"/>
    <w:rsid w:val="00591B4B"/>
    <w:rsid w:val="00591E8F"/>
    <w:rsid w:val="005935C1"/>
    <w:rsid w:val="00593666"/>
    <w:rsid w:val="00593779"/>
    <w:rsid w:val="00593A9C"/>
    <w:rsid w:val="00593F6C"/>
    <w:rsid w:val="0059401D"/>
    <w:rsid w:val="00594754"/>
    <w:rsid w:val="0059476B"/>
    <w:rsid w:val="0059496E"/>
    <w:rsid w:val="00594AD5"/>
    <w:rsid w:val="00594E3B"/>
    <w:rsid w:val="00595000"/>
    <w:rsid w:val="0059513C"/>
    <w:rsid w:val="00595755"/>
    <w:rsid w:val="00595807"/>
    <w:rsid w:val="00595998"/>
    <w:rsid w:val="005963B8"/>
    <w:rsid w:val="00596A4B"/>
    <w:rsid w:val="00596F2C"/>
    <w:rsid w:val="005970AD"/>
    <w:rsid w:val="00597507"/>
    <w:rsid w:val="00597B8E"/>
    <w:rsid w:val="00597C28"/>
    <w:rsid w:val="00597C42"/>
    <w:rsid w:val="00597C63"/>
    <w:rsid w:val="00597C9D"/>
    <w:rsid w:val="005A03E4"/>
    <w:rsid w:val="005A0472"/>
    <w:rsid w:val="005A090D"/>
    <w:rsid w:val="005A099E"/>
    <w:rsid w:val="005A0ACE"/>
    <w:rsid w:val="005A0BF9"/>
    <w:rsid w:val="005A0CC5"/>
    <w:rsid w:val="005A0DB7"/>
    <w:rsid w:val="005A1029"/>
    <w:rsid w:val="005A126A"/>
    <w:rsid w:val="005A13D9"/>
    <w:rsid w:val="005A16F8"/>
    <w:rsid w:val="005A19B5"/>
    <w:rsid w:val="005A1F49"/>
    <w:rsid w:val="005A2D0B"/>
    <w:rsid w:val="005A2D58"/>
    <w:rsid w:val="005A2E27"/>
    <w:rsid w:val="005A3981"/>
    <w:rsid w:val="005A399E"/>
    <w:rsid w:val="005A3A0D"/>
    <w:rsid w:val="005A3B10"/>
    <w:rsid w:val="005A3EF5"/>
    <w:rsid w:val="005A479D"/>
    <w:rsid w:val="005A48B7"/>
    <w:rsid w:val="005A4B47"/>
    <w:rsid w:val="005A4B6B"/>
    <w:rsid w:val="005A4C86"/>
    <w:rsid w:val="005A4DB4"/>
    <w:rsid w:val="005A4F34"/>
    <w:rsid w:val="005A519C"/>
    <w:rsid w:val="005A5306"/>
    <w:rsid w:val="005A55F5"/>
    <w:rsid w:val="005A598B"/>
    <w:rsid w:val="005A5AAF"/>
    <w:rsid w:val="005A5D0E"/>
    <w:rsid w:val="005A668C"/>
    <w:rsid w:val="005A66F5"/>
    <w:rsid w:val="005A67AB"/>
    <w:rsid w:val="005A6843"/>
    <w:rsid w:val="005A691B"/>
    <w:rsid w:val="005A6E4A"/>
    <w:rsid w:val="005A7697"/>
    <w:rsid w:val="005A7C4D"/>
    <w:rsid w:val="005B010A"/>
    <w:rsid w:val="005B0841"/>
    <w:rsid w:val="005B1BEE"/>
    <w:rsid w:val="005B1C6D"/>
    <w:rsid w:val="005B2072"/>
    <w:rsid w:val="005B21B6"/>
    <w:rsid w:val="005B2268"/>
    <w:rsid w:val="005B2668"/>
    <w:rsid w:val="005B349B"/>
    <w:rsid w:val="005B38F4"/>
    <w:rsid w:val="005B3928"/>
    <w:rsid w:val="005B3A08"/>
    <w:rsid w:val="005B3F8D"/>
    <w:rsid w:val="005B4070"/>
    <w:rsid w:val="005B43B6"/>
    <w:rsid w:val="005B47AD"/>
    <w:rsid w:val="005B4863"/>
    <w:rsid w:val="005B4ACE"/>
    <w:rsid w:val="005B5143"/>
    <w:rsid w:val="005B51D4"/>
    <w:rsid w:val="005B55C6"/>
    <w:rsid w:val="005B5C73"/>
    <w:rsid w:val="005B6516"/>
    <w:rsid w:val="005B659F"/>
    <w:rsid w:val="005B6614"/>
    <w:rsid w:val="005B7A63"/>
    <w:rsid w:val="005B7DEE"/>
    <w:rsid w:val="005B7E88"/>
    <w:rsid w:val="005B7EAE"/>
    <w:rsid w:val="005C01C4"/>
    <w:rsid w:val="005C0311"/>
    <w:rsid w:val="005C0819"/>
    <w:rsid w:val="005C0955"/>
    <w:rsid w:val="005C0CC7"/>
    <w:rsid w:val="005C15DC"/>
    <w:rsid w:val="005C19A0"/>
    <w:rsid w:val="005C1A43"/>
    <w:rsid w:val="005C2712"/>
    <w:rsid w:val="005C2DB1"/>
    <w:rsid w:val="005C2E6A"/>
    <w:rsid w:val="005C2E72"/>
    <w:rsid w:val="005C2EF1"/>
    <w:rsid w:val="005C31ED"/>
    <w:rsid w:val="005C3613"/>
    <w:rsid w:val="005C39ED"/>
    <w:rsid w:val="005C3A5F"/>
    <w:rsid w:val="005C3A9B"/>
    <w:rsid w:val="005C41B5"/>
    <w:rsid w:val="005C424E"/>
    <w:rsid w:val="005C48A3"/>
    <w:rsid w:val="005C49DA"/>
    <w:rsid w:val="005C4AAE"/>
    <w:rsid w:val="005C4CC3"/>
    <w:rsid w:val="005C50F3"/>
    <w:rsid w:val="005C54B5"/>
    <w:rsid w:val="005C5553"/>
    <w:rsid w:val="005C5839"/>
    <w:rsid w:val="005C5A5A"/>
    <w:rsid w:val="005C5C21"/>
    <w:rsid w:val="005C5D80"/>
    <w:rsid w:val="005C5D91"/>
    <w:rsid w:val="005C61D9"/>
    <w:rsid w:val="005C62FA"/>
    <w:rsid w:val="005C6B78"/>
    <w:rsid w:val="005C6CE5"/>
    <w:rsid w:val="005C6D02"/>
    <w:rsid w:val="005C72D8"/>
    <w:rsid w:val="005C7777"/>
    <w:rsid w:val="005C7C44"/>
    <w:rsid w:val="005D03C9"/>
    <w:rsid w:val="005D07B8"/>
    <w:rsid w:val="005D0CCE"/>
    <w:rsid w:val="005D0D52"/>
    <w:rsid w:val="005D0DBD"/>
    <w:rsid w:val="005D0ECC"/>
    <w:rsid w:val="005D1344"/>
    <w:rsid w:val="005D13D6"/>
    <w:rsid w:val="005D1569"/>
    <w:rsid w:val="005D1DBE"/>
    <w:rsid w:val="005D1ECC"/>
    <w:rsid w:val="005D209D"/>
    <w:rsid w:val="005D24C4"/>
    <w:rsid w:val="005D24E9"/>
    <w:rsid w:val="005D278E"/>
    <w:rsid w:val="005D2921"/>
    <w:rsid w:val="005D4081"/>
    <w:rsid w:val="005D44C1"/>
    <w:rsid w:val="005D48BD"/>
    <w:rsid w:val="005D4AA0"/>
    <w:rsid w:val="005D4ABC"/>
    <w:rsid w:val="005D4DF5"/>
    <w:rsid w:val="005D4E0D"/>
    <w:rsid w:val="005D4E9F"/>
    <w:rsid w:val="005D4ECD"/>
    <w:rsid w:val="005D519C"/>
    <w:rsid w:val="005D53B5"/>
    <w:rsid w:val="005D568F"/>
    <w:rsid w:val="005D5721"/>
    <w:rsid w:val="005D58F2"/>
    <w:rsid w:val="005D5C96"/>
    <w:rsid w:val="005D5ED8"/>
    <w:rsid w:val="005D5F61"/>
    <w:rsid w:val="005D6597"/>
    <w:rsid w:val="005D6614"/>
    <w:rsid w:val="005D6756"/>
    <w:rsid w:val="005D6A5B"/>
    <w:rsid w:val="005D6CEB"/>
    <w:rsid w:val="005D74D5"/>
    <w:rsid w:val="005D794A"/>
    <w:rsid w:val="005D79B8"/>
    <w:rsid w:val="005E00A8"/>
    <w:rsid w:val="005E02E7"/>
    <w:rsid w:val="005E041E"/>
    <w:rsid w:val="005E0530"/>
    <w:rsid w:val="005E0621"/>
    <w:rsid w:val="005E07FF"/>
    <w:rsid w:val="005E08D1"/>
    <w:rsid w:val="005E0F32"/>
    <w:rsid w:val="005E14E7"/>
    <w:rsid w:val="005E16BC"/>
    <w:rsid w:val="005E199B"/>
    <w:rsid w:val="005E19BF"/>
    <w:rsid w:val="005E1DF0"/>
    <w:rsid w:val="005E2631"/>
    <w:rsid w:val="005E26A3"/>
    <w:rsid w:val="005E2768"/>
    <w:rsid w:val="005E2E28"/>
    <w:rsid w:val="005E2E9F"/>
    <w:rsid w:val="005E2ECB"/>
    <w:rsid w:val="005E3214"/>
    <w:rsid w:val="005E39C5"/>
    <w:rsid w:val="005E3BE2"/>
    <w:rsid w:val="005E3E41"/>
    <w:rsid w:val="005E3FCA"/>
    <w:rsid w:val="005E41FC"/>
    <w:rsid w:val="005E4268"/>
    <w:rsid w:val="005E427D"/>
    <w:rsid w:val="005E438A"/>
    <w:rsid w:val="005E447E"/>
    <w:rsid w:val="005E44B6"/>
    <w:rsid w:val="005E454F"/>
    <w:rsid w:val="005E4CF8"/>
    <w:rsid w:val="005E4FD1"/>
    <w:rsid w:val="005E5016"/>
    <w:rsid w:val="005E5C2F"/>
    <w:rsid w:val="005E5FCE"/>
    <w:rsid w:val="005E6D9A"/>
    <w:rsid w:val="005E77D5"/>
    <w:rsid w:val="005E7A17"/>
    <w:rsid w:val="005E7A65"/>
    <w:rsid w:val="005E7C30"/>
    <w:rsid w:val="005F0053"/>
    <w:rsid w:val="005F04F2"/>
    <w:rsid w:val="005F0775"/>
    <w:rsid w:val="005F0858"/>
    <w:rsid w:val="005F08BD"/>
    <w:rsid w:val="005F08FC"/>
    <w:rsid w:val="005F0A78"/>
    <w:rsid w:val="005F0CF5"/>
    <w:rsid w:val="005F0FAE"/>
    <w:rsid w:val="005F1849"/>
    <w:rsid w:val="005F18D6"/>
    <w:rsid w:val="005F1FDE"/>
    <w:rsid w:val="005F21EB"/>
    <w:rsid w:val="005F2513"/>
    <w:rsid w:val="005F262D"/>
    <w:rsid w:val="005F2E04"/>
    <w:rsid w:val="005F3021"/>
    <w:rsid w:val="005F3088"/>
    <w:rsid w:val="005F393C"/>
    <w:rsid w:val="005F3AA8"/>
    <w:rsid w:val="005F3F92"/>
    <w:rsid w:val="005F4CBF"/>
    <w:rsid w:val="005F4DCA"/>
    <w:rsid w:val="005F506E"/>
    <w:rsid w:val="005F5843"/>
    <w:rsid w:val="005F5B36"/>
    <w:rsid w:val="005F5D40"/>
    <w:rsid w:val="005F5D87"/>
    <w:rsid w:val="005F5E79"/>
    <w:rsid w:val="005F64CF"/>
    <w:rsid w:val="005F6801"/>
    <w:rsid w:val="005F6E40"/>
    <w:rsid w:val="005F7C92"/>
    <w:rsid w:val="005F7DC2"/>
    <w:rsid w:val="005F7E25"/>
    <w:rsid w:val="006000E3"/>
    <w:rsid w:val="0060039E"/>
    <w:rsid w:val="00600432"/>
    <w:rsid w:val="006008F8"/>
    <w:rsid w:val="00600F90"/>
    <w:rsid w:val="0060134C"/>
    <w:rsid w:val="006017B9"/>
    <w:rsid w:val="00601946"/>
    <w:rsid w:val="00601A71"/>
    <w:rsid w:val="00601B6C"/>
    <w:rsid w:val="00601FBF"/>
    <w:rsid w:val="00602352"/>
    <w:rsid w:val="006031A0"/>
    <w:rsid w:val="0060397F"/>
    <w:rsid w:val="00603D9F"/>
    <w:rsid w:val="0060410A"/>
    <w:rsid w:val="006041AD"/>
    <w:rsid w:val="0060439E"/>
    <w:rsid w:val="00604693"/>
    <w:rsid w:val="00605908"/>
    <w:rsid w:val="00605A3C"/>
    <w:rsid w:val="00605C89"/>
    <w:rsid w:val="006064DC"/>
    <w:rsid w:val="00606880"/>
    <w:rsid w:val="00606B23"/>
    <w:rsid w:val="0060708E"/>
    <w:rsid w:val="0060710D"/>
    <w:rsid w:val="0060715C"/>
    <w:rsid w:val="006072CD"/>
    <w:rsid w:val="00607850"/>
    <w:rsid w:val="00607ADE"/>
    <w:rsid w:val="00607F6B"/>
    <w:rsid w:val="00610886"/>
    <w:rsid w:val="00610D7C"/>
    <w:rsid w:val="00610FC2"/>
    <w:rsid w:val="006113F0"/>
    <w:rsid w:val="0061185A"/>
    <w:rsid w:val="006119CA"/>
    <w:rsid w:val="00612196"/>
    <w:rsid w:val="00612372"/>
    <w:rsid w:val="0061255E"/>
    <w:rsid w:val="0061261E"/>
    <w:rsid w:val="00612768"/>
    <w:rsid w:val="006128B0"/>
    <w:rsid w:val="00612CED"/>
    <w:rsid w:val="0061316A"/>
    <w:rsid w:val="006133AE"/>
    <w:rsid w:val="00613414"/>
    <w:rsid w:val="00613901"/>
    <w:rsid w:val="00613B74"/>
    <w:rsid w:val="0061442C"/>
    <w:rsid w:val="00614BE6"/>
    <w:rsid w:val="00614CAF"/>
    <w:rsid w:val="00614F00"/>
    <w:rsid w:val="00615EB4"/>
    <w:rsid w:val="0061671E"/>
    <w:rsid w:val="00616DE7"/>
    <w:rsid w:val="00617BB2"/>
    <w:rsid w:val="00620154"/>
    <w:rsid w:val="006202EB"/>
    <w:rsid w:val="006215B4"/>
    <w:rsid w:val="0062173F"/>
    <w:rsid w:val="0062180C"/>
    <w:rsid w:val="00621BC7"/>
    <w:rsid w:val="00622B68"/>
    <w:rsid w:val="0062363D"/>
    <w:rsid w:val="00623CA5"/>
    <w:rsid w:val="0062408D"/>
    <w:rsid w:val="006240CC"/>
    <w:rsid w:val="0062442A"/>
    <w:rsid w:val="00624940"/>
    <w:rsid w:val="00624B02"/>
    <w:rsid w:val="00624DB4"/>
    <w:rsid w:val="00624F0C"/>
    <w:rsid w:val="006252DB"/>
    <w:rsid w:val="006254F8"/>
    <w:rsid w:val="00625675"/>
    <w:rsid w:val="00625C16"/>
    <w:rsid w:val="00626497"/>
    <w:rsid w:val="0062652E"/>
    <w:rsid w:val="006270B7"/>
    <w:rsid w:val="006272DC"/>
    <w:rsid w:val="006275F1"/>
    <w:rsid w:val="006278BE"/>
    <w:rsid w:val="00627D62"/>
    <w:rsid w:val="00627DA7"/>
    <w:rsid w:val="006304D3"/>
    <w:rsid w:val="006306C3"/>
    <w:rsid w:val="00630DA4"/>
    <w:rsid w:val="00630E13"/>
    <w:rsid w:val="00631004"/>
    <w:rsid w:val="00631018"/>
    <w:rsid w:val="006310D5"/>
    <w:rsid w:val="006313C8"/>
    <w:rsid w:val="0063193D"/>
    <w:rsid w:val="00631BC1"/>
    <w:rsid w:val="00631CD4"/>
    <w:rsid w:val="00632006"/>
    <w:rsid w:val="006324A4"/>
    <w:rsid w:val="00632561"/>
    <w:rsid w:val="00632597"/>
    <w:rsid w:val="006339C4"/>
    <w:rsid w:val="00633CA0"/>
    <w:rsid w:val="00633F7F"/>
    <w:rsid w:val="00633FA6"/>
    <w:rsid w:val="00634082"/>
    <w:rsid w:val="0063488E"/>
    <w:rsid w:val="00634B00"/>
    <w:rsid w:val="00634D13"/>
    <w:rsid w:val="00634E55"/>
    <w:rsid w:val="0063504B"/>
    <w:rsid w:val="0063523F"/>
    <w:rsid w:val="0063548D"/>
    <w:rsid w:val="006358B4"/>
    <w:rsid w:val="00635A45"/>
    <w:rsid w:val="00636149"/>
    <w:rsid w:val="006366F4"/>
    <w:rsid w:val="006368B9"/>
    <w:rsid w:val="00636924"/>
    <w:rsid w:val="00636B4C"/>
    <w:rsid w:val="00636EAF"/>
    <w:rsid w:val="00636FEF"/>
    <w:rsid w:val="00637B79"/>
    <w:rsid w:val="00637BA5"/>
    <w:rsid w:val="00637F8D"/>
    <w:rsid w:val="006404B8"/>
    <w:rsid w:val="0064053D"/>
    <w:rsid w:val="00640560"/>
    <w:rsid w:val="006409D5"/>
    <w:rsid w:val="006409E9"/>
    <w:rsid w:val="00641075"/>
    <w:rsid w:val="0064122D"/>
    <w:rsid w:val="00641368"/>
    <w:rsid w:val="006414B7"/>
    <w:rsid w:val="00641724"/>
    <w:rsid w:val="006419AA"/>
    <w:rsid w:val="006419CB"/>
    <w:rsid w:val="00641E79"/>
    <w:rsid w:val="006428C9"/>
    <w:rsid w:val="00643215"/>
    <w:rsid w:val="00643252"/>
    <w:rsid w:val="0064341B"/>
    <w:rsid w:val="006434C4"/>
    <w:rsid w:val="00643600"/>
    <w:rsid w:val="006438D8"/>
    <w:rsid w:val="006439BB"/>
    <w:rsid w:val="00643A4F"/>
    <w:rsid w:val="00643C5D"/>
    <w:rsid w:val="00643F55"/>
    <w:rsid w:val="006446BA"/>
    <w:rsid w:val="00644B1F"/>
    <w:rsid w:val="00644B7E"/>
    <w:rsid w:val="00644BF1"/>
    <w:rsid w:val="00644FA9"/>
    <w:rsid w:val="006454E6"/>
    <w:rsid w:val="00645568"/>
    <w:rsid w:val="00645960"/>
    <w:rsid w:val="00645CFD"/>
    <w:rsid w:val="00645E55"/>
    <w:rsid w:val="00646235"/>
    <w:rsid w:val="006469AC"/>
    <w:rsid w:val="00646A68"/>
    <w:rsid w:val="00646CDA"/>
    <w:rsid w:val="006473B2"/>
    <w:rsid w:val="006474A6"/>
    <w:rsid w:val="006474E1"/>
    <w:rsid w:val="00647A91"/>
    <w:rsid w:val="00647B30"/>
    <w:rsid w:val="00647BC2"/>
    <w:rsid w:val="00647F1D"/>
    <w:rsid w:val="0065031C"/>
    <w:rsid w:val="006505BD"/>
    <w:rsid w:val="006508EA"/>
    <w:rsid w:val="0065092E"/>
    <w:rsid w:val="00650955"/>
    <w:rsid w:val="00651043"/>
    <w:rsid w:val="00651329"/>
    <w:rsid w:val="0065137C"/>
    <w:rsid w:val="00651417"/>
    <w:rsid w:val="0065166F"/>
    <w:rsid w:val="0065185D"/>
    <w:rsid w:val="006520F6"/>
    <w:rsid w:val="0065234A"/>
    <w:rsid w:val="006527EB"/>
    <w:rsid w:val="00652E12"/>
    <w:rsid w:val="006531A4"/>
    <w:rsid w:val="006531BB"/>
    <w:rsid w:val="00653483"/>
    <w:rsid w:val="0065386F"/>
    <w:rsid w:val="00653904"/>
    <w:rsid w:val="00653A21"/>
    <w:rsid w:val="006557A7"/>
    <w:rsid w:val="0065588B"/>
    <w:rsid w:val="00656290"/>
    <w:rsid w:val="006566AB"/>
    <w:rsid w:val="006567C2"/>
    <w:rsid w:val="006578CB"/>
    <w:rsid w:val="00657D8C"/>
    <w:rsid w:val="00657EB3"/>
    <w:rsid w:val="006601C9"/>
    <w:rsid w:val="00660808"/>
    <w:rsid w:val="006608D8"/>
    <w:rsid w:val="00660FC1"/>
    <w:rsid w:val="0066103B"/>
    <w:rsid w:val="0066165B"/>
    <w:rsid w:val="00661815"/>
    <w:rsid w:val="00661A21"/>
    <w:rsid w:val="006621D7"/>
    <w:rsid w:val="006623EC"/>
    <w:rsid w:val="00662444"/>
    <w:rsid w:val="006624E5"/>
    <w:rsid w:val="006626A6"/>
    <w:rsid w:val="0066302A"/>
    <w:rsid w:val="00663D25"/>
    <w:rsid w:val="006642C1"/>
    <w:rsid w:val="00664866"/>
    <w:rsid w:val="00665862"/>
    <w:rsid w:val="00665C37"/>
    <w:rsid w:val="006660A4"/>
    <w:rsid w:val="006666D8"/>
    <w:rsid w:val="00666BC6"/>
    <w:rsid w:val="00666C06"/>
    <w:rsid w:val="00666C72"/>
    <w:rsid w:val="0066713A"/>
    <w:rsid w:val="0066767E"/>
    <w:rsid w:val="006676ED"/>
    <w:rsid w:val="006676F8"/>
    <w:rsid w:val="00667770"/>
    <w:rsid w:val="00667EE9"/>
    <w:rsid w:val="00670069"/>
    <w:rsid w:val="00670597"/>
    <w:rsid w:val="006706D0"/>
    <w:rsid w:val="00670CEC"/>
    <w:rsid w:val="00670FCE"/>
    <w:rsid w:val="006710B6"/>
    <w:rsid w:val="00671581"/>
    <w:rsid w:val="00671634"/>
    <w:rsid w:val="00671E55"/>
    <w:rsid w:val="00671F62"/>
    <w:rsid w:val="0067206C"/>
    <w:rsid w:val="006723D7"/>
    <w:rsid w:val="006727D9"/>
    <w:rsid w:val="006734C3"/>
    <w:rsid w:val="006735F9"/>
    <w:rsid w:val="00673AAC"/>
    <w:rsid w:val="00673B90"/>
    <w:rsid w:val="00673C17"/>
    <w:rsid w:val="00673C45"/>
    <w:rsid w:val="00673FFD"/>
    <w:rsid w:val="00674568"/>
    <w:rsid w:val="00674DB7"/>
    <w:rsid w:val="006758A7"/>
    <w:rsid w:val="00676510"/>
    <w:rsid w:val="006765F1"/>
    <w:rsid w:val="00676BD8"/>
    <w:rsid w:val="00676FC5"/>
    <w:rsid w:val="00677574"/>
    <w:rsid w:val="00677595"/>
    <w:rsid w:val="00680190"/>
    <w:rsid w:val="00680976"/>
    <w:rsid w:val="00680ED6"/>
    <w:rsid w:val="0068112F"/>
    <w:rsid w:val="00681844"/>
    <w:rsid w:val="00681C91"/>
    <w:rsid w:val="00682064"/>
    <w:rsid w:val="0068216B"/>
    <w:rsid w:val="0068234D"/>
    <w:rsid w:val="0068247F"/>
    <w:rsid w:val="006824FB"/>
    <w:rsid w:val="00682745"/>
    <w:rsid w:val="006828E9"/>
    <w:rsid w:val="00682E15"/>
    <w:rsid w:val="00682E45"/>
    <w:rsid w:val="00683267"/>
    <w:rsid w:val="00683878"/>
    <w:rsid w:val="00684036"/>
    <w:rsid w:val="0068422E"/>
    <w:rsid w:val="0068454C"/>
    <w:rsid w:val="006845E7"/>
    <w:rsid w:val="006846B7"/>
    <w:rsid w:val="00684B3A"/>
    <w:rsid w:val="006851FB"/>
    <w:rsid w:val="006852A4"/>
    <w:rsid w:val="00685B83"/>
    <w:rsid w:val="00685F56"/>
    <w:rsid w:val="006860DF"/>
    <w:rsid w:val="00686B43"/>
    <w:rsid w:val="00686CA4"/>
    <w:rsid w:val="00686CB3"/>
    <w:rsid w:val="00686EF6"/>
    <w:rsid w:val="0068737D"/>
    <w:rsid w:val="00687BD5"/>
    <w:rsid w:val="00687ECD"/>
    <w:rsid w:val="006901B9"/>
    <w:rsid w:val="006902A7"/>
    <w:rsid w:val="006907CD"/>
    <w:rsid w:val="00690856"/>
    <w:rsid w:val="006916E5"/>
    <w:rsid w:val="00691881"/>
    <w:rsid w:val="00691887"/>
    <w:rsid w:val="00691925"/>
    <w:rsid w:val="00691B62"/>
    <w:rsid w:val="00691D2C"/>
    <w:rsid w:val="00692C91"/>
    <w:rsid w:val="0069307B"/>
    <w:rsid w:val="00693356"/>
    <w:rsid w:val="006933B5"/>
    <w:rsid w:val="006935E0"/>
    <w:rsid w:val="00693B31"/>
    <w:rsid w:val="00693D14"/>
    <w:rsid w:val="00694276"/>
    <w:rsid w:val="00694F90"/>
    <w:rsid w:val="00695233"/>
    <w:rsid w:val="00695418"/>
    <w:rsid w:val="00695A93"/>
    <w:rsid w:val="00695CF4"/>
    <w:rsid w:val="00695D56"/>
    <w:rsid w:val="00696162"/>
    <w:rsid w:val="0069639D"/>
    <w:rsid w:val="006965B5"/>
    <w:rsid w:val="0069696E"/>
    <w:rsid w:val="00696B36"/>
    <w:rsid w:val="00696F27"/>
    <w:rsid w:val="006971B9"/>
    <w:rsid w:val="00697A74"/>
    <w:rsid w:val="00697DFD"/>
    <w:rsid w:val="006A02CF"/>
    <w:rsid w:val="006A04FB"/>
    <w:rsid w:val="006A072A"/>
    <w:rsid w:val="006A0F4D"/>
    <w:rsid w:val="006A109D"/>
    <w:rsid w:val="006A116A"/>
    <w:rsid w:val="006A1267"/>
    <w:rsid w:val="006A18C2"/>
    <w:rsid w:val="006A1D86"/>
    <w:rsid w:val="006A2044"/>
    <w:rsid w:val="006A21D7"/>
    <w:rsid w:val="006A21EE"/>
    <w:rsid w:val="006A2F83"/>
    <w:rsid w:val="006A3011"/>
    <w:rsid w:val="006A337B"/>
    <w:rsid w:val="006A3383"/>
    <w:rsid w:val="006A344D"/>
    <w:rsid w:val="006A399E"/>
    <w:rsid w:val="006A3D02"/>
    <w:rsid w:val="006A3DBC"/>
    <w:rsid w:val="006A3FB9"/>
    <w:rsid w:val="006A4024"/>
    <w:rsid w:val="006A40D8"/>
    <w:rsid w:val="006A4426"/>
    <w:rsid w:val="006A4472"/>
    <w:rsid w:val="006A473A"/>
    <w:rsid w:val="006A4DB8"/>
    <w:rsid w:val="006A5599"/>
    <w:rsid w:val="006A55A5"/>
    <w:rsid w:val="006A5C84"/>
    <w:rsid w:val="006A61A4"/>
    <w:rsid w:val="006A68E4"/>
    <w:rsid w:val="006A7337"/>
    <w:rsid w:val="006A74C1"/>
    <w:rsid w:val="006A77BA"/>
    <w:rsid w:val="006A7BBF"/>
    <w:rsid w:val="006A7DD1"/>
    <w:rsid w:val="006A7DEC"/>
    <w:rsid w:val="006A7E10"/>
    <w:rsid w:val="006B032F"/>
    <w:rsid w:val="006B0673"/>
    <w:rsid w:val="006B06D2"/>
    <w:rsid w:val="006B077C"/>
    <w:rsid w:val="006B0861"/>
    <w:rsid w:val="006B0D34"/>
    <w:rsid w:val="006B16AF"/>
    <w:rsid w:val="006B171A"/>
    <w:rsid w:val="006B18B8"/>
    <w:rsid w:val="006B1991"/>
    <w:rsid w:val="006B1A18"/>
    <w:rsid w:val="006B1AF3"/>
    <w:rsid w:val="006B204E"/>
    <w:rsid w:val="006B2380"/>
    <w:rsid w:val="006B24A0"/>
    <w:rsid w:val="006B287D"/>
    <w:rsid w:val="006B3C1B"/>
    <w:rsid w:val="006B3CAE"/>
    <w:rsid w:val="006B3DD2"/>
    <w:rsid w:val="006B3F21"/>
    <w:rsid w:val="006B424E"/>
    <w:rsid w:val="006B43F8"/>
    <w:rsid w:val="006B4653"/>
    <w:rsid w:val="006B4793"/>
    <w:rsid w:val="006B4B6E"/>
    <w:rsid w:val="006B4C36"/>
    <w:rsid w:val="006B4FB9"/>
    <w:rsid w:val="006B50E8"/>
    <w:rsid w:val="006B512B"/>
    <w:rsid w:val="006B5AEA"/>
    <w:rsid w:val="006B5BF1"/>
    <w:rsid w:val="006B649E"/>
    <w:rsid w:val="006B6803"/>
    <w:rsid w:val="006B6A1A"/>
    <w:rsid w:val="006B7307"/>
    <w:rsid w:val="006B733F"/>
    <w:rsid w:val="006B7741"/>
    <w:rsid w:val="006B7DB9"/>
    <w:rsid w:val="006B7FA4"/>
    <w:rsid w:val="006C0292"/>
    <w:rsid w:val="006C02E7"/>
    <w:rsid w:val="006C066D"/>
    <w:rsid w:val="006C07F6"/>
    <w:rsid w:val="006C0BD9"/>
    <w:rsid w:val="006C1004"/>
    <w:rsid w:val="006C1240"/>
    <w:rsid w:val="006C12BA"/>
    <w:rsid w:val="006C17A1"/>
    <w:rsid w:val="006C1B64"/>
    <w:rsid w:val="006C20B6"/>
    <w:rsid w:val="006C22D8"/>
    <w:rsid w:val="006C24D5"/>
    <w:rsid w:val="006C29D4"/>
    <w:rsid w:val="006C2E12"/>
    <w:rsid w:val="006C3C4F"/>
    <w:rsid w:val="006C407B"/>
    <w:rsid w:val="006C464D"/>
    <w:rsid w:val="006C4F15"/>
    <w:rsid w:val="006C517B"/>
    <w:rsid w:val="006C57C6"/>
    <w:rsid w:val="006C5AA3"/>
    <w:rsid w:val="006C5CCD"/>
    <w:rsid w:val="006C6007"/>
    <w:rsid w:val="006C6193"/>
    <w:rsid w:val="006C6352"/>
    <w:rsid w:val="006C63F6"/>
    <w:rsid w:val="006C670A"/>
    <w:rsid w:val="006C6AB1"/>
    <w:rsid w:val="006C6F40"/>
    <w:rsid w:val="006C7024"/>
    <w:rsid w:val="006C708A"/>
    <w:rsid w:val="006C74BB"/>
    <w:rsid w:val="006C75A7"/>
    <w:rsid w:val="006C785F"/>
    <w:rsid w:val="006C7A36"/>
    <w:rsid w:val="006D0F16"/>
    <w:rsid w:val="006D0FEB"/>
    <w:rsid w:val="006D16F7"/>
    <w:rsid w:val="006D196F"/>
    <w:rsid w:val="006D1A6B"/>
    <w:rsid w:val="006D1C6B"/>
    <w:rsid w:val="006D2446"/>
    <w:rsid w:val="006D2579"/>
    <w:rsid w:val="006D272A"/>
    <w:rsid w:val="006D2A3F"/>
    <w:rsid w:val="006D2FBC"/>
    <w:rsid w:val="006D30C0"/>
    <w:rsid w:val="006D3107"/>
    <w:rsid w:val="006D31E6"/>
    <w:rsid w:val="006D32B7"/>
    <w:rsid w:val="006D3482"/>
    <w:rsid w:val="006D3537"/>
    <w:rsid w:val="006D3A65"/>
    <w:rsid w:val="006D3C7F"/>
    <w:rsid w:val="006D416F"/>
    <w:rsid w:val="006D44B9"/>
    <w:rsid w:val="006D4558"/>
    <w:rsid w:val="006D46A2"/>
    <w:rsid w:val="006D4F8E"/>
    <w:rsid w:val="006D53A3"/>
    <w:rsid w:val="006D54E4"/>
    <w:rsid w:val="006D5706"/>
    <w:rsid w:val="006D5797"/>
    <w:rsid w:val="006D5868"/>
    <w:rsid w:val="006D58E1"/>
    <w:rsid w:val="006D5D55"/>
    <w:rsid w:val="006D5E6E"/>
    <w:rsid w:val="006D63EB"/>
    <w:rsid w:val="006D666C"/>
    <w:rsid w:val="006D68AA"/>
    <w:rsid w:val="006D68D9"/>
    <w:rsid w:val="006D6EB6"/>
    <w:rsid w:val="006D7754"/>
    <w:rsid w:val="006D7805"/>
    <w:rsid w:val="006D788F"/>
    <w:rsid w:val="006D7927"/>
    <w:rsid w:val="006D7E01"/>
    <w:rsid w:val="006D7E89"/>
    <w:rsid w:val="006E0CFB"/>
    <w:rsid w:val="006E138B"/>
    <w:rsid w:val="006E1867"/>
    <w:rsid w:val="006E1EA0"/>
    <w:rsid w:val="006E1F2C"/>
    <w:rsid w:val="006E2100"/>
    <w:rsid w:val="006E2466"/>
    <w:rsid w:val="006E2C22"/>
    <w:rsid w:val="006E2E37"/>
    <w:rsid w:val="006E304F"/>
    <w:rsid w:val="006E3168"/>
    <w:rsid w:val="006E31AA"/>
    <w:rsid w:val="006E330D"/>
    <w:rsid w:val="006E33C3"/>
    <w:rsid w:val="006E3559"/>
    <w:rsid w:val="006E38A2"/>
    <w:rsid w:val="006E3D39"/>
    <w:rsid w:val="006E3EF2"/>
    <w:rsid w:val="006E49CE"/>
    <w:rsid w:val="006E4C1C"/>
    <w:rsid w:val="006E509F"/>
    <w:rsid w:val="006E50FD"/>
    <w:rsid w:val="006E5563"/>
    <w:rsid w:val="006E5790"/>
    <w:rsid w:val="006E5C63"/>
    <w:rsid w:val="006E642A"/>
    <w:rsid w:val="006E6FF2"/>
    <w:rsid w:val="006E70FF"/>
    <w:rsid w:val="006E74BA"/>
    <w:rsid w:val="006E78D9"/>
    <w:rsid w:val="006E7CD6"/>
    <w:rsid w:val="006F0330"/>
    <w:rsid w:val="006F03DD"/>
    <w:rsid w:val="006F0B7E"/>
    <w:rsid w:val="006F1A2C"/>
    <w:rsid w:val="006F1FDC"/>
    <w:rsid w:val="006F2001"/>
    <w:rsid w:val="006F2CE0"/>
    <w:rsid w:val="006F2E15"/>
    <w:rsid w:val="006F2E4F"/>
    <w:rsid w:val="006F35AE"/>
    <w:rsid w:val="006F36C8"/>
    <w:rsid w:val="006F3842"/>
    <w:rsid w:val="006F3A7A"/>
    <w:rsid w:val="006F3D78"/>
    <w:rsid w:val="006F414B"/>
    <w:rsid w:val="006F459E"/>
    <w:rsid w:val="006F4642"/>
    <w:rsid w:val="006F479A"/>
    <w:rsid w:val="006F4848"/>
    <w:rsid w:val="006F502D"/>
    <w:rsid w:val="006F590C"/>
    <w:rsid w:val="006F5AF8"/>
    <w:rsid w:val="006F5D9E"/>
    <w:rsid w:val="006F6065"/>
    <w:rsid w:val="006F665C"/>
    <w:rsid w:val="006F6B8C"/>
    <w:rsid w:val="006F6E30"/>
    <w:rsid w:val="006F758D"/>
    <w:rsid w:val="006F7E45"/>
    <w:rsid w:val="00700232"/>
    <w:rsid w:val="0070041E"/>
    <w:rsid w:val="00700772"/>
    <w:rsid w:val="00700B63"/>
    <w:rsid w:val="00700C63"/>
    <w:rsid w:val="00700F15"/>
    <w:rsid w:val="00700FB7"/>
    <w:rsid w:val="007010B6"/>
    <w:rsid w:val="00701370"/>
    <w:rsid w:val="007013EF"/>
    <w:rsid w:val="00701BDF"/>
    <w:rsid w:val="00702093"/>
    <w:rsid w:val="00702345"/>
    <w:rsid w:val="007023FF"/>
    <w:rsid w:val="00702712"/>
    <w:rsid w:val="00702A6F"/>
    <w:rsid w:val="00703257"/>
    <w:rsid w:val="0070385D"/>
    <w:rsid w:val="00704081"/>
    <w:rsid w:val="007040F5"/>
    <w:rsid w:val="00705478"/>
    <w:rsid w:val="007055BD"/>
    <w:rsid w:val="007063D4"/>
    <w:rsid w:val="00706512"/>
    <w:rsid w:val="0070695E"/>
    <w:rsid w:val="007070CB"/>
    <w:rsid w:val="007077F0"/>
    <w:rsid w:val="0070780E"/>
    <w:rsid w:val="00707A5B"/>
    <w:rsid w:val="00707D5C"/>
    <w:rsid w:val="00707E26"/>
    <w:rsid w:val="00707E58"/>
    <w:rsid w:val="00710345"/>
    <w:rsid w:val="0071139D"/>
    <w:rsid w:val="0071186A"/>
    <w:rsid w:val="007119F0"/>
    <w:rsid w:val="00712B73"/>
    <w:rsid w:val="00712D34"/>
    <w:rsid w:val="00712E0F"/>
    <w:rsid w:val="007130AC"/>
    <w:rsid w:val="007133C7"/>
    <w:rsid w:val="0071420C"/>
    <w:rsid w:val="0071479B"/>
    <w:rsid w:val="00714BD0"/>
    <w:rsid w:val="00714F7C"/>
    <w:rsid w:val="007150AD"/>
    <w:rsid w:val="00715392"/>
    <w:rsid w:val="007155E2"/>
    <w:rsid w:val="0071591B"/>
    <w:rsid w:val="0071669D"/>
    <w:rsid w:val="00716961"/>
    <w:rsid w:val="00717335"/>
    <w:rsid w:val="007173CA"/>
    <w:rsid w:val="0071740A"/>
    <w:rsid w:val="00717538"/>
    <w:rsid w:val="007177F3"/>
    <w:rsid w:val="00717C7E"/>
    <w:rsid w:val="007200F5"/>
    <w:rsid w:val="00720559"/>
    <w:rsid w:val="007208AB"/>
    <w:rsid w:val="00720957"/>
    <w:rsid w:val="007209F7"/>
    <w:rsid w:val="00720B76"/>
    <w:rsid w:val="00720ECA"/>
    <w:rsid w:val="00721554"/>
    <w:rsid w:val="007216AA"/>
    <w:rsid w:val="0072175F"/>
    <w:rsid w:val="00721AB5"/>
    <w:rsid w:val="00721CFB"/>
    <w:rsid w:val="00721D81"/>
    <w:rsid w:val="00721DE3"/>
    <w:rsid w:val="00721DEF"/>
    <w:rsid w:val="00722040"/>
    <w:rsid w:val="00722341"/>
    <w:rsid w:val="00722BF9"/>
    <w:rsid w:val="007231E7"/>
    <w:rsid w:val="0072323B"/>
    <w:rsid w:val="00723535"/>
    <w:rsid w:val="00723633"/>
    <w:rsid w:val="00723E37"/>
    <w:rsid w:val="0072420E"/>
    <w:rsid w:val="00724297"/>
    <w:rsid w:val="00724A43"/>
    <w:rsid w:val="00724AC7"/>
    <w:rsid w:val="00725309"/>
    <w:rsid w:val="00725757"/>
    <w:rsid w:val="0072593D"/>
    <w:rsid w:val="00725A4A"/>
    <w:rsid w:val="0072600C"/>
    <w:rsid w:val="00726743"/>
    <w:rsid w:val="007273AC"/>
    <w:rsid w:val="007274B9"/>
    <w:rsid w:val="00727EE0"/>
    <w:rsid w:val="007300EB"/>
    <w:rsid w:val="007305D1"/>
    <w:rsid w:val="00730895"/>
    <w:rsid w:val="007308A5"/>
    <w:rsid w:val="00730B39"/>
    <w:rsid w:val="0073105D"/>
    <w:rsid w:val="00731381"/>
    <w:rsid w:val="007313D1"/>
    <w:rsid w:val="007318B1"/>
    <w:rsid w:val="00731AD4"/>
    <w:rsid w:val="00731D8E"/>
    <w:rsid w:val="00731F52"/>
    <w:rsid w:val="00731F85"/>
    <w:rsid w:val="007327FA"/>
    <w:rsid w:val="00732A14"/>
    <w:rsid w:val="00733A1A"/>
    <w:rsid w:val="00733F99"/>
    <w:rsid w:val="007341F6"/>
    <w:rsid w:val="0073433A"/>
    <w:rsid w:val="0073458F"/>
    <w:rsid w:val="007346E4"/>
    <w:rsid w:val="00734922"/>
    <w:rsid w:val="00734A74"/>
    <w:rsid w:val="00734AC2"/>
    <w:rsid w:val="00734B04"/>
    <w:rsid w:val="00734C14"/>
    <w:rsid w:val="00735377"/>
    <w:rsid w:val="00736853"/>
    <w:rsid w:val="00736FD4"/>
    <w:rsid w:val="00737271"/>
    <w:rsid w:val="007373C2"/>
    <w:rsid w:val="00737635"/>
    <w:rsid w:val="007376E3"/>
    <w:rsid w:val="00737FCA"/>
    <w:rsid w:val="00740ABA"/>
    <w:rsid w:val="00740F22"/>
    <w:rsid w:val="00740FE6"/>
    <w:rsid w:val="007415E5"/>
    <w:rsid w:val="00741CF0"/>
    <w:rsid w:val="00741F1A"/>
    <w:rsid w:val="00741FBC"/>
    <w:rsid w:val="00742408"/>
    <w:rsid w:val="00742978"/>
    <w:rsid w:val="00742EBF"/>
    <w:rsid w:val="00742EFE"/>
    <w:rsid w:val="00743457"/>
    <w:rsid w:val="007434AC"/>
    <w:rsid w:val="007439CB"/>
    <w:rsid w:val="00743A2C"/>
    <w:rsid w:val="00743F12"/>
    <w:rsid w:val="00744029"/>
    <w:rsid w:val="00744549"/>
    <w:rsid w:val="007447DA"/>
    <w:rsid w:val="00744AE5"/>
    <w:rsid w:val="007450F8"/>
    <w:rsid w:val="00745244"/>
    <w:rsid w:val="007453EF"/>
    <w:rsid w:val="007454AD"/>
    <w:rsid w:val="0074564E"/>
    <w:rsid w:val="007457E5"/>
    <w:rsid w:val="0074627B"/>
    <w:rsid w:val="0074665E"/>
    <w:rsid w:val="0074672F"/>
    <w:rsid w:val="0074696E"/>
    <w:rsid w:val="00746A44"/>
    <w:rsid w:val="00746A78"/>
    <w:rsid w:val="00746C4B"/>
    <w:rsid w:val="00747009"/>
    <w:rsid w:val="007470FB"/>
    <w:rsid w:val="00747AA6"/>
    <w:rsid w:val="00747D3F"/>
    <w:rsid w:val="00750135"/>
    <w:rsid w:val="0075018F"/>
    <w:rsid w:val="007506E6"/>
    <w:rsid w:val="00750A80"/>
    <w:rsid w:val="00750EC2"/>
    <w:rsid w:val="007511FA"/>
    <w:rsid w:val="00751450"/>
    <w:rsid w:val="00751493"/>
    <w:rsid w:val="007515B5"/>
    <w:rsid w:val="00751778"/>
    <w:rsid w:val="0075182A"/>
    <w:rsid w:val="00751FF4"/>
    <w:rsid w:val="00752297"/>
    <w:rsid w:val="00752422"/>
    <w:rsid w:val="007528C2"/>
    <w:rsid w:val="00752B28"/>
    <w:rsid w:val="00752CC4"/>
    <w:rsid w:val="007541A9"/>
    <w:rsid w:val="00754254"/>
    <w:rsid w:val="0075439A"/>
    <w:rsid w:val="00754E36"/>
    <w:rsid w:val="00754E49"/>
    <w:rsid w:val="0075520C"/>
    <w:rsid w:val="00755284"/>
    <w:rsid w:val="007553AF"/>
    <w:rsid w:val="0075611D"/>
    <w:rsid w:val="00756392"/>
    <w:rsid w:val="00756725"/>
    <w:rsid w:val="007569F3"/>
    <w:rsid w:val="00756DDF"/>
    <w:rsid w:val="007573F1"/>
    <w:rsid w:val="007575C1"/>
    <w:rsid w:val="007575F6"/>
    <w:rsid w:val="00757C3E"/>
    <w:rsid w:val="00760442"/>
    <w:rsid w:val="00761148"/>
    <w:rsid w:val="00761153"/>
    <w:rsid w:val="00761638"/>
    <w:rsid w:val="00761BA8"/>
    <w:rsid w:val="00762356"/>
    <w:rsid w:val="00762469"/>
    <w:rsid w:val="00762526"/>
    <w:rsid w:val="00762DFA"/>
    <w:rsid w:val="00763139"/>
    <w:rsid w:val="00763801"/>
    <w:rsid w:val="007639D1"/>
    <w:rsid w:val="007642BC"/>
    <w:rsid w:val="0076467E"/>
    <w:rsid w:val="007658E5"/>
    <w:rsid w:val="00766423"/>
    <w:rsid w:val="00766448"/>
    <w:rsid w:val="007666A3"/>
    <w:rsid w:val="007668E6"/>
    <w:rsid w:val="00766DEC"/>
    <w:rsid w:val="0076720F"/>
    <w:rsid w:val="007679F4"/>
    <w:rsid w:val="00770315"/>
    <w:rsid w:val="0077065B"/>
    <w:rsid w:val="00770DE8"/>
    <w:rsid w:val="00770F37"/>
    <w:rsid w:val="007711A0"/>
    <w:rsid w:val="00771C5E"/>
    <w:rsid w:val="00771D24"/>
    <w:rsid w:val="007723C4"/>
    <w:rsid w:val="00772666"/>
    <w:rsid w:val="0077285F"/>
    <w:rsid w:val="00772A81"/>
    <w:rsid w:val="00772D5E"/>
    <w:rsid w:val="0077331D"/>
    <w:rsid w:val="00773556"/>
    <w:rsid w:val="00773580"/>
    <w:rsid w:val="0077380B"/>
    <w:rsid w:val="00773A7B"/>
    <w:rsid w:val="00773EA4"/>
    <w:rsid w:val="00774270"/>
    <w:rsid w:val="0077463E"/>
    <w:rsid w:val="007748B0"/>
    <w:rsid w:val="007748B9"/>
    <w:rsid w:val="00774C33"/>
    <w:rsid w:val="00774C50"/>
    <w:rsid w:val="00774CC1"/>
    <w:rsid w:val="00774F39"/>
    <w:rsid w:val="00774F47"/>
    <w:rsid w:val="0077509E"/>
    <w:rsid w:val="00775390"/>
    <w:rsid w:val="0077584D"/>
    <w:rsid w:val="00775D56"/>
    <w:rsid w:val="007763EA"/>
    <w:rsid w:val="00776820"/>
    <w:rsid w:val="00776928"/>
    <w:rsid w:val="00776B59"/>
    <w:rsid w:val="00776E00"/>
    <w:rsid w:val="00776E0F"/>
    <w:rsid w:val="00776EA4"/>
    <w:rsid w:val="00776F3E"/>
    <w:rsid w:val="007774B1"/>
    <w:rsid w:val="007779FA"/>
    <w:rsid w:val="00777BE1"/>
    <w:rsid w:val="00780A80"/>
    <w:rsid w:val="00780BE8"/>
    <w:rsid w:val="00780F06"/>
    <w:rsid w:val="007813AB"/>
    <w:rsid w:val="007813E4"/>
    <w:rsid w:val="00781474"/>
    <w:rsid w:val="00782090"/>
    <w:rsid w:val="00782190"/>
    <w:rsid w:val="00782368"/>
    <w:rsid w:val="007827F1"/>
    <w:rsid w:val="007828B7"/>
    <w:rsid w:val="007829B2"/>
    <w:rsid w:val="0078339E"/>
    <w:rsid w:val="007833D8"/>
    <w:rsid w:val="00783959"/>
    <w:rsid w:val="00783C85"/>
    <w:rsid w:val="00783ED9"/>
    <w:rsid w:val="00784253"/>
    <w:rsid w:val="00784266"/>
    <w:rsid w:val="007842E5"/>
    <w:rsid w:val="0078430C"/>
    <w:rsid w:val="007849CF"/>
    <w:rsid w:val="00784C11"/>
    <w:rsid w:val="00785041"/>
    <w:rsid w:val="00785510"/>
    <w:rsid w:val="00785677"/>
    <w:rsid w:val="007857D0"/>
    <w:rsid w:val="00785EAD"/>
    <w:rsid w:val="0078626D"/>
    <w:rsid w:val="00786AD5"/>
    <w:rsid w:val="00786B82"/>
    <w:rsid w:val="00786C78"/>
    <w:rsid w:val="00786F16"/>
    <w:rsid w:val="0078729A"/>
    <w:rsid w:val="007873DD"/>
    <w:rsid w:val="007873F3"/>
    <w:rsid w:val="00787414"/>
    <w:rsid w:val="007878FE"/>
    <w:rsid w:val="00787CD5"/>
    <w:rsid w:val="00790231"/>
    <w:rsid w:val="00790454"/>
    <w:rsid w:val="007904F4"/>
    <w:rsid w:val="00790A37"/>
    <w:rsid w:val="00790A4B"/>
    <w:rsid w:val="00790AFB"/>
    <w:rsid w:val="00791141"/>
    <w:rsid w:val="00791372"/>
    <w:rsid w:val="007918ED"/>
    <w:rsid w:val="00791BD7"/>
    <w:rsid w:val="007921B1"/>
    <w:rsid w:val="007924B9"/>
    <w:rsid w:val="007924D0"/>
    <w:rsid w:val="0079254C"/>
    <w:rsid w:val="00792B23"/>
    <w:rsid w:val="007931CE"/>
    <w:rsid w:val="007931EB"/>
    <w:rsid w:val="00793215"/>
    <w:rsid w:val="007933F7"/>
    <w:rsid w:val="00793435"/>
    <w:rsid w:val="0079343C"/>
    <w:rsid w:val="0079343F"/>
    <w:rsid w:val="007937E1"/>
    <w:rsid w:val="00793AF1"/>
    <w:rsid w:val="00793CAC"/>
    <w:rsid w:val="00793CDA"/>
    <w:rsid w:val="00793EA2"/>
    <w:rsid w:val="00794011"/>
    <w:rsid w:val="00794956"/>
    <w:rsid w:val="0079538E"/>
    <w:rsid w:val="0079640C"/>
    <w:rsid w:val="00796CF4"/>
    <w:rsid w:val="00796E20"/>
    <w:rsid w:val="007970F3"/>
    <w:rsid w:val="00797280"/>
    <w:rsid w:val="007976C9"/>
    <w:rsid w:val="00797B26"/>
    <w:rsid w:val="00797C32"/>
    <w:rsid w:val="007A02E7"/>
    <w:rsid w:val="007A04B6"/>
    <w:rsid w:val="007A0682"/>
    <w:rsid w:val="007A0D40"/>
    <w:rsid w:val="007A11E8"/>
    <w:rsid w:val="007A12BC"/>
    <w:rsid w:val="007A1356"/>
    <w:rsid w:val="007A153A"/>
    <w:rsid w:val="007A17ED"/>
    <w:rsid w:val="007A1926"/>
    <w:rsid w:val="007A1BBD"/>
    <w:rsid w:val="007A2C5F"/>
    <w:rsid w:val="007A2DC9"/>
    <w:rsid w:val="007A2E3D"/>
    <w:rsid w:val="007A3602"/>
    <w:rsid w:val="007A3AA4"/>
    <w:rsid w:val="007A3D04"/>
    <w:rsid w:val="007A3FA1"/>
    <w:rsid w:val="007A4199"/>
    <w:rsid w:val="007A429B"/>
    <w:rsid w:val="007A4386"/>
    <w:rsid w:val="007A468A"/>
    <w:rsid w:val="007A47EF"/>
    <w:rsid w:val="007A52D5"/>
    <w:rsid w:val="007A5668"/>
    <w:rsid w:val="007A5AE5"/>
    <w:rsid w:val="007A5EA9"/>
    <w:rsid w:val="007A621C"/>
    <w:rsid w:val="007A6309"/>
    <w:rsid w:val="007A69D6"/>
    <w:rsid w:val="007A7027"/>
    <w:rsid w:val="007A7314"/>
    <w:rsid w:val="007A750D"/>
    <w:rsid w:val="007A75F2"/>
    <w:rsid w:val="007A782E"/>
    <w:rsid w:val="007A7A34"/>
    <w:rsid w:val="007A7BC8"/>
    <w:rsid w:val="007A7C07"/>
    <w:rsid w:val="007B056D"/>
    <w:rsid w:val="007B0914"/>
    <w:rsid w:val="007B0C7D"/>
    <w:rsid w:val="007B1350"/>
    <w:rsid w:val="007B1374"/>
    <w:rsid w:val="007B1611"/>
    <w:rsid w:val="007B1AC2"/>
    <w:rsid w:val="007B1AE1"/>
    <w:rsid w:val="007B1C23"/>
    <w:rsid w:val="007B1C5B"/>
    <w:rsid w:val="007B20D6"/>
    <w:rsid w:val="007B2332"/>
    <w:rsid w:val="007B2519"/>
    <w:rsid w:val="007B2A01"/>
    <w:rsid w:val="007B2CCF"/>
    <w:rsid w:val="007B32E5"/>
    <w:rsid w:val="007B33A8"/>
    <w:rsid w:val="007B3789"/>
    <w:rsid w:val="007B3DB9"/>
    <w:rsid w:val="007B4D18"/>
    <w:rsid w:val="007B5141"/>
    <w:rsid w:val="007B540E"/>
    <w:rsid w:val="007B589F"/>
    <w:rsid w:val="007B5D97"/>
    <w:rsid w:val="007B6186"/>
    <w:rsid w:val="007B646A"/>
    <w:rsid w:val="007B64B3"/>
    <w:rsid w:val="007B6761"/>
    <w:rsid w:val="007B6CD4"/>
    <w:rsid w:val="007B6CEE"/>
    <w:rsid w:val="007B73BC"/>
    <w:rsid w:val="007C03B0"/>
    <w:rsid w:val="007C0608"/>
    <w:rsid w:val="007C0FDB"/>
    <w:rsid w:val="007C14D8"/>
    <w:rsid w:val="007C1838"/>
    <w:rsid w:val="007C1EDC"/>
    <w:rsid w:val="007C20A2"/>
    <w:rsid w:val="007C20B9"/>
    <w:rsid w:val="007C285D"/>
    <w:rsid w:val="007C2ABB"/>
    <w:rsid w:val="007C3276"/>
    <w:rsid w:val="007C35A1"/>
    <w:rsid w:val="007C3787"/>
    <w:rsid w:val="007C396B"/>
    <w:rsid w:val="007C3A19"/>
    <w:rsid w:val="007C3A6E"/>
    <w:rsid w:val="007C3FB2"/>
    <w:rsid w:val="007C44D6"/>
    <w:rsid w:val="007C49AD"/>
    <w:rsid w:val="007C4BFE"/>
    <w:rsid w:val="007C4DA2"/>
    <w:rsid w:val="007C54C5"/>
    <w:rsid w:val="007C5767"/>
    <w:rsid w:val="007C5911"/>
    <w:rsid w:val="007C6083"/>
    <w:rsid w:val="007C645D"/>
    <w:rsid w:val="007C67A2"/>
    <w:rsid w:val="007C7301"/>
    <w:rsid w:val="007C7648"/>
    <w:rsid w:val="007C7859"/>
    <w:rsid w:val="007C78A1"/>
    <w:rsid w:val="007C7F28"/>
    <w:rsid w:val="007D007C"/>
    <w:rsid w:val="007D0658"/>
    <w:rsid w:val="007D1466"/>
    <w:rsid w:val="007D1862"/>
    <w:rsid w:val="007D1A27"/>
    <w:rsid w:val="007D1BB5"/>
    <w:rsid w:val="007D2035"/>
    <w:rsid w:val="007D2040"/>
    <w:rsid w:val="007D2B86"/>
    <w:rsid w:val="007D2BDE"/>
    <w:rsid w:val="007D2FB6"/>
    <w:rsid w:val="007D30FA"/>
    <w:rsid w:val="007D31B8"/>
    <w:rsid w:val="007D3897"/>
    <w:rsid w:val="007D46E1"/>
    <w:rsid w:val="007D4723"/>
    <w:rsid w:val="007D473A"/>
    <w:rsid w:val="007D49EB"/>
    <w:rsid w:val="007D4AEB"/>
    <w:rsid w:val="007D507F"/>
    <w:rsid w:val="007D508A"/>
    <w:rsid w:val="007D533C"/>
    <w:rsid w:val="007D5E1C"/>
    <w:rsid w:val="007D6339"/>
    <w:rsid w:val="007D63FD"/>
    <w:rsid w:val="007D6F62"/>
    <w:rsid w:val="007D725F"/>
    <w:rsid w:val="007D726E"/>
    <w:rsid w:val="007D72BB"/>
    <w:rsid w:val="007D7AF6"/>
    <w:rsid w:val="007D7ED0"/>
    <w:rsid w:val="007E01AF"/>
    <w:rsid w:val="007E02D4"/>
    <w:rsid w:val="007E06B9"/>
    <w:rsid w:val="007E0CA1"/>
    <w:rsid w:val="007E0CE4"/>
    <w:rsid w:val="007E0D65"/>
    <w:rsid w:val="007E0DE2"/>
    <w:rsid w:val="007E0F68"/>
    <w:rsid w:val="007E11FF"/>
    <w:rsid w:val="007E1675"/>
    <w:rsid w:val="007E1EAA"/>
    <w:rsid w:val="007E232E"/>
    <w:rsid w:val="007E31EC"/>
    <w:rsid w:val="007E34DC"/>
    <w:rsid w:val="007E353E"/>
    <w:rsid w:val="007E3AC1"/>
    <w:rsid w:val="007E3B6E"/>
    <w:rsid w:val="007E3B98"/>
    <w:rsid w:val="007E3CFE"/>
    <w:rsid w:val="007E417A"/>
    <w:rsid w:val="007E50D5"/>
    <w:rsid w:val="007E5268"/>
    <w:rsid w:val="007E528F"/>
    <w:rsid w:val="007E5427"/>
    <w:rsid w:val="007E555F"/>
    <w:rsid w:val="007E5821"/>
    <w:rsid w:val="007E5A93"/>
    <w:rsid w:val="007E62B9"/>
    <w:rsid w:val="007E68B7"/>
    <w:rsid w:val="007E6973"/>
    <w:rsid w:val="007E6FC3"/>
    <w:rsid w:val="007E7540"/>
    <w:rsid w:val="007F0528"/>
    <w:rsid w:val="007F1137"/>
    <w:rsid w:val="007F183D"/>
    <w:rsid w:val="007F1C23"/>
    <w:rsid w:val="007F1CD5"/>
    <w:rsid w:val="007F22FE"/>
    <w:rsid w:val="007F250E"/>
    <w:rsid w:val="007F29DA"/>
    <w:rsid w:val="007F2BD0"/>
    <w:rsid w:val="007F2C1D"/>
    <w:rsid w:val="007F3112"/>
    <w:rsid w:val="007F31B6"/>
    <w:rsid w:val="007F31F3"/>
    <w:rsid w:val="007F35AC"/>
    <w:rsid w:val="007F38F2"/>
    <w:rsid w:val="007F3D67"/>
    <w:rsid w:val="007F4136"/>
    <w:rsid w:val="007F4301"/>
    <w:rsid w:val="007F4914"/>
    <w:rsid w:val="007F4D20"/>
    <w:rsid w:val="007F546C"/>
    <w:rsid w:val="007F54A6"/>
    <w:rsid w:val="007F60A5"/>
    <w:rsid w:val="007F625F"/>
    <w:rsid w:val="007F665E"/>
    <w:rsid w:val="007F6B7F"/>
    <w:rsid w:val="007F6E71"/>
    <w:rsid w:val="007F6F85"/>
    <w:rsid w:val="007F70DF"/>
    <w:rsid w:val="007F71B8"/>
    <w:rsid w:val="007F7CBB"/>
    <w:rsid w:val="007F7DED"/>
    <w:rsid w:val="0080005D"/>
    <w:rsid w:val="00800095"/>
    <w:rsid w:val="0080030F"/>
    <w:rsid w:val="00800329"/>
    <w:rsid w:val="00800412"/>
    <w:rsid w:val="00800865"/>
    <w:rsid w:val="00800953"/>
    <w:rsid w:val="00800EDC"/>
    <w:rsid w:val="008023FF"/>
    <w:rsid w:val="0080249E"/>
    <w:rsid w:val="008027BD"/>
    <w:rsid w:val="00803011"/>
    <w:rsid w:val="008035B7"/>
    <w:rsid w:val="008037C6"/>
    <w:rsid w:val="00803A3A"/>
    <w:rsid w:val="00803B69"/>
    <w:rsid w:val="00803C94"/>
    <w:rsid w:val="00803E83"/>
    <w:rsid w:val="008044A5"/>
    <w:rsid w:val="008045AA"/>
    <w:rsid w:val="0080520C"/>
    <w:rsid w:val="00805245"/>
    <w:rsid w:val="008057F0"/>
    <w:rsid w:val="00805819"/>
    <w:rsid w:val="0080587B"/>
    <w:rsid w:val="00805B8D"/>
    <w:rsid w:val="00805DF0"/>
    <w:rsid w:val="008063B6"/>
    <w:rsid w:val="00806468"/>
    <w:rsid w:val="008064A8"/>
    <w:rsid w:val="00806751"/>
    <w:rsid w:val="008069E3"/>
    <w:rsid w:val="0080729E"/>
    <w:rsid w:val="00807979"/>
    <w:rsid w:val="008079B6"/>
    <w:rsid w:val="00810595"/>
    <w:rsid w:val="008119CA"/>
    <w:rsid w:val="00811B9F"/>
    <w:rsid w:val="00811E4C"/>
    <w:rsid w:val="00812638"/>
    <w:rsid w:val="00812EE7"/>
    <w:rsid w:val="00812FAA"/>
    <w:rsid w:val="008130C4"/>
    <w:rsid w:val="008143FA"/>
    <w:rsid w:val="00814890"/>
    <w:rsid w:val="00814A76"/>
    <w:rsid w:val="00814E00"/>
    <w:rsid w:val="00815116"/>
    <w:rsid w:val="008155F0"/>
    <w:rsid w:val="008159C5"/>
    <w:rsid w:val="008159CF"/>
    <w:rsid w:val="00816735"/>
    <w:rsid w:val="00816B05"/>
    <w:rsid w:val="00817166"/>
    <w:rsid w:val="0081727F"/>
    <w:rsid w:val="0081738C"/>
    <w:rsid w:val="008175D1"/>
    <w:rsid w:val="00817761"/>
    <w:rsid w:val="008177EE"/>
    <w:rsid w:val="008178C5"/>
    <w:rsid w:val="00817F46"/>
    <w:rsid w:val="00820141"/>
    <w:rsid w:val="00820256"/>
    <w:rsid w:val="00820575"/>
    <w:rsid w:val="0082085C"/>
    <w:rsid w:val="00820D42"/>
    <w:rsid w:val="00820E0C"/>
    <w:rsid w:val="00820EA4"/>
    <w:rsid w:val="00820F4A"/>
    <w:rsid w:val="00820F94"/>
    <w:rsid w:val="00820F95"/>
    <w:rsid w:val="00821241"/>
    <w:rsid w:val="008214DF"/>
    <w:rsid w:val="00821771"/>
    <w:rsid w:val="00821C7B"/>
    <w:rsid w:val="00821CC7"/>
    <w:rsid w:val="00823197"/>
    <w:rsid w:val="008231A3"/>
    <w:rsid w:val="008231F3"/>
    <w:rsid w:val="00823275"/>
    <w:rsid w:val="00823469"/>
    <w:rsid w:val="008234CB"/>
    <w:rsid w:val="008235A9"/>
    <w:rsid w:val="0082366F"/>
    <w:rsid w:val="0082384C"/>
    <w:rsid w:val="0082388A"/>
    <w:rsid w:val="00823960"/>
    <w:rsid w:val="00823B30"/>
    <w:rsid w:val="00823F79"/>
    <w:rsid w:val="00824076"/>
    <w:rsid w:val="0082419D"/>
    <w:rsid w:val="008241FC"/>
    <w:rsid w:val="008256E8"/>
    <w:rsid w:val="00825915"/>
    <w:rsid w:val="00825C60"/>
    <w:rsid w:val="00826049"/>
    <w:rsid w:val="00826108"/>
    <w:rsid w:val="00826477"/>
    <w:rsid w:val="00826599"/>
    <w:rsid w:val="0082751C"/>
    <w:rsid w:val="00827E8C"/>
    <w:rsid w:val="008304C9"/>
    <w:rsid w:val="008305D0"/>
    <w:rsid w:val="0083088C"/>
    <w:rsid w:val="00830A3C"/>
    <w:rsid w:val="00830BE0"/>
    <w:rsid w:val="00831688"/>
    <w:rsid w:val="00831960"/>
    <w:rsid w:val="008319D3"/>
    <w:rsid w:val="00831F20"/>
    <w:rsid w:val="00832250"/>
    <w:rsid w:val="00832642"/>
    <w:rsid w:val="00832E28"/>
    <w:rsid w:val="00832E7A"/>
    <w:rsid w:val="00832FB1"/>
    <w:rsid w:val="008337C4"/>
    <w:rsid w:val="008338A2"/>
    <w:rsid w:val="00834532"/>
    <w:rsid w:val="008347E1"/>
    <w:rsid w:val="008349D4"/>
    <w:rsid w:val="00834EFE"/>
    <w:rsid w:val="00834F6E"/>
    <w:rsid w:val="00835095"/>
    <w:rsid w:val="00835367"/>
    <w:rsid w:val="00835817"/>
    <w:rsid w:val="008358F5"/>
    <w:rsid w:val="00835A97"/>
    <w:rsid w:val="008360D4"/>
    <w:rsid w:val="008361C0"/>
    <w:rsid w:val="008364BC"/>
    <w:rsid w:val="00836B3D"/>
    <w:rsid w:val="00836C5B"/>
    <w:rsid w:val="00836DC8"/>
    <w:rsid w:val="008375AF"/>
    <w:rsid w:val="00837EFB"/>
    <w:rsid w:val="008400FD"/>
    <w:rsid w:val="00840813"/>
    <w:rsid w:val="00840B65"/>
    <w:rsid w:val="00840EBB"/>
    <w:rsid w:val="008413DB"/>
    <w:rsid w:val="00841717"/>
    <w:rsid w:val="00841AA9"/>
    <w:rsid w:val="00841FCA"/>
    <w:rsid w:val="00842BF3"/>
    <w:rsid w:val="00842ED1"/>
    <w:rsid w:val="008432DF"/>
    <w:rsid w:val="00843435"/>
    <w:rsid w:val="008445B6"/>
    <w:rsid w:val="00844E6F"/>
    <w:rsid w:val="00846998"/>
    <w:rsid w:val="00846A79"/>
    <w:rsid w:val="008474FE"/>
    <w:rsid w:val="00847671"/>
    <w:rsid w:val="00847ADA"/>
    <w:rsid w:val="00847BDF"/>
    <w:rsid w:val="00847E82"/>
    <w:rsid w:val="00847F0A"/>
    <w:rsid w:val="008500A9"/>
    <w:rsid w:val="00850342"/>
    <w:rsid w:val="0085070F"/>
    <w:rsid w:val="008507E6"/>
    <w:rsid w:val="00850A6C"/>
    <w:rsid w:val="008517CE"/>
    <w:rsid w:val="00851BAA"/>
    <w:rsid w:val="0085232E"/>
    <w:rsid w:val="00852558"/>
    <w:rsid w:val="0085267B"/>
    <w:rsid w:val="00852F16"/>
    <w:rsid w:val="00852F63"/>
    <w:rsid w:val="00852F9D"/>
    <w:rsid w:val="00853066"/>
    <w:rsid w:val="0085378B"/>
    <w:rsid w:val="00853CC4"/>
    <w:rsid w:val="00853DA3"/>
    <w:rsid w:val="00853E69"/>
    <w:rsid w:val="00853EC9"/>
    <w:rsid w:val="00853EE4"/>
    <w:rsid w:val="0085405D"/>
    <w:rsid w:val="00854282"/>
    <w:rsid w:val="00854347"/>
    <w:rsid w:val="0085440F"/>
    <w:rsid w:val="00854422"/>
    <w:rsid w:val="008545E0"/>
    <w:rsid w:val="00854648"/>
    <w:rsid w:val="00854DAD"/>
    <w:rsid w:val="00854E70"/>
    <w:rsid w:val="0085548E"/>
    <w:rsid w:val="00855535"/>
    <w:rsid w:val="008555E2"/>
    <w:rsid w:val="008561D6"/>
    <w:rsid w:val="00856EE6"/>
    <w:rsid w:val="0085742A"/>
    <w:rsid w:val="008574A9"/>
    <w:rsid w:val="00857683"/>
    <w:rsid w:val="00857C5A"/>
    <w:rsid w:val="00857FC8"/>
    <w:rsid w:val="008604C3"/>
    <w:rsid w:val="00860C1F"/>
    <w:rsid w:val="00861037"/>
    <w:rsid w:val="00861327"/>
    <w:rsid w:val="0086137D"/>
    <w:rsid w:val="0086167B"/>
    <w:rsid w:val="0086192D"/>
    <w:rsid w:val="008620DE"/>
    <w:rsid w:val="0086246C"/>
    <w:rsid w:val="008624D6"/>
    <w:rsid w:val="0086255E"/>
    <w:rsid w:val="008627FA"/>
    <w:rsid w:val="008633F0"/>
    <w:rsid w:val="008638B0"/>
    <w:rsid w:val="00863A34"/>
    <w:rsid w:val="00864766"/>
    <w:rsid w:val="00864C0A"/>
    <w:rsid w:val="008655CE"/>
    <w:rsid w:val="008655D9"/>
    <w:rsid w:val="008656B7"/>
    <w:rsid w:val="00865731"/>
    <w:rsid w:val="00865807"/>
    <w:rsid w:val="00865A69"/>
    <w:rsid w:val="008661C7"/>
    <w:rsid w:val="00866485"/>
    <w:rsid w:val="00866929"/>
    <w:rsid w:val="00866DF1"/>
    <w:rsid w:val="00867B0A"/>
    <w:rsid w:val="00867B91"/>
    <w:rsid w:val="00867C5E"/>
    <w:rsid w:val="00867D9D"/>
    <w:rsid w:val="00867D9E"/>
    <w:rsid w:val="00867DA1"/>
    <w:rsid w:val="0087013B"/>
    <w:rsid w:val="008704AD"/>
    <w:rsid w:val="008706B5"/>
    <w:rsid w:val="00870B5F"/>
    <w:rsid w:val="00871095"/>
    <w:rsid w:val="0087168F"/>
    <w:rsid w:val="00871795"/>
    <w:rsid w:val="0087186D"/>
    <w:rsid w:val="00871C57"/>
    <w:rsid w:val="00871DAC"/>
    <w:rsid w:val="00872C54"/>
    <w:rsid w:val="00872E0A"/>
    <w:rsid w:val="00872EDE"/>
    <w:rsid w:val="00872F2A"/>
    <w:rsid w:val="008733AF"/>
    <w:rsid w:val="0087341F"/>
    <w:rsid w:val="00873594"/>
    <w:rsid w:val="00873EB6"/>
    <w:rsid w:val="00874687"/>
    <w:rsid w:val="0087468D"/>
    <w:rsid w:val="008748A2"/>
    <w:rsid w:val="00875285"/>
    <w:rsid w:val="0087566F"/>
    <w:rsid w:val="00875E6D"/>
    <w:rsid w:val="0087645A"/>
    <w:rsid w:val="008764B9"/>
    <w:rsid w:val="00876A7A"/>
    <w:rsid w:val="00876B0E"/>
    <w:rsid w:val="00876CFA"/>
    <w:rsid w:val="00876D3C"/>
    <w:rsid w:val="00876FB1"/>
    <w:rsid w:val="008803EA"/>
    <w:rsid w:val="00880444"/>
    <w:rsid w:val="00880794"/>
    <w:rsid w:val="008814A2"/>
    <w:rsid w:val="00881622"/>
    <w:rsid w:val="00881C96"/>
    <w:rsid w:val="0088216A"/>
    <w:rsid w:val="00882B22"/>
    <w:rsid w:val="00884116"/>
    <w:rsid w:val="0088425D"/>
    <w:rsid w:val="008848E6"/>
    <w:rsid w:val="00884B62"/>
    <w:rsid w:val="00884B97"/>
    <w:rsid w:val="00884E42"/>
    <w:rsid w:val="0088529C"/>
    <w:rsid w:val="00885795"/>
    <w:rsid w:val="00885BE8"/>
    <w:rsid w:val="00886A6D"/>
    <w:rsid w:val="00887264"/>
    <w:rsid w:val="0088736E"/>
    <w:rsid w:val="0088758E"/>
    <w:rsid w:val="0088762B"/>
    <w:rsid w:val="0088779A"/>
    <w:rsid w:val="00887903"/>
    <w:rsid w:val="00887BF5"/>
    <w:rsid w:val="00887E44"/>
    <w:rsid w:val="00887EE3"/>
    <w:rsid w:val="00890715"/>
    <w:rsid w:val="00890EA4"/>
    <w:rsid w:val="00891444"/>
    <w:rsid w:val="00891772"/>
    <w:rsid w:val="008917D6"/>
    <w:rsid w:val="00891832"/>
    <w:rsid w:val="00891EFB"/>
    <w:rsid w:val="00892696"/>
    <w:rsid w:val="0089270A"/>
    <w:rsid w:val="00892B28"/>
    <w:rsid w:val="00892FC2"/>
    <w:rsid w:val="0089339E"/>
    <w:rsid w:val="0089358D"/>
    <w:rsid w:val="00893640"/>
    <w:rsid w:val="00893AF6"/>
    <w:rsid w:val="0089403C"/>
    <w:rsid w:val="0089415A"/>
    <w:rsid w:val="008949AE"/>
    <w:rsid w:val="00894BC4"/>
    <w:rsid w:val="008951A0"/>
    <w:rsid w:val="008951DA"/>
    <w:rsid w:val="00895602"/>
    <w:rsid w:val="0089580B"/>
    <w:rsid w:val="00895A69"/>
    <w:rsid w:val="00895E73"/>
    <w:rsid w:val="00895E8B"/>
    <w:rsid w:val="008964CA"/>
    <w:rsid w:val="0089668C"/>
    <w:rsid w:val="008969EE"/>
    <w:rsid w:val="00896F44"/>
    <w:rsid w:val="00897168"/>
    <w:rsid w:val="0089718F"/>
    <w:rsid w:val="008973F5"/>
    <w:rsid w:val="00897452"/>
    <w:rsid w:val="0089753B"/>
    <w:rsid w:val="00897705"/>
    <w:rsid w:val="00897725"/>
    <w:rsid w:val="00897A48"/>
    <w:rsid w:val="00897D86"/>
    <w:rsid w:val="008A07C8"/>
    <w:rsid w:val="008A0880"/>
    <w:rsid w:val="008A0C07"/>
    <w:rsid w:val="008A16EC"/>
    <w:rsid w:val="008A192F"/>
    <w:rsid w:val="008A23BF"/>
    <w:rsid w:val="008A249B"/>
    <w:rsid w:val="008A28A8"/>
    <w:rsid w:val="008A309D"/>
    <w:rsid w:val="008A3139"/>
    <w:rsid w:val="008A334B"/>
    <w:rsid w:val="008A373C"/>
    <w:rsid w:val="008A37B8"/>
    <w:rsid w:val="008A3ECA"/>
    <w:rsid w:val="008A3EFD"/>
    <w:rsid w:val="008A40EF"/>
    <w:rsid w:val="008A429B"/>
    <w:rsid w:val="008A49CE"/>
    <w:rsid w:val="008A4A18"/>
    <w:rsid w:val="008A5511"/>
    <w:rsid w:val="008A5889"/>
    <w:rsid w:val="008A5B32"/>
    <w:rsid w:val="008A5E18"/>
    <w:rsid w:val="008A5F41"/>
    <w:rsid w:val="008A654C"/>
    <w:rsid w:val="008A6FF6"/>
    <w:rsid w:val="008A71D0"/>
    <w:rsid w:val="008A726D"/>
    <w:rsid w:val="008B06EB"/>
    <w:rsid w:val="008B073E"/>
    <w:rsid w:val="008B0978"/>
    <w:rsid w:val="008B0A28"/>
    <w:rsid w:val="008B0B6F"/>
    <w:rsid w:val="008B0D27"/>
    <w:rsid w:val="008B15E8"/>
    <w:rsid w:val="008B17A4"/>
    <w:rsid w:val="008B1ADB"/>
    <w:rsid w:val="008B2029"/>
    <w:rsid w:val="008B20A0"/>
    <w:rsid w:val="008B2354"/>
    <w:rsid w:val="008B2D80"/>
    <w:rsid w:val="008B2EE4"/>
    <w:rsid w:val="008B2FB3"/>
    <w:rsid w:val="008B30DE"/>
    <w:rsid w:val="008B327F"/>
    <w:rsid w:val="008B330A"/>
    <w:rsid w:val="008B345B"/>
    <w:rsid w:val="008B35BA"/>
    <w:rsid w:val="008B3821"/>
    <w:rsid w:val="008B3B36"/>
    <w:rsid w:val="008B413F"/>
    <w:rsid w:val="008B43AC"/>
    <w:rsid w:val="008B440B"/>
    <w:rsid w:val="008B44A3"/>
    <w:rsid w:val="008B44F4"/>
    <w:rsid w:val="008B457D"/>
    <w:rsid w:val="008B45D4"/>
    <w:rsid w:val="008B473C"/>
    <w:rsid w:val="008B4D3D"/>
    <w:rsid w:val="008B5542"/>
    <w:rsid w:val="008B5594"/>
    <w:rsid w:val="008B57C7"/>
    <w:rsid w:val="008B7538"/>
    <w:rsid w:val="008B77BB"/>
    <w:rsid w:val="008B79A6"/>
    <w:rsid w:val="008B7C6F"/>
    <w:rsid w:val="008B7C76"/>
    <w:rsid w:val="008B7FC5"/>
    <w:rsid w:val="008C0066"/>
    <w:rsid w:val="008C043F"/>
    <w:rsid w:val="008C0674"/>
    <w:rsid w:val="008C0709"/>
    <w:rsid w:val="008C083B"/>
    <w:rsid w:val="008C0DD4"/>
    <w:rsid w:val="008C1DE6"/>
    <w:rsid w:val="008C29D3"/>
    <w:rsid w:val="008C29E9"/>
    <w:rsid w:val="008C2ABB"/>
    <w:rsid w:val="008C2F92"/>
    <w:rsid w:val="008C36D7"/>
    <w:rsid w:val="008C3E0D"/>
    <w:rsid w:val="008C436D"/>
    <w:rsid w:val="008C4471"/>
    <w:rsid w:val="008C475A"/>
    <w:rsid w:val="008C4779"/>
    <w:rsid w:val="008C4923"/>
    <w:rsid w:val="008C4983"/>
    <w:rsid w:val="008C4DE7"/>
    <w:rsid w:val="008C53B5"/>
    <w:rsid w:val="008C5508"/>
    <w:rsid w:val="008C589D"/>
    <w:rsid w:val="008C5AA8"/>
    <w:rsid w:val="008C6185"/>
    <w:rsid w:val="008C636D"/>
    <w:rsid w:val="008C6B3B"/>
    <w:rsid w:val="008C6D51"/>
    <w:rsid w:val="008C70AD"/>
    <w:rsid w:val="008C71CB"/>
    <w:rsid w:val="008C7440"/>
    <w:rsid w:val="008C78A1"/>
    <w:rsid w:val="008C7D66"/>
    <w:rsid w:val="008D004C"/>
    <w:rsid w:val="008D010D"/>
    <w:rsid w:val="008D0B4E"/>
    <w:rsid w:val="008D17DA"/>
    <w:rsid w:val="008D1887"/>
    <w:rsid w:val="008D1A2A"/>
    <w:rsid w:val="008D1DBA"/>
    <w:rsid w:val="008D272A"/>
    <w:rsid w:val="008D274C"/>
    <w:rsid w:val="008D2846"/>
    <w:rsid w:val="008D2F65"/>
    <w:rsid w:val="008D2F68"/>
    <w:rsid w:val="008D3426"/>
    <w:rsid w:val="008D39EC"/>
    <w:rsid w:val="008D3A1B"/>
    <w:rsid w:val="008D3C2D"/>
    <w:rsid w:val="008D3E06"/>
    <w:rsid w:val="008D4142"/>
    <w:rsid w:val="008D4236"/>
    <w:rsid w:val="008D42B0"/>
    <w:rsid w:val="008D462F"/>
    <w:rsid w:val="008D4932"/>
    <w:rsid w:val="008D4C1B"/>
    <w:rsid w:val="008D4C24"/>
    <w:rsid w:val="008D4D09"/>
    <w:rsid w:val="008D4F35"/>
    <w:rsid w:val="008D5586"/>
    <w:rsid w:val="008D5624"/>
    <w:rsid w:val="008D57E4"/>
    <w:rsid w:val="008D5C45"/>
    <w:rsid w:val="008D6056"/>
    <w:rsid w:val="008D63D6"/>
    <w:rsid w:val="008D65EE"/>
    <w:rsid w:val="008D6880"/>
    <w:rsid w:val="008D6C53"/>
    <w:rsid w:val="008D6DCF"/>
    <w:rsid w:val="008D6F02"/>
    <w:rsid w:val="008D6F29"/>
    <w:rsid w:val="008D7069"/>
    <w:rsid w:val="008D7FD8"/>
    <w:rsid w:val="008E03EF"/>
    <w:rsid w:val="008E0518"/>
    <w:rsid w:val="008E0626"/>
    <w:rsid w:val="008E070B"/>
    <w:rsid w:val="008E0DFE"/>
    <w:rsid w:val="008E0EC6"/>
    <w:rsid w:val="008E110F"/>
    <w:rsid w:val="008E14ED"/>
    <w:rsid w:val="008E2090"/>
    <w:rsid w:val="008E215D"/>
    <w:rsid w:val="008E3132"/>
    <w:rsid w:val="008E3444"/>
    <w:rsid w:val="008E410F"/>
    <w:rsid w:val="008E4376"/>
    <w:rsid w:val="008E444A"/>
    <w:rsid w:val="008E4732"/>
    <w:rsid w:val="008E4810"/>
    <w:rsid w:val="008E4C92"/>
    <w:rsid w:val="008E4D09"/>
    <w:rsid w:val="008E513E"/>
    <w:rsid w:val="008E6078"/>
    <w:rsid w:val="008E6126"/>
    <w:rsid w:val="008E614E"/>
    <w:rsid w:val="008E62B6"/>
    <w:rsid w:val="008E6CD5"/>
    <w:rsid w:val="008E6E1C"/>
    <w:rsid w:val="008E6E9A"/>
    <w:rsid w:val="008E6F7B"/>
    <w:rsid w:val="008E73B2"/>
    <w:rsid w:val="008E7731"/>
    <w:rsid w:val="008E7856"/>
    <w:rsid w:val="008E7A0A"/>
    <w:rsid w:val="008E7B49"/>
    <w:rsid w:val="008F0814"/>
    <w:rsid w:val="008F0A54"/>
    <w:rsid w:val="008F0A80"/>
    <w:rsid w:val="008F0A99"/>
    <w:rsid w:val="008F0E12"/>
    <w:rsid w:val="008F1E38"/>
    <w:rsid w:val="008F29E1"/>
    <w:rsid w:val="008F2C1F"/>
    <w:rsid w:val="008F2CD4"/>
    <w:rsid w:val="008F2D53"/>
    <w:rsid w:val="008F2E91"/>
    <w:rsid w:val="008F3981"/>
    <w:rsid w:val="008F3BAE"/>
    <w:rsid w:val="008F3BF8"/>
    <w:rsid w:val="008F3C26"/>
    <w:rsid w:val="008F3ED8"/>
    <w:rsid w:val="008F4456"/>
    <w:rsid w:val="008F4900"/>
    <w:rsid w:val="008F4F1C"/>
    <w:rsid w:val="008F5043"/>
    <w:rsid w:val="008F59F6"/>
    <w:rsid w:val="008F5E11"/>
    <w:rsid w:val="008F633F"/>
    <w:rsid w:val="008F72D3"/>
    <w:rsid w:val="008F733A"/>
    <w:rsid w:val="008F739F"/>
    <w:rsid w:val="008F73E0"/>
    <w:rsid w:val="008F763D"/>
    <w:rsid w:val="008F7799"/>
    <w:rsid w:val="008F7DAE"/>
    <w:rsid w:val="009000B8"/>
    <w:rsid w:val="00900719"/>
    <w:rsid w:val="009007AC"/>
    <w:rsid w:val="00900A4A"/>
    <w:rsid w:val="00900DAD"/>
    <w:rsid w:val="00900F0F"/>
    <w:rsid w:val="009012A8"/>
    <w:rsid w:val="009017AC"/>
    <w:rsid w:val="00901E36"/>
    <w:rsid w:val="00902407"/>
    <w:rsid w:val="00902A9A"/>
    <w:rsid w:val="00902E5B"/>
    <w:rsid w:val="00902ED0"/>
    <w:rsid w:val="009030CD"/>
    <w:rsid w:val="009036B6"/>
    <w:rsid w:val="0090399D"/>
    <w:rsid w:val="00903AC7"/>
    <w:rsid w:val="00903D28"/>
    <w:rsid w:val="00903E60"/>
    <w:rsid w:val="00903E6F"/>
    <w:rsid w:val="009043E5"/>
    <w:rsid w:val="00904410"/>
    <w:rsid w:val="009045E0"/>
    <w:rsid w:val="00904A1C"/>
    <w:rsid w:val="00904B1F"/>
    <w:rsid w:val="00904B90"/>
    <w:rsid w:val="00905030"/>
    <w:rsid w:val="0090536F"/>
    <w:rsid w:val="0090545F"/>
    <w:rsid w:val="009058BD"/>
    <w:rsid w:val="00905EC6"/>
    <w:rsid w:val="00905FA0"/>
    <w:rsid w:val="00906490"/>
    <w:rsid w:val="00906923"/>
    <w:rsid w:val="00907157"/>
    <w:rsid w:val="00907325"/>
    <w:rsid w:val="00907441"/>
    <w:rsid w:val="00907802"/>
    <w:rsid w:val="00907B52"/>
    <w:rsid w:val="00907E45"/>
    <w:rsid w:val="009100BA"/>
    <w:rsid w:val="0091063A"/>
    <w:rsid w:val="009106C0"/>
    <w:rsid w:val="00910D36"/>
    <w:rsid w:val="00910E94"/>
    <w:rsid w:val="00910EBF"/>
    <w:rsid w:val="009111B2"/>
    <w:rsid w:val="00911552"/>
    <w:rsid w:val="00911CAE"/>
    <w:rsid w:val="00911CE9"/>
    <w:rsid w:val="00911D2E"/>
    <w:rsid w:val="00911D74"/>
    <w:rsid w:val="00912172"/>
    <w:rsid w:val="0091230E"/>
    <w:rsid w:val="009125EE"/>
    <w:rsid w:val="009127CE"/>
    <w:rsid w:val="00912858"/>
    <w:rsid w:val="009129CB"/>
    <w:rsid w:val="00912E54"/>
    <w:rsid w:val="00912E9B"/>
    <w:rsid w:val="00913079"/>
    <w:rsid w:val="0091315F"/>
    <w:rsid w:val="00913E38"/>
    <w:rsid w:val="00914123"/>
    <w:rsid w:val="009142F1"/>
    <w:rsid w:val="00914A2A"/>
    <w:rsid w:val="00914A9D"/>
    <w:rsid w:val="00914C51"/>
    <w:rsid w:val="00914C5E"/>
    <w:rsid w:val="009151E9"/>
    <w:rsid w:val="009151F5"/>
    <w:rsid w:val="009152DD"/>
    <w:rsid w:val="0091539C"/>
    <w:rsid w:val="00915496"/>
    <w:rsid w:val="009155AA"/>
    <w:rsid w:val="009156E5"/>
    <w:rsid w:val="00915AB6"/>
    <w:rsid w:val="00915C78"/>
    <w:rsid w:val="00916303"/>
    <w:rsid w:val="00916570"/>
    <w:rsid w:val="009169FA"/>
    <w:rsid w:val="009173C9"/>
    <w:rsid w:val="009176AA"/>
    <w:rsid w:val="009176E0"/>
    <w:rsid w:val="00917B70"/>
    <w:rsid w:val="00917D92"/>
    <w:rsid w:val="00920368"/>
    <w:rsid w:val="00920668"/>
    <w:rsid w:val="0092075B"/>
    <w:rsid w:val="0092080C"/>
    <w:rsid w:val="00920CF1"/>
    <w:rsid w:val="00921272"/>
    <w:rsid w:val="00921950"/>
    <w:rsid w:val="00921BE4"/>
    <w:rsid w:val="00921EDB"/>
    <w:rsid w:val="0092206A"/>
    <w:rsid w:val="009229FF"/>
    <w:rsid w:val="00922C29"/>
    <w:rsid w:val="00923B93"/>
    <w:rsid w:val="00923E46"/>
    <w:rsid w:val="00924091"/>
    <w:rsid w:val="0092422F"/>
    <w:rsid w:val="009247A0"/>
    <w:rsid w:val="00924A45"/>
    <w:rsid w:val="00924AE1"/>
    <w:rsid w:val="00925135"/>
    <w:rsid w:val="009257ED"/>
    <w:rsid w:val="00925AD4"/>
    <w:rsid w:val="00925DD5"/>
    <w:rsid w:val="00926102"/>
    <w:rsid w:val="009262C9"/>
    <w:rsid w:val="0092663B"/>
    <w:rsid w:val="00926780"/>
    <w:rsid w:val="009267B8"/>
    <w:rsid w:val="009269B1"/>
    <w:rsid w:val="00926AD1"/>
    <w:rsid w:val="00926D66"/>
    <w:rsid w:val="0092724D"/>
    <w:rsid w:val="0092727A"/>
    <w:rsid w:val="009272B3"/>
    <w:rsid w:val="009274E8"/>
    <w:rsid w:val="0092774F"/>
    <w:rsid w:val="009277DC"/>
    <w:rsid w:val="0093000B"/>
    <w:rsid w:val="00930024"/>
    <w:rsid w:val="009308F1"/>
    <w:rsid w:val="00930AC5"/>
    <w:rsid w:val="00930D88"/>
    <w:rsid w:val="00930EEF"/>
    <w:rsid w:val="00931239"/>
    <w:rsid w:val="0093146D"/>
    <w:rsid w:val="009315BE"/>
    <w:rsid w:val="00931C72"/>
    <w:rsid w:val="0093254A"/>
    <w:rsid w:val="009326FD"/>
    <w:rsid w:val="00932DC1"/>
    <w:rsid w:val="0093326A"/>
    <w:rsid w:val="0093336A"/>
    <w:rsid w:val="0093338F"/>
    <w:rsid w:val="009338B1"/>
    <w:rsid w:val="00933915"/>
    <w:rsid w:val="00934086"/>
    <w:rsid w:val="00934309"/>
    <w:rsid w:val="00934462"/>
    <w:rsid w:val="00934892"/>
    <w:rsid w:val="00934A39"/>
    <w:rsid w:val="00934A79"/>
    <w:rsid w:val="00934B5C"/>
    <w:rsid w:val="00934EC1"/>
    <w:rsid w:val="009353C7"/>
    <w:rsid w:val="00935662"/>
    <w:rsid w:val="00935A0B"/>
    <w:rsid w:val="009364B1"/>
    <w:rsid w:val="009366A3"/>
    <w:rsid w:val="00936AE3"/>
    <w:rsid w:val="00936FBA"/>
    <w:rsid w:val="00937642"/>
    <w:rsid w:val="00937BD9"/>
    <w:rsid w:val="00937DDB"/>
    <w:rsid w:val="00937F04"/>
    <w:rsid w:val="00940499"/>
    <w:rsid w:val="00940BAF"/>
    <w:rsid w:val="00941290"/>
    <w:rsid w:val="0094217E"/>
    <w:rsid w:val="009426B5"/>
    <w:rsid w:val="009428FE"/>
    <w:rsid w:val="0094292B"/>
    <w:rsid w:val="00942EEC"/>
    <w:rsid w:val="0094308B"/>
    <w:rsid w:val="00943E7B"/>
    <w:rsid w:val="00944BAA"/>
    <w:rsid w:val="00945103"/>
    <w:rsid w:val="00945C7E"/>
    <w:rsid w:val="00946156"/>
    <w:rsid w:val="0094663E"/>
    <w:rsid w:val="00946A8A"/>
    <w:rsid w:val="00946FA6"/>
    <w:rsid w:val="00947319"/>
    <w:rsid w:val="00947F97"/>
    <w:rsid w:val="009501AD"/>
    <w:rsid w:val="00950401"/>
    <w:rsid w:val="0095091C"/>
    <w:rsid w:val="00950E2C"/>
    <w:rsid w:val="00950EC0"/>
    <w:rsid w:val="00951185"/>
    <w:rsid w:val="009516ED"/>
    <w:rsid w:val="009518EF"/>
    <w:rsid w:val="00951CFA"/>
    <w:rsid w:val="00951D50"/>
    <w:rsid w:val="00951EB5"/>
    <w:rsid w:val="0095204A"/>
    <w:rsid w:val="009521D1"/>
    <w:rsid w:val="0095242F"/>
    <w:rsid w:val="009525EB"/>
    <w:rsid w:val="00952C3B"/>
    <w:rsid w:val="00953014"/>
    <w:rsid w:val="009532E4"/>
    <w:rsid w:val="0095349B"/>
    <w:rsid w:val="0095395D"/>
    <w:rsid w:val="00953C4D"/>
    <w:rsid w:val="009541BB"/>
    <w:rsid w:val="00954504"/>
    <w:rsid w:val="0095470B"/>
    <w:rsid w:val="00954874"/>
    <w:rsid w:val="00954E89"/>
    <w:rsid w:val="00954F42"/>
    <w:rsid w:val="0095505A"/>
    <w:rsid w:val="009551FE"/>
    <w:rsid w:val="009552E9"/>
    <w:rsid w:val="00955583"/>
    <w:rsid w:val="00955FA7"/>
    <w:rsid w:val="00955FD8"/>
    <w:rsid w:val="0095615A"/>
    <w:rsid w:val="0095648D"/>
    <w:rsid w:val="0095671B"/>
    <w:rsid w:val="00956C8C"/>
    <w:rsid w:val="00956F45"/>
    <w:rsid w:val="00956F5C"/>
    <w:rsid w:val="00957742"/>
    <w:rsid w:val="00957D01"/>
    <w:rsid w:val="00960224"/>
    <w:rsid w:val="009603BB"/>
    <w:rsid w:val="00960843"/>
    <w:rsid w:val="00960884"/>
    <w:rsid w:val="00960A92"/>
    <w:rsid w:val="00960AAA"/>
    <w:rsid w:val="00960C26"/>
    <w:rsid w:val="00960F38"/>
    <w:rsid w:val="00961400"/>
    <w:rsid w:val="00961573"/>
    <w:rsid w:val="009616A2"/>
    <w:rsid w:val="00961785"/>
    <w:rsid w:val="00961E4F"/>
    <w:rsid w:val="009624B8"/>
    <w:rsid w:val="00962579"/>
    <w:rsid w:val="0096265B"/>
    <w:rsid w:val="00962725"/>
    <w:rsid w:val="00962E06"/>
    <w:rsid w:val="009631E3"/>
    <w:rsid w:val="009634C1"/>
    <w:rsid w:val="00963646"/>
    <w:rsid w:val="00963726"/>
    <w:rsid w:val="00963FF6"/>
    <w:rsid w:val="0096449A"/>
    <w:rsid w:val="009649D6"/>
    <w:rsid w:val="00964ABA"/>
    <w:rsid w:val="00964C17"/>
    <w:rsid w:val="00964D06"/>
    <w:rsid w:val="00964E57"/>
    <w:rsid w:val="00965D84"/>
    <w:rsid w:val="0096610E"/>
    <w:rsid w:val="0096632D"/>
    <w:rsid w:val="0096667B"/>
    <w:rsid w:val="009667F7"/>
    <w:rsid w:val="00966AEC"/>
    <w:rsid w:val="00967124"/>
    <w:rsid w:val="00967202"/>
    <w:rsid w:val="009674A4"/>
    <w:rsid w:val="009679BC"/>
    <w:rsid w:val="00967A94"/>
    <w:rsid w:val="00967D9A"/>
    <w:rsid w:val="00967DA0"/>
    <w:rsid w:val="00967EC0"/>
    <w:rsid w:val="00967FF9"/>
    <w:rsid w:val="009700C2"/>
    <w:rsid w:val="00970140"/>
    <w:rsid w:val="00970595"/>
    <w:rsid w:val="00970AB5"/>
    <w:rsid w:val="00970B35"/>
    <w:rsid w:val="0097145E"/>
    <w:rsid w:val="009718C7"/>
    <w:rsid w:val="009724A5"/>
    <w:rsid w:val="00972597"/>
    <w:rsid w:val="00972B30"/>
    <w:rsid w:val="00972B6F"/>
    <w:rsid w:val="009730EF"/>
    <w:rsid w:val="00973276"/>
    <w:rsid w:val="009735CC"/>
    <w:rsid w:val="009736D7"/>
    <w:rsid w:val="00973776"/>
    <w:rsid w:val="00973DE7"/>
    <w:rsid w:val="00973E51"/>
    <w:rsid w:val="009745A6"/>
    <w:rsid w:val="00974C55"/>
    <w:rsid w:val="00974F34"/>
    <w:rsid w:val="009754DA"/>
    <w:rsid w:val="0097559F"/>
    <w:rsid w:val="0097614E"/>
    <w:rsid w:val="009761EA"/>
    <w:rsid w:val="009768DA"/>
    <w:rsid w:val="0097761E"/>
    <w:rsid w:val="00977F24"/>
    <w:rsid w:val="009800C5"/>
    <w:rsid w:val="0098036D"/>
    <w:rsid w:val="0098058D"/>
    <w:rsid w:val="0098063C"/>
    <w:rsid w:val="00980A7C"/>
    <w:rsid w:val="00980C0F"/>
    <w:rsid w:val="00981A91"/>
    <w:rsid w:val="009822C9"/>
    <w:rsid w:val="00982454"/>
    <w:rsid w:val="00982752"/>
    <w:rsid w:val="00982CF0"/>
    <w:rsid w:val="00983109"/>
    <w:rsid w:val="0098337B"/>
    <w:rsid w:val="00983562"/>
    <w:rsid w:val="009836B8"/>
    <w:rsid w:val="00983D8D"/>
    <w:rsid w:val="00984442"/>
    <w:rsid w:val="00984D97"/>
    <w:rsid w:val="00984F60"/>
    <w:rsid w:val="009853E1"/>
    <w:rsid w:val="009854DC"/>
    <w:rsid w:val="00985814"/>
    <w:rsid w:val="00985D73"/>
    <w:rsid w:val="00985F1A"/>
    <w:rsid w:val="0098613E"/>
    <w:rsid w:val="0098615D"/>
    <w:rsid w:val="00986737"/>
    <w:rsid w:val="00986876"/>
    <w:rsid w:val="00986E6B"/>
    <w:rsid w:val="009875C6"/>
    <w:rsid w:val="00987954"/>
    <w:rsid w:val="00990032"/>
    <w:rsid w:val="0099024C"/>
    <w:rsid w:val="00990926"/>
    <w:rsid w:val="00990B19"/>
    <w:rsid w:val="00990FE4"/>
    <w:rsid w:val="0099153B"/>
    <w:rsid w:val="009916BE"/>
    <w:rsid w:val="00991769"/>
    <w:rsid w:val="00991CE4"/>
    <w:rsid w:val="00991CEF"/>
    <w:rsid w:val="009920A2"/>
    <w:rsid w:val="00992219"/>
    <w:rsid w:val="0099232C"/>
    <w:rsid w:val="00992FE4"/>
    <w:rsid w:val="0099329A"/>
    <w:rsid w:val="00993A86"/>
    <w:rsid w:val="00993B97"/>
    <w:rsid w:val="00994016"/>
    <w:rsid w:val="00994123"/>
    <w:rsid w:val="00994386"/>
    <w:rsid w:val="00994775"/>
    <w:rsid w:val="00994D2B"/>
    <w:rsid w:val="0099543C"/>
    <w:rsid w:val="009959A6"/>
    <w:rsid w:val="00995DF7"/>
    <w:rsid w:val="0099616B"/>
    <w:rsid w:val="00996892"/>
    <w:rsid w:val="00996DF4"/>
    <w:rsid w:val="0099717D"/>
    <w:rsid w:val="0099739F"/>
    <w:rsid w:val="009975B4"/>
    <w:rsid w:val="0099775D"/>
    <w:rsid w:val="00997A75"/>
    <w:rsid w:val="00997F10"/>
    <w:rsid w:val="009A06B0"/>
    <w:rsid w:val="009A096F"/>
    <w:rsid w:val="009A13D8"/>
    <w:rsid w:val="009A17CE"/>
    <w:rsid w:val="009A279E"/>
    <w:rsid w:val="009A2B03"/>
    <w:rsid w:val="009A2C40"/>
    <w:rsid w:val="009A2EC5"/>
    <w:rsid w:val="009A3015"/>
    <w:rsid w:val="009A3490"/>
    <w:rsid w:val="009A3D2B"/>
    <w:rsid w:val="009A3D7D"/>
    <w:rsid w:val="009A4004"/>
    <w:rsid w:val="009A4063"/>
    <w:rsid w:val="009A4824"/>
    <w:rsid w:val="009A5098"/>
    <w:rsid w:val="009A5220"/>
    <w:rsid w:val="009A546C"/>
    <w:rsid w:val="009A5FCC"/>
    <w:rsid w:val="009A6303"/>
    <w:rsid w:val="009A6550"/>
    <w:rsid w:val="009A67E7"/>
    <w:rsid w:val="009A695A"/>
    <w:rsid w:val="009A6ACE"/>
    <w:rsid w:val="009A71C3"/>
    <w:rsid w:val="009A71F8"/>
    <w:rsid w:val="009A7A3F"/>
    <w:rsid w:val="009A7EC6"/>
    <w:rsid w:val="009B0A6F"/>
    <w:rsid w:val="009B0A94"/>
    <w:rsid w:val="009B1464"/>
    <w:rsid w:val="009B18A5"/>
    <w:rsid w:val="009B1F1C"/>
    <w:rsid w:val="009B1FF3"/>
    <w:rsid w:val="009B22D9"/>
    <w:rsid w:val="009B23A5"/>
    <w:rsid w:val="009B2906"/>
    <w:rsid w:val="009B2ADE"/>
    <w:rsid w:val="009B2AE8"/>
    <w:rsid w:val="009B2E7B"/>
    <w:rsid w:val="009B3327"/>
    <w:rsid w:val="009B33AA"/>
    <w:rsid w:val="009B366D"/>
    <w:rsid w:val="009B3BE6"/>
    <w:rsid w:val="009B3C85"/>
    <w:rsid w:val="009B54DD"/>
    <w:rsid w:val="009B5622"/>
    <w:rsid w:val="009B569F"/>
    <w:rsid w:val="009B577B"/>
    <w:rsid w:val="009B59E9"/>
    <w:rsid w:val="009B5A64"/>
    <w:rsid w:val="009B5E57"/>
    <w:rsid w:val="009B64E1"/>
    <w:rsid w:val="009B6825"/>
    <w:rsid w:val="009B6B9E"/>
    <w:rsid w:val="009B70AA"/>
    <w:rsid w:val="009B71DF"/>
    <w:rsid w:val="009B7953"/>
    <w:rsid w:val="009B7E8D"/>
    <w:rsid w:val="009C0454"/>
    <w:rsid w:val="009C060D"/>
    <w:rsid w:val="009C0C22"/>
    <w:rsid w:val="009C1029"/>
    <w:rsid w:val="009C13A4"/>
    <w:rsid w:val="009C1558"/>
    <w:rsid w:val="009C1641"/>
    <w:rsid w:val="009C18FC"/>
    <w:rsid w:val="009C19C4"/>
    <w:rsid w:val="009C1C2C"/>
    <w:rsid w:val="009C1CB1"/>
    <w:rsid w:val="009C21EC"/>
    <w:rsid w:val="009C22CC"/>
    <w:rsid w:val="009C23C7"/>
    <w:rsid w:val="009C3084"/>
    <w:rsid w:val="009C3535"/>
    <w:rsid w:val="009C3744"/>
    <w:rsid w:val="009C38A5"/>
    <w:rsid w:val="009C4481"/>
    <w:rsid w:val="009C4920"/>
    <w:rsid w:val="009C4B04"/>
    <w:rsid w:val="009C4B46"/>
    <w:rsid w:val="009C52CD"/>
    <w:rsid w:val="009C5E77"/>
    <w:rsid w:val="009C5FC3"/>
    <w:rsid w:val="009C6716"/>
    <w:rsid w:val="009C6B91"/>
    <w:rsid w:val="009C6C0C"/>
    <w:rsid w:val="009C6DC8"/>
    <w:rsid w:val="009C6F8A"/>
    <w:rsid w:val="009C70A6"/>
    <w:rsid w:val="009C7147"/>
    <w:rsid w:val="009C7370"/>
    <w:rsid w:val="009C7799"/>
    <w:rsid w:val="009C7A7E"/>
    <w:rsid w:val="009C7EBD"/>
    <w:rsid w:val="009D02E8"/>
    <w:rsid w:val="009D13B4"/>
    <w:rsid w:val="009D1656"/>
    <w:rsid w:val="009D174F"/>
    <w:rsid w:val="009D182D"/>
    <w:rsid w:val="009D2037"/>
    <w:rsid w:val="009D222C"/>
    <w:rsid w:val="009D26CA"/>
    <w:rsid w:val="009D2B1D"/>
    <w:rsid w:val="009D3564"/>
    <w:rsid w:val="009D38E9"/>
    <w:rsid w:val="009D39C1"/>
    <w:rsid w:val="009D3E3E"/>
    <w:rsid w:val="009D3E92"/>
    <w:rsid w:val="009D46B8"/>
    <w:rsid w:val="009D4D7B"/>
    <w:rsid w:val="009D4E7C"/>
    <w:rsid w:val="009D51D0"/>
    <w:rsid w:val="009D5314"/>
    <w:rsid w:val="009D58CC"/>
    <w:rsid w:val="009D5940"/>
    <w:rsid w:val="009D5B7C"/>
    <w:rsid w:val="009D61BD"/>
    <w:rsid w:val="009D6415"/>
    <w:rsid w:val="009D64A8"/>
    <w:rsid w:val="009D6BE4"/>
    <w:rsid w:val="009D6DF3"/>
    <w:rsid w:val="009D7014"/>
    <w:rsid w:val="009D70A4"/>
    <w:rsid w:val="009D7249"/>
    <w:rsid w:val="009D7376"/>
    <w:rsid w:val="009D78DC"/>
    <w:rsid w:val="009D7A52"/>
    <w:rsid w:val="009D7B14"/>
    <w:rsid w:val="009D7CD2"/>
    <w:rsid w:val="009D7F21"/>
    <w:rsid w:val="009E025E"/>
    <w:rsid w:val="009E070F"/>
    <w:rsid w:val="009E08D1"/>
    <w:rsid w:val="009E1B95"/>
    <w:rsid w:val="009E1E37"/>
    <w:rsid w:val="009E1E81"/>
    <w:rsid w:val="009E31FB"/>
    <w:rsid w:val="009E3531"/>
    <w:rsid w:val="009E379C"/>
    <w:rsid w:val="009E380B"/>
    <w:rsid w:val="009E39CF"/>
    <w:rsid w:val="009E39E6"/>
    <w:rsid w:val="009E3D37"/>
    <w:rsid w:val="009E3DD4"/>
    <w:rsid w:val="009E44C8"/>
    <w:rsid w:val="009E496F"/>
    <w:rsid w:val="009E4B0D"/>
    <w:rsid w:val="009E4C2F"/>
    <w:rsid w:val="009E4F5E"/>
    <w:rsid w:val="009E5250"/>
    <w:rsid w:val="009E533C"/>
    <w:rsid w:val="009E5886"/>
    <w:rsid w:val="009E5A5E"/>
    <w:rsid w:val="009E5CFB"/>
    <w:rsid w:val="009E6AD4"/>
    <w:rsid w:val="009E71CE"/>
    <w:rsid w:val="009E7A69"/>
    <w:rsid w:val="009E7CE4"/>
    <w:rsid w:val="009E7F92"/>
    <w:rsid w:val="009F02A3"/>
    <w:rsid w:val="009F0376"/>
    <w:rsid w:val="009F078D"/>
    <w:rsid w:val="009F0832"/>
    <w:rsid w:val="009F088F"/>
    <w:rsid w:val="009F08DD"/>
    <w:rsid w:val="009F1689"/>
    <w:rsid w:val="009F288C"/>
    <w:rsid w:val="009F2A87"/>
    <w:rsid w:val="009F2AF1"/>
    <w:rsid w:val="009F2CE5"/>
    <w:rsid w:val="009F2F27"/>
    <w:rsid w:val="009F34AA"/>
    <w:rsid w:val="009F3AB5"/>
    <w:rsid w:val="009F3B54"/>
    <w:rsid w:val="009F3BAC"/>
    <w:rsid w:val="009F45B5"/>
    <w:rsid w:val="009F48A3"/>
    <w:rsid w:val="009F4E35"/>
    <w:rsid w:val="009F4FDC"/>
    <w:rsid w:val="009F5336"/>
    <w:rsid w:val="009F5477"/>
    <w:rsid w:val="009F5B56"/>
    <w:rsid w:val="009F6579"/>
    <w:rsid w:val="009F67BF"/>
    <w:rsid w:val="009F693A"/>
    <w:rsid w:val="009F6BCB"/>
    <w:rsid w:val="009F6F43"/>
    <w:rsid w:val="009F7148"/>
    <w:rsid w:val="009F7B78"/>
    <w:rsid w:val="009F7D9F"/>
    <w:rsid w:val="00A00280"/>
    <w:rsid w:val="00A0057A"/>
    <w:rsid w:val="00A0058B"/>
    <w:rsid w:val="00A0092B"/>
    <w:rsid w:val="00A00C7C"/>
    <w:rsid w:val="00A00F7F"/>
    <w:rsid w:val="00A01680"/>
    <w:rsid w:val="00A019B7"/>
    <w:rsid w:val="00A0215F"/>
    <w:rsid w:val="00A028A1"/>
    <w:rsid w:val="00A02FA1"/>
    <w:rsid w:val="00A04CCE"/>
    <w:rsid w:val="00A04ECB"/>
    <w:rsid w:val="00A04F3B"/>
    <w:rsid w:val="00A052A6"/>
    <w:rsid w:val="00A05B3A"/>
    <w:rsid w:val="00A05B4C"/>
    <w:rsid w:val="00A05D7E"/>
    <w:rsid w:val="00A0609A"/>
    <w:rsid w:val="00A0619F"/>
    <w:rsid w:val="00A06368"/>
    <w:rsid w:val="00A0658E"/>
    <w:rsid w:val="00A06660"/>
    <w:rsid w:val="00A072A5"/>
    <w:rsid w:val="00A07421"/>
    <w:rsid w:val="00A0776B"/>
    <w:rsid w:val="00A07856"/>
    <w:rsid w:val="00A07A42"/>
    <w:rsid w:val="00A07CAB"/>
    <w:rsid w:val="00A07D0B"/>
    <w:rsid w:val="00A100E0"/>
    <w:rsid w:val="00A10378"/>
    <w:rsid w:val="00A10A84"/>
    <w:rsid w:val="00A10B2D"/>
    <w:rsid w:val="00A10B9F"/>
    <w:rsid w:val="00A10EF1"/>
    <w:rsid w:val="00A10F7F"/>
    <w:rsid w:val="00A10FB9"/>
    <w:rsid w:val="00A11421"/>
    <w:rsid w:val="00A11C42"/>
    <w:rsid w:val="00A11FD8"/>
    <w:rsid w:val="00A12BC2"/>
    <w:rsid w:val="00A12E03"/>
    <w:rsid w:val="00A136CD"/>
    <w:rsid w:val="00A1389F"/>
    <w:rsid w:val="00A14259"/>
    <w:rsid w:val="00A1489C"/>
    <w:rsid w:val="00A14C46"/>
    <w:rsid w:val="00A14C7F"/>
    <w:rsid w:val="00A14D1D"/>
    <w:rsid w:val="00A155AF"/>
    <w:rsid w:val="00A157B1"/>
    <w:rsid w:val="00A1609D"/>
    <w:rsid w:val="00A16494"/>
    <w:rsid w:val="00A16C2C"/>
    <w:rsid w:val="00A16DBA"/>
    <w:rsid w:val="00A17576"/>
    <w:rsid w:val="00A177B6"/>
    <w:rsid w:val="00A20DF2"/>
    <w:rsid w:val="00A20F21"/>
    <w:rsid w:val="00A20F97"/>
    <w:rsid w:val="00A21408"/>
    <w:rsid w:val="00A215B3"/>
    <w:rsid w:val="00A21997"/>
    <w:rsid w:val="00A21BB6"/>
    <w:rsid w:val="00A22229"/>
    <w:rsid w:val="00A22603"/>
    <w:rsid w:val="00A22800"/>
    <w:rsid w:val="00A22C68"/>
    <w:rsid w:val="00A22CB4"/>
    <w:rsid w:val="00A22F70"/>
    <w:rsid w:val="00A23288"/>
    <w:rsid w:val="00A239C4"/>
    <w:rsid w:val="00A23BF4"/>
    <w:rsid w:val="00A2422F"/>
    <w:rsid w:val="00A24442"/>
    <w:rsid w:val="00A24637"/>
    <w:rsid w:val="00A2475A"/>
    <w:rsid w:val="00A249FF"/>
    <w:rsid w:val="00A24E10"/>
    <w:rsid w:val="00A25A14"/>
    <w:rsid w:val="00A25C24"/>
    <w:rsid w:val="00A25EB7"/>
    <w:rsid w:val="00A25FB8"/>
    <w:rsid w:val="00A262D1"/>
    <w:rsid w:val="00A26B02"/>
    <w:rsid w:val="00A26F03"/>
    <w:rsid w:val="00A270AE"/>
    <w:rsid w:val="00A27157"/>
    <w:rsid w:val="00A271EC"/>
    <w:rsid w:val="00A27371"/>
    <w:rsid w:val="00A27A5E"/>
    <w:rsid w:val="00A27C2C"/>
    <w:rsid w:val="00A3000B"/>
    <w:rsid w:val="00A30105"/>
    <w:rsid w:val="00A3013F"/>
    <w:rsid w:val="00A30644"/>
    <w:rsid w:val="00A307A5"/>
    <w:rsid w:val="00A30B72"/>
    <w:rsid w:val="00A31871"/>
    <w:rsid w:val="00A31B88"/>
    <w:rsid w:val="00A31CE4"/>
    <w:rsid w:val="00A31DAC"/>
    <w:rsid w:val="00A320CF"/>
    <w:rsid w:val="00A32577"/>
    <w:rsid w:val="00A329A5"/>
    <w:rsid w:val="00A32B50"/>
    <w:rsid w:val="00A32C69"/>
    <w:rsid w:val="00A32F36"/>
    <w:rsid w:val="00A32FE7"/>
    <w:rsid w:val="00A330BB"/>
    <w:rsid w:val="00A33179"/>
    <w:rsid w:val="00A336AF"/>
    <w:rsid w:val="00A3378D"/>
    <w:rsid w:val="00A338C9"/>
    <w:rsid w:val="00A33C15"/>
    <w:rsid w:val="00A33E1A"/>
    <w:rsid w:val="00A343C5"/>
    <w:rsid w:val="00A34ACD"/>
    <w:rsid w:val="00A34CCF"/>
    <w:rsid w:val="00A34F01"/>
    <w:rsid w:val="00A351EC"/>
    <w:rsid w:val="00A357FA"/>
    <w:rsid w:val="00A36032"/>
    <w:rsid w:val="00A3633F"/>
    <w:rsid w:val="00A3650D"/>
    <w:rsid w:val="00A36A42"/>
    <w:rsid w:val="00A36F75"/>
    <w:rsid w:val="00A37079"/>
    <w:rsid w:val="00A37225"/>
    <w:rsid w:val="00A40159"/>
    <w:rsid w:val="00A403C4"/>
    <w:rsid w:val="00A40615"/>
    <w:rsid w:val="00A4093F"/>
    <w:rsid w:val="00A41526"/>
    <w:rsid w:val="00A416F6"/>
    <w:rsid w:val="00A41746"/>
    <w:rsid w:val="00A41A3E"/>
    <w:rsid w:val="00A41D65"/>
    <w:rsid w:val="00A421BF"/>
    <w:rsid w:val="00A42685"/>
    <w:rsid w:val="00A42CA4"/>
    <w:rsid w:val="00A43094"/>
    <w:rsid w:val="00A43486"/>
    <w:rsid w:val="00A43495"/>
    <w:rsid w:val="00A4359E"/>
    <w:rsid w:val="00A43670"/>
    <w:rsid w:val="00A43F41"/>
    <w:rsid w:val="00A44882"/>
    <w:rsid w:val="00A44B18"/>
    <w:rsid w:val="00A44D54"/>
    <w:rsid w:val="00A45125"/>
    <w:rsid w:val="00A46772"/>
    <w:rsid w:val="00A468F0"/>
    <w:rsid w:val="00A4694F"/>
    <w:rsid w:val="00A47372"/>
    <w:rsid w:val="00A474AF"/>
    <w:rsid w:val="00A47655"/>
    <w:rsid w:val="00A4785E"/>
    <w:rsid w:val="00A479E2"/>
    <w:rsid w:val="00A5068A"/>
    <w:rsid w:val="00A51440"/>
    <w:rsid w:val="00A5150F"/>
    <w:rsid w:val="00A51CFE"/>
    <w:rsid w:val="00A52044"/>
    <w:rsid w:val="00A52234"/>
    <w:rsid w:val="00A5237A"/>
    <w:rsid w:val="00A5272E"/>
    <w:rsid w:val="00A528A9"/>
    <w:rsid w:val="00A52D48"/>
    <w:rsid w:val="00A53581"/>
    <w:rsid w:val="00A53C6F"/>
    <w:rsid w:val="00A541D5"/>
    <w:rsid w:val="00A54272"/>
    <w:rsid w:val="00A54715"/>
    <w:rsid w:val="00A54767"/>
    <w:rsid w:val="00A54866"/>
    <w:rsid w:val="00A548F5"/>
    <w:rsid w:val="00A54EC6"/>
    <w:rsid w:val="00A5523D"/>
    <w:rsid w:val="00A55420"/>
    <w:rsid w:val="00A554CC"/>
    <w:rsid w:val="00A55982"/>
    <w:rsid w:val="00A55B3C"/>
    <w:rsid w:val="00A56B2C"/>
    <w:rsid w:val="00A56FE6"/>
    <w:rsid w:val="00A5797A"/>
    <w:rsid w:val="00A60071"/>
    <w:rsid w:val="00A603DA"/>
    <w:rsid w:val="00A6061C"/>
    <w:rsid w:val="00A614C9"/>
    <w:rsid w:val="00A614E0"/>
    <w:rsid w:val="00A6153C"/>
    <w:rsid w:val="00A61C2D"/>
    <w:rsid w:val="00A61E48"/>
    <w:rsid w:val="00A620DA"/>
    <w:rsid w:val="00A62D44"/>
    <w:rsid w:val="00A62D80"/>
    <w:rsid w:val="00A6385A"/>
    <w:rsid w:val="00A643C9"/>
    <w:rsid w:val="00A64495"/>
    <w:rsid w:val="00A645D3"/>
    <w:rsid w:val="00A64624"/>
    <w:rsid w:val="00A64B4C"/>
    <w:rsid w:val="00A64C12"/>
    <w:rsid w:val="00A650CB"/>
    <w:rsid w:val="00A653DA"/>
    <w:rsid w:val="00A65905"/>
    <w:rsid w:val="00A65AEA"/>
    <w:rsid w:val="00A65E42"/>
    <w:rsid w:val="00A661B4"/>
    <w:rsid w:val="00A6657B"/>
    <w:rsid w:val="00A66598"/>
    <w:rsid w:val="00A667CA"/>
    <w:rsid w:val="00A668A9"/>
    <w:rsid w:val="00A66920"/>
    <w:rsid w:val="00A66EE6"/>
    <w:rsid w:val="00A67259"/>
    <w:rsid w:val="00A67263"/>
    <w:rsid w:val="00A70AC3"/>
    <w:rsid w:val="00A7161C"/>
    <w:rsid w:val="00A71934"/>
    <w:rsid w:val="00A71FEE"/>
    <w:rsid w:val="00A7206A"/>
    <w:rsid w:val="00A7223F"/>
    <w:rsid w:val="00A723C2"/>
    <w:rsid w:val="00A724BE"/>
    <w:rsid w:val="00A7297E"/>
    <w:rsid w:val="00A72ACF"/>
    <w:rsid w:val="00A72C04"/>
    <w:rsid w:val="00A7317F"/>
    <w:rsid w:val="00A73574"/>
    <w:rsid w:val="00A73E7D"/>
    <w:rsid w:val="00A74194"/>
    <w:rsid w:val="00A74267"/>
    <w:rsid w:val="00A742A5"/>
    <w:rsid w:val="00A7470E"/>
    <w:rsid w:val="00A74981"/>
    <w:rsid w:val="00A74BA4"/>
    <w:rsid w:val="00A752FE"/>
    <w:rsid w:val="00A7555A"/>
    <w:rsid w:val="00A755A8"/>
    <w:rsid w:val="00A75D4C"/>
    <w:rsid w:val="00A75DEC"/>
    <w:rsid w:val="00A75EE2"/>
    <w:rsid w:val="00A760C8"/>
    <w:rsid w:val="00A764CB"/>
    <w:rsid w:val="00A76EC6"/>
    <w:rsid w:val="00A771C0"/>
    <w:rsid w:val="00A77850"/>
    <w:rsid w:val="00A77AA3"/>
    <w:rsid w:val="00A77C40"/>
    <w:rsid w:val="00A77FCD"/>
    <w:rsid w:val="00A80244"/>
    <w:rsid w:val="00A80473"/>
    <w:rsid w:val="00A80527"/>
    <w:rsid w:val="00A809CF"/>
    <w:rsid w:val="00A81087"/>
    <w:rsid w:val="00A810B1"/>
    <w:rsid w:val="00A8151D"/>
    <w:rsid w:val="00A816F2"/>
    <w:rsid w:val="00A81A41"/>
    <w:rsid w:val="00A81CDD"/>
    <w:rsid w:val="00A8236D"/>
    <w:rsid w:val="00A82B27"/>
    <w:rsid w:val="00A82C02"/>
    <w:rsid w:val="00A82D66"/>
    <w:rsid w:val="00A82DA7"/>
    <w:rsid w:val="00A835D0"/>
    <w:rsid w:val="00A83835"/>
    <w:rsid w:val="00A84228"/>
    <w:rsid w:val="00A847BA"/>
    <w:rsid w:val="00A84F27"/>
    <w:rsid w:val="00A854EB"/>
    <w:rsid w:val="00A855CE"/>
    <w:rsid w:val="00A85C4E"/>
    <w:rsid w:val="00A85CB9"/>
    <w:rsid w:val="00A85D3A"/>
    <w:rsid w:val="00A86317"/>
    <w:rsid w:val="00A863ED"/>
    <w:rsid w:val="00A86646"/>
    <w:rsid w:val="00A869B7"/>
    <w:rsid w:val="00A872E5"/>
    <w:rsid w:val="00A875AB"/>
    <w:rsid w:val="00A87982"/>
    <w:rsid w:val="00A906B2"/>
    <w:rsid w:val="00A906EE"/>
    <w:rsid w:val="00A910B4"/>
    <w:rsid w:val="00A91406"/>
    <w:rsid w:val="00A9149B"/>
    <w:rsid w:val="00A91E26"/>
    <w:rsid w:val="00A929F4"/>
    <w:rsid w:val="00A92B15"/>
    <w:rsid w:val="00A9322C"/>
    <w:rsid w:val="00A934BF"/>
    <w:rsid w:val="00A93993"/>
    <w:rsid w:val="00A93C37"/>
    <w:rsid w:val="00A93E6D"/>
    <w:rsid w:val="00A941F3"/>
    <w:rsid w:val="00A94ACC"/>
    <w:rsid w:val="00A94FD7"/>
    <w:rsid w:val="00A95573"/>
    <w:rsid w:val="00A9589E"/>
    <w:rsid w:val="00A95B3A"/>
    <w:rsid w:val="00A95E05"/>
    <w:rsid w:val="00A960F9"/>
    <w:rsid w:val="00A96555"/>
    <w:rsid w:val="00A96596"/>
    <w:rsid w:val="00A96625"/>
    <w:rsid w:val="00A96A0E"/>
    <w:rsid w:val="00A96E65"/>
    <w:rsid w:val="00A96ECE"/>
    <w:rsid w:val="00A96F0F"/>
    <w:rsid w:val="00A96FA8"/>
    <w:rsid w:val="00A97036"/>
    <w:rsid w:val="00A972B9"/>
    <w:rsid w:val="00A976B7"/>
    <w:rsid w:val="00A9781B"/>
    <w:rsid w:val="00A97B6D"/>
    <w:rsid w:val="00A97C72"/>
    <w:rsid w:val="00A97EBC"/>
    <w:rsid w:val="00AA007D"/>
    <w:rsid w:val="00AA00B5"/>
    <w:rsid w:val="00AA016C"/>
    <w:rsid w:val="00AA0643"/>
    <w:rsid w:val="00AA0BC6"/>
    <w:rsid w:val="00AA0F52"/>
    <w:rsid w:val="00AA0FB8"/>
    <w:rsid w:val="00AA11F7"/>
    <w:rsid w:val="00AA145B"/>
    <w:rsid w:val="00AA1795"/>
    <w:rsid w:val="00AA1879"/>
    <w:rsid w:val="00AA1C41"/>
    <w:rsid w:val="00AA1C53"/>
    <w:rsid w:val="00AA1DF2"/>
    <w:rsid w:val="00AA203F"/>
    <w:rsid w:val="00AA262E"/>
    <w:rsid w:val="00AA2846"/>
    <w:rsid w:val="00AA2D07"/>
    <w:rsid w:val="00AA2D1F"/>
    <w:rsid w:val="00AA310B"/>
    <w:rsid w:val="00AA3236"/>
    <w:rsid w:val="00AA3319"/>
    <w:rsid w:val="00AA3554"/>
    <w:rsid w:val="00AA461B"/>
    <w:rsid w:val="00AA4851"/>
    <w:rsid w:val="00AA4C93"/>
    <w:rsid w:val="00AA55D8"/>
    <w:rsid w:val="00AA6054"/>
    <w:rsid w:val="00AA6183"/>
    <w:rsid w:val="00AA62CF"/>
    <w:rsid w:val="00AA63D4"/>
    <w:rsid w:val="00AA6725"/>
    <w:rsid w:val="00AA6854"/>
    <w:rsid w:val="00AA692E"/>
    <w:rsid w:val="00AA6C89"/>
    <w:rsid w:val="00AA6DEE"/>
    <w:rsid w:val="00AA6E38"/>
    <w:rsid w:val="00AA752E"/>
    <w:rsid w:val="00AA7EC3"/>
    <w:rsid w:val="00AB00E8"/>
    <w:rsid w:val="00AB06E8"/>
    <w:rsid w:val="00AB1355"/>
    <w:rsid w:val="00AB1420"/>
    <w:rsid w:val="00AB19AA"/>
    <w:rsid w:val="00AB1B83"/>
    <w:rsid w:val="00AB1CD3"/>
    <w:rsid w:val="00AB1E7D"/>
    <w:rsid w:val="00AB2391"/>
    <w:rsid w:val="00AB2432"/>
    <w:rsid w:val="00AB2D70"/>
    <w:rsid w:val="00AB2F01"/>
    <w:rsid w:val="00AB311B"/>
    <w:rsid w:val="00AB3285"/>
    <w:rsid w:val="00AB33A4"/>
    <w:rsid w:val="00AB341F"/>
    <w:rsid w:val="00AB352F"/>
    <w:rsid w:val="00AB3B3D"/>
    <w:rsid w:val="00AB428C"/>
    <w:rsid w:val="00AB4BCD"/>
    <w:rsid w:val="00AB4C7C"/>
    <w:rsid w:val="00AB4E0F"/>
    <w:rsid w:val="00AB518E"/>
    <w:rsid w:val="00AB5258"/>
    <w:rsid w:val="00AB5715"/>
    <w:rsid w:val="00AB586A"/>
    <w:rsid w:val="00AB5A42"/>
    <w:rsid w:val="00AB6145"/>
    <w:rsid w:val="00AB6BC2"/>
    <w:rsid w:val="00AB7E11"/>
    <w:rsid w:val="00AC074C"/>
    <w:rsid w:val="00AC0D89"/>
    <w:rsid w:val="00AC1138"/>
    <w:rsid w:val="00AC1215"/>
    <w:rsid w:val="00AC14E5"/>
    <w:rsid w:val="00AC1DED"/>
    <w:rsid w:val="00AC1FB6"/>
    <w:rsid w:val="00AC2137"/>
    <w:rsid w:val="00AC221B"/>
    <w:rsid w:val="00AC2492"/>
    <w:rsid w:val="00AC274B"/>
    <w:rsid w:val="00AC2DA4"/>
    <w:rsid w:val="00AC2E1E"/>
    <w:rsid w:val="00AC2E7C"/>
    <w:rsid w:val="00AC3504"/>
    <w:rsid w:val="00AC385F"/>
    <w:rsid w:val="00AC3B77"/>
    <w:rsid w:val="00AC4114"/>
    <w:rsid w:val="00AC4476"/>
    <w:rsid w:val="00AC4764"/>
    <w:rsid w:val="00AC498B"/>
    <w:rsid w:val="00AC4B17"/>
    <w:rsid w:val="00AC4B32"/>
    <w:rsid w:val="00AC4CD6"/>
    <w:rsid w:val="00AC4D55"/>
    <w:rsid w:val="00AC50ED"/>
    <w:rsid w:val="00AC531E"/>
    <w:rsid w:val="00AC532A"/>
    <w:rsid w:val="00AC5560"/>
    <w:rsid w:val="00AC58C2"/>
    <w:rsid w:val="00AC600E"/>
    <w:rsid w:val="00AC60C9"/>
    <w:rsid w:val="00AC6416"/>
    <w:rsid w:val="00AC6558"/>
    <w:rsid w:val="00AC6D36"/>
    <w:rsid w:val="00AC6F6E"/>
    <w:rsid w:val="00AC79F9"/>
    <w:rsid w:val="00AD0C5F"/>
    <w:rsid w:val="00AD0CBA"/>
    <w:rsid w:val="00AD13CA"/>
    <w:rsid w:val="00AD1AF7"/>
    <w:rsid w:val="00AD1E8C"/>
    <w:rsid w:val="00AD26E2"/>
    <w:rsid w:val="00AD29FF"/>
    <w:rsid w:val="00AD2B77"/>
    <w:rsid w:val="00AD2D02"/>
    <w:rsid w:val="00AD2DAF"/>
    <w:rsid w:val="00AD30B5"/>
    <w:rsid w:val="00AD33D9"/>
    <w:rsid w:val="00AD3676"/>
    <w:rsid w:val="00AD3EA0"/>
    <w:rsid w:val="00AD4221"/>
    <w:rsid w:val="00AD42B1"/>
    <w:rsid w:val="00AD43AC"/>
    <w:rsid w:val="00AD43CE"/>
    <w:rsid w:val="00AD45FD"/>
    <w:rsid w:val="00AD460F"/>
    <w:rsid w:val="00AD480D"/>
    <w:rsid w:val="00AD4D5F"/>
    <w:rsid w:val="00AD4F80"/>
    <w:rsid w:val="00AD5245"/>
    <w:rsid w:val="00AD52E2"/>
    <w:rsid w:val="00AD553C"/>
    <w:rsid w:val="00AD6083"/>
    <w:rsid w:val="00AD61FA"/>
    <w:rsid w:val="00AD6466"/>
    <w:rsid w:val="00AD73B3"/>
    <w:rsid w:val="00AD74F8"/>
    <w:rsid w:val="00AD7627"/>
    <w:rsid w:val="00AD784C"/>
    <w:rsid w:val="00AE079D"/>
    <w:rsid w:val="00AE0885"/>
    <w:rsid w:val="00AE0F20"/>
    <w:rsid w:val="00AE0FEA"/>
    <w:rsid w:val="00AE126A"/>
    <w:rsid w:val="00AE1464"/>
    <w:rsid w:val="00AE14B9"/>
    <w:rsid w:val="00AE15B8"/>
    <w:rsid w:val="00AE1A8C"/>
    <w:rsid w:val="00AE1BAE"/>
    <w:rsid w:val="00AE289A"/>
    <w:rsid w:val="00AE2B13"/>
    <w:rsid w:val="00AE2BBF"/>
    <w:rsid w:val="00AE2D37"/>
    <w:rsid w:val="00AE2E27"/>
    <w:rsid w:val="00AE3005"/>
    <w:rsid w:val="00AE3885"/>
    <w:rsid w:val="00AE3967"/>
    <w:rsid w:val="00AE3A8A"/>
    <w:rsid w:val="00AE3BD5"/>
    <w:rsid w:val="00AE3C88"/>
    <w:rsid w:val="00AE3F5F"/>
    <w:rsid w:val="00AE4130"/>
    <w:rsid w:val="00AE416A"/>
    <w:rsid w:val="00AE43A0"/>
    <w:rsid w:val="00AE43D6"/>
    <w:rsid w:val="00AE487B"/>
    <w:rsid w:val="00AE48ED"/>
    <w:rsid w:val="00AE4A1C"/>
    <w:rsid w:val="00AE53C3"/>
    <w:rsid w:val="00AE57A3"/>
    <w:rsid w:val="00AE59A0"/>
    <w:rsid w:val="00AE631E"/>
    <w:rsid w:val="00AE6AD9"/>
    <w:rsid w:val="00AE6B7D"/>
    <w:rsid w:val="00AE6FBA"/>
    <w:rsid w:val="00AE7063"/>
    <w:rsid w:val="00AE7145"/>
    <w:rsid w:val="00AE71BB"/>
    <w:rsid w:val="00AE754A"/>
    <w:rsid w:val="00AE7604"/>
    <w:rsid w:val="00AE762A"/>
    <w:rsid w:val="00AE7787"/>
    <w:rsid w:val="00AE7C88"/>
    <w:rsid w:val="00AE7FA7"/>
    <w:rsid w:val="00AF0A22"/>
    <w:rsid w:val="00AF0C57"/>
    <w:rsid w:val="00AF1D97"/>
    <w:rsid w:val="00AF1EED"/>
    <w:rsid w:val="00AF26F3"/>
    <w:rsid w:val="00AF27E2"/>
    <w:rsid w:val="00AF2FFC"/>
    <w:rsid w:val="00AF36A6"/>
    <w:rsid w:val="00AF3716"/>
    <w:rsid w:val="00AF3AF9"/>
    <w:rsid w:val="00AF4541"/>
    <w:rsid w:val="00AF4F50"/>
    <w:rsid w:val="00AF51AE"/>
    <w:rsid w:val="00AF5298"/>
    <w:rsid w:val="00AF52E1"/>
    <w:rsid w:val="00AF52F3"/>
    <w:rsid w:val="00AF54E7"/>
    <w:rsid w:val="00AF5F04"/>
    <w:rsid w:val="00AF6134"/>
    <w:rsid w:val="00AF6817"/>
    <w:rsid w:val="00AF6F20"/>
    <w:rsid w:val="00AF7062"/>
    <w:rsid w:val="00AF72B7"/>
    <w:rsid w:val="00AF7569"/>
    <w:rsid w:val="00AF7E47"/>
    <w:rsid w:val="00B000CB"/>
    <w:rsid w:val="00B003B7"/>
    <w:rsid w:val="00B00672"/>
    <w:rsid w:val="00B00E87"/>
    <w:rsid w:val="00B0190D"/>
    <w:rsid w:val="00B019DE"/>
    <w:rsid w:val="00B01B4D"/>
    <w:rsid w:val="00B0252F"/>
    <w:rsid w:val="00B02587"/>
    <w:rsid w:val="00B0268C"/>
    <w:rsid w:val="00B027FE"/>
    <w:rsid w:val="00B02987"/>
    <w:rsid w:val="00B038E0"/>
    <w:rsid w:val="00B03F9D"/>
    <w:rsid w:val="00B04029"/>
    <w:rsid w:val="00B04193"/>
    <w:rsid w:val="00B04218"/>
    <w:rsid w:val="00B04223"/>
    <w:rsid w:val="00B04318"/>
    <w:rsid w:val="00B04489"/>
    <w:rsid w:val="00B04498"/>
    <w:rsid w:val="00B04759"/>
    <w:rsid w:val="00B04B50"/>
    <w:rsid w:val="00B04FEB"/>
    <w:rsid w:val="00B053E9"/>
    <w:rsid w:val="00B06196"/>
    <w:rsid w:val="00B062B0"/>
    <w:rsid w:val="00B06569"/>
    <w:rsid w:val="00B06571"/>
    <w:rsid w:val="00B066F3"/>
    <w:rsid w:val="00B068BA"/>
    <w:rsid w:val="00B068E1"/>
    <w:rsid w:val="00B07217"/>
    <w:rsid w:val="00B07242"/>
    <w:rsid w:val="00B072B3"/>
    <w:rsid w:val="00B07629"/>
    <w:rsid w:val="00B07A27"/>
    <w:rsid w:val="00B07BA1"/>
    <w:rsid w:val="00B10773"/>
    <w:rsid w:val="00B10793"/>
    <w:rsid w:val="00B109FE"/>
    <w:rsid w:val="00B10FE5"/>
    <w:rsid w:val="00B11137"/>
    <w:rsid w:val="00B119B7"/>
    <w:rsid w:val="00B11B10"/>
    <w:rsid w:val="00B11E4C"/>
    <w:rsid w:val="00B11EF8"/>
    <w:rsid w:val="00B11FE4"/>
    <w:rsid w:val="00B123F8"/>
    <w:rsid w:val="00B12A73"/>
    <w:rsid w:val="00B12BCF"/>
    <w:rsid w:val="00B12CAA"/>
    <w:rsid w:val="00B12FE5"/>
    <w:rsid w:val="00B1304F"/>
    <w:rsid w:val="00B130E6"/>
    <w:rsid w:val="00B137AA"/>
    <w:rsid w:val="00B13851"/>
    <w:rsid w:val="00B13A2F"/>
    <w:rsid w:val="00B13B1C"/>
    <w:rsid w:val="00B14408"/>
    <w:rsid w:val="00B144B7"/>
    <w:rsid w:val="00B145F0"/>
    <w:rsid w:val="00B147C6"/>
    <w:rsid w:val="00B14A4B"/>
    <w:rsid w:val="00B14B5F"/>
    <w:rsid w:val="00B14CEB"/>
    <w:rsid w:val="00B15374"/>
    <w:rsid w:val="00B154EE"/>
    <w:rsid w:val="00B157A0"/>
    <w:rsid w:val="00B160D3"/>
    <w:rsid w:val="00B16865"/>
    <w:rsid w:val="00B16BA9"/>
    <w:rsid w:val="00B16C6D"/>
    <w:rsid w:val="00B176F1"/>
    <w:rsid w:val="00B179DC"/>
    <w:rsid w:val="00B17F58"/>
    <w:rsid w:val="00B17F72"/>
    <w:rsid w:val="00B2030A"/>
    <w:rsid w:val="00B2031C"/>
    <w:rsid w:val="00B207C5"/>
    <w:rsid w:val="00B20874"/>
    <w:rsid w:val="00B20896"/>
    <w:rsid w:val="00B20FEC"/>
    <w:rsid w:val="00B2110D"/>
    <w:rsid w:val="00B2126D"/>
    <w:rsid w:val="00B213EA"/>
    <w:rsid w:val="00B21B21"/>
    <w:rsid w:val="00B21DC4"/>
    <w:rsid w:val="00B21F90"/>
    <w:rsid w:val="00B22291"/>
    <w:rsid w:val="00B223CE"/>
    <w:rsid w:val="00B227F3"/>
    <w:rsid w:val="00B22A17"/>
    <w:rsid w:val="00B22D16"/>
    <w:rsid w:val="00B22DB7"/>
    <w:rsid w:val="00B23661"/>
    <w:rsid w:val="00B237CD"/>
    <w:rsid w:val="00B23835"/>
    <w:rsid w:val="00B23ADE"/>
    <w:rsid w:val="00B23E51"/>
    <w:rsid w:val="00B23F9A"/>
    <w:rsid w:val="00B2417B"/>
    <w:rsid w:val="00B24273"/>
    <w:rsid w:val="00B24534"/>
    <w:rsid w:val="00B2474F"/>
    <w:rsid w:val="00B247E5"/>
    <w:rsid w:val="00B24CF3"/>
    <w:rsid w:val="00B24E6F"/>
    <w:rsid w:val="00B2521E"/>
    <w:rsid w:val="00B25550"/>
    <w:rsid w:val="00B258C1"/>
    <w:rsid w:val="00B258EA"/>
    <w:rsid w:val="00B25EC1"/>
    <w:rsid w:val="00B26140"/>
    <w:rsid w:val="00B2629B"/>
    <w:rsid w:val="00B264D5"/>
    <w:rsid w:val="00B26B5A"/>
    <w:rsid w:val="00B26C15"/>
    <w:rsid w:val="00B26CB5"/>
    <w:rsid w:val="00B26D2F"/>
    <w:rsid w:val="00B2752E"/>
    <w:rsid w:val="00B3005F"/>
    <w:rsid w:val="00B3050B"/>
    <w:rsid w:val="00B307CC"/>
    <w:rsid w:val="00B30BA0"/>
    <w:rsid w:val="00B30CE8"/>
    <w:rsid w:val="00B30DC4"/>
    <w:rsid w:val="00B30EC3"/>
    <w:rsid w:val="00B30ED7"/>
    <w:rsid w:val="00B31160"/>
    <w:rsid w:val="00B311B3"/>
    <w:rsid w:val="00B31498"/>
    <w:rsid w:val="00B31806"/>
    <w:rsid w:val="00B31A94"/>
    <w:rsid w:val="00B31AE8"/>
    <w:rsid w:val="00B32624"/>
    <w:rsid w:val="00B326B7"/>
    <w:rsid w:val="00B32A09"/>
    <w:rsid w:val="00B32AD3"/>
    <w:rsid w:val="00B32B4C"/>
    <w:rsid w:val="00B32C22"/>
    <w:rsid w:val="00B33539"/>
    <w:rsid w:val="00B3353A"/>
    <w:rsid w:val="00B33DA2"/>
    <w:rsid w:val="00B33E0A"/>
    <w:rsid w:val="00B33F8D"/>
    <w:rsid w:val="00B344A5"/>
    <w:rsid w:val="00B34EF7"/>
    <w:rsid w:val="00B35036"/>
    <w:rsid w:val="00B351DE"/>
    <w:rsid w:val="00B35679"/>
    <w:rsid w:val="00B3588E"/>
    <w:rsid w:val="00B35BAB"/>
    <w:rsid w:val="00B35CAE"/>
    <w:rsid w:val="00B35DD3"/>
    <w:rsid w:val="00B362B0"/>
    <w:rsid w:val="00B3685E"/>
    <w:rsid w:val="00B36865"/>
    <w:rsid w:val="00B375D7"/>
    <w:rsid w:val="00B37875"/>
    <w:rsid w:val="00B37E13"/>
    <w:rsid w:val="00B40B90"/>
    <w:rsid w:val="00B4192D"/>
    <w:rsid w:val="00B4198F"/>
    <w:rsid w:val="00B41BB3"/>
    <w:rsid w:val="00B41BB4"/>
    <w:rsid w:val="00B41F3D"/>
    <w:rsid w:val="00B41F97"/>
    <w:rsid w:val="00B42661"/>
    <w:rsid w:val="00B42688"/>
    <w:rsid w:val="00B42A77"/>
    <w:rsid w:val="00B42ABD"/>
    <w:rsid w:val="00B4308C"/>
    <w:rsid w:val="00B431E8"/>
    <w:rsid w:val="00B4335E"/>
    <w:rsid w:val="00B43607"/>
    <w:rsid w:val="00B43657"/>
    <w:rsid w:val="00B437A1"/>
    <w:rsid w:val="00B43D26"/>
    <w:rsid w:val="00B441EA"/>
    <w:rsid w:val="00B4426E"/>
    <w:rsid w:val="00B44BB1"/>
    <w:rsid w:val="00B44ECF"/>
    <w:rsid w:val="00B45037"/>
    <w:rsid w:val="00B45130"/>
    <w:rsid w:val="00B45141"/>
    <w:rsid w:val="00B4550A"/>
    <w:rsid w:val="00B456A8"/>
    <w:rsid w:val="00B46068"/>
    <w:rsid w:val="00B46299"/>
    <w:rsid w:val="00B46500"/>
    <w:rsid w:val="00B467FE"/>
    <w:rsid w:val="00B46E22"/>
    <w:rsid w:val="00B474DE"/>
    <w:rsid w:val="00B4757A"/>
    <w:rsid w:val="00B47669"/>
    <w:rsid w:val="00B4785D"/>
    <w:rsid w:val="00B47D43"/>
    <w:rsid w:val="00B47DF7"/>
    <w:rsid w:val="00B47DFB"/>
    <w:rsid w:val="00B47F26"/>
    <w:rsid w:val="00B5083E"/>
    <w:rsid w:val="00B50A3F"/>
    <w:rsid w:val="00B51450"/>
    <w:rsid w:val="00B51916"/>
    <w:rsid w:val="00B519CD"/>
    <w:rsid w:val="00B51DC9"/>
    <w:rsid w:val="00B51E72"/>
    <w:rsid w:val="00B51F2A"/>
    <w:rsid w:val="00B5235D"/>
    <w:rsid w:val="00B52421"/>
    <w:rsid w:val="00B5273A"/>
    <w:rsid w:val="00B52AE9"/>
    <w:rsid w:val="00B52F5A"/>
    <w:rsid w:val="00B5319B"/>
    <w:rsid w:val="00B53251"/>
    <w:rsid w:val="00B53D75"/>
    <w:rsid w:val="00B53F5A"/>
    <w:rsid w:val="00B5406B"/>
    <w:rsid w:val="00B540C8"/>
    <w:rsid w:val="00B540EF"/>
    <w:rsid w:val="00B55945"/>
    <w:rsid w:val="00B5633C"/>
    <w:rsid w:val="00B563A7"/>
    <w:rsid w:val="00B56BA4"/>
    <w:rsid w:val="00B56D56"/>
    <w:rsid w:val="00B56E3B"/>
    <w:rsid w:val="00B56FC5"/>
    <w:rsid w:val="00B5718E"/>
    <w:rsid w:val="00B57329"/>
    <w:rsid w:val="00B57A2B"/>
    <w:rsid w:val="00B57EBC"/>
    <w:rsid w:val="00B57EEA"/>
    <w:rsid w:val="00B602F0"/>
    <w:rsid w:val="00B609E2"/>
    <w:rsid w:val="00B60E61"/>
    <w:rsid w:val="00B61044"/>
    <w:rsid w:val="00B61596"/>
    <w:rsid w:val="00B61D35"/>
    <w:rsid w:val="00B62B50"/>
    <w:rsid w:val="00B62EBC"/>
    <w:rsid w:val="00B62FD7"/>
    <w:rsid w:val="00B63076"/>
    <w:rsid w:val="00B630A0"/>
    <w:rsid w:val="00B635B7"/>
    <w:rsid w:val="00B63636"/>
    <w:rsid w:val="00B63A09"/>
    <w:rsid w:val="00B63AE8"/>
    <w:rsid w:val="00B645E5"/>
    <w:rsid w:val="00B64A7A"/>
    <w:rsid w:val="00B64F7C"/>
    <w:rsid w:val="00B65261"/>
    <w:rsid w:val="00B653D0"/>
    <w:rsid w:val="00B655B3"/>
    <w:rsid w:val="00B657A9"/>
    <w:rsid w:val="00B65950"/>
    <w:rsid w:val="00B65A10"/>
    <w:rsid w:val="00B65EB0"/>
    <w:rsid w:val="00B665D1"/>
    <w:rsid w:val="00B666BA"/>
    <w:rsid w:val="00B66716"/>
    <w:rsid w:val="00B66B4B"/>
    <w:rsid w:val="00B66B67"/>
    <w:rsid w:val="00B66D83"/>
    <w:rsid w:val="00B66F55"/>
    <w:rsid w:val="00B672C0"/>
    <w:rsid w:val="00B67409"/>
    <w:rsid w:val="00B676FD"/>
    <w:rsid w:val="00B678B6"/>
    <w:rsid w:val="00B67941"/>
    <w:rsid w:val="00B67F37"/>
    <w:rsid w:val="00B67F57"/>
    <w:rsid w:val="00B703B1"/>
    <w:rsid w:val="00B7046A"/>
    <w:rsid w:val="00B708D5"/>
    <w:rsid w:val="00B717FE"/>
    <w:rsid w:val="00B71AAA"/>
    <w:rsid w:val="00B71E86"/>
    <w:rsid w:val="00B720E4"/>
    <w:rsid w:val="00B7252D"/>
    <w:rsid w:val="00B727C3"/>
    <w:rsid w:val="00B72881"/>
    <w:rsid w:val="00B72AA5"/>
    <w:rsid w:val="00B72B53"/>
    <w:rsid w:val="00B72BCD"/>
    <w:rsid w:val="00B72EDF"/>
    <w:rsid w:val="00B73329"/>
    <w:rsid w:val="00B733F7"/>
    <w:rsid w:val="00B734F0"/>
    <w:rsid w:val="00B74213"/>
    <w:rsid w:val="00B7470A"/>
    <w:rsid w:val="00B7480E"/>
    <w:rsid w:val="00B748F4"/>
    <w:rsid w:val="00B74E0D"/>
    <w:rsid w:val="00B74E3E"/>
    <w:rsid w:val="00B75071"/>
    <w:rsid w:val="00B75646"/>
    <w:rsid w:val="00B7629E"/>
    <w:rsid w:val="00B76378"/>
    <w:rsid w:val="00B765CA"/>
    <w:rsid w:val="00B76B4E"/>
    <w:rsid w:val="00B76C14"/>
    <w:rsid w:val="00B77492"/>
    <w:rsid w:val="00B775A5"/>
    <w:rsid w:val="00B776E1"/>
    <w:rsid w:val="00B77777"/>
    <w:rsid w:val="00B777DE"/>
    <w:rsid w:val="00B77B77"/>
    <w:rsid w:val="00B8003A"/>
    <w:rsid w:val="00B801FB"/>
    <w:rsid w:val="00B80D95"/>
    <w:rsid w:val="00B8117D"/>
    <w:rsid w:val="00B819B0"/>
    <w:rsid w:val="00B81A6B"/>
    <w:rsid w:val="00B82027"/>
    <w:rsid w:val="00B8220D"/>
    <w:rsid w:val="00B82FA3"/>
    <w:rsid w:val="00B83199"/>
    <w:rsid w:val="00B83283"/>
    <w:rsid w:val="00B8333D"/>
    <w:rsid w:val="00B834F2"/>
    <w:rsid w:val="00B8350A"/>
    <w:rsid w:val="00B8396A"/>
    <w:rsid w:val="00B839F0"/>
    <w:rsid w:val="00B84085"/>
    <w:rsid w:val="00B842C4"/>
    <w:rsid w:val="00B843C7"/>
    <w:rsid w:val="00B84B15"/>
    <w:rsid w:val="00B84F21"/>
    <w:rsid w:val="00B84F9B"/>
    <w:rsid w:val="00B850F6"/>
    <w:rsid w:val="00B8555C"/>
    <w:rsid w:val="00B8568E"/>
    <w:rsid w:val="00B859D2"/>
    <w:rsid w:val="00B85D52"/>
    <w:rsid w:val="00B861B5"/>
    <w:rsid w:val="00B8623F"/>
    <w:rsid w:val="00B86409"/>
    <w:rsid w:val="00B87304"/>
    <w:rsid w:val="00B87C47"/>
    <w:rsid w:val="00B87F67"/>
    <w:rsid w:val="00B90729"/>
    <w:rsid w:val="00B907DA"/>
    <w:rsid w:val="00B90AA0"/>
    <w:rsid w:val="00B90C16"/>
    <w:rsid w:val="00B90F1F"/>
    <w:rsid w:val="00B90F46"/>
    <w:rsid w:val="00B90FD4"/>
    <w:rsid w:val="00B91C5C"/>
    <w:rsid w:val="00B92836"/>
    <w:rsid w:val="00B92BF1"/>
    <w:rsid w:val="00B9328D"/>
    <w:rsid w:val="00B93303"/>
    <w:rsid w:val="00B93765"/>
    <w:rsid w:val="00B93859"/>
    <w:rsid w:val="00B938E8"/>
    <w:rsid w:val="00B93994"/>
    <w:rsid w:val="00B93B33"/>
    <w:rsid w:val="00B93BAC"/>
    <w:rsid w:val="00B93EA3"/>
    <w:rsid w:val="00B940FD"/>
    <w:rsid w:val="00B94523"/>
    <w:rsid w:val="00B946F3"/>
    <w:rsid w:val="00B9484B"/>
    <w:rsid w:val="00B94C92"/>
    <w:rsid w:val="00B950BC"/>
    <w:rsid w:val="00B95544"/>
    <w:rsid w:val="00B955C2"/>
    <w:rsid w:val="00B9571C"/>
    <w:rsid w:val="00B9598D"/>
    <w:rsid w:val="00B95A66"/>
    <w:rsid w:val="00B95AF1"/>
    <w:rsid w:val="00B95E10"/>
    <w:rsid w:val="00B95F34"/>
    <w:rsid w:val="00B95F5C"/>
    <w:rsid w:val="00B95FD4"/>
    <w:rsid w:val="00B969B2"/>
    <w:rsid w:val="00B96D2B"/>
    <w:rsid w:val="00B9714C"/>
    <w:rsid w:val="00B971BD"/>
    <w:rsid w:val="00B9723B"/>
    <w:rsid w:val="00BA0540"/>
    <w:rsid w:val="00BA0724"/>
    <w:rsid w:val="00BA13C9"/>
    <w:rsid w:val="00BA1419"/>
    <w:rsid w:val="00BA145B"/>
    <w:rsid w:val="00BA1EB2"/>
    <w:rsid w:val="00BA1EC7"/>
    <w:rsid w:val="00BA206B"/>
    <w:rsid w:val="00BA29AD"/>
    <w:rsid w:val="00BA29CA"/>
    <w:rsid w:val="00BA2B06"/>
    <w:rsid w:val="00BA2C80"/>
    <w:rsid w:val="00BA2F40"/>
    <w:rsid w:val="00BA33CF"/>
    <w:rsid w:val="00BA3574"/>
    <w:rsid w:val="00BA3641"/>
    <w:rsid w:val="00BA36B1"/>
    <w:rsid w:val="00BA3F8D"/>
    <w:rsid w:val="00BA439E"/>
    <w:rsid w:val="00BA4491"/>
    <w:rsid w:val="00BA45CD"/>
    <w:rsid w:val="00BA484C"/>
    <w:rsid w:val="00BA4986"/>
    <w:rsid w:val="00BA4C0D"/>
    <w:rsid w:val="00BA4F92"/>
    <w:rsid w:val="00BA5120"/>
    <w:rsid w:val="00BA5F43"/>
    <w:rsid w:val="00BA6A46"/>
    <w:rsid w:val="00BA6B8E"/>
    <w:rsid w:val="00BA6C14"/>
    <w:rsid w:val="00BA7043"/>
    <w:rsid w:val="00BA719A"/>
    <w:rsid w:val="00BA7563"/>
    <w:rsid w:val="00BA7F04"/>
    <w:rsid w:val="00BB0074"/>
    <w:rsid w:val="00BB00B7"/>
    <w:rsid w:val="00BB03F3"/>
    <w:rsid w:val="00BB04FA"/>
    <w:rsid w:val="00BB06AC"/>
    <w:rsid w:val="00BB0753"/>
    <w:rsid w:val="00BB0F72"/>
    <w:rsid w:val="00BB133B"/>
    <w:rsid w:val="00BB1466"/>
    <w:rsid w:val="00BB176A"/>
    <w:rsid w:val="00BB1CDC"/>
    <w:rsid w:val="00BB24C5"/>
    <w:rsid w:val="00BB25BC"/>
    <w:rsid w:val="00BB29AE"/>
    <w:rsid w:val="00BB29CC"/>
    <w:rsid w:val="00BB2DEB"/>
    <w:rsid w:val="00BB3238"/>
    <w:rsid w:val="00BB39FF"/>
    <w:rsid w:val="00BB3B3B"/>
    <w:rsid w:val="00BB3CAF"/>
    <w:rsid w:val="00BB3E2A"/>
    <w:rsid w:val="00BB40B8"/>
    <w:rsid w:val="00BB4C75"/>
    <w:rsid w:val="00BB4D15"/>
    <w:rsid w:val="00BB4E6F"/>
    <w:rsid w:val="00BB5814"/>
    <w:rsid w:val="00BB599B"/>
    <w:rsid w:val="00BB5AC6"/>
    <w:rsid w:val="00BB6506"/>
    <w:rsid w:val="00BB692A"/>
    <w:rsid w:val="00BB695A"/>
    <w:rsid w:val="00BB6D92"/>
    <w:rsid w:val="00BB7342"/>
    <w:rsid w:val="00BB7A10"/>
    <w:rsid w:val="00BC065A"/>
    <w:rsid w:val="00BC07DF"/>
    <w:rsid w:val="00BC0878"/>
    <w:rsid w:val="00BC0CAD"/>
    <w:rsid w:val="00BC1852"/>
    <w:rsid w:val="00BC1ABF"/>
    <w:rsid w:val="00BC1C75"/>
    <w:rsid w:val="00BC22AB"/>
    <w:rsid w:val="00BC2601"/>
    <w:rsid w:val="00BC27F3"/>
    <w:rsid w:val="00BC2C96"/>
    <w:rsid w:val="00BC2D0B"/>
    <w:rsid w:val="00BC2DFD"/>
    <w:rsid w:val="00BC2EB9"/>
    <w:rsid w:val="00BC3477"/>
    <w:rsid w:val="00BC3501"/>
    <w:rsid w:val="00BC35D9"/>
    <w:rsid w:val="00BC36E3"/>
    <w:rsid w:val="00BC41C7"/>
    <w:rsid w:val="00BC44E1"/>
    <w:rsid w:val="00BC4755"/>
    <w:rsid w:val="00BC48AF"/>
    <w:rsid w:val="00BC48F1"/>
    <w:rsid w:val="00BC500B"/>
    <w:rsid w:val="00BC50C0"/>
    <w:rsid w:val="00BC5595"/>
    <w:rsid w:val="00BC585E"/>
    <w:rsid w:val="00BC5BC7"/>
    <w:rsid w:val="00BC5F9E"/>
    <w:rsid w:val="00BC60BE"/>
    <w:rsid w:val="00BC618C"/>
    <w:rsid w:val="00BC6A10"/>
    <w:rsid w:val="00BC6B09"/>
    <w:rsid w:val="00BC7038"/>
    <w:rsid w:val="00BC7377"/>
    <w:rsid w:val="00BC7468"/>
    <w:rsid w:val="00BC7592"/>
    <w:rsid w:val="00BC7684"/>
    <w:rsid w:val="00BC7D4F"/>
    <w:rsid w:val="00BC7ED7"/>
    <w:rsid w:val="00BD0540"/>
    <w:rsid w:val="00BD097D"/>
    <w:rsid w:val="00BD0BBD"/>
    <w:rsid w:val="00BD0EAC"/>
    <w:rsid w:val="00BD1039"/>
    <w:rsid w:val="00BD173F"/>
    <w:rsid w:val="00BD17EE"/>
    <w:rsid w:val="00BD1DC7"/>
    <w:rsid w:val="00BD1FDC"/>
    <w:rsid w:val="00BD23CE"/>
    <w:rsid w:val="00BD2850"/>
    <w:rsid w:val="00BD294D"/>
    <w:rsid w:val="00BD3527"/>
    <w:rsid w:val="00BD38AC"/>
    <w:rsid w:val="00BD4020"/>
    <w:rsid w:val="00BD40CE"/>
    <w:rsid w:val="00BD4219"/>
    <w:rsid w:val="00BD49E4"/>
    <w:rsid w:val="00BD4C6B"/>
    <w:rsid w:val="00BD4E54"/>
    <w:rsid w:val="00BD5417"/>
    <w:rsid w:val="00BD56E0"/>
    <w:rsid w:val="00BD5701"/>
    <w:rsid w:val="00BD570A"/>
    <w:rsid w:val="00BD5E76"/>
    <w:rsid w:val="00BD60AC"/>
    <w:rsid w:val="00BD6152"/>
    <w:rsid w:val="00BD62C3"/>
    <w:rsid w:val="00BD643F"/>
    <w:rsid w:val="00BD6D9B"/>
    <w:rsid w:val="00BD7361"/>
    <w:rsid w:val="00BD7594"/>
    <w:rsid w:val="00BD75CF"/>
    <w:rsid w:val="00BD7BF8"/>
    <w:rsid w:val="00BE0762"/>
    <w:rsid w:val="00BE0845"/>
    <w:rsid w:val="00BE0B5F"/>
    <w:rsid w:val="00BE0FB0"/>
    <w:rsid w:val="00BE1268"/>
    <w:rsid w:val="00BE1AC6"/>
    <w:rsid w:val="00BE1D34"/>
    <w:rsid w:val="00BE20A6"/>
    <w:rsid w:val="00BE2146"/>
    <w:rsid w:val="00BE2409"/>
    <w:rsid w:val="00BE28D2"/>
    <w:rsid w:val="00BE2D59"/>
    <w:rsid w:val="00BE3577"/>
    <w:rsid w:val="00BE36EB"/>
    <w:rsid w:val="00BE3A9B"/>
    <w:rsid w:val="00BE3ADE"/>
    <w:rsid w:val="00BE3FBF"/>
    <w:rsid w:val="00BE40E2"/>
    <w:rsid w:val="00BE47A6"/>
    <w:rsid w:val="00BE48FD"/>
    <w:rsid w:val="00BE4A64"/>
    <w:rsid w:val="00BE51D4"/>
    <w:rsid w:val="00BE52B4"/>
    <w:rsid w:val="00BE594C"/>
    <w:rsid w:val="00BE5955"/>
    <w:rsid w:val="00BE5A1C"/>
    <w:rsid w:val="00BE5A60"/>
    <w:rsid w:val="00BE5B50"/>
    <w:rsid w:val="00BE5E43"/>
    <w:rsid w:val="00BE6183"/>
    <w:rsid w:val="00BE6749"/>
    <w:rsid w:val="00BE688E"/>
    <w:rsid w:val="00BE69A7"/>
    <w:rsid w:val="00BE755B"/>
    <w:rsid w:val="00BF00D0"/>
    <w:rsid w:val="00BF01CF"/>
    <w:rsid w:val="00BF0915"/>
    <w:rsid w:val="00BF0B50"/>
    <w:rsid w:val="00BF1502"/>
    <w:rsid w:val="00BF19C4"/>
    <w:rsid w:val="00BF1A7A"/>
    <w:rsid w:val="00BF1B6F"/>
    <w:rsid w:val="00BF1B94"/>
    <w:rsid w:val="00BF278B"/>
    <w:rsid w:val="00BF2CC7"/>
    <w:rsid w:val="00BF3177"/>
    <w:rsid w:val="00BF3199"/>
    <w:rsid w:val="00BF3200"/>
    <w:rsid w:val="00BF3287"/>
    <w:rsid w:val="00BF32F1"/>
    <w:rsid w:val="00BF331B"/>
    <w:rsid w:val="00BF331F"/>
    <w:rsid w:val="00BF3444"/>
    <w:rsid w:val="00BF423A"/>
    <w:rsid w:val="00BF48E2"/>
    <w:rsid w:val="00BF501C"/>
    <w:rsid w:val="00BF5105"/>
    <w:rsid w:val="00BF53FE"/>
    <w:rsid w:val="00BF557D"/>
    <w:rsid w:val="00BF5826"/>
    <w:rsid w:val="00BF58AA"/>
    <w:rsid w:val="00BF59E3"/>
    <w:rsid w:val="00BF5A9F"/>
    <w:rsid w:val="00BF5D8A"/>
    <w:rsid w:val="00BF5FE3"/>
    <w:rsid w:val="00BF668E"/>
    <w:rsid w:val="00BF682F"/>
    <w:rsid w:val="00BF70FF"/>
    <w:rsid w:val="00BF78F5"/>
    <w:rsid w:val="00BF7DB7"/>
    <w:rsid w:val="00BF7F58"/>
    <w:rsid w:val="00C0032E"/>
    <w:rsid w:val="00C00D9F"/>
    <w:rsid w:val="00C00EEF"/>
    <w:rsid w:val="00C01381"/>
    <w:rsid w:val="00C01AB1"/>
    <w:rsid w:val="00C021A6"/>
    <w:rsid w:val="00C025DE"/>
    <w:rsid w:val="00C026A0"/>
    <w:rsid w:val="00C02A19"/>
    <w:rsid w:val="00C02B2A"/>
    <w:rsid w:val="00C02C2D"/>
    <w:rsid w:val="00C02EEC"/>
    <w:rsid w:val="00C03B5F"/>
    <w:rsid w:val="00C03E2C"/>
    <w:rsid w:val="00C03EA4"/>
    <w:rsid w:val="00C0424D"/>
    <w:rsid w:val="00C0449C"/>
    <w:rsid w:val="00C04A46"/>
    <w:rsid w:val="00C04C6F"/>
    <w:rsid w:val="00C04F42"/>
    <w:rsid w:val="00C06137"/>
    <w:rsid w:val="00C06174"/>
    <w:rsid w:val="00C06178"/>
    <w:rsid w:val="00C06312"/>
    <w:rsid w:val="00C06929"/>
    <w:rsid w:val="00C06B7D"/>
    <w:rsid w:val="00C07556"/>
    <w:rsid w:val="00C0757E"/>
    <w:rsid w:val="00C079B8"/>
    <w:rsid w:val="00C07C8A"/>
    <w:rsid w:val="00C07D1A"/>
    <w:rsid w:val="00C10037"/>
    <w:rsid w:val="00C1032D"/>
    <w:rsid w:val="00C105AC"/>
    <w:rsid w:val="00C105BD"/>
    <w:rsid w:val="00C1072B"/>
    <w:rsid w:val="00C10B2C"/>
    <w:rsid w:val="00C10DC5"/>
    <w:rsid w:val="00C10EA9"/>
    <w:rsid w:val="00C10F35"/>
    <w:rsid w:val="00C11319"/>
    <w:rsid w:val="00C1159F"/>
    <w:rsid w:val="00C11658"/>
    <w:rsid w:val="00C11766"/>
    <w:rsid w:val="00C11E68"/>
    <w:rsid w:val="00C11F41"/>
    <w:rsid w:val="00C123EA"/>
    <w:rsid w:val="00C12A22"/>
    <w:rsid w:val="00C12A49"/>
    <w:rsid w:val="00C12F6E"/>
    <w:rsid w:val="00C1339F"/>
    <w:rsid w:val="00C133EE"/>
    <w:rsid w:val="00C13516"/>
    <w:rsid w:val="00C13535"/>
    <w:rsid w:val="00C1355C"/>
    <w:rsid w:val="00C135A0"/>
    <w:rsid w:val="00C137A3"/>
    <w:rsid w:val="00C137C7"/>
    <w:rsid w:val="00C138BC"/>
    <w:rsid w:val="00C13DCA"/>
    <w:rsid w:val="00C14105"/>
    <w:rsid w:val="00C145A8"/>
    <w:rsid w:val="00C149D0"/>
    <w:rsid w:val="00C14C18"/>
    <w:rsid w:val="00C14D63"/>
    <w:rsid w:val="00C15B1E"/>
    <w:rsid w:val="00C15D43"/>
    <w:rsid w:val="00C15E96"/>
    <w:rsid w:val="00C16030"/>
    <w:rsid w:val="00C1693C"/>
    <w:rsid w:val="00C169B3"/>
    <w:rsid w:val="00C16B74"/>
    <w:rsid w:val="00C16D4C"/>
    <w:rsid w:val="00C16E53"/>
    <w:rsid w:val="00C17068"/>
    <w:rsid w:val="00C17377"/>
    <w:rsid w:val="00C17572"/>
    <w:rsid w:val="00C175B9"/>
    <w:rsid w:val="00C17BDC"/>
    <w:rsid w:val="00C20AC7"/>
    <w:rsid w:val="00C20DB1"/>
    <w:rsid w:val="00C21311"/>
    <w:rsid w:val="00C2135A"/>
    <w:rsid w:val="00C2180E"/>
    <w:rsid w:val="00C222F1"/>
    <w:rsid w:val="00C226F9"/>
    <w:rsid w:val="00C22863"/>
    <w:rsid w:val="00C22AAC"/>
    <w:rsid w:val="00C22CAD"/>
    <w:rsid w:val="00C230B4"/>
    <w:rsid w:val="00C231A0"/>
    <w:rsid w:val="00C232F0"/>
    <w:rsid w:val="00C2350D"/>
    <w:rsid w:val="00C237CD"/>
    <w:rsid w:val="00C238D0"/>
    <w:rsid w:val="00C23955"/>
    <w:rsid w:val="00C242D8"/>
    <w:rsid w:val="00C24602"/>
    <w:rsid w:val="00C24681"/>
    <w:rsid w:val="00C24A99"/>
    <w:rsid w:val="00C24BC9"/>
    <w:rsid w:val="00C24D4C"/>
    <w:rsid w:val="00C24EF2"/>
    <w:rsid w:val="00C25AD1"/>
    <w:rsid w:val="00C25DB7"/>
    <w:rsid w:val="00C26345"/>
    <w:rsid w:val="00C26416"/>
    <w:rsid w:val="00C26588"/>
    <w:rsid w:val="00C2686A"/>
    <w:rsid w:val="00C26B50"/>
    <w:rsid w:val="00C26B54"/>
    <w:rsid w:val="00C26C7B"/>
    <w:rsid w:val="00C27349"/>
    <w:rsid w:val="00C27558"/>
    <w:rsid w:val="00C27CD6"/>
    <w:rsid w:val="00C27DE9"/>
    <w:rsid w:val="00C3015E"/>
    <w:rsid w:val="00C30485"/>
    <w:rsid w:val="00C309C1"/>
    <w:rsid w:val="00C30D5A"/>
    <w:rsid w:val="00C31487"/>
    <w:rsid w:val="00C31C33"/>
    <w:rsid w:val="00C3239B"/>
    <w:rsid w:val="00C324DC"/>
    <w:rsid w:val="00C32989"/>
    <w:rsid w:val="00C33388"/>
    <w:rsid w:val="00C33A2E"/>
    <w:rsid w:val="00C33AE0"/>
    <w:rsid w:val="00C33C10"/>
    <w:rsid w:val="00C33F61"/>
    <w:rsid w:val="00C3449E"/>
    <w:rsid w:val="00C348FE"/>
    <w:rsid w:val="00C34B52"/>
    <w:rsid w:val="00C351DF"/>
    <w:rsid w:val="00C353B1"/>
    <w:rsid w:val="00C35412"/>
    <w:rsid w:val="00C35484"/>
    <w:rsid w:val="00C357D8"/>
    <w:rsid w:val="00C3620E"/>
    <w:rsid w:val="00C3648A"/>
    <w:rsid w:val="00C3696F"/>
    <w:rsid w:val="00C36AB7"/>
    <w:rsid w:val="00C37413"/>
    <w:rsid w:val="00C37F1A"/>
    <w:rsid w:val="00C40807"/>
    <w:rsid w:val="00C40E11"/>
    <w:rsid w:val="00C4106C"/>
    <w:rsid w:val="00C41350"/>
    <w:rsid w:val="00C415EC"/>
    <w:rsid w:val="00C41673"/>
    <w:rsid w:val="00C4173A"/>
    <w:rsid w:val="00C41960"/>
    <w:rsid w:val="00C41AFD"/>
    <w:rsid w:val="00C41C46"/>
    <w:rsid w:val="00C41FA1"/>
    <w:rsid w:val="00C422BB"/>
    <w:rsid w:val="00C42658"/>
    <w:rsid w:val="00C426B5"/>
    <w:rsid w:val="00C4357B"/>
    <w:rsid w:val="00C43BAC"/>
    <w:rsid w:val="00C43C18"/>
    <w:rsid w:val="00C44145"/>
    <w:rsid w:val="00C4441F"/>
    <w:rsid w:val="00C44C11"/>
    <w:rsid w:val="00C4557F"/>
    <w:rsid w:val="00C456D7"/>
    <w:rsid w:val="00C45AF6"/>
    <w:rsid w:val="00C46899"/>
    <w:rsid w:val="00C46B2E"/>
    <w:rsid w:val="00C46D40"/>
    <w:rsid w:val="00C46E44"/>
    <w:rsid w:val="00C4701E"/>
    <w:rsid w:val="00C4743E"/>
    <w:rsid w:val="00C47442"/>
    <w:rsid w:val="00C47CFC"/>
    <w:rsid w:val="00C47F38"/>
    <w:rsid w:val="00C5002C"/>
    <w:rsid w:val="00C50B74"/>
    <w:rsid w:val="00C50B84"/>
    <w:rsid w:val="00C50DED"/>
    <w:rsid w:val="00C51102"/>
    <w:rsid w:val="00C512AF"/>
    <w:rsid w:val="00C51301"/>
    <w:rsid w:val="00C5157A"/>
    <w:rsid w:val="00C51594"/>
    <w:rsid w:val="00C51972"/>
    <w:rsid w:val="00C51D91"/>
    <w:rsid w:val="00C51F5C"/>
    <w:rsid w:val="00C520B5"/>
    <w:rsid w:val="00C52217"/>
    <w:rsid w:val="00C522A8"/>
    <w:rsid w:val="00C52C1A"/>
    <w:rsid w:val="00C52DD9"/>
    <w:rsid w:val="00C52EE5"/>
    <w:rsid w:val="00C52F1E"/>
    <w:rsid w:val="00C53571"/>
    <w:rsid w:val="00C547F6"/>
    <w:rsid w:val="00C54E31"/>
    <w:rsid w:val="00C5525E"/>
    <w:rsid w:val="00C55387"/>
    <w:rsid w:val="00C553C6"/>
    <w:rsid w:val="00C5549E"/>
    <w:rsid w:val="00C56191"/>
    <w:rsid w:val="00C5624B"/>
    <w:rsid w:val="00C5649C"/>
    <w:rsid w:val="00C5660F"/>
    <w:rsid w:val="00C566E5"/>
    <w:rsid w:val="00C56941"/>
    <w:rsid w:val="00C56D5B"/>
    <w:rsid w:val="00C57280"/>
    <w:rsid w:val="00C5766F"/>
    <w:rsid w:val="00C57724"/>
    <w:rsid w:val="00C602FF"/>
    <w:rsid w:val="00C6036D"/>
    <w:rsid w:val="00C60699"/>
    <w:rsid w:val="00C6097C"/>
    <w:rsid w:val="00C61174"/>
    <w:rsid w:val="00C6126A"/>
    <w:rsid w:val="00C61325"/>
    <w:rsid w:val="00C6148F"/>
    <w:rsid w:val="00C614E1"/>
    <w:rsid w:val="00C61750"/>
    <w:rsid w:val="00C6189B"/>
    <w:rsid w:val="00C61E96"/>
    <w:rsid w:val="00C61FE1"/>
    <w:rsid w:val="00C621B1"/>
    <w:rsid w:val="00C62784"/>
    <w:rsid w:val="00C629B2"/>
    <w:rsid w:val="00C62A88"/>
    <w:rsid w:val="00C62CFB"/>
    <w:rsid w:val="00C62F7A"/>
    <w:rsid w:val="00C63660"/>
    <w:rsid w:val="00C637D2"/>
    <w:rsid w:val="00C639B6"/>
    <w:rsid w:val="00C63B9C"/>
    <w:rsid w:val="00C63BD1"/>
    <w:rsid w:val="00C63C11"/>
    <w:rsid w:val="00C63E4E"/>
    <w:rsid w:val="00C64553"/>
    <w:rsid w:val="00C648BC"/>
    <w:rsid w:val="00C64B60"/>
    <w:rsid w:val="00C64F63"/>
    <w:rsid w:val="00C65338"/>
    <w:rsid w:val="00C65B91"/>
    <w:rsid w:val="00C65C73"/>
    <w:rsid w:val="00C661C5"/>
    <w:rsid w:val="00C6682F"/>
    <w:rsid w:val="00C66A56"/>
    <w:rsid w:val="00C66D3E"/>
    <w:rsid w:val="00C67352"/>
    <w:rsid w:val="00C67BA8"/>
    <w:rsid w:val="00C67BF4"/>
    <w:rsid w:val="00C67C3F"/>
    <w:rsid w:val="00C700F2"/>
    <w:rsid w:val="00C70214"/>
    <w:rsid w:val="00C7097D"/>
    <w:rsid w:val="00C70FC1"/>
    <w:rsid w:val="00C717B1"/>
    <w:rsid w:val="00C71B96"/>
    <w:rsid w:val="00C71BC8"/>
    <w:rsid w:val="00C71BDB"/>
    <w:rsid w:val="00C71CCF"/>
    <w:rsid w:val="00C71E13"/>
    <w:rsid w:val="00C72181"/>
    <w:rsid w:val="00C723E2"/>
    <w:rsid w:val="00C725BF"/>
    <w:rsid w:val="00C726C8"/>
    <w:rsid w:val="00C7275E"/>
    <w:rsid w:val="00C72B98"/>
    <w:rsid w:val="00C72CE6"/>
    <w:rsid w:val="00C73F8E"/>
    <w:rsid w:val="00C74104"/>
    <w:rsid w:val="00C741B3"/>
    <w:rsid w:val="00C7423F"/>
    <w:rsid w:val="00C74BBD"/>
    <w:rsid w:val="00C74C5D"/>
    <w:rsid w:val="00C74DE8"/>
    <w:rsid w:val="00C74E17"/>
    <w:rsid w:val="00C74F02"/>
    <w:rsid w:val="00C753BA"/>
    <w:rsid w:val="00C75505"/>
    <w:rsid w:val="00C758DC"/>
    <w:rsid w:val="00C7596D"/>
    <w:rsid w:val="00C75C8A"/>
    <w:rsid w:val="00C75D47"/>
    <w:rsid w:val="00C75F71"/>
    <w:rsid w:val="00C7601F"/>
    <w:rsid w:val="00C761A1"/>
    <w:rsid w:val="00C76610"/>
    <w:rsid w:val="00C76E20"/>
    <w:rsid w:val="00C77D67"/>
    <w:rsid w:val="00C77FA3"/>
    <w:rsid w:val="00C80C6D"/>
    <w:rsid w:val="00C81095"/>
    <w:rsid w:val="00C82B72"/>
    <w:rsid w:val="00C82CE0"/>
    <w:rsid w:val="00C82E8E"/>
    <w:rsid w:val="00C83827"/>
    <w:rsid w:val="00C8419A"/>
    <w:rsid w:val="00C842B8"/>
    <w:rsid w:val="00C842E5"/>
    <w:rsid w:val="00C844E5"/>
    <w:rsid w:val="00C846D1"/>
    <w:rsid w:val="00C85925"/>
    <w:rsid w:val="00C85FA7"/>
    <w:rsid w:val="00C863C4"/>
    <w:rsid w:val="00C86667"/>
    <w:rsid w:val="00C8713C"/>
    <w:rsid w:val="00C87601"/>
    <w:rsid w:val="00C87735"/>
    <w:rsid w:val="00C87AF7"/>
    <w:rsid w:val="00C87CDE"/>
    <w:rsid w:val="00C87D5C"/>
    <w:rsid w:val="00C87E52"/>
    <w:rsid w:val="00C907D9"/>
    <w:rsid w:val="00C908BC"/>
    <w:rsid w:val="00C90A20"/>
    <w:rsid w:val="00C90AD4"/>
    <w:rsid w:val="00C90D35"/>
    <w:rsid w:val="00C90DBC"/>
    <w:rsid w:val="00C91314"/>
    <w:rsid w:val="00C9186F"/>
    <w:rsid w:val="00C91DA4"/>
    <w:rsid w:val="00C91F16"/>
    <w:rsid w:val="00C920EA"/>
    <w:rsid w:val="00C9213E"/>
    <w:rsid w:val="00C92AE6"/>
    <w:rsid w:val="00C92B99"/>
    <w:rsid w:val="00C93419"/>
    <w:rsid w:val="00C9346A"/>
    <w:rsid w:val="00C93602"/>
    <w:rsid w:val="00C9363D"/>
    <w:rsid w:val="00C93865"/>
    <w:rsid w:val="00C93A68"/>
    <w:rsid w:val="00C93C3E"/>
    <w:rsid w:val="00C94C16"/>
    <w:rsid w:val="00C9574C"/>
    <w:rsid w:val="00C957D8"/>
    <w:rsid w:val="00C95BB5"/>
    <w:rsid w:val="00C95D31"/>
    <w:rsid w:val="00C965B7"/>
    <w:rsid w:val="00C966FE"/>
    <w:rsid w:val="00C968C9"/>
    <w:rsid w:val="00C96A1D"/>
    <w:rsid w:val="00C96FC4"/>
    <w:rsid w:val="00C9702A"/>
    <w:rsid w:val="00C97134"/>
    <w:rsid w:val="00C97410"/>
    <w:rsid w:val="00C975CA"/>
    <w:rsid w:val="00C97CC2"/>
    <w:rsid w:val="00C97FAE"/>
    <w:rsid w:val="00CA0A71"/>
    <w:rsid w:val="00CA0A88"/>
    <w:rsid w:val="00CA10CA"/>
    <w:rsid w:val="00CA12E3"/>
    <w:rsid w:val="00CA13A4"/>
    <w:rsid w:val="00CA1476"/>
    <w:rsid w:val="00CA1549"/>
    <w:rsid w:val="00CA19CE"/>
    <w:rsid w:val="00CA1B78"/>
    <w:rsid w:val="00CA204B"/>
    <w:rsid w:val="00CA21A2"/>
    <w:rsid w:val="00CA3353"/>
    <w:rsid w:val="00CA3CF8"/>
    <w:rsid w:val="00CA494F"/>
    <w:rsid w:val="00CA4CB8"/>
    <w:rsid w:val="00CA50A0"/>
    <w:rsid w:val="00CA5199"/>
    <w:rsid w:val="00CA53C1"/>
    <w:rsid w:val="00CA56C9"/>
    <w:rsid w:val="00CA57DD"/>
    <w:rsid w:val="00CA5A59"/>
    <w:rsid w:val="00CA65C5"/>
    <w:rsid w:val="00CA6611"/>
    <w:rsid w:val="00CA689A"/>
    <w:rsid w:val="00CA69C0"/>
    <w:rsid w:val="00CA6AE6"/>
    <w:rsid w:val="00CA6DE1"/>
    <w:rsid w:val="00CA701A"/>
    <w:rsid w:val="00CA739B"/>
    <w:rsid w:val="00CA73A1"/>
    <w:rsid w:val="00CA782F"/>
    <w:rsid w:val="00CB02ED"/>
    <w:rsid w:val="00CB0794"/>
    <w:rsid w:val="00CB0D63"/>
    <w:rsid w:val="00CB1232"/>
    <w:rsid w:val="00CB155E"/>
    <w:rsid w:val="00CB187B"/>
    <w:rsid w:val="00CB1931"/>
    <w:rsid w:val="00CB1944"/>
    <w:rsid w:val="00CB19A2"/>
    <w:rsid w:val="00CB1FB1"/>
    <w:rsid w:val="00CB204A"/>
    <w:rsid w:val="00CB2419"/>
    <w:rsid w:val="00CB257B"/>
    <w:rsid w:val="00CB2835"/>
    <w:rsid w:val="00CB2A14"/>
    <w:rsid w:val="00CB2FB4"/>
    <w:rsid w:val="00CB307B"/>
    <w:rsid w:val="00CB3285"/>
    <w:rsid w:val="00CB34AA"/>
    <w:rsid w:val="00CB3E25"/>
    <w:rsid w:val="00CB4182"/>
    <w:rsid w:val="00CB4500"/>
    <w:rsid w:val="00CB47FB"/>
    <w:rsid w:val="00CB518E"/>
    <w:rsid w:val="00CB5E11"/>
    <w:rsid w:val="00CB60A3"/>
    <w:rsid w:val="00CB62FF"/>
    <w:rsid w:val="00CB6BCD"/>
    <w:rsid w:val="00CB6EEF"/>
    <w:rsid w:val="00CB6FD9"/>
    <w:rsid w:val="00CB7996"/>
    <w:rsid w:val="00CC0C72"/>
    <w:rsid w:val="00CC1612"/>
    <w:rsid w:val="00CC191F"/>
    <w:rsid w:val="00CC19D4"/>
    <w:rsid w:val="00CC2026"/>
    <w:rsid w:val="00CC20AF"/>
    <w:rsid w:val="00CC29B0"/>
    <w:rsid w:val="00CC2AC2"/>
    <w:rsid w:val="00CC2BFD"/>
    <w:rsid w:val="00CC30D8"/>
    <w:rsid w:val="00CC3259"/>
    <w:rsid w:val="00CC35FE"/>
    <w:rsid w:val="00CC365C"/>
    <w:rsid w:val="00CC3677"/>
    <w:rsid w:val="00CC37B2"/>
    <w:rsid w:val="00CC38EC"/>
    <w:rsid w:val="00CC4C06"/>
    <w:rsid w:val="00CC53DF"/>
    <w:rsid w:val="00CC541F"/>
    <w:rsid w:val="00CC555D"/>
    <w:rsid w:val="00CC5739"/>
    <w:rsid w:val="00CC6035"/>
    <w:rsid w:val="00CC6093"/>
    <w:rsid w:val="00CC60D1"/>
    <w:rsid w:val="00CC67ED"/>
    <w:rsid w:val="00CC68FC"/>
    <w:rsid w:val="00CC71A7"/>
    <w:rsid w:val="00CC7311"/>
    <w:rsid w:val="00CC78D7"/>
    <w:rsid w:val="00CD00E4"/>
    <w:rsid w:val="00CD0288"/>
    <w:rsid w:val="00CD0521"/>
    <w:rsid w:val="00CD05A8"/>
    <w:rsid w:val="00CD06EE"/>
    <w:rsid w:val="00CD07CC"/>
    <w:rsid w:val="00CD086B"/>
    <w:rsid w:val="00CD0AEE"/>
    <w:rsid w:val="00CD0D57"/>
    <w:rsid w:val="00CD1105"/>
    <w:rsid w:val="00CD1127"/>
    <w:rsid w:val="00CD21D8"/>
    <w:rsid w:val="00CD2454"/>
    <w:rsid w:val="00CD2CD6"/>
    <w:rsid w:val="00CD2D20"/>
    <w:rsid w:val="00CD2FC1"/>
    <w:rsid w:val="00CD33D0"/>
    <w:rsid w:val="00CD3476"/>
    <w:rsid w:val="00CD38D3"/>
    <w:rsid w:val="00CD393E"/>
    <w:rsid w:val="00CD3E87"/>
    <w:rsid w:val="00CD46FC"/>
    <w:rsid w:val="00CD4CA8"/>
    <w:rsid w:val="00CD4E74"/>
    <w:rsid w:val="00CD58BC"/>
    <w:rsid w:val="00CD59BD"/>
    <w:rsid w:val="00CD5A36"/>
    <w:rsid w:val="00CD5AB5"/>
    <w:rsid w:val="00CD601E"/>
    <w:rsid w:val="00CD6122"/>
    <w:rsid w:val="00CD64DF"/>
    <w:rsid w:val="00CD6C76"/>
    <w:rsid w:val="00CD70E8"/>
    <w:rsid w:val="00CD74B2"/>
    <w:rsid w:val="00CD74FF"/>
    <w:rsid w:val="00CD7870"/>
    <w:rsid w:val="00CD795B"/>
    <w:rsid w:val="00CD795C"/>
    <w:rsid w:val="00CD7ABB"/>
    <w:rsid w:val="00CD7BFF"/>
    <w:rsid w:val="00CD7C56"/>
    <w:rsid w:val="00CE088B"/>
    <w:rsid w:val="00CE1296"/>
    <w:rsid w:val="00CE12AF"/>
    <w:rsid w:val="00CE15C8"/>
    <w:rsid w:val="00CE1724"/>
    <w:rsid w:val="00CE1C44"/>
    <w:rsid w:val="00CE1D48"/>
    <w:rsid w:val="00CE2214"/>
    <w:rsid w:val="00CE225F"/>
    <w:rsid w:val="00CE2EC5"/>
    <w:rsid w:val="00CE3005"/>
    <w:rsid w:val="00CE308B"/>
    <w:rsid w:val="00CE30BE"/>
    <w:rsid w:val="00CE3138"/>
    <w:rsid w:val="00CE40B9"/>
    <w:rsid w:val="00CE41D3"/>
    <w:rsid w:val="00CE49CE"/>
    <w:rsid w:val="00CE4DAD"/>
    <w:rsid w:val="00CE4FD1"/>
    <w:rsid w:val="00CE51AA"/>
    <w:rsid w:val="00CE5413"/>
    <w:rsid w:val="00CE58EB"/>
    <w:rsid w:val="00CE5EE4"/>
    <w:rsid w:val="00CE61B5"/>
    <w:rsid w:val="00CE63D7"/>
    <w:rsid w:val="00CE68A3"/>
    <w:rsid w:val="00CE6903"/>
    <w:rsid w:val="00CE7111"/>
    <w:rsid w:val="00CE770F"/>
    <w:rsid w:val="00CE7ADF"/>
    <w:rsid w:val="00CE7E32"/>
    <w:rsid w:val="00CF0A20"/>
    <w:rsid w:val="00CF0AAF"/>
    <w:rsid w:val="00CF125E"/>
    <w:rsid w:val="00CF145F"/>
    <w:rsid w:val="00CF1CD0"/>
    <w:rsid w:val="00CF1F6A"/>
    <w:rsid w:val="00CF2015"/>
    <w:rsid w:val="00CF206A"/>
    <w:rsid w:val="00CF211A"/>
    <w:rsid w:val="00CF2EB2"/>
    <w:rsid w:val="00CF2EDC"/>
    <w:rsid w:val="00CF2F50"/>
    <w:rsid w:val="00CF3167"/>
    <w:rsid w:val="00CF351B"/>
    <w:rsid w:val="00CF4148"/>
    <w:rsid w:val="00CF45F8"/>
    <w:rsid w:val="00CF4FEC"/>
    <w:rsid w:val="00CF5459"/>
    <w:rsid w:val="00CF54B1"/>
    <w:rsid w:val="00CF6198"/>
    <w:rsid w:val="00CF63F6"/>
    <w:rsid w:val="00CF73B6"/>
    <w:rsid w:val="00D005A1"/>
    <w:rsid w:val="00D00BDA"/>
    <w:rsid w:val="00D00E13"/>
    <w:rsid w:val="00D01229"/>
    <w:rsid w:val="00D015AF"/>
    <w:rsid w:val="00D0173D"/>
    <w:rsid w:val="00D019AB"/>
    <w:rsid w:val="00D01ADB"/>
    <w:rsid w:val="00D023DF"/>
    <w:rsid w:val="00D0243F"/>
    <w:rsid w:val="00D02578"/>
    <w:rsid w:val="00D027B1"/>
    <w:rsid w:val="00D02919"/>
    <w:rsid w:val="00D02A8C"/>
    <w:rsid w:val="00D02CDA"/>
    <w:rsid w:val="00D02F0D"/>
    <w:rsid w:val="00D0340F"/>
    <w:rsid w:val="00D03466"/>
    <w:rsid w:val="00D03501"/>
    <w:rsid w:val="00D03636"/>
    <w:rsid w:val="00D037D3"/>
    <w:rsid w:val="00D03B33"/>
    <w:rsid w:val="00D03EB9"/>
    <w:rsid w:val="00D04787"/>
    <w:rsid w:val="00D04C61"/>
    <w:rsid w:val="00D050AF"/>
    <w:rsid w:val="00D05105"/>
    <w:rsid w:val="00D0549B"/>
    <w:rsid w:val="00D057E4"/>
    <w:rsid w:val="00D05B8D"/>
    <w:rsid w:val="00D05B9B"/>
    <w:rsid w:val="00D05C3F"/>
    <w:rsid w:val="00D05DE7"/>
    <w:rsid w:val="00D061DD"/>
    <w:rsid w:val="00D06310"/>
    <w:rsid w:val="00D065A2"/>
    <w:rsid w:val="00D065D5"/>
    <w:rsid w:val="00D06666"/>
    <w:rsid w:val="00D06718"/>
    <w:rsid w:val="00D06980"/>
    <w:rsid w:val="00D06BDC"/>
    <w:rsid w:val="00D079AA"/>
    <w:rsid w:val="00D07F00"/>
    <w:rsid w:val="00D10069"/>
    <w:rsid w:val="00D109DA"/>
    <w:rsid w:val="00D11134"/>
    <w:rsid w:val="00D1130F"/>
    <w:rsid w:val="00D11340"/>
    <w:rsid w:val="00D11AF0"/>
    <w:rsid w:val="00D11D0C"/>
    <w:rsid w:val="00D1249A"/>
    <w:rsid w:val="00D12B99"/>
    <w:rsid w:val="00D136E7"/>
    <w:rsid w:val="00D137C2"/>
    <w:rsid w:val="00D14143"/>
    <w:rsid w:val="00D1479B"/>
    <w:rsid w:val="00D14A81"/>
    <w:rsid w:val="00D14CDA"/>
    <w:rsid w:val="00D155AF"/>
    <w:rsid w:val="00D15690"/>
    <w:rsid w:val="00D157F1"/>
    <w:rsid w:val="00D1580B"/>
    <w:rsid w:val="00D15EE8"/>
    <w:rsid w:val="00D16AD8"/>
    <w:rsid w:val="00D1704F"/>
    <w:rsid w:val="00D179B0"/>
    <w:rsid w:val="00D17B72"/>
    <w:rsid w:val="00D17F68"/>
    <w:rsid w:val="00D17FAE"/>
    <w:rsid w:val="00D2043C"/>
    <w:rsid w:val="00D205CE"/>
    <w:rsid w:val="00D20970"/>
    <w:rsid w:val="00D20979"/>
    <w:rsid w:val="00D20B33"/>
    <w:rsid w:val="00D20EC9"/>
    <w:rsid w:val="00D2158A"/>
    <w:rsid w:val="00D21778"/>
    <w:rsid w:val="00D21809"/>
    <w:rsid w:val="00D21BFD"/>
    <w:rsid w:val="00D21F7B"/>
    <w:rsid w:val="00D22068"/>
    <w:rsid w:val="00D22A30"/>
    <w:rsid w:val="00D230BB"/>
    <w:rsid w:val="00D23B83"/>
    <w:rsid w:val="00D24226"/>
    <w:rsid w:val="00D245BC"/>
    <w:rsid w:val="00D24611"/>
    <w:rsid w:val="00D24A5D"/>
    <w:rsid w:val="00D25298"/>
    <w:rsid w:val="00D2533F"/>
    <w:rsid w:val="00D2572D"/>
    <w:rsid w:val="00D25906"/>
    <w:rsid w:val="00D259BC"/>
    <w:rsid w:val="00D26594"/>
    <w:rsid w:val="00D268FF"/>
    <w:rsid w:val="00D27387"/>
    <w:rsid w:val="00D27403"/>
    <w:rsid w:val="00D278B7"/>
    <w:rsid w:val="00D27CD0"/>
    <w:rsid w:val="00D3026B"/>
    <w:rsid w:val="00D302FB"/>
    <w:rsid w:val="00D30357"/>
    <w:rsid w:val="00D30B3E"/>
    <w:rsid w:val="00D30C20"/>
    <w:rsid w:val="00D30C51"/>
    <w:rsid w:val="00D30E63"/>
    <w:rsid w:val="00D31118"/>
    <w:rsid w:val="00D3152C"/>
    <w:rsid w:val="00D31560"/>
    <w:rsid w:val="00D3174F"/>
    <w:rsid w:val="00D3185C"/>
    <w:rsid w:val="00D31CDA"/>
    <w:rsid w:val="00D31E11"/>
    <w:rsid w:val="00D3205F"/>
    <w:rsid w:val="00D32082"/>
    <w:rsid w:val="00D32588"/>
    <w:rsid w:val="00D32B06"/>
    <w:rsid w:val="00D32B23"/>
    <w:rsid w:val="00D32D43"/>
    <w:rsid w:val="00D32E15"/>
    <w:rsid w:val="00D3306D"/>
    <w:rsid w:val="00D3318E"/>
    <w:rsid w:val="00D33224"/>
    <w:rsid w:val="00D332B2"/>
    <w:rsid w:val="00D33AF0"/>
    <w:rsid w:val="00D33BD8"/>
    <w:rsid w:val="00D33E72"/>
    <w:rsid w:val="00D34E52"/>
    <w:rsid w:val="00D34F38"/>
    <w:rsid w:val="00D34FCD"/>
    <w:rsid w:val="00D35161"/>
    <w:rsid w:val="00D35288"/>
    <w:rsid w:val="00D35833"/>
    <w:rsid w:val="00D35AB1"/>
    <w:rsid w:val="00D35BD6"/>
    <w:rsid w:val="00D35C43"/>
    <w:rsid w:val="00D35D16"/>
    <w:rsid w:val="00D361B5"/>
    <w:rsid w:val="00D37327"/>
    <w:rsid w:val="00D37B75"/>
    <w:rsid w:val="00D402D1"/>
    <w:rsid w:val="00D403B3"/>
    <w:rsid w:val="00D40605"/>
    <w:rsid w:val="00D40FFD"/>
    <w:rsid w:val="00D411A2"/>
    <w:rsid w:val="00D413F1"/>
    <w:rsid w:val="00D414A1"/>
    <w:rsid w:val="00D41598"/>
    <w:rsid w:val="00D4215E"/>
    <w:rsid w:val="00D4283B"/>
    <w:rsid w:val="00D429E2"/>
    <w:rsid w:val="00D43922"/>
    <w:rsid w:val="00D43E24"/>
    <w:rsid w:val="00D450CC"/>
    <w:rsid w:val="00D4521D"/>
    <w:rsid w:val="00D4540E"/>
    <w:rsid w:val="00D45558"/>
    <w:rsid w:val="00D4599A"/>
    <w:rsid w:val="00D45F7A"/>
    <w:rsid w:val="00D4606D"/>
    <w:rsid w:val="00D4670B"/>
    <w:rsid w:val="00D468ED"/>
    <w:rsid w:val="00D47112"/>
    <w:rsid w:val="00D50322"/>
    <w:rsid w:val="00D503AE"/>
    <w:rsid w:val="00D50734"/>
    <w:rsid w:val="00D50753"/>
    <w:rsid w:val="00D50852"/>
    <w:rsid w:val="00D50A77"/>
    <w:rsid w:val="00D50B28"/>
    <w:rsid w:val="00D50B9C"/>
    <w:rsid w:val="00D50DEB"/>
    <w:rsid w:val="00D512EA"/>
    <w:rsid w:val="00D512FF"/>
    <w:rsid w:val="00D523BB"/>
    <w:rsid w:val="00D52B9B"/>
    <w:rsid w:val="00D52D73"/>
    <w:rsid w:val="00D52E58"/>
    <w:rsid w:val="00D52E61"/>
    <w:rsid w:val="00D531B4"/>
    <w:rsid w:val="00D531C5"/>
    <w:rsid w:val="00D533DD"/>
    <w:rsid w:val="00D534A6"/>
    <w:rsid w:val="00D53671"/>
    <w:rsid w:val="00D5371B"/>
    <w:rsid w:val="00D537EA"/>
    <w:rsid w:val="00D53AEC"/>
    <w:rsid w:val="00D54214"/>
    <w:rsid w:val="00D54316"/>
    <w:rsid w:val="00D545D1"/>
    <w:rsid w:val="00D54A6F"/>
    <w:rsid w:val="00D54C72"/>
    <w:rsid w:val="00D55B64"/>
    <w:rsid w:val="00D565D0"/>
    <w:rsid w:val="00D56A95"/>
    <w:rsid w:val="00D56B20"/>
    <w:rsid w:val="00D56B7B"/>
    <w:rsid w:val="00D578B3"/>
    <w:rsid w:val="00D57C3C"/>
    <w:rsid w:val="00D60290"/>
    <w:rsid w:val="00D6035F"/>
    <w:rsid w:val="00D606BA"/>
    <w:rsid w:val="00D60F00"/>
    <w:rsid w:val="00D611A1"/>
    <w:rsid w:val="00D618F4"/>
    <w:rsid w:val="00D61A11"/>
    <w:rsid w:val="00D6265E"/>
    <w:rsid w:val="00D62939"/>
    <w:rsid w:val="00D62B71"/>
    <w:rsid w:val="00D62F69"/>
    <w:rsid w:val="00D63130"/>
    <w:rsid w:val="00D634CE"/>
    <w:rsid w:val="00D6424A"/>
    <w:rsid w:val="00D64349"/>
    <w:rsid w:val="00D648CD"/>
    <w:rsid w:val="00D650A6"/>
    <w:rsid w:val="00D65218"/>
    <w:rsid w:val="00D65C38"/>
    <w:rsid w:val="00D65F0E"/>
    <w:rsid w:val="00D6600F"/>
    <w:rsid w:val="00D6607C"/>
    <w:rsid w:val="00D66385"/>
    <w:rsid w:val="00D66412"/>
    <w:rsid w:val="00D66C7F"/>
    <w:rsid w:val="00D66E08"/>
    <w:rsid w:val="00D66EE6"/>
    <w:rsid w:val="00D677A1"/>
    <w:rsid w:val="00D679AF"/>
    <w:rsid w:val="00D67CCC"/>
    <w:rsid w:val="00D7077B"/>
    <w:rsid w:val="00D7089E"/>
    <w:rsid w:val="00D708B9"/>
    <w:rsid w:val="00D71079"/>
    <w:rsid w:val="00D71183"/>
    <w:rsid w:val="00D713E0"/>
    <w:rsid w:val="00D71485"/>
    <w:rsid w:val="00D714CC"/>
    <w:rsid w:val="00D71CCD"/>
    <w:rsid w:val="00D71D6F"/>
    <w:rsid w:val="00D71E33"/>
    <w:rsid w:val="00D723A5"/>
    <w:rsid w:val="00D728B9"/>
    <w:rsid w:val="00D72DAF"/>
    <w:rsid w:val="00D72DDA"/>
    <w:rsid w:val="00D73119"/>
    <w:rsid w:val="00D7313F"/>
    <w:rsid w:val="00D736D3"/>
    <w:rsid w:val="00D73909"/>
    <w:rsid w:val="00D74851"/>
    <w:rsid w:val="00D74978"/>
    <w:rsid w:val="00D74B88"/>
    <w:rsid w:val="00D74D0D"/>
    <w:rsid w:val="00D74FA1"/>
    <w:rsid w:val="00D74FBC"/>
    <w:rsid w:val="00D750B7"/>
    <w:rsid w:val="00D751D7"/>
    <w:rsid w:val="00D75544"/>
    <w:rsid w:val="00D756AD"/>
    <w:rsid w:val="00D75EA7"/>
    <w:rsid w:val="00D75F77"/>
    <w:rsid w:val="00D75FAD"/>
    <w:rsid w:val="00D766C4"/>
    <w:rsid w:val="00D76D2F"/>
    <w:rsid w:val="00D77082"/>
    <w:rsid w:val="00D770F3"/>
    <w:rsid w:val="00D77489"/>
    <w:rsid w:val="00D774D3"/>
    <w:rsid w:val="00D775F3"/>
    <w:rsid w:val="00D77951"/>
    <w:rsid w:val="00D77B11"/>
    <w:rsid w:val="00D77D07"/>
    <w:rsid w:val="00D800BB"/>
    <w:rsid w:val="00D80156"/>
    <w:rsid w:val="00D80206"/>
    <w:rsid w:val="00D803A6"/>
    <w:rsid w:val="00D80792"/>
    <w:rsid w:val="00D8116B"/>
    <w:rsid w:val="00D81761"/>
    <w:rsid w:val="00D81ADF"/>
    <w:rsid w:val="00D81BD1"/>
    <w:rsid w:val="00D81BEA"/>
    <w:rsid w:val="00D81D69"/>
    <w:rsid w:val="00D81E0F"/>
    <w:rsid w:val="00D81F21"/>
    <w:rsid w:val="00D81F2F"/>
    <w:rsid w:val="00D82146"/>
    <w:rsid w:val="00D828D0"/>
    <w:rsid w:val="00D82F3A"/>
    <w:rsid w:val="00D831EB"/>
    <w:rsid w:val="00D83687"/>
    <w:rsid w:val="00D8371A"/>
    <w:rsid w:val="00D83B96"/>
    <w:rsid w:val="00D84AD5"/>
    <w:rsid w:val="00D84B32"/>
    <w:rsid w:val="00D857D3"/>
    <w:rsid w:val="00D85F05"/>
    <w:rsid w:val="00D864F2"/>
    <w:rsid w:val="00D86710"/>
    <w:rsid w:val="00D869F4"/>
    <w:rsid w:val="00D86D77"/>
    <w:rsid w:val="00D86E36"/>
    <w:rsid w:val="00D86F4D"/>
    <w:rsid w:val="00D87165"/>
    <w:rsid w:val="00D8753C"/>
    <w:rsid w:val="00D8797B"/>
    <w:rsid w:val="00D87CC1"/>
    <w:rsid w:val="00D87F12"/>
    <w:rsid w:val="00D904D5"/>
    <w:rsid w:val="00D90EDB"/>
    <w:rsid w:val="00D913E4"/>
    <w:rsid w:val="00D91BFD"/>
    <w:rsid w:val="00D91DFC"/>
    <w:rsid w:val="00D921B0"/>
    <w:rsid w:val="00D922CC"/>
    <w:rsid w:val="00D9247B"/>
    <w:rsid w:val="00D92EA6"/>
    <w:rsid w:val="00D92FB1"/>
    <w:rsid w:val="00D9358D"/>
    <w:rsid w:val="00D9380A"/>
    <w:rsid w:val="00D93896"/>
    <w:rsid w:val="00D93903"/>
    <w:rsid w:val="00D93DFF"/>
    <w:rsid w:val="00D94132"/>
    <w:rsid w:val="00D943F8"/>
    <w:rsid w:val="00D94467"/>
    <w:rsid w:val="00D94CC0"/>
    <w:rsid w:val="00D95470"/>
    <w:rsid w:val="00D95972"/>
    <w:rsid w:val="00D95B96"/>
    <w:rsid w:val="00D95D8F"/>
    <w:rsid w:val="00D960A7"/>
    <w:rsid w:val="00D9627A"/>
    <w:rsid w:val="00D96649"/>
    <w:rsid w:val="00D96B55"/>
    <w:rsid w:val="00D96C98"/>
    <w:rsid w:val="00D97063"/>
    <w:rsid w:val="00D973AF"/>
    <w:rsid w:val="00D974BC"/>
    <w:rsid w:val="00D978A8"/>
    <w:rsid w:val="00DA013A"/>
    <w:rsid w:val="00DA03C9"/>
    <w:rsid w:val="00DA04D2"/>
    <w:rsid w:val="00DA093F"/>
    <w:rsid w:val="00DA0C97"/>
    <w:rsid w:val="00DA1320"/>
    <w:rsid w:val="00DA13FE"/>
    <w:rsid w:val="00DA15EB"/>
    <w:rsid w:val="00DA160E"/>
    <w:rsid w:val="00DA16C4"/>
    <w:rsid w:val="00DA1869"/>
    <w:rsid w:val="00DA18F7"/>
    <w:rsid w:val="00DA1B13"/>
    <w:rsid w:val="00DA1D3D"/>
    <w:rsid w:val="00DA2037"/>
    <w:rsid w:val="00DA2619"/>
    <w:rsid w:val="00DA2872"/>
    <w:rsid w:val="00DA2E57"/>
    <w:rsid w:val="00DA2F25"/>
    <w:rsid w:val="00DA373E"/>
    <w:rsid w:val="00DA4239"/>
    <w:rsid w:val="00DA42CB"/>
    <w:rsid w:val="00DA4996"/>
    <w:rsid w:val="00DA52A4"/>
    <w:rsid w:val="00DA533F"/>
    <w:rsid w:val="00DA5BEA"/>
    <w:rsid w:val="00DA5BFD"/>
    <w:rsid w:val="00DA5BFF"/>
    <w:rsid w:val="00DA5CA4"/>
    <w:rsid w:val="00DA5D65"/>
    <w:rsid w:val="00DA5FF8"/>
    <w:rsid w:val="00DA6095"/>
    <w:rsid w:val="00DA6197"/>
    <w:rsid w:val="00DA6275"/>
    <w:rsid w:val="00DA62A9"/>
    <w:rsid w:val="00DA641C"/>
    <w:rsid w:val="00DA655B"/>
    <w:rsid w:val="00DA65DE"/>
    <w:rsid w:val="00DA6BB9"/>
    <w:rsid w:val="00DA6EC1"/>
    <w:rsid w:val="00DA6F51"/>
    <w:rsid w:val="00DA7173"/>
    <w:rsid w:val="00DA72C9"/>
    <w:rsid w:val="00DA7411"/>
    <w:rsid w:val="00DA76E4"/>
    <w:rsid w:val="00DA7A44"/>
    <w:rsid w:val="00DB0413"/>
    <w:rsid w:val="00DB0677"/>
    <w:rsid w:val="00DB0734"/>
    <w:rsid w:val="00DB0B61"/>
    <w:rsid w:val="00DB122C"/>
    <w:rsid w:val="00DB127A"/>
    <w:rsid w:val="00DB1474"/>
    <w:rsid w:val="00DB15EF"/>
    <w:rsid w:val="00DB2962"/>
    <w:rsid w:val="00DB2988"/>
    <w:rsid w:val="00DB3849"/>
    <w:rsid w:val="00DB3D7C"/>
    <w:rsid w:val="00DB3E97"/>
    <w:rsid w:val="00DB41B5"/>
    <w:rsid w:val="00DB41D8"/>
    <w:rsid w:val="00DB4356"/>
    <w:rsid w:val="00DB48ED"/>
    <w:rsid w:val="00DB4BB2"/>
    <w:rsid w:val="00DB4E9C"/>
    <w:rsid w:val="00DB52FB"/>
    <w:rsid w:val="00DB5485"/>
    <w:rsid w:val="00DB55C3"/>
    <w:rsid w:val="00DB567B"/>
    <w:rsid w:val="00DB569F"/>
    <w:rsid w:val="00DB581E"/>
    <w:rsid w:val="00DB594F"/>
    <w:rsid w:val="00DB5E2F"/>
    <w:rsid w:val="00DB66BF"/>
    <w:rsid w:val="00DB697A"/>
    <w:rsid w:val="00DB6A39"/>
    <w:rsid w:val="00DB70A3"/>
    <w:rsid w:val="00DB7768"/>
    <w:rsid w:val="00DB7932"/>
    <w:rsid w:val="00DB7DBD"/>
    <w:rsid w:val="00DB7E93"/>
    <w:rsid w:val="00DB7FC3"/>
    <w:rsid w:val="00DB7FDA"/>
    <w:rsid w:val="00DC013B"/>
    <w:rsid w:val="00DC0248"/>
    <w:rsid w:val="00DC0538"/>
    <w:rsid w:val="00DC090B"/>
    <w:rsid w:val="00DC093A"/>
    <w:rsid w:val="00DC093B"/>
    <w:rsid w:val="00DC09D7"/>
    <w:rsid w:val="00DC0FD2"/>
    <w:rsid w:val="00DC1679"/>
    <w:rsid w:val="00DC174D"/>
    <w:rsid w:val="00DC184B"/>
    <w:rsid w:val="00DC1CFA"/>
    <w:rsid w:val="00DC2054"/>
    <w:rsid w:val="00DC219B"/>
    <w:rsid w:val="00DC242C"/>
    <w:rsid w:val="00DC2BED"/>
    <w:rsid w:val="00DC2C97"/>
    <w:rsid w:val="00DC2CF1"/>
    <w:rsid w:val="00DC30C5"/>
    <w:rsid w:val="00DC36B4"/>
    <w:rsid w:val="00DC3991"/>
    <w:rsid w:val="00DC3A7C"/>
    <w:rsid w:val="00DC3A83"/>
    <w:rsid w:val="00DC3E1F"/>
    <w:rsid w:val="00DC4006"/>
    <w:rsid w:val="00DC46FF"/>
    <w:rsid w:val="00DC48CC"/>
    <w:rsid w:val="00DC4FA9"/>
    <w:rsid w:val="00DC4FCF"/>
    <w:rsid w:val="00DC50E0"/>
    <w:rsid w:val="00DC51A9"/>
    <w:rsid w:val="00DC597C"/>
    <w:rsid w:val="00DC59C4"/>
    <w:rsid w:val="00DC6025"/>
    <w:rsid w:val="00DC637B"/>
    <w:rsid w:val="00DC6386"/>
    <w:rsid w:val="00DC64CE"/>
    <w:rsid w:val="00DC675F"/>
    <w:rsid w:val="00DC7021"/>
    <w:rsid w:val="00DC70DC"/>
    <w:rsid w:val="00DC7974"/>
    <w:rsid w:val="00DC7B95"/>
    <w:rsid w:val="00DD0A1F"/>
    <w:rsid w:val="00DD0B29"/>
    <w:rsid w:val="00DD1130"/>
    <w:rsid w:val="00DD15A2"/>
    <w:rsid w:val="00DD169E"/>
    <w:rsid w:val="00DD16F6"/>
    <w:rsid w:val="00DD1951"/>
    <w:rsid w:val="00DD1998"/>
    <w:rsid w:val="00DD199B"/>
    <w:rsid w:val="00DD24B7"/>
    <w:rsid w:val="00DD2980"/>
    <w:rsid w:val="00DD3099"/>
    <w:rsid w:val="00DD3B2C"/>
    <w:rsid w:val="00DD40B9"/>
    <w:rsid w:val="00DD41C0"/>
    <w:rsid w:val="00DD4298"/>
    <w:rsid w:val="00DD431D"/>
    <w:rsid w:val="00DD43E0"/>
    <w:rsid w:val="00DD448D"/>
    <w:rsid w:val="00DD4775"/>
    <w:rsid w:val="00DD47F2"/>
    <w:rsid w:val="00DD487D"/>
    <w:rsid w:val="00DD4E83"/>
    <w:rsid w:val="00DD5C60"/>
    <w:rsid w:val="00DD5E9C"/>
    <w:rsid w:val="00DD619B"/>
    <w:rsid w:val="00DD6628"/>
    <w:rsid w:val="00DD6945"/>
    <w:rsid w:val="00DD69DC"/>
    <w:rsid w:val="00DD7716"/>
    <w:rsid w:val="00DD78B7"/>
    <w:rsid w:val="00DD7B1B"/>
    <w:rsid w:val="00DE01A5"/>
    <w:rsid w:val="00DE177B"/>
    <w:rsid w:val="00DE1842"/>
    <w:rsid w:val="00DE1B47"/>
    <w:rsid w:val="00DE1B64"/>
    <w:rsid w:val="00DE1C42"/>
    <w:rsid w:val="00DE2171"/>
    <w:rsid w:val="00DE2228"/>
    <w:rsid w:val="00DE224D"/>
    <w:rsid w:val="00DE241B"/>
    <w:rsid w:val="00DE241C"/>
    <w:rsid w:val="00DE29E1"/>
    <w:rsid w:val="00DE2D04"/>
    <w:rsid w:val="00DE3250"/>
    <w:rsid w:val="00DE3850"/>
    <w:rsid w:val="00DE4C58"/>
    <w:rsid w:val="00DE4DE1"/>
    <w:rsid w:val="00DE5333"/>
    <w:rsid w:val="00DE5536"/>
    <w:rsid w:val="00DE557A"/>
    <w:rsid w:val="00DE5869"/>
    <w:rsid w:val="00DE6028"/>
    <w:rsid w:val="00DE6C85"/>
    <w:rsid w:val="00DE6DE0"/>
    <w:rsid w:val="00DE7085"/>
    <w:rsid w:val="00DE78A3"/>
    <w:rsid w:val="00DF0107"/>
    <w:rsid w:val="00DF01FE"/>
    <w:rsid w:val="00DF08C3"/>
    <w:rsid w:val="00DF09D1"/>
    <w:rsid w:val="00DF0AB5"/>
    <w:rsid w:val="00DF140A"/>
    <w:rsid w:val="00DF15F9"/>
    <w:rsid w:val="00DF1A71"/>
    <w:rsid w:val="00DF2229"/>
    <w:rsid w:val="00DF297E"/>
    <w:rsid w:val="00DF37EB"/>
    <w:rsid w:val="00DF3B35"/>
    <w:rsid w:val="00DF4867"/>
    <w:rsid w:val="00DF4DB8"/>
    <w:rsid w:val="00DF50FC"/>
    <w:rsid w:val="00DF6389"/>
    <w:rsid w:val="00DF64B8"/>
    <w:rsid w:val="00DF68C7"/>
    <w:rsid w:val="00DF6B95"/>
    <w:rsid w:val="00DF6D86"/>
    <w:rsid w:val="00DF6E29"/>
    <w:rsid w:val="00DF6FFC"/>
    <w:rsid w:val="00DF7002"/>
    <w:rsid w:val="00DF71DF"/>
    <w:rsid w:val="00DF731A"/>
    <w:rsid w:val="00DF7666"/>
    <w:rsid w:val="00DF7705"/>
    <w:rsid w:val="00E00776"/>
    <w:rsid w:val="00E00C19"/>
    <w:rsid w:val="00E00D13"/>
    <w:rsid w:val="00E00D7C"/>
    <w:rsid w:val="00E01580"/>
    <w:rsid w:val="00E01963"/>
    <w:rsid w:val="00E01C6C"/>
    <w:rsid w:val="00E020F7"/>
    <w:rsid w:val="00E02C12"/>
    <w:rsid w:val="00E02DDF"/>
    <w:rsid w:val="00E02DF8"/>
    <w:rsid w:val="00E031BA"/>
    <w:rsid w:val="00E03AC3"/>
    <w:rsid w:val="00E04485"/>
    <w:rsid w:val="00E04879"/>
    <w:rsid w:val="00E04B4B"/>
    <w:rsid w:val="00E052EC"/>
    <w:rsid w:val="00E05394"/>
    <w:rsid w:val="00E056C2"/>
    <w:rsid w:val="00E056EB"/>
    <w:rsid w:val="00E058F5"/>
    <w:rsid w:val="00E05E42"/>
    <w:rsid w:val="00E0633D"/>
    <w:rsid w:val="00E06470"/>
    <w:rsid w:val="00E067C2"/>
    <w:rsid w:val="00E068F3"/>
    <w:rsid w:val="00E06B75"/>
    <w:rsid w:val="00E06F39"/>
    <w:rsid w:val="00E07612"/>
    <w:rsid w:val="00E076AD"/>
    <w:rsid w:val="00E07A60"/>
    <w:rsid w:val="00E1001C"/>
    <w:rsid w:val="00E10490"/>
    <w:rsid w:val="00E1051E"/>
    <w:rsid w:val="00E10940"/>
    <w:rsid w:val="00E110DE"/>
    <w:rsid w:val="00E11332"/>
    <w:rsid w:val="00E11352"/>
    <w:rsid w:val="00E119AC"/>
    <w:rsid w:val="00E11C2B"/>
    <w:rsid w:val="00E11C6D"/>
    <w:rsid w:val="00E11FD5"/>
    <w:rsid w:val="00E12633"/>
    <w:rsid w:val="00E127EC"/>
    <w:rsid w:val="00E127F8"/>
    <w:rsid w:val="00E12854"/>
    <w:rsid w:val="00E1288B"/>
    <w:rsid w:val="00E12C16"/>
    <w:rsid w:val="00E1305A"/>
    <w:rsid w:val="00E136E5"/>
    <w:rsid w:val="00E13890"/>
    <w:rsid w:val="00E13CF9"/>
    <w:rsid w:val="00E13E08"/>
    <w:rsid w:val="00E13E94"/>
    <w:rsid w:val="00E1450F"/>
    <w:rsid w:val="00E14669"/>
    <w:rsid w:val="00E14E47"/>
    <w:rsid w:val="00E14E63"/>
    <w:rsid w:val="00E15027"/>
    <w:rsid w:val="00E1507D"/>
    <w:rsid w:val="00E154FB"/>
    <w:rsid w:val="00E155C1"/>
    <w:rsid w:val="00E15C1C"/>
    <w:rsid w:val="00E15F75"/>
    <w:rsid w:val="00E15FE2"/>
    <w:rsid w:val="00E1686B"/>
    <w:rsid w:val="00E16B3A"/>
    <w:rsid w:val="00E170DC"/>
    <w:rsid w:val="00E172FC"/>
    <w:rsid w:val="00E17546"/>
    <w:rsid w:val="00E1758E"/>
    <w:rsid w:val="00E17C11"/>
    <w:rsid w:val="00E17F8E"/>
    <w:rsid w:val="00E200BC"/>
    <w:rsid w:val="00E206AE"/>
    <w:rsid w:val="00E20AB8"/>
    <w:rsid w:val="00E210A9"/>
    <w:rsid w:val="00E210B5"/>
    <w:rsid w:val="00E21410"/>
    <w:rsid w:val="00E21BFD"/>
    <w:rsid w:val="00E21F59"/>
    <w:rsid w:val="00E220FE"/>
    <w:rsid w:val="00E22634"/>
    <w:rsid w:val="00E226C8"/>
    <w:rsid w:val="00E2283D"/>
    <w:rsid w:val="00E229EC"/>
    <w:rsid w:val="00E22C57"/>
    <w:rsid w:val="00E23220"/>
    <w:rsid w:val="00E2349D"/>
    <w:rsid w:val="00E23669"/>
    <w:rsid w:val="00E24065"/>
    <w:rsid w:val="00E241AE"/>
    <w:rsid w:val="00E241E8"/>
    <w:rsid w:val="00E24386"/>
    <w:rsid w:val="00E243D0"/>
    <w:rsid w:val="00E244C5"/>
    <w:rsid w:val="00E2464A"/>
    <w:rsid w:val="00E24AA6"/>
    <w:rsid w:val="00E24B21"/>
    <w:rsid w:val="00E24C23"/>
    <w:rsid w:val="00E24DA2"/>
    <w:rsid w:val="00E24FB8"/>
    <w:rsid w:val="00E254AB"/>
    <w:rsid w:val="00E25578"/>
    <w:rsid w:val="00E26154"/>
    <w:rsid w:val="00E2616F"/>
    <w:rsid w:val="00E261B3"/>
    <w:rsid w:val="00E261E0"/>
    <w:rsid w:val="00E26645"/>
    <w:rsid w:val="00E26818"/>
    <w:rsid w:val="00E26B99"/>
    <w:rsid w:val="00E27151"/>
    <w:rsid w:val="00E271BF"/>
    <w:rsid w:val="00E27396"/>
    <w:rsid w:val="00E27510"/>
    <w:rsid w:val="00E27FFC"/>
    <w:rsid w:val="00E30769"/>
    <w:rsid w:val="00E30B15"/>
    <w:rsid w:val="00E30D20"/>
    <w:rsid w:val="00E314C7"/>
    <w:rsid w:val="00E316B4"/>
    <w:rsid w:val="00E31DD8"/>
    <w:rsid w:val="00E31FAB"/>
    <w:rsid w:val="00E32052"/>
    <w:rsid w:val="00E323D3"/>
    <w:rsid w:val="00E32A16"/>
    <w:rsid w:val="00E32E37"/>
    <w:rsid w:val="00E330D3"/>
    <w:rsid w:val="00E33237"/>
    <w:rsid w:val="00E34368"/>
    <w:rsid w:val="00E3496F"/>
    <w:rsid w:val="00E34C85"/>
    <w:rsid w:val="00E34C91"/>
    <w:rsid w:val="00E35218"/>
    <w:rsid w:val="00E35C38"/>
    <w:rsid w:val="00E35C39"/>
    <w:rsid w:val="00E35F55"/>
    <w:rsid w:val="00E366AA"/>
    <w:rsid w:val="00E36A7B"/>
    <w:rsid w:val="00E375D3"/>
    <w:rsid w:val="00E37965"/>
    <w:rsid w:val="00E37BFE"/>
    <w:rsid w:val="00E37D96"/>
    <w:rsid w:val="00E37F6A"/>
    <w:rsid w:val="00E40046"/>
    <w:rsid w:val="00E40181"/>
    <w:rsid w:val="00E4022E"/>
    <w:rsid w:val="00E40B52"/>
    <w:rsid w:val="00E40DE4"/>
    <w:rsid w:val="00E41170"/>
    <w:rsid w:val="00E41BD2"/>
    <w:rsid w:val="00E423E7"/>
    <w:rsid w:val="00E425C5"/>
    <w:rsid w:val="00E426A2"/>
    <w:rsid w:val="00E4320D"/>
    <w:rsid w:val="00E43723"/>
    <w:rsid w:val="00E43ED5"/>
    <w:rsid w:val="00E44046"/>
    <w:rsid w:val="00E440B5"/>
    <w:rsid w:val="00E449B0"/>
    <w:rsid w:val="00E44FFC"/>
    <w:rsid w:val="00E45158"/>
    <w:rsid w:val="00E451BC"/>
    <w:rsid w:val="00E452AE"/>
    <w:rsid w:val="00E45581"/>
    <w:rsid w:val="00E4584C"/>
    <w:rsid w:val="00E45CF7"/>
    <w:rsid w:val="00E46213"/>
    <w:rsid w:val="00E46534"/>
    <w:rsid w:val="00E465E5"/>
    <w:rsid w:val="00E46941"/>
    <w:rsid w:val="00E46E9E"/>
    <w:rsid w:val="00E46ED6"/>
    <w:rsid w:val="00E4750F"/>
    <w:rsid w:val="00E479A4"/>
    <w:rsid w:val="00E47AB6"/>
    <w:rsid w:val="00E47C00"/>
    <w:rsid w:val="00E47CED"/>
    <w:rsid w:val="00E508DD"/>
    <w:rsid w:val="00E51148"/>
    <w:rsid w:val="00E51240"/>
    <w:rsid w:val="00E5167C"/>
    <w:rsid w:val="00E518F7"/>
    <w:rsid w:val="00E522A3"/>
    <w:rsid w:val="00E5261A"/>
    <w:rsid w:val="00E52A27"/>
    <w:rsid w:val="00E52BB8"/>
    <w:rsid w:val="00E52CCF"/>
    <w:rsid w:val="00E52E13"/>
    <w:rsid w:val="00E538D8"/>
    <w:rsid w:val="00E53DAA"/>
    <w:rsid w:val="00E548BB"/>
    <w:rsid w:val="00E54950"/>
    <w:rsid w:val="00E55149"/>
    <w:rsid w:val="00E5519D"/>
    <w:rsid w:val="00E551C3"/>
    <w:rsid w:val="00E55628"/>
    <w:rsid w:val="00E556B0"/>
    <w:rsid w:val="00E55B48"/>
    <w:rsid w:val="00E55FB3"/>
    <w:rsid w:val="00E561C5"/>
    <w:rsid w:val="00E56680"/>
    <w:rsid w:val="00E566B8"/>
    <w:rsid w:val="00E56A01"/>
    <w:rsid w:val="00E570FD"/>
    <w:rsid w:val="00E57A27"/>
    <w:rsid w:val="00E57E67"/>
    <w:rsid w:val="00E57ED9"/>
    <w:rsid w:val="00E60559"/>
    <w:rsid w:val="00E60743"/>
    <w:rsid w:val="00E608E2"/>
    <w:rsid w:val="00E6091C"/>
    <w:rsid w:val="00E60B5C"/>
    <w:rsid w:val="00E61E13"/>
    <w:rsid w:val="00E620C7"/>
    <w:rsid w:val="00E629A1"/>
    <w:rsid w:val="00E62CD4"/>
    <w:rsid w:val="00E63A7A"/>
    <w:rsid w:val="00E63E81"/>
    <w:rsid w:val="00E640F1"/>
    <w:rsid w:val="00E642E5"/>
    <w:rsid w:val="00E64653"/>
    <w:rsid w:val="00E657EE"/>
    <w:rsid w:val="00E65893"/>
    <w:rsid w:val="00E66613"/>
    <w:rsid w:val="00E66A48"/>
    <w:rsid w:val="00E66D0F"/>
    <w:rsid w:val="00E66FB2"/>
    <w:rsid w:val="00E67233"/>
    <w:rsid w:val="00E676D0"/>
    <w:rsid w:val="00E6794C"/>
    <w:rsid w:val="00E67C41"/>
    <w:rsid w:val="00E67F08"/>
    <w:rsid w:val="00E706BE"/>
    <w:rsid w:val="00E707D4"/>
    <w:rsid w:val="00E70A13"/>
    <w:rsid w:val="00E70D5A"/>
    <w:rsid w:val="00E71591"/>
    <w:rsid w:val="00E715EA"/>
    <w:rsid w:val="00E71611"/>
    <w:rsid w:val="00E71904"/>
    <w:rsid w:val="00E71BB7"/>
    <w:rsid w:val="00E71CDC"/>
    <w:rsid w:val="00E71CEB"/>
    <w:rsid w:val="00E720F8"/>
    <w:rsid w:val="00E724A3"/>
    <w:rsid w:val="00E72AE8"/>
    <w:rsid w:val="00E7348E"/>
    <w:rsid w:val="00E73ADF"/>
    <w:rsid w:val="00E74279"/>
    <w:rsid w:val="00E7474F"/>
    <w:rsid w:val="00E74E23"/>
    <w:rsid w:val="00E74F55"/>
    <w:rsid w:val="00E7505D"/>
    <w:rsid w:val="00E75150"/>
    <w:rsid w:val="00E75865"/>
    <w:rsid w:val="00E75CB8"/>
    <w:rsid w:val="00E75DC9"/>
    <w:rsid w:val="00E75FA0"/>
    <w:rsid w:val="00E76223"/>
    <w:rsid w:val="00E76227"/>
    <w:rsid w:val="00E76755"/>
    <w:rsid w:val="00E76E44"/>
    <w:rsid w:val="00E76E75"/>
    <w:rsid w:val="00E773FB"/>
    <w:rsid w:val="00E775FA"/>
    <w:rsid w:val="00E77E56"/>
    <w:rsid w:val="00E803ED"/>
    <w:rsid w:val="00E804B9"/>
    <w:rsid w:val="00E805B1"/>
    <w:rsid w:val="00E80AEC"/>
    <w:rsid w:val="00E80B10"/>
    <w:rsid w:val="00E80B1A"/>
    <w:rsid w:val="00E80DE3"/>
    <w:rsid w:val="00E80F5A"/>
    <w:rsid w:val="00E81183"/>
    <w:rsid w:val="00E814D5"/>
    <w:rsid w:val="00E81606"/>
    <w:rsid w:val="00E8192B"/>
    <w:rsid w:val="00E81B54"/>
    <w:rsid w:val="00E81D36"/>
    <w:rsid w:val="00E81E65"/>
    <w:rsid w:val="00E82AE0"/>
    <w:rsid w:val="00E82C2A"/>
    <w:rsid w:val="00E82C55"/>
    <w:rsid w:val="00E830F7"/>
    <w:rsid w:val="00E833C8"/>
    <w:rsid w:val="00E838EE"/>
    <w:rsid w:val="00E83B37"/>
    <w:rsid w:val="00E83E68"/>
    <w:rsid w:val="00E8449F"/>
    <w:rsid w:val="00E84918"/>
    <w:rsid w:val="00E85207"/>
    <w:rsid w:val="00E8560C"/>
    <w:rsid w:val="00E859D7"/>
    <w:rsid w:val="00E8614D"/>
    <w:rsid w:val="00E867E0"/>
    <w:rsid w:val="00E86928"/>
    <w:rsid w:val="00E87196"/>
    <w:rsid w:val="00E8766E"/>
    <w:rsid w:val="00E8787E"/>
    <w:rsid w:val="00E87993"/>
    <w:rsid w:val="00E87AB2"/>
    <w:rsid w:val="00E87C77"/>
    <w:rsid w:val="00E87FA3"/>
    <w:rsid w:val="00E900C4"/>
    <w:rsid w:val="00E902F3"/>
    <w:rsid w:val="00E9049B"/>
    <w:rsid w:val="00E906E3"/>
    <w:rsid w:val="00E91070"/>
    <w:rsid w:val="00E910B5"/>
    <w:rsid w:val="00E916DC"/>
    <w:rsid w:val="00E9197E"/>
    <w:rsid w:val="00E92159"/>
    <w:rsid w:val="00E92289"/>
    <w:rsid w:val="00E9257D"/>
    <w:rsid w:val="00E925B5"/>
    <w:rsid w:val="00E9268A"/>
    <w:rsid w:val="00E926CA"/>
    <w:rsid w:val="00E92A0E"/>
    <w:rsid w:val="00E92A72"/>
    <w:rsid w:val="00E92AC3"/>
    <w:rsid w:val="00E93805"/>
    <w:rsid w:val="00E94B7D"/>
    <w:rsid w:val="00E94E51"/>
    <w:rsid w:val="00E94E5F"/>
    <w:rsid w:val="00E95094"/>
    <w:rsid w:val="00E9558B"/>
    <w:rsid w:val="00E95AD7"/>
    <w:rsid w:val="00E95FE8"/>
    <w:rsid w:val="00E96373"/>
    <w:rsid w:val="00E96804"/>
    <w:rsid w:val="00E96CAA"/>
    <w:rsid w:val="00E978D4"/>
    <w:rsid w:val="00E97CC8"/>
    <w:rsid w:val="00EA0457"/>
    <w:rsid w:val="00EA0593"/>
    <w:rsid w:val="00EA081E"/>
    <w:rsid w:val="00EA087A"/>
    <w:rsid w:val="00EA0D65"/>
    <w:rsid w:val="00EA0EC5"/>
    <w:rsid w:val="00EA16AC"/>
    <w:rsid w:val="00EA1742"/>
    <w:rsid w:val="00EA1BEB"/>
    <w:rsid w:val="00EA1DAF"/>
    <w:rsid w:val="00EA1F8F"/>
    <w:rsid w:val="00EA206B"/>
    <w:rsid w:val="00EA267E"/>
    <w:rsid w:val="00EA2F6A"/>
    <w:rsid w:val="00EA3098"/>
    <w:rsid w:val="00EA30CC"/>
    <w:rsid w:val="00EA3245"/>
    <w:rsid w:val="00EA325C"/>
    <w:rsid w:val="00EA35D6"/>
    <w:rsid w:val="00EA38B7"/>
    <w:rsid w:val="00EA3923"/>
    <w:rsid w:val="00EA3F8A"/>
    <w:rsid w:val="00EA4021"/>
    <w:rsid w:val="00EA428C"/>
    <w:rsid w:val="00EA4387"/>
    <w:rsid w:val="00EA47B0"/>
    <w:rsid w:val="00EA47B9"/>
    <w:rsid w:val="00EA4A41"/>
    <w:rsid w:val="00EA4B4F"/>
    <w:rsid w:val="00EA4B95"/>
    <w:rsid w:val="00EA5399"/>
    <w:rsid w:val="00EA53CD"/>
    <w:rsid w:val="00EA5747"/>
    <w:rsid w:val="00EA58C5"/>
    <w:rsid w:val="00EA640C"/>
    <w:rsid w:val="00EA6509"/>
    <w:rsid w:val="00EA6742"/>
    <w:rsid w:val="00EA6CC7"/>
    <w:rsid w:val="00EA7025"/>
    <w:rsid w:val="00EA71DB"/>
    <w:rsid w:val="00EA74E9"/>
    <w:rsid w:val="00EB00E0"/>
    <w:rsid w:val="00EB05D5"/>
    <w:rsid w:val="00EB05E1"/>
    <w:rsid w:val="00EB0661"/>
    <w:rsid w:val="00EB088B"/>
    <w:rsid w:val="00EB0D20"/>
    <w:rsid w:val="00EB0FDE"/>
    <w:rsid w:val="00EB1183"/>
    <w:rsid w:val="00EB11AC"/>
    <w:rsid w:val="00EB16C4"/>
    <w:rsid w:val="00EB1931"/>
    <w:rsid w:val="00EB1C60"/>
    <w:rsid w:val="00EB1C7D"/>
    <w:rsid w:val="00EB245C"/>
    <w:rsid w:val="00EB28EF"/>
    <w:rsid w:val="00EB2A31"/>
    <w:rsid w:val="00EB2B58"/>
    <w:rsid w:val="00EB2DE7"/>
    <w:rsid w:val="00EB2F7D"/>
    <w:rsid w:val="00EB316B"/>
    <w:rsid w:val="00EB4242"/>
    <w:rsid w:val="00EB4274"/>
    <w:rsid w:val="00EB46EC"/>
    <w:rsid w:val="00EB5515"/>
    <w:rsid w:val="00EB5D09"/>
    <w:rsid w:val="00EB6152"/>
    <w:rsid w:val="00EB6643"/>
    <w:rsid w:val="00EB6BBF"/>
    <w:rsid w:val="00EB732A"/>
    <w:rsid w:val="00EB7744"/>
    <w:rsid w:val="00EB7794"/>
    <w:rsid w:val="00EC0145"/>
    <w:rsid w:val="00EC052D"/>
    <w:rsid w:val="00EC0534"/>
    <w:rsid w:val="00EC059F"/>
    <w:rsid w:val="00EC08A0"/>
    <w:rsid w:val="00EC0A31"/>
    <w:rsid w:val="00EC0B3D"/>
    <w:rsid w:val="00EC0BE0"/>
    <w:rsid w:val="00EC0F12"/>
    <w:rsid w:val="00EC1419"/>
    <w:rsid w:val="00EC15B3"/>
    <w:rsid w:val="00EC1B45"/>
    <w:rsid w:val="00EC1F24"/>
    <w:rsid w:val="00EC20FF"/>
    <w:rsid w:val="00EC22F6"/>
    <w:rsid w:val="00EC2399"/>
    <w:rsid w:val="00EC279D"/>
    <w:rsid w:val="00EC2B56"/>
    <w:rsid w:val="00EC2D4C"/>
    <w:rsid w:val="00EC3160"/>
    <w:rsid w:val="00EC351C"/>
    <w:rsid w:val="00EC3624"/>
    <w:rsid w:val="00EC37D6"/>
    <w:rsid w:val="00EC3852"/>
    <w:rsid w:val="00EC3A5A"/>
    <w:rsid w:val="00EC3CFA"/>
    <w:rsid w:val="00EC4BA7"/>
    <w:rsid w:val="00EC4C64"/>
    <w:rsid w:val="00EC4D10"/>
    <w:rsid w:val="00EC558F"/>
    <w:rsid w:val="00EC5D62"/>
    <w:rsid w:val="00EC6691"/>
    <w:rsid w:val="00EC6709"/>
    <w:rsid w:val="00EC6B68"/>
    <w:rsid w:val="00EC6D27"/>
    <w:rsid w:val="00EC6E82"/>
    <w:rsid w:val="00EC7B7A"/>
    <w:rsid w:val="00EC7CEA"/>
    <w:rsid w:val="00EC7E5A"/>
    <w:rsid w:val="00EC7EAC"/>
    <w:rsid w:val="00ED01A5"/>
    <w:rsid w:val="00ED04C1"/>
    <w:rsid w:val="00ED077D"/>
    <w:rsid w:val="00ED0783"/>
    <w:rsid w:val="00ED08C5"/>
    <w:rsid w:val="00ED0F95"/>
    <w:rsid w:val="00ED119A"/>
    <w:rsid w:val="00ED15A7"/>
    <w:rsid w:val="00ED2AE9"/>
    <w:rsid w:val="00ED2B60"/>
    <w:rsid w:val="00ED2E86"/>
    <w:rsid w:val="00ED34B6"/>
    <w:rsid w:val="00ED3820"/>
    <w:rsid w:val="00ED38A1"/>
    <w:rsid w:val="00ED391C"/>
    <w:rsid w:val="00ED3A0D"/>
    <w:rsid w:val="00ED4A4C"/>
    <w:rsid w:val="00ED5027"/>
    <w:rsid w:val="00ED53A5"/>
    <w:rsid w:val="00ED58F2"/>
    <w:rsid w:val="00ED5B9B"/>
    <w:rsid w:val="00ED60C9"/>
    <w:rsid w:val="00ED6112"/>
    <w:rsid w:val="00ED6245"/>
    <w:rsid w:val="00ED6353"/>
    <w:rsid w:val="00ED675F"/>
    <w:rsid w:val="00ED6941"/>
    <w:rsid w:val="00ED6BAD"/>
    <w:rsid w:val="00ED6DDC"/>
    <w:rsid w:val="00ED710D"/>
    <w:rsid w:val="00ED722B"/>
    <w:rsid w:val="00ED7447"/>
    <w:rsid w:val="00ED749F"/>
    <w:rsid w:val="00ED77CF"/>
    <w:rsid w:val="00ED79F5"/>
    <w:rsid w:val="00ED7ADC"/>
    <w:rsid w:val="00ED7F9C"/>
    <w:rsid w:val="00EE00D6"/>
    <w:rsid w:val="00EE08A6"/>
    <w:rsid w:val="00EE0A41"/>
    <w:rsid w:val="00EE0B8B"/>
    <w:rsid w:val="00EE11E7"/>
    <w:rsid w:val="00EE1488"/>
    <w:rsid w:val="00EE1730"/>
    <w:rsid w:val="00EE1881"/>
    <w:rsid w:val="00EE1894"/>
    <w:rsid w:val="00EE1C02"/>
    <w:rsid w:val="00EE1EDE"/>
    <w:rsid w:val="00EE200C"/>
    <w:rsid w:val="00EE20DF"/>
    <w:rsid w:val="00EE22E1"/>
    <w:rsid w:val="00EE2788"/>
    <w:rsid w:val="00EE29AD"/>
    <w:rsid w:val="00EE30AB"/>
    <w:rsid w:val="00EE33D1"/>
    <w:rsid w:val="00EE35D7"/>
    <w:rsid w:val="00EE36A3"/>
    <w:rsid w:val="00EE3E24"/>
    <w:rsid w:val="00EE44E2"/>
    <w:rsid w:val="00EE4885"/>
    <w:rsid w:val="00EE48A4"/>
    <w:rsid w:val="00EE48CF"/>
    <w:rsid w:val="00EE4C18"/>
    <w:rsid w:val="00EE4CA8"/>
    <w:rsid w:val="00EE4D5D"/>
    <w:rsid w:val="00EE4EC8"/>
    <w:rsid w:val="00EE5131"/>
    <w:rsid w:val="00EE51F6"/>
    <w:rsid w:val="00EE55D5"/>
    <w:rsid w:val="00EE5748"/>
    <w:rsid w:val="00EE59D3"/>
    <w:rsid w:val="00EE5C78"/>
    <w:rsid w:val="00EE6E57"/>
    <w:rsid w:val="00EE75AA"/>
    <w:rsid w:val="00EE7A64"/>
    <w:rsid w:val="00EF0004"/>
    <w:rsid w:val="00EF060B"/>
    <w:rsid w:val="00EF0B0D"/>
    <w:rsid w:val="00EF0C13"/>
    <w:rsid w:val="00EF0C30"/>
    <w:rsid w:val="00EF109B"/>
    <w:rsid w:val="00EF110D"/>
    <w:rsid w:val="00EF1414"/>
    <w:rsid w:val="00EF19E8"/>
    <w:rsid w:val="00EF1E06"/>
    <w:rsid w:val="00EF1FFD"/>
    <w:rsid w:val="00EF201C"/>
    <w:rsid w:val="00EF2388"/>
    <w:rsid w:val="00EF23D2"/>
    <w:rsid w:val="00EF2622"/>
    <w:rsid w:val="00EF2775"/>
    <w:rsid w:val="00EF28C4"/>
    <w:rsid w:val="00EF29EA"/>
    <w:rsid w:val="00EF2BCF"/>
    <w:rsid w:val="00EF2C72"/>
    <w:rsid w:val="00EF3590"/>
    <w:rsid w:val="00EF3677"/>
    <w:rsid w:val="00EF36AF"/>
    <w:rsid w:val="00EF3B96"/>
    <w:rsid w:val="00EF3DFD"/>
    <w:rsid w:val="00EF46BC"/>
    <w:rsid w:val="00EF46EC"/>
    <w:rsid w:val="00EF4D80"/>
    <w:rsid w:val="00EF5064"/>
    <w:rsid w:val="00EF5191"/>
    <w:rsid w:val="00EF59A3"/>
    <w:rsid w:val="00EF5EAF"/>
    <w:rsid w:val="00EF6675"/>
    <w:rsid w:val="00EF67B5"/>
    <w:rsid w:val="00EF70D1"/>
    <w:rsid w:val="00EF742A"/>
    <w:rsid w:val="00EF7430"/>
    <w:rsid w:val="00EF778A"/>
    <w:rsid w:val="00F00180"/>
    <w:rsid w:val="00F004B8"/>
    <w:rsid w:val="00F00561"/>
    <w:rsid w:val="00F0063D"/>
    <w:rsid w:val="00F0070A"/>
    <w:rsid w:val="00F007B9"/>
    <w:rsid w:val="00F00CA3"/>
    <w:rsid w:val="00F00F9C"/>
    <w:rsid w:val="00F0115C"/>
    <w:rsid w:val="00F017F1"/>
    <w:rsid w:val="00F018EC"/>
    <w:rsid w:val="00F01B16"/>
    <w:rsid w:val="00F01E5F"/>
    <w:rsid w:val="00F02055"/>
    <w:rsid w:val="00F02256"/>
    <w:rsid w:val="00F0227F"/>
    <w:rsid w:val="00F023DE"/>
    <w:rsid w:val="00F024F3"/>
    <w:rsid w:val="00F02639"/>
    <w:rsid w:val="00F028C9"/>
    <w:rsid w:val="00F02ABA"/>
    <w:rsid w:val="00F02B67"/>
    <w:rsid w:val="00F03489"/>
    <w:rsid w:val="00F03E70"/>
    <w:rsid w:val="00F04113"/>
    <w:rsid w:val="00F0437A"/>
    <w:rsid w:val="00F04619"/>
    <w:rsid w:val="00F050BA"/>
    <w:rsid w:val="00F0515A"/>
    <w:rsid w:val="00F05314"/>
    <w:rsid w:val="00F054B8"/>
    <w:rsid w:val="00F0581A"/>
    <w:rsid w:val="00F0590E"/>
    <w:rsid w:val="00F05ADF"/>
    <w:rsid w:val="00F0655B"/>
    <w:rsid w:val="00F0659F"/>
    <w:rsid w:val="00F06704"/>
    <w:rsid w:val="00F06903"/>
    <w:rsid w:val="00F06AC6"/>
    <w:rsid w:val="00F06CD5"/>
    <w:rsid w:val="00F07CDB"/>
    <w:rsid w:val="00F07F2B"/>
    <w:rsid w:val="00F101B8"/>
    <w:rsid w:val="00F1084B"/>
    <w:rsid w:val="00F109B7"/>
    <w:rsid w:val="00F10C02"/>
    <w:rsid w:val="00F10C7D"/>
    <w:rsid w:val="00F10E85"/>
    <w:rsid w:val="00F11037"/>
    <w:rsid w:val="00F119D9"/>
    <w:rsid w:val="00F11DF1"/>
    <w:rsid w:val="00F11F55"/>
    <w:rsid w:val="00F12211"/>
    <w:rsid w:val="00F1227A"/>
    <w:rsid w:val="00F12744"/>
    <w:rsid w:val="00F12BB3"/>
    <w:rsid w:val="00F12C06"/>
    <w:rsid w:val="00F132F9"/>
    <w:rsid w:val="00F13303"/>
    <w:rsid w:val="00F13973"/>
    <w:rsid w:val="00F13B78"/>
    <w:rsid w:val="00F1462A"/>
    <w:rsid w:val="00F14992"/>
    <w:rsid w:val="00F14A58"/>
    <w:rsid w:val="00F1526D"/>
    <w:rsid w:val="00F1597B"/>
    <w:rsid w:val="00F15EF2"/>
    <w:rsid w:val="00F15F20"/>
    <w:rsid w:val="00F163E5"/>
    <w:rsid w:val="00F1649A"/>
    <w:rsid w:val="00F16711"/>
    <w:rsid w:val="00F167CB"/>
    <w:rsid w:val="00F16D65"/>
    <w:rsid w:val="00F16DCD"/>
    <w:rsid w:val="00F16F1B"/>
    <w:rsid w:val="00F17565"/>
    <w:rsid w:val="00F175B7"/>
    <w:rsid w:val="00F17772"/>
    <w:rsid w:val="00F17910"/>
    <w:rsid w:val="00F17FD1"/>
    <w:rsid w:val="00F20D53"/>
    <w:rsid w:val="00F216C6"/>
    <w:rsid w:val="00F21A3D"/>
    <w:rsid w:val="00F21A46"/>
    <w:rsid w:val="00F21F6A"/>
    <w:rsid w:val="00F22154"/>
    <w:rsid w:val="00F225FA"/>
    <w:rsid w:val="00F23301"/>
    <w:rsid w:val="00F2334E"/>
    <w:rsid w:val="00F2342E"/>
    <w:rsid w:val="00F234FD"/>
    <w:rsid w:val="00F235D4"/>
    <w:rsid w:val="00F23682"/>
    <w:rsid w:val="00F239B2"/>
    <w:rsid w:val="00F23D98"/>
    <w:rsid w:val="00F23FB3"/>
    <w:rsid w:val="00F2433C"/>
    <w:rsid w:val="00F24EE7"/>
    <w:rsid w:val="00F250A9"/>
    <w:rsid w:val="00F25B79"/>
    <w:rsid w:val="00F25D4E"/>
    <w:rsid w:val="00F267AF"/>
    <w:rsid w:val="00F26C34"/>
    <w:rsid w:val="00F27547"/>
    <w:rsid w:val="00F277F0"/>
    <w:rsid w:val="00F278DC"/>
    <w:rsid w:val="00F278DF"/>
    <w:rsid w:val="00F27922"/>
    <w:rsid w:val="00F27CC1"/>
    <w:rsid w:val="00F3031D"/>
    <w:rsid w:val="00F304A4"/>
    <w:rsid w:val="00F30761"/>
    <w:rsid w:val="00F30F01"/>
    <w:rsid w:val="00F30FF4"/>
    <w:rsid w:val="00F3122E"/>
    <w:rsid w:val="00F312A9"/>
    <w:rsid w:val="00F3131A"/>
    <w:rsid w:val="00F31328"/>
    <w:rsid w:val="00F314F1"/>
    <w:rsid w:val="00F3150A"/>
    <w:rsid w:val="00F315BD"/>
    <w:rsid w:val="00F32271"/>
    <w:rsid w:val="00F32368"/>
    <w:rsid w:val="00F32A2A"/>
    <w:rsid w:val="00F32EBB"/>
    <w:rsid w:val="00F33107"/>
    <w:rsid w:val="00F331AD"/>
    <w:rsid w:val="00F33A83"/>
    <w:rsid w:val="00F33B6F"/>
    <w:rsid w:val="00F34AE3"/>
    <w:rsid w:val="00F34B8E"/>
    <w:rsid w:val="00F34BEA"/>
    <w:rsid w:val="00F350DA"/>
    <w:rsid w:val="00F35110"/>
    <w:rsid w:val="00F35287"/>
    <w:rsid w:val="00F3559E"/>
    <w:rsid w:val="00F355A9"/>
    <w:rsid w:val="00F3561E"/>
    <w:rsid w:val="00F35907"/>
    <w:rsid w:val="00F35A26"/>
    <w:rsid w:val="00F366CB"/>
    <w:rsid w:val="00F36A8D"/>
    <w:rsid w:val="00F36CEF"/>
    <w:rsid w:val="00F36EAA"/>
    <w:rsid w:val="00F3748A"/>
    <w:rsid w:val="00F37518"/>
    <w:rsid w:val="00F3772D"/>
    <w:rsid w:val="00F3781D"/>
    <w:rsid w:val="00F378A2"/>
    <w:rsid w:val="00F37CEB"/>
    <w:rsid w:val="00F4016B"/>
    <w:rsid w:val="00F404DD"/>
    <w:rsid w:val="00F407D3"/>
    <w:rsid w:val="00F40843"/>
    <w:rsid w:val="00F40A70"/>
    <w:rsid w:val="00F40D89"/>
    <w:rsid w:val="00F40E4E"/>
    <w:rsid w:val="00F40E91"/>
    <w:rsid w:val="00F4136B"/>
    <w:rsid w:val="00F413C5"/>
    <w:rsid w:val="00F416AE"/>
    <w:rsid w:val="00F41E66"/>
    <w:rsid w:val="00F42B6D"/>
    <w:rsid w:val="00F42B7E"/>
    <w:rsid w:val="00F42DA9"/>
    <w:rsid w:val="00F42E9F"/>
    <w:rsid w:val="00F43165"/>
    <w:rsid w:val="00F43A37"/>
    <w:rsid w:val="00F4410E"/>
    <w:rsid w:val="00F4411C"/>
    <w:rsid w:val="00F44498"/>
    <w:rsid w:val="00F4454F"/>
    <w:rsid w:val="00F44FB8"/>
    <w:rsid w:val="00F450DF"/>
    <w:rsid w:val="00F45699"/>
    <w:rsid w:val="00F4581A"/>
    <w:rsid w:val="00F4641B"/>
    <w:rsid w:val="00F46999"/>
    <w:rsid w:val="00F469CF"/>
    <w:rsid w:val="00F46E43"/>
    <w:rsid w:val="00F46E54"/>
    <w:rsid w:val="00F46EB8"/>
    <w:rsid w:val="00F47291"/>
    <w:rsid w:val="00F476B8"/>
    <w:rsid w:val="00F477EA"/>
    <w:rsid w:val="00F47D1D"/>
    <w:rsid w:val="00F50873"/>
    <w:rsid w:val="00F50CD1"/>
    <w:rsid w:val="00F511E4"/>
    <w:rsid w:val="00F51978"/>
    <w:rsid w:val="00F51ACF"/>
    <w:rsid w:val="00F51EF5"/>
    <w:rsid w:val="00F52480"/>
    <w:rsid w:val="00F52865"/>
    <w:rsid w:val="00F52C6A"/>
    <w:rsid w:val="00F52D09"/>
    <w:rsid w:val="00F52E08"/>
    <w:rsid w:val="00F52ECF"/>
    <w:rsid w:val="00F52F14"/>
    <w:rsid w:val="00F532B9"/>
    <w:rsid w:val="00F5390E"/>
    <w:rsid w:val="00F53A66"/>
    <w:rsid w:val="00F5462B"/>
    <w:rsid w:val="00F5462D"/>
    <w:rsid w:val="00F54A91"/>
    <w:rsid w:val="00F54B0D"/>
    <w:rsid w:val="00F54C7A"/>
    <w:rsid w:val="00F54EAB"/>
    <w:rsid w:val="00F5562D"/>
    <w:rsid w:val="00F5568F"/>
    <w:rsid w:val="00F55AD3"/>
    <w:rsid w:val="00F55B21"/>
    <w:rsid w:val="00F55D13"/>
    <w:rsid w:val="00F569B4"/>
    <w:rsid w:val="00F56C27"/>
    <w:rsid w:val="00F56E2B"/>
    <w:rsid w:val="00F56EF6"/>
    <w:rsid w:val="00F5733A"/>
    <w:rsid w:val="00F5749B"/>
    <w:rsid w:val="00F574F9"/>
    <w:rsid w:val="00F57721"/>
    <w:rsid w:val="00F57E9C"/>
    <w:rsid w:val="00F60082"/>
    <w:rsid w:val="00F600E7"/>
    <w:rsid w:val="00F605C8"/>
    <w:rsid w:val="00F60FC0"/>
    <w:rsid w:val="00F61451"/>
    <w:rsid w:val="00F61536"/>
    <w:rsid w:val="00F61A9F"/>
    <w:rsid w:val="00F61AC9"/>
    <w:rsid w:val="00F61B5F"/>
    <w:rsid w:val="00F621F1"/>
    <w:rsid w:val="00F62BA3"/>
    <w:rsid w:val="00F62C19"/>
    <w:rsid w:val="00F634EA"/>
    <w:rsid w:val="00F6396A"/>
    <w:rsid w:val="00F63ABC"/>
    <w:rsid w:val="00F63C5D"/>
    <w:rsid w:val="00F64696"/>
    <w:rsid w:val="00F64BDB"/>
    <w:rsid w:val="00F65579"/>
    <w:rsid w:val="00F655B7"/>
    <w:rsid w:val="00F65AA9"/>
    <w:rsid w:val="00F65DD1"/>
    <w:rsid w:val="00F65F27"/>
    <w:rsid w:val="00F66149"/>
    <w:rsid w:val="00F6639F"/>
    <w:rsid w:val="00F664F6"/>
    <w:rsid w:val="00F66895"/>
    <w:rsid w:val="00F6768F"/>
    <w:rsid w:val="00F676E3"/>
    <w:rsid w:val="00F677DD"/>
    <w:rsid w:val="00F67F3B"/>
    <w:rsid w:val="00F7035E"/>
    <w:rsid w:val="00F707F8"/>
    <w:rsid w:val="00F71205"/>
    <w:rsid w:val="00F71235"/>
    <w:rsid w:val="00F712E7"/>
    <w:rsid w:val="00F714DB"/>
    <w:rsid w:val="00F7157F"/>
    <w:rsid w:val="00F71828"/>
    <w:rsid w:val="00F722F5"/>
    <w:rsid w:val="00F72B1C"/>
    <w:rsid w:val="00F72C2C"/>
    <w:rsid w:val="00F733A7"/>
    <w:rsid w:val="00F739FA"/>
    <w:rsid w:val="00F73BF8"/>
    <w:rsid w:val="00F73ED2"/>
    <w:rsid w:val="00F74109"/>
    <w:rsid w:val="00F74192"/>
    <w:rsid w:val="00F741F2"/>
    <w:rsid w:val="00F74965"/>
    <w:rsid w:val="00F74AA6"/>
    <w:rsid w:val="00F74F6A"/>
    <w:rsid w:val="00F7500A"/>
    <w:rsid w:val="00F754EE"/>
    <w:rsid w:val="00F756D6"/>
    <w:rsid w:val="00F7599D"/>
    <w:rsid w:val="00F75BB2"/>
    <w:rsid w:val="00F75ED5"/>
    <w:rsid w:val="00F76CAB"/>
    <w:rsid w:val="00F770EF"/>
    <w:rsid w:val="00F772C6"/>
    <w:rsid w:val="00F775B2"/>
    <w:rsid w:val="00F77B03"/>
    <w:rsid w:val="00F77E2D"/>
    <w:rsid w:val="00F80485"/>
    <w:rsid w:val="00F80C1A"/>
    <w:rsid w:val="00F80DB7"/>
    <w:rsid w:val="00F80E02"/>
    <w:rsid w:val="00F8111D"/>
    <w:rsid w:val="00F815B5"/>
    <w:rsid w:val="00F8185C"/>
    <w:rsid w:val="00F81E42"/>
    <w:rsid w:val="00F821F8"/>
    <w:rsid w:val="00F828AD"/>
    <w:rsid w:val="00F83210"/>
    <w:rsid w:val="00F83C9B"/>
    <w:rsid w:val="00F83E65"/>
    <w:rsid w:val="00F843F9"/>
    <w:rsid w:val="00F84691"/>
    <w:rsid w:val="00F849A9"/>
    <w:rsid w:val="00F84C2C"/>
    <w:rsid w:val="00F84D57"/>
    <w:rsid w:val="00F85195"/>
    <w:rsid w:val="00F8535C"/>
    <w:rsid w:val="00F854AE"/>
    <w:rsid w:val="00F85D07"/>
    <w:rsid w:val="00F86090"/>
    <w:rsid w:val="00F86141"/>
    <w:rsid w:val="00F86144"/>
    <w:rsid w:val="00F863BF"/>
    <w:rsid w:val="00F867DF"/>
    <w:rsid w:val="00F868E3"/>
    <w:rsid w:val="00F869C1"/>
    <w:rsid w:val="00F86EBB"/>
    <w:rsid w:val="00F87951"/>
    <w:rsid w:val="00F9060D"/>
    <w:rsid w:val="00F918B6"/>
    <w:rsid w:val="00F9192B"/>
    <w:rsid w:val="00F91BF8"/>
    <w:rsid w:val="00F91F7A"/>
    <w:rsid w:val="00F9201C"/>
    <w:rsid w:val="00F922A9"/>
    <w:rsid w:val="00F92A55"/>
    <w:rsid w:val="00F931E5"/>
    <w:rsid w:val="00F938BA"/>
    <w:rsid w:val="00F93905"/>
    <w:rsid w:val="00F93D41"/>
    <w:rsid w:val="00F93FB5"/>
    <w:rsid w:val="00F94464"/>
    <w:rsid w:val="00F947EE"/>
    <w:rsid w:val="00F949F6"/>
    <w:rsid w:val="00F94B7B"/>
    <w:rsid w:val="00F95440"/>
    <w:rsid w:val="00F95483"/>
    <w:rsid w:val="00F957EE"/>
    <w:rsid w:val="00F95FC9"/>
    <w:rsid w:val="00F9612C"/>
    <w:rsid w:val="00F9629A"/>
    <w:rsid w:val="00F962FE"/>
    <w:rsid w:val="00F96AAA"/>
    <w:rsid w:val="00F97175"/>
    <w:rsid w:val="00F9733C"/>
    <w:rsid w:val="00F9748F"/>
    <w:rsid w:val="00F97919"/>
    <w:rsid w:val="00F97AA4"/>
    <w:rsid w:val="00F97E47"/>
    <w:rsid w:val="00FA01E0"/>
    <w:rsid w:val="00FA0B50"/>
    <w:rsid w:val="00FA0BF5"/>
    <w:rsid w:val="00FA0CCD"/>
    <w:rsid w:val="00FA0D99"/>
    <w:rsid w:val="00FA1305"/>
    <w:rsid w:val="00FA1532"/>
    <w:rsid w:val="00FA1A3A"/>
    <w:rsid w:val="00FA1C01"/>
    <w:rsid w:val="00FA1F52"/>
    <w:rsid w:val="00FA1F97"/>
    <w:rsid w:val="00FA20F3"/>
    <w:rsid w:val="00FA2879"/>
    <w:rsid w:val="00FA2C46"/>
    <w:rsid w:val="00FA3525"/>
    <w:rsid w:val="00FA385D"/>
    <w:rsid w:val="00FA39AC"/>
    <w:rsid w:val="00FA3BC8"/>
    <w:rsid w:val="00FA3BCE"/>
    <w:rsid w:val="00FA4D34"/>
    <w:rsid w:val="00FA580C"/>
    <w:rsid w:val="00FA5A53"/>
    <w:rsid w:val="00FA5E0C"/>
    <w:rsid w:val="00FA6406"/>
    <w:rsid w:val="00FA6747"/>
    <w:rsid w:val="00FA681B"/>
    <w:rsid w:val="00FA6AC7"/>
    <w:rsid w:val="00FA72FF"/>
    <w:rsid w:val="00FA73A3"/>
    <w:rsid w:val="00FA7E90"/>
    <w:rsid w:val="00FA7F49"/>
    <w:rsid w:val="00FB0FF9"/>
    <w:rsid w:val="00FB1AC7"/>
    <w:rsid w:val="00FB1BBE"/>
    <w:rsid w:val="00FB2355"/>
    <w:rsid w:val="00FB25D3"/>
    <w:rsid w:val="00FB25DD"/>
    <w:rsid w:val="00FB26D6"/>
    <w:rsid w:val="00FB2801"/>
    <w:rsid w:val="00FB30EC"/>
    <w:rsid w:val="00FB3501"/>
    <w:rsid w:val="00FB358B"/>
    <w:rsid w:val="00FB394F"/>
    <w:rsid w:val="00FB3D38"/>
    <w:rsid w:val="00FB3D61"/>
    <w:rsid w:val="00FB42B4"/>
    <w:rsid w:val="00FB4769"/>
    <w:rsid w:val="00FB4953"/>
    <w:rsid w:val="00FB4AB7"/>
    <w:rsid w:val="00FB4CD5"/>
    <w:rsid w:val="00FB4CDA"/>
    <w:rsid w:val="00FB4D1C"/>
    <w:rsid w:val="00FB59AB"/>
    <w:rsid w:val="00FB5BE1"/>
    <w:rsid w:val="00FB5CF4"/>
    <w:rsid w:val="00FB5EBE"/>
    <w:rsid w:val="00FB5EC4"/>
    <w:rsid w:val="00FB6076"/>
    <w:rsid w:val="00FB6129"/>
    <w:rsid w:val="00FB62B0"/>
    <w:rsid w:val="00FB6481"/>
    <w:rsid w:val="00FB66EF"/>
    <w:rsid w:val="00FB67F4"/>
    <w:rsid w:val="00FB6820"/>
    <w:rsid w:val="00FB6B65"/>
    <w:rsid w:val="00FB6D36"/>
    <w:rsid w:val="00FB6E40"/>
    <w:rsid w:val="00FB7529"/>
    <w:rsid w:val="00FB76AC"/>
    <w:rsid w:val="00FB7A7B"/>
    <w:rsid w:val="00FC04C0"/>
    <w:rsid w:val="00FC0965"/>
    <w:rsid w:val="00FC0B8A"/>
    <w:rsid w:val="00FC0C13"/>
    <w:rsid w:val="00FC0F81"/>
    <w:rsid w:val="00FC11B0"/>
    <w:rsid w:val="00FC11FD"/>
    <w:rsid w:val="00FC14B9"/>
    <w:rsid w:val="00FC1586"/>
    <w:rsid w:val="00FC1709"/>
    <w:rsid w:val="00FC1827"/>
    <w:rsid w:val="00FC1B44"/>
    <w:rsid w:val="00FC1B64"/>
    <w:rsid w:val="00FC1B98"/>
    <w:rsid w:val="00FC1C3C"/>
    <w:rsid w:val="00FC1DC6"/>
    <w:rsid w:val="00FC1FD1"/>
    <w:rsid w:val="00FC201D"/>
    <w:rsid w:val="00FC252F"/>
    <w:rsid w:val="00FC256B"/>
    <w:rsid w:val="00FC25A8"/>
    <w:rsid w:val="00FC2A77"/>
    <w:rsid w:val="00FC3527"/>
    <w:rsid w:val="00FC38C5"/>
    <w:rsid w:val="00FC395C"/>
    <w:rsid w:val="00FC3B6E"/>
    <w:rsid w:val="00FC3F9B"/>
    <w:rsid w:val="00FC4893"/>
    <w:rsid w:val="00FC4E14"/>
    <w:rsid w:val="00FC593B"/>
    <w:rsid w:val="00FC5E8E"/>
    <w:rsid w:val="00FC5F4D"/>
    <w:rsid w:val="00FC6F60"/>
    <w:rsid w:val="00FC78AF"/>
    <w:rsid w:val="00FC79BD"/>
    <w:rsid w:val="00FC7E63"/>
    <w:rsid w:val="00FD0293"/>
    <w:rsid w:val="00FD0791"/>
    <w:rsid w:val="00FD08A7"/>
    <w:rsid w:val="00FD0BD7"/>
    <w:rsid w:val="00FD0CA9"/>
    <w:rsid w:val="00FD0DD5"/>
    <w:rsid w:val="00FD1BBB"/>
    <w:rsid w:val="00FD1C23"/>
    <w:rsid w:val="00FD2A22"/>
    <w:rsid w:val="00FD2B70"/>
    <w:rsid w:val="00FD2D29"/>
    <w:rsid w:val="00FD2F18"/>
    <w:rsid w:val="00FD3766"/>
    <w:rsid w:val="00FD3E7F"/>
    <w:rsid w:val="00FD426B"/>
    <w:rsid w:val="00FD43E7"/>
    <w:rsid w:val="00FD47C4"/>
    <w:rsid w:val="00FD4816"/>
    <w:rsid w:val="00FD4A9B"/>
    <w:rsid w:val="00FD6062"/>
    <w:rsid w:val="00FD6147"/>
    <w:rsid w:val="00FD626B"/>
    <w:rsid w:val="00FD63AB"/>
    <w:rsid w:val="00FD64F6"/>
    <w:rsid w:val="00FD6DB8"/>
    <w:rsid w:val="00FD7000"/>
    <w:rsid w:val="00FD7195"/>
    <w:rsid w:val="00FD7A80"/>
    <w:rsid w:val="00FD7C0C"/>
    <w:rsid w:val="00FD7F26"/>
    <w:rsid w:val="00FE0206"/>
    <w:rsid w:val="00FE06CC"/>
    <w:rsid w:val="00FE1511"/>
    <w:rsid w:val="00FE1B24"/>
    <w:rsid w:val="00FE1E18"/>
    <w:rsid w:val="00FE209D"/>
    <w:rsid w:val="00FE21BB"/>
    <w:rsid w:val="00FE2227"/>
    <w:rsid w:val="00FE2416"/>
    <w:rsid w:val="00FE2494"/>
    <w:rsid w:val="00FE25EE"/>
    <w:rsid w:val="00FE2721"/>
    <w:rsid w:val="00FE27F4"/>
    <w:rsid w:val="00FE2A9F"/>
    <w:rsid w:val="00FE2DCF"/>
    <w:rsid w:val="00FE3277"/>
    <w:rsid w:val="00FE347B"/>
    <w:rsid w:val="00FE363E"/>
    <w:rsid w:val="00FE3AE9"/>
    <w:rsid w:val="00FE3F3D"/>
    <w:rsid w:val="00FE3FA7"/>
    <w:rsid w:val="00FE446A"/>
    <w:rsid w:val="00FE4816"/>
    <w:rsid w:val="00FE48A8"/>
    <w:rsid w:val="00FE4D2F"/>
    <w:rsid w:val="00FE4D53"/>
    <w:rsid w:val="00FE55F5"/>
    <w:rsid w:val="00FE56D5"/>
    <w:rsid w:val="00FE5EC3"/>
    <w:rsid w:val="00FE6153"/>
    <w:rsid w:val="00FE630E"/>
    <w:rsid w:val="00FE6853"/>
    <w:rsid w:val="00FE6B24"/>
    <w:rsid w:val="00FE6B8A"/>
    <w:rsid w:val="00FE6C8E"/>
    <w:rsid w:val="00FE6DCE"/>
    <w:rsid w:val="00FE7190"/>
    <w:rsid w:val="00FE733D"/>
    <w:rsid w:val="00FE76B7"/>
    <w:rsid w:val="00FE7B2E"/>
    <w:rsid w:val="00FE7C57"/>
    <w:rsid w:val="00FE7FF3"/>
    <w:rsid w:val="00FF0143"/>
    <w:rsid w:val="00FF092F"/>
    <w:rsid w:val="00FF0AAF"/>
    <w:rsid w:val="00FF0E30"/>
    <w:rsid w:val="00FF1211"/>
    <w:rsid w:val="00FF1AAA"/>
    <w:rsid w:val="00FF2643"/>
    <w:rsid w:val="00FF2899"/>
    <w:rsid w:val="00FF2A4E"/>
    <w:rsid w:val="00FF2FCE"/>
    <w:rsid w:val="00FF3153"/>
    <w:rsid w:val="00FF48D4"/>
    <w:rsid w:val="00FF4C69"/>
    <w:rsid w:val="00FF4E05"/>
    <w:rsid w:val="00FF4F7D"/>
    <w:rsid w:val="00FF52BA"/>
    <w:rsid w:val="00FF550A"/>
    <w:rsid w:val="00FF59C2"/>
    <w:rsid w:val="00FF5C7E"/>
    <w:rsid w:val="00FF6868"/>
    <w:rsid w:val="00FF6B78"/>
    <w:rsid w:val="00FF6D9D"/>
    <w:rsid w:val="00FF6DE9"/>
    <w:rsid w:val="00FF79B4"/>
    <w:rsid w:val="00FF7A18"/>
    <w:rsid w:val="00FF7CB8"/>
    <w:rsid w:val="00FF7D1C"/>
    <w:rsid w:val="00FF7DD5"/>
    <w:rsid w:val="00FF7E6E"/>
    <w:rsid w:val="00FF7FF0"/>
    <w:rsid w:val="02B86DA6"/>
    <w:rsid w:val="02D1E8EB"/>
    <w:rsid w:val="0A1D4A1F"/>
    <w:rsid w:val="0D51C6CB"/>
    <w:rsid w:val="17D1DDFD"/>
    <w:rsid w:val="1C5593D1"/>
    <w:rsid w:val="1F3F8B5A"/>
    <w:rsid w:val="34E96F80"/>
    <w:rsid w:val="3522FB48"/>
    <w:rsid w:val="40C36186"/>
    <w:rsid w:val="4894FD87"/>
    <w:rsid w:val="498603A1"/>
    <w:rsid w:val="4B858DAC"/>
    <w:rsid w:val="53CC08C7"/>
    <w:rsid w:val="54CA6610"/>
    <w:rsid w:val="57B13E0A"/>
    <w:rsid w:val="62BF6FA2"/>
    <w:rsid w:val="67BE82C4"/>
    <w:rsid w:val="71532C76"/>
    <w:rsid w:val="7D48A5F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39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7D1862"/>
    <w:pPr>
      <w:spacing w:after="120" w:line="280" w:lineRule="atLeast"/>
    </w:pPr>
    <w:rPr>
      <w:rFonts w:ascii="Arial" w:hAnsi="Arial"/>
      <w:sz w:val="21"/>
      <w:lang w:eastAsia="en-US"/>
    </w:rPr>
  </w:style>
  <w:style w:type="paragraph" w:styleId="Heading1">
    <w:name w:val="heading 1"/>
    <w:next w:val="Body"/>
    <w:link w:val="Heading1Char"/>
    <w:uiPriority w:val="1"/>
    <w:qFormat/>
    <w:rsid w:val="007231E7"/>
    <w:pPr>
      <w:keepNext/>
      <w:keepLines/>
      <w:spacing w:before="360" w:after="240" w:line="48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7231E7"/>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link w:val="HeaderChar"/>
    <w:uiPriority w:val="99"/>
    <w:rsid w:val="00CA3353"/>
    <w:pPr>
      <w:spacing w:after="300"/>
    </w:pPr>
    <w:rPr>
      <w:rFonts w:ascii="Arial" w:hAnsi="Arial" w:cs="Arial"/>
      <w:b/>
      <w:color w:val="53565A"/>
      <w:sz w:val="18"/>
      <w:szCs w:val="18"/>
      <w:lang w:eastAsia="en-US"/>
    </w:rPr>
  </w:style>
  <w:style w:type="paragraph" w:styleId="Footer">
    <w:name w:val="footer"/>
    <w:link w:val="FooterChar"/>
    <w:uiPriority w:val="99"/>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AD1AF7"/>
    <w:pPr>
      <w:numPr>
        <w:numId w:val="11"/>
      </w:numPr>
    </w:pPr>
    <w:rPr>
      <w:rFonts w:cs="Arial"/>
      <w:sz w:val="20"/>
    </w:r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7231E7"/>
    <w:pPr>
      <w:spacing w:after="80" w:line="460" w:lineRule="atLeast"/>
    </w:pPr>
    <w:rPr>
      <w:rFonts w:ascii="Arial" w:hAnsi="Arial"/>
      <w:b/>
      <w:color w:val="C5511A"/>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4"/>
      </w:numPr>
    </w:pPr>
  </w:style>
  <w:style w:type="numbering" w:customStyle="1" w:styleId="ZZTablebullets">
    <w:name w:val="ZZ Table bullets"/>
    <w:basedOn w:val="NoList"/>
    <w:rsid w:val="00FD2A22"/>
    <w:pPr>
      <w:numPr>
        <w:numId w:val="4"/>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3"/>
      </w:numPr>
    </w:pPr>
  </w:style>
  <w:style w:type="numbering" w:customStyle="1" w:styleId="ZZNumbersdigit">
    <w:name w:val="ZZ Numbers digit"/>
    <w:rsid w:val="00FD2A22"/>
    <w:pPr>
      <w:numPr>
        <w:numId w:val="65"/>
      </w:numPr>
    </w:pPr>
  </w:style>
  <w:style w:type="numbering" w:customStyle="1" w:styleId="ZZQuotebullets">
    <w:name w:val="ZZ Quote bullets"/>
    <w:basedOn w:val="ZZNumbersdigit"/>
    <w:rsid w:val="00FD2A22"/>
    <w:pPr>
      <w:numPr>
        <w:numId w:val="5"/>
      </w:numPr>
    </w:pPr>
  </w:style>
  <w:style w:type="paragraph" w:customStyle="1" w:styleId="Numberdigit">
    <w:name w:val="Number digit"/>
    <w:basedOn w:val="Body"/>
    <w:uiPriority w:val="2"/>
    <w:rsid w:val="00FD2A22"/>
    <w:pPr>
      <w:tabs>
        <w:tab w:val="num" w:pos="397"/>
      </w:tabs>
      <w:ind w:left="397" w:hanging="397"/>
    </w:pPr>
  </w:style>
  <w:style w:type="paragraph" w:customStyle="1" w:styleId="Numberloweralphaindent">
    <w:name w:val="Number lower alpha indent"/>
    <w:basedOn w:val="Body"/>
    <w:uiPriority w:val="3"/>
    <w:rsid w:val="00FD2A22"/>
    <w:pPr>
      <w:numPr>
        <w:ilvl w:val="1"/>
        <w:numId w:val="8"/>
      </w:numPr>
    </w:pPr>
  </w:style>
  <w:style w:type="paragraph" w:customStyle="1" w:styleId="Numberdigitindent">
    <w:name w:val="Number digit indent"/>
    <w:basedOn w:val="Numberloweralphaindent"/>
    <w:uiPriority w:val="3"/>
    <w:rsid w:val="00FD2A22"/>
    <w:pPr>
      <w:numPr>
        <w:ilvl w:val="0"/>
        <w:numId w:val="0"/>
      </w:numPr>
      <w:tabs>
        <w:tab w:val="num" w:pos="794"/>
      </w:tabs>
      <w:ind w:left="794" w:hanging="397"/>
    </w:pPr>
  </w:style>
  <w:style w:type="paragraph" w:customStyle="1" w:styleId="Numberloweralpha">
    <w:name w:val="Number lower alpha"/>
    <w:basedOn w:val="Body"/>
    <w:uiPriority w:val="3"/>
    <w:rsid w:val="00FD2A22"/>
    <w:pPr>
      <w:numPr>
        <w:numId w:val="8"/>
      </w:numPr>
    </w:pPr>
  </w:style>
  <w:style w:type="paragraph" w:customStyle="1" w:styleId="Numberlowerroman">
    <w:name w:val="Number lower roman"/>
    <w:basedOn w:val="Body"/>
    <w:uiPriority w:val="3"/>
    <w:rsid w:val="00FD2A22"/>
    <w:pPr>
      <w:numPr>
        <w:numId w:val="6"/>
      </w:numPr>
    </w:pPr>
  </w:style>
  <w:style w:type="paragraph" w:customStyle="1" w:styleId="Numberlowerromanindent">
    <w:name w:val="Number lower roman indent"/>
    <w:basedOn w:val="Body"/>
    <w:uiPriority w:val="3"/>
    <w:rsid w:val="00FD2A22"/>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ind w:left="1191" w:hanging="397"/>
    </w:pPr>
  </w:style>
  <w:style w:type="numbering" w:customStyle="1" w:styleId="ZZNumberslowerroman">
    <w:name w:val="ZZ Numbers lower roman"/>
    <w:basedOn w:val="ZZQuotebullets"/>
    <w:rsid w:val="00FD2A22"/>
    <w:pPr>
      <w:numPr>
        <w:numId w:val="6"/>
      </w:numPr>
    </w:pPr>
  </w:style>
  <w:style w:type="numbering" w:customStyle="1" w:styleId="ZZNumbersloweralpha">
    <w:name w:val="ZZ Numbers lower alpha"/>
    <w:basedOn w:val="NoList"/>
    <w:rsid w:val="00FD2A22"/>
    <w:pPr>
      <w:numPr>
        <w:numId w:val="7"/>
      </w:numPr>
    </w:pPr>
  </w:style>
  <w:style w:type="paragraph" w:customStyle="1" w:styleId="Quotebullet1">
    <w:name w:val="Quote bullet 1"/>
    <w:basedOn w:val="Quotetext"/>
    <w:rsid w:val="00FD2A22"/>
    <w:pPr>
      <w:numPr>
        <w:numId w:val="5"/>
      </w:numPr>
    </w:pPr>
  </w:style>
  <w:style w:type="paragraph" w:customStyle="1" w:styleId="Quotebullet2">
    <w:name w:val="Quote bullet 2"/>
    <w:basedOn w:val="Quotetext"/>
    <w:rsid w:val="00FD2A22"/>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7231E7"/>
    <w:pPr>
      <w:spacing w:line="320" w:lineRule="atLeast"/>
    </w:pPr>
    <w:rPr>
      <w:color w:val="C5511A"/>
      <w:sz w:val="24"/>
    </w:rPr>
  </w:style>
  <w:style w:type="paragraph" w:styleId="ListParagraph">
    <w:name w:val="List Paragraph"/>
    <w:aliases w:val="Bullet List,Bullet point,List Paragraph1,List Paragraph11,Recommendation,List Bullet 1,L"/>
    <w:basedOn w:val="Normal"/>
    <w:link w:val="ListParagraphChar"/>
    <w:uiPriority w:val="34"/>
    <w:qFormat/>
    <w:rsid w:val="007E7540"/>
    <w:pPr>
      <w:spacing w:after="0" w:line="240" w:lineRule="auto"/>
      <w:ind w:left="720"/>
    </w:pPr>
    <w:rPr>
      <w:rFonts w:ascii="Aptos" w:eastAsiaTheme="minorHAnsi" w:hAnsi="Aptos" w:cs="Calibri"/>
      <w:sz w:val="22"/>
      <w:szCs w:val="22"/>
      <w14:ligatures w14:val="standardContextual"/>
    </w:rPr>
  </w:style>
  <w:style w:type="character" w:customStyle="1" w:styleId="eop">
    <w:name w:val="eop"/>
    <w:basedOn w:val="DefaultParagraphFont"/>
    <w:rsid w:val="007D1862"/>
  </w:style>
  <w:style w:type="character" w:customStyle="1" w:styleId="normaltextrun">
    <w:name w:val="normaltextrun"/>
    <w:basedOn w:val="DefaultParagraphFont"/>
    <w:rsid w:val="007D1862"/>
  </w:style>
  <w:style w:type="paragraph" w:customStyle="1" w:styleId="paragraph">
    <w:name w:val="paragraph"/>
    <w:basedOn w:val="Normal"/>
    <w:rsid w:val="007D1862"/>
    <w:pPr>
      <w:spacing w:before="100" w:beforeAutospacing="1" w:after="100" w:afterAutospacing="1" w:line="240" w:lineRule="auto"/>
    </w:pPr>
    <w:rPr>
      <w:rFonts w:ascii="Times New Roman" w:hAnsi="Times New Roman"/>
      <w:sz w:val="24"/>
      <w:szCs w:val="24"/>
      <w:lang w:eastAsia="en-AU"/>
    </w:rPr>
  </w:style>
  <w:style w:type="character" w:customStyle="1" w:styleId="ListParagraphChar">
    <w:name w:val="List Paragraph Char"/>
    <w:aliases w:val="Bullet List Char,Bullet point Char,List Paragraph1 Char,List Paragraph11 Char,Recommendation Char,List Bullet 1 Char,L Char"/>
    <w:link w:val="ListParagraph"/>
    <w:uiPriority w:val="34"/>
    <w:locked/>
    <w:rsid w:val="007D1862"/>
    <w:rPr>
      <w:rFonts w:ascii="Aptos" w:eastAsiaTheme="minorHAnsi" w:hAnsi="Aptos" w:cs="Calibri"/>
      <w:sz w:val="22"/>
      <w:szCs w:val="22"/>
      <w:lang w:eastAsia="en-US"/>
      <w14:ligatures w14:val="standardContextual"/>
    </w:rPr>
  </w:style>
  <w:style w:type="paragraph" w:customStyle="1" w:styleId="pf0">
    <w:name w:val="pf0"/>
    <w:basedOn w:val="Normal"/>
    <w:rsid w:val="007D1862"/>
    <w:pPr>
      <w:spacing w:before="100" w:beforeAutospacing="1" w:after="100" w:afterAutospacing="1" w:line="240" w:lineRule="auto"/>
      <w:ind w:left="720"/>
    </w:pPr>
    <w:rPr>
      <w:rFonts w:ascii="Times New Roman" w:hAnsi="Times New Roman"/>
      <w:sz w:val="24"/>
      <w:szCs w:val="24"/>
      <w:lang w:eastAsia="en-AU"/>
    </w:rPr>
  </w:style>
  <w:style w:type="character" w:customStyle="1" w:styleId="cf01">
    <w:name w:val="cf01"/>
    <w:basedOn w:val="DefaultParagraphFont"/>
    <w:rsid w:val="007D1862"/>
    <w:rPr>
      <w:rFonts w:ascii="Segoe UI" w:hAnsi="Segoe UI" w:cs="Segoe UI" w:hint="default"/>
      <w:sz w:val="18"/>
      <w:szCs w:val="18"/>
    </w:rPr>
  </w:style>
  <w:style w:type="character" w:customStyle="1" w:styleId="FooterChar">
    <w:name w:val="Footer Char"/>
    <w:basedOn w:val="DefaultParagraphFont"/>
    <w:link w:val="Footer"/>
    <w:uiPriority w:val="99"/>
    <w:rsid w:val="007D1862"/>
    <w:rPr>
      <w:rFonts w:ascii="Arial" w:hAnsi="Arial" w:cs="Arial"/>
      <w:szCs w:val="18"/>
      <w:lang w:eastAsia="en-US"/>
    </w:rPr>
  </w:style>
  <w:style w:type="character" w:customStyle="1" w:styleId="HeaderChar">
    <w:name w:val="Header Char"/>
    <w:basedOn w:val="DefaultParagraphFont"/>
    <w:link w:val="Header"/>
    <w:uiPriority w:val="99"/>
    <w:rsid w:val="007D1862"/>
    <w:rPr>
      <w:rFonts w:ascii="Arial" w:hAnsi="Arial" w:cs="Arial"/>
      <w:b/>
      <w:color w:val="53565A"/>
      <w:sz w:val="18"/>
      <w:szCs w:val="18"/>
      <w:lang w:eastAsia="en-US"/>
    </w:rPr>
  </w:style>
  <w:style w:type="character" w:styleId="Mention">
    <w:name w:val="Mention"/>
    <w:basedOn w:val="DefaultParagraphFont"/>
    <w:uiPriority w:val="99"/>
    <w:unhideWhenUsed/>
    <w:rsid w:val="007D1862"/>
    <w:rPr>
      <w:color w:val="2B579A"/>
      <w:shd w:val="clear" w:color="auto" w:fill="E1DFDD"/>
    </w:rPr>
  </w:style>
  <w:style w:type="paragraph" w:customStyle="1" w:styleId="Default">
    <w:name w:val="Default"/>
    <w:rsid w:val="007D186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49146532">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safercare.vic.gov.au/best-practice-improvement/publications/clinical-governance-framework" TargetMode="External"/><Relationship Id="rId26" Type="http://schemas.openxmlformats.org/officeDocument/2006/relationships/hyperlink" Target="https://www.safercare.vic.gov.au/best-practice-improvement/publications/credentialing-and-scope-of-clinical-practice-for-senior-medical-practitioners-policy"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afercare.vic.gov.au/best-practice-improvement/publications/policy-adverse-patient-safety-events" TargetMode="External"/><Relationship Id="rId34" Type="http://schemas.openxmlformats.org/officeDocument/2006/relationships/hyperlink" Target="https://www.safercare.vic.gov.au/best-practice-improvement/publications/sentinel-events-guide" TargetMode="External"/><Relationship Id="rId7" Type="http://schemas.openxmlformats.org/officeDocument/2006/relationships/settings" Target="settings.xml"/><Relationship Id="rId12" Type="http://schemas.openxmlformats.org/officeDocument/2006/relationships/hyperlink" Target="https://www.safetyandquality.gov.au/standards/national-safety-and-quality-cosmetic-surgery-standards/assessment-cosmetic-surgery-standards" TargetMode="External"/><Relationship Id="rId17" Type="http://schemas.openxmlformats.org/officeDocument/2006/relationships/footer" Target="footer3.xml"/><Relationship Id="rId25" Type="http://schemas.openxmlformats.org/officeDocument/2006/relationships/hyperlink" Target="https://www.safercare.vic.gov.au/best-practice-improvement/publications/clinical-governance-framework" TargetMode="External"/><Relationship Id="rId33" Type="http://schemas.openxmlformats.org/officeDocument/2006/relationships/hyperlink" Target="https://www.safercare.vic.gov.au/report-manage-issues/sentinel-events/adverse-event-review-and-response/duty-of-candour"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safercare.vic.gov.au/best-practice-improvement/publications/sentinel-events-guide" TargetMode="External"/><Relationship Id="rId29" Type="http://schemas.openxmlformats.org/officeDocument/2006/relationships/hyperlink" Target="https://www.health.vic.gov.au/publications/inclusive-collection-and-reporting-of-sex-and-gender-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afetyandquality.gov.au/publications-and-resources/resource-library/credentialing-health-practitioners-and-defining-their-scope-clinical-practice-guide-managers-and-practitioners" TargetMode="External"/><Relationship Id="rId32" Type="http://schemas.openxmlformats.org/officeDocument/2006/relationships/hyperlink" Target="https://www.health.vic.gov.au/legislation/reforms-to-health-regulation-in-victoria" TargetMode="External"/><Relationship Id="rId37" Type="http://schemas.openxmlformats.org/officeDocument/2006/relationships/hyperlink" Target="https://www.health.vic.gov.au/hospitals-and-health-services/private-health-service-establishment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safercare.vic.gov.au/best-practice-improvement/publications/policy-adverse-patient-safety-events" TargetMode="External"/><Relationship Id="rId28" Type="http://schemas.openxmlformats.org/officeDocument/2006/relationships/hyperlink" Target="https://www.safetyandquality.gov.au/publications-and-resources/resource-library/as1810-informed-financial-consent" TargetMode="External"/><Relationship Id="rId36" Type="http://schemas.openxmlformats.org/officeDocument/2006/relationships/hyperlink" Target="mailto:legandregreform@health.vic.gov.au" TargetMode="External"/><Relationship Id="rId10" Type="http://schemas.openxmlformats.org/officeDocument/2006/relationships/endnotes" Target="endnotes.xml"/><Relationship Id="rId19" Type="http://schemas.openxmlformats.org/officeDocument/2006/relationships/hyperlink" Target="https://www.safercare.vic.gov.au/best-practice-improvement/publications/credentialing-and-scope-of-clinical-practice-for-senior-medical-practitioners-policy" TargetMode="External"/><Relationship Id="rId31" Type="http://schemas.openxmlformats.org/officeDocument/2006/relationships/hyperlink" Target="https://www.premier.vic.gov.au/reform-better-protect-victoria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safercare.vic.gov.au/best-practice-improvement/publications/sentinel-events-guide" TargetMode="External"/><Relationship Id="rId27" Type="http://schemas.openxmlformats.org/officeDocument/2006/relationships/hyperlink" Target="https://www.safetyandquality.gov.au/publications-and-resources/resource-library/as1810-informed-financial-consent" TargetMode="External"/><Relationship Id="rId30" Type="http://schemas.openxmlformats.org/officeDocument/2006/relationships/hyperlink" Target="https://www.health.vic.gov.au/publications/inclusive-collection-and-reporting-of-sex-and-gender-data" TargetMode="External"/><Relationship Id="rId35" Type="http://schemas.openxmlformats.org/officeDocument/2006/relationships/hyperlink" Target="https://www.safercare.vic.gov.au/best-practice-improvement/publications/policy-adverse-patient-safety-event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afercare.vic.gov.au/best-practice-improvement/publications/credentialing-and-scope-of-clinical-practice-for-senior-medical-practitioners-policy" TargetMode="External"/><Relationship Id="rId13" Type="http://schemas.openxmlformats.org/officeDocument/2006/relationships/hyperlink" Target="https://www.premier.vic.gov.au/reform-better-protect-victorians" TargetMode="External"/><Relationship Id="rId3" Type="http://schemas.openxmlformats.org/officeDocument/2006/relationships/hyperlink" Target="https://www.safercare.vic.gov.au/best-practice-improvement/publications/credentialing-and-scope-of-clinical-practice-for-senior-medical-practitioners-policy" TargetMode="External"/><Relationship Id="rId7" Type="http://schemas.openxmlformats.org/officeDocument/2006/relationships/hyperlink" Target="https://www.safercare.vic.gov.au/best-practice-improvement/publications/clinical-governance-framework" TargetMode="External"/><Relationship Id="rId12" Type="http://schemas.openxmlformats.org/officeDocument/2006/relationships/hyperlink" Target="https://www.health.vic.gov.au/publications/inclusive-collection-and-reporting-of-sex-and-gender-data" TargetMode="External"/><Relationship Id="rId17" Type="http://schemas.openxmlformats.org/officeDocument/2006/relationships/hyperlink" Target="https://www.safercare.vic.gov.au/best-practice-improvement/publications/policy-adverse-patient-safety-events" TargetMode="External"/><Relationship Id="rId2" Type="http://schemas.openxmlformats.org/officeDocument/2006/relationships/hyperlink" Target="https://www.safercare.vic.gov.au/best-practice-improvement/publications/clinical-governance-framework" TargetMode="External"/><Relationship Id="rId16" Type="http://schemas.openxmlformats.org/officeDocument/2006/relationships/hyperlink" Target="https://www.safercare.vic.gov.au/best-practice-improvement/publications/sentinel-events-guide" TargetMode="External"/><Relationship Id="rId1" Type="http://schemas.openxmlformats.org/officeDocument/2006/relationships/hyperlink" Target="file:///C:\Users\vicm6fw\Downloads\National%20Licensing%20Framework" TargetMode="External"/><Relationship Id="rId6" Type="http://schemas.openxmlformats.org/officeDocument/2006/relationships/hyperlink" Target="https://www.safetyandquality.gov.au/publications-and-resources/resource-library/credentialing-health-practitioners-and-defining-their-scope-clinical-practice-guide-managers-and-practitioners" TargetMode="External"/><Relationship Id="rId11" Type="http://schemas.openxmlformats.org/officeDocument/2006/relationships/hyperlink" Target="https://www.health.vic.gov.au/publications/inclusive-collection-and-reporting-of-sex-and-gender-data" TargetMode="External"/><Relationship Id="rId5" Type="http://schemas.openxmlformats.org/officeDocument/2006/relationships/hyperlink" Target="https://www.safercare.vic.gov.au/best-practice-improvement/publications/policy-adverse-patient-safety-events" TargetMode="External"/><Relationship Id="rId15" Type="http://schemas.openxmlformats.org/officeDocument/2006/relationships/hyperlink" Target="https://www.safercare.vic.gov.au/report-manage-issues/sentinel-events/adverse-event-review-and-response/duty-of-candour" TargetMode="External"/><Relationship Id="rId10" Type="http://schemas.openxmlformats.org/officeDocument/2006/relationships/hyperlink" Target="https://www.safetyandquality.gov.au/publications-and-resources/resource-library/as1810-informed-financial-consent" TargetMode="External"/><Relationship Id="rId4" Type="http://schemas.openxmlformats.org/officeDocument/2006/relationships/hyperlink" Target="https://www.safercare.vic.gov.au/best-practice-improvement/publications/sentinel-events-guide" TargetMode="External"/><Relationship Id="rId9" Type="http://schemas.openxmlformats.org/officeDocument/2006/relationships/hyperlink" Target="https://www.safetyandquality.gov.au/publications-and-resources/resource-library/as1810-informed-financial-consent" TargetMode="External"/><Relationship Id="rId14" Type="http://schemas.openxmlformats.org/officeDocument/2006/relationships/hyperlink" Target="https://www.health.vic.gov.au/legislation/reforms-to-health-regulation-in-vict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1D80F382B83A49BA2054F60A134852" ma:contentTypeVersion="19" ma:contentTypeDescription="Create a new document." ma:contentTypeScope="" ma:versionID="63e252d301be594abd0ef4a16a17af27">
  <xsd:schema xmlns:xsd="http://www.w3.org/2001/XMLSchema" xmlns:xs="http://www.w3.org/2001/XMLSchema" xmlns:p="http://schemas.microsoft.com/office/2006/metadata/properties" xmlns:ns2="47f98658-1cbe-4b10-a767-4f9447a207a3" xmlns:ns3="52aff747-003e-4611-b895-d7c5be62f82a" xmlns:ns4="5ce0f2b5-5be5-4508-bce9-d7011ece0659" targetNamespace="http://schemas.microsoft.com/office/2006/metadata/properties" ma:root="true" ma:fieldsID="b06cc691950cd66c9dce8a236351f01b" ns2:_="" ns3:_="" ns4:_="">
    <xsd:import namespace="47f98658-1cbe-4b10-a767-4f9447a207a3"/>
    <xsd:import namespace="52aff747-003e-4611-b895-d7c5be62f82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ce509ad5fbeb4bc7bdde1ba401049b88" minOccurs="0"/>
                <xsd:element ref="ns4:TaxCatchAll" minOccurs="0"/>
                <xsd:element ref="ns2:AddedtoMaster"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98658-1cbe-4b10-a767-4f9447a20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ddedtoMaster" ma:index="17" nillable="true" ma:displayName="Added to Master" ma:default="0" ma:description="This section has been added to the Master Discussion paper and is no longer in use" ma:format="Dropdown" ma:internalName="AddedtoMaster">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aff747-003e-4611-b895-d7c5be62f8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ce509ad5fbeb4bc7bdde1ba401049b88" ma:index="15" nillable="true" ma:taxonomy="true" ma:internalName="ce509ad5fbeb4bc7bdde1ba401049b88" ma:taxonomyFieldName="Sensitivity" ma:displayName="Sensitivity" ma:default="1;#OFFICIAL|df0ee81d-089c-4707-9ef8-ac9a7d96e4bd" ma:fieldId="{ce509ad5-fbeb-4bc7-bdde-1ba401049b88}" ma:sspId="6e24e156-28e6-48ad-9c0f-4171595c9d94" ma:termSetId="7e5c6045-41cb-46b6-8d08-702c034f0027"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9a04787b-b796-45e3-b54e-368ff14c50a0}" ma:internalName="TaxCatchAll" ma:showField="CatchAllData" ma:web="52aff747-003e-4611-b895-d7c5be62f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ddedtoMaster xmlns="47f98658-1cbe-4b10-a767-4f9447a207a3">false</AddedtoMaster>
    <ce509ad5fbeb4bc7bdde1ba401049b88 xmlns="5ce0f2b5-5be5-4508-bce9-d7011ece065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df0ee81d-089c-4707-9ef8-ac9a7d96e4bd</TermId>
        </TermInfo>
      </Terms>
    </ce509ad5fbeb4bc7bdde1ba401049b88>
    <lcf76f155ced4ddcb4097134ff3c332f xmlns="47f98658-1cbe-4b10-a767-4f9447a207a3">
      <Terms xmlns="http://schemas.microsoft.com/office/infopath/2007/PartnerControls"/>
    </lcf76f155ced4ddcb4097134ff3c332f>
    <TaxCatchAll xmlns="5ce0f2b5-5be5-4508-bce9-d7011ece0659">
      <Value>1</Value>
    </TaxCatchAll>
  </documentManagement>
</p:properties>
</file>

<file path=customXml/itemProps1.xml><?xml version="1.0" encoding="utf-8"?>
<ds:datastoreItem xmlns:ds="http://schemas.openxmlformats.org/officeDocument/2006/customXml" ds:itemID="{ABE44B40-76B0-4FBC-B741-D535C6AC5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98658-1cbe-4b10-a767-4f9447a207a3"/>
    <ds:schemaRef ds:uri="52aff747-003e-4611-b895-d7c5be62f82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A8271005-5EBB-4DC8-91FA-9D3AA501DBC7}">
  <ds:schemaRefs>
    <ds:schemaRef ds:uri="http://schemas.microsoft.com/sharepoint/v3/contenttype/forms"/>
  </ds:schemaRefs>
</ds:datastoreItem>
</file>

<file path=customXml/itemProps4.xml><?xml version="1.0" encoding="utf-8"?>
<ds:datastoreItem xmlns:ds="http://schemas.openxmlformats.org/officeDocument/2006/customXml" ds:itemID="{AD83D1A9-4179-407E-B107-0CBCCBBFD73C}">
  <ds:schemaRefs>
    <ds:schemaRef ds:uri="http://schemas.microsoft.com/office/2006/metadata/properties"/>
    <ds:schemaRef ds:uri="http://schemas.microsoft.com/office/infopath/2007/PartnerControls"/>
    <ds:schemaRef ds:uri="47f98658-1cbe-4b10-a767-4f9447a207a3"/>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14357</Words>
  <Characters>81984</Characters>
  <Application>Microsoft Office Word</Application>
  <DocSecurity>0</DocSecurity>
  <Lines>1744</Lines>
  <Paragraphs>809</Paragraphs>
  <ScaleCrop>false</ScaleCrop>
  <HeadingPairs>
    <vt:vector size="2" baseType="variant">
      <vt:variant>
        <vt:lpstr>Title</vt:lpstr>
      </vt:variant>
      <vt:variant>
        <vt:i4>1</vt:i4>
      </vt:variant>
    </vt:vector>
  </HeadingPairs>
  <TitlesOfParts>
    <vt:vector size="1" baseType="lpstr">
      <vt:lpstr>Statement of Reasons - Health Services (Health Service Establishments) Regulations 2024</vt:lpstr>
    </vt:vector>
  </TitlesOfParts>
  <Manager/>
  <Company/>
  <LinksUpToDate>false</LinksUpToDate>
  <CharactersWithSpaces>95532</CharactersWithSpaces>
  <SharedDoc>false</SharedDoc>
  <HyperlinkBase/>
  <HLinks>
    <vt:vector size="222" baseType="variant">
      <vt:variant>
        <vt:i4>1769544</vt:i4>
      </vt:variant>
      <vt:variant>
        <vt:i4>66</vt:i4>
      </vt:variant>
      <vt:variant>
        <vt:i4>0</vt:i4>
      </vt:variant>
      <vt:variant>
        <vt:i4>5</vt:i4>
      </vt:variant>
      <vt:variant>
        <vt:lpwstr>https://www.health.vic.gov.au/hospitals-and-health-services/private-health-service-establishments</vt:lpwstr>
      </vt:variant>
      <vt:variant>
        <vt:lpwstr/>
      </vt:variant>
      <vt:variant>
        <vt:i4>5570669</vt:i4>
      </vt:variant>
      <vt:variant>
        <vt:i4>63</vt:i4>
      </vt:variant>
      <vt:variant>
        <vt:i4>0</vt:i4>
      </vt:variant>
      <vt:variant>
        <vt:i4>5</vt:i4>
      </vt:variant>
      <vt:variant>
        <vt:lpwstr>mailto:legandregreform@health.vic.gov.au</vt:lpwstr>
      </vt:variant>
      <vt:variant>
        <vt:lpwstr/>
      </vt:variant>
      <vt:variant>
        <vt:i4>6029387</vt:i4>
      </vt:variant>
      <vt:variant>
        <vt:i4>60</vt:i4>
      </vt:variant>
      <vt:variant>
        <vt:i4>0</vt:i4>
      </vt:variant>
      <vt:variant>
        <vt:i4>5</vt:i4>
      </vt:variant>
      <vt:variant>
        <vt:lpwstr>https://www.safercare.vic.gov.au/best-practice-improvement/publications/policy-adverse-patient-safety-events</vt:lpwstr>
      </vt:variant>
      <vt:variant>
        <vt:lpwstr/>
      </vt:variant>
      <vt:variant>
        <vt:i4>4849757</vt:i4>
      </vt:variant>
      <vt:variant>
        <vt:i4>57</vt:i4>
      </vt:variant>
      <vt:variant>
        <vt:i4>0</vt:i4>
      </vt:variant>
      <vt:variant>
        <vt:i4>5</vt:i4>
      </vt:variant>
      <vt:variant>
        <vt:lpwstr>https://www.safercare.vic.gov.au/best-practice-improvement/publications/sentinel-events-guide</vt:lpwstr>
      </vt:variant>
      <vt:variant>
        <vt:lpwstr/>
      </vt:variant>
      <vt:variant>
        <vt:i4>3670048</vt:i4>
      </vt:variant>
      <vt:variant>
        <vt:i4>54</vt:i4>
      </vt:variant>
      <vt:variant>
        <vt:i4>0</vt:i4>
      </vt:variant>
      <vt:variant>
        <vt:i4>5</vt:i4>
      </vt:variant>
      <vt:variant>
        <vt:lpwstr>https://www.safercare.vic.gov.au/report-manage-issues/sentinel-events/adverse-event-review-and-response/duty-of-candour</vt:lpwstr>
      </vt:variant>
      <vt:variant>
        <vt:lpwstr/>
      </vt:variant>
      <vt:variant>
        <vt:i4>8257633</vt:i4>
      </vt:variant>
      <vt:variant>
        <vt:i4>51</vt:i4>
      </vt:variant>
      <vt:variant>
        <vt:i4>0</vt:i4>
      </vt:variant>
      <vt:variant>
        <vt:i4>5</vt:i4>
      </vt:variant>
      <vt:variant>
        <vt:lpwstr>https://www.health.vic.gov.au/legislation/reforms-to-health-regulation-in-victoria</vt:lpwstr>
      </vt:variant>
      <vt:variant>
        <vt:lpwstr/>
      </vt:variant>
      <vt:variant>
        <vt:i4>3407995</vt:i4>
      </vt:variant>
      <vt:variant>
        <vt:i4>48</vt:i4>
      </vt:variant>
      <vt:variant>
        <vt:i4>0</vt:i4>
      </vt:variant>
      <vt:variant>
        <vt:i4>5</vt:i4>
      </vt:variant>
      <vt:variant>
        <vt:lpwstr>https://www.premier.vic.gov.au/reform-better-protect-victorians</vt:lpwstr>
      </vt:variant>
      <vt:variant>
        <vt:lpwstr/>
      </vt:variant>
      <vt:variant>
        <vt:i4>589902</vt:i4>
      </vt:variant>
      <vt:variant>
        <vt:i4>45</vt:i4>
      </vt:variant>
      <vt:variant>
        <vt:i4>0</vt:i4>
      </vt:variant>
      <vt:variant>
        <vt:i4>5</vt:i4>
      </vt:variant>
      <vt:variant>
        <vt:lpwstr>https://www.health.vic.gov.au/publications/inclusive-collection-and-reporting-of-sex-and-gender-data</vt:lpwstr>
      </vt:variant>
      <vt:variant>
        <vt:lpwstr/>
      </vt:variant>
      <vt:variant>
        <vt:i4>589902</vt:i4>
      </vt:variant>
      <vt:variant>
        <vt:i4>42</vt:i4>
      </vt:variant>
      <vt:variant>
        <vt:i4>0</vt:i4>
      </vt:variant>
      <vt:variant>
        <vt:i4>5</vt:i4>
      </vt:variant>
      <vt:variant>
        <vt:lpwstr>https://www.health.vic.gov.au/publications/inclusive-collection-and-reporting-of-sex-and-gender-data</vt:lpwstr>
      </vt:variant>
      <vt:variant>
        <vt:lpwstr/>
      </vt:variant>
      <vt:variant>
        <vt:i4>1048662</vt:i4>
      </vt:variant>
      <vt:variant>
        <vt:i4>39</vt:i4>
      </vt:variant>
      <vt:variant>
        <vt:i4>0</vt:i4>
      </vt:variant>
      <vt:variant>
        <vt:i4>5</vt:i4>
      </vt:variant>
      <vt:variant>
        <vt:lpwstr>https://www.safetyandquality.gov.au/publications-and-resources/resource-library/as1810-informed-financial-consent</vt:lpwstr>
      </vt:variant>
      <vt:variant>
        <vt:lpwstr/>
      </vt:variant>
      <vt:variant>
        <vt:i4>1048662</vt:i4>
      </vt:variant>
      <vt:variant>
        <vt:i4>36</vt:i4>
      </vt:variant>
      <vt:variant>
        <vt:i4>0</vt:i4>
      </vt:variant>
      <vt:variant>
        <vt:i4>5</vt:i4>
      </vt:variant>
      <vt:variant>
        <vt:lpwstr>https://www.safetyandquality.gov.au/publications-and-resources/resource-library/as1810-informed-financial-consent</vt:lpwstr>
      </vt:variant>
      <vt:variant>
        <vt:lpwstr/>
      </vt:variant>
      <vt:variant>
        <vt:i4>5374025</vt:i4>
      </vt:variant>
      <vt:variant>
        <vt:i4>33</vt:i4>
      </vt:variant>
      <vt:variant>
        <vt:i4>0</vt:i4>
      </vt:variant>
      <vt:variant>
        <vt:i4>5</vt:i4>
      </vt:variant>
      <vt:variant>
        <vt:lpwstr>https://www.safercare.vic.gov.au/best-practice-improvement/publications/credentialing-and-scope-of-clinical-practice-for-senior-medical-practitioners-policy</vt:lpwstr>
      </vt:variant>
      <vt:variant>
        <vt:lpwstr/>
      </vt:variant>
      <vt:variant>
        <vt:i4>4849737</vt:i4>
      </vt:variant>
      <vt:variant>
        <vt:i4>30</vt:i4>
      </vt:variant>
      <vt:variant>
        <vt:i4>0</vt:i4>
      </vt:variant>
      <vt:variant>
        <vt:i4>5</vt:i4>
      </vt:variant>
      <vt:variant>
        <vt:lpwstr>https://www.safercare.vic.gov.au/best-practice-improvement/publications/clinical-governance-framework</vt:lpwstr>
      </vt:variant>
      <vt:variant>
        <vt:lpwstr/>
      </vt:variant>
      <vt:variant>
        <vt:i4>6619238</vt:i4>
      </vt:variant>
      <vt:variant>
        <vt:i4>27</vt:i4>
      </vt:variant>
      <vt:variant>
        <vt:i4>0</vt:i4>
      </vt:variant>
      <vt:variant>
        <vt:i4>5</vt:i4>
      </vt:variant>
      <vt:variant>
        <vt:lpwstr>https://www.safetyandquality.gov.au/publications-and-resources/resource-library/credentialing-health-practitioners-and-defining-their-scope-clinical-practice-guide-managers-and-practitioners</vt:lpwstr>
      </vt:variant>
      <vt:variant>
        <vt:lpwstr/>
      </vt:variant>
      <vt:variant>
        <vt:i4>6029387</vt:i4>
      </vt:variant>
      <vt:variant>
        <vt:i4>24</vt:i4>
      </vt:variant>
      <vt:variant>
        <vt:i4>0</vt:i4>
      </vt:variant>
      <vt:variant>
        <vt:i4>5</vt:i4>
      </vt:variant>
      <vt:variant>
        <vt:lpwstr>https://www.safercare.vic.gov.au/best-practice-improvement/publications/policy-adverse-patient-safety-events</vt:lpwstr>
      </vt:variant>
      <vt:variant>
        <vt:lpwstr/>
      </vt:variant>
      <vt:variant>
        <vt:i4>4849757</vt:i4>
      </vt:variant>
      <vt:variant>
        <vt:i4>21</vt:i4>
      </vt:variant>
      <vt:variant>
        <vt:i4>0</vt:i4>
      </vt:variant>
      <vt:variant>
        <vt:i4>5</vt:i4>
      </vt:variant>
      <vt:variant>
        <vt:lpwstr>https://www.safercare.vic.gov.au/best-practice-improvement/publications/sentinel-events-guide</vt:lpwstr>
      </vt:variant>
      <vt:variant>
        <vt:lpwstr/>
      </vt:variant>
      <vt:variant>
        <vt:i4>6029387</vt:i4>
      </vt:variant>
      <vt:variant>
        <vt:i4>18</vt:i4>
      </vt:variant>
      <vt:variant>
        <vt:i4>0</vt:i4>
      </vt:variant>
      <vt:variant>
        <vt:i4>5</vt:i4>
      </vt:variant>
      <vt:variant>
        <vt:lpwstr>https://www.safercare.vic.gov.au/best-practice-improvement/publications/policy-adverse-patient-safety-events</vt:lpwstr>
      </vt:variant>
      <vt:variant>
        <vt:lpwstr/>
      </vt:variant>
      <vt:variant>
        <vt:i4>4849757</vt:i4>
      </vt:variant>
      <vt:variant>
        <vt:i4>15</vt:i4>
      </vt:variant>
      <vt:variant>
        <vt:i4>0</vt:i4>
      </vt:variant>
      <vt:variant>
        <vt:i4>5</vt:i4>
      </vt:variant>
      <vt:variant>
        <vt:lpwstr>https://www.safercare.vic.gov.au/best-practice-improvement/publications/sentinel-events-guide</vt:lpwstr>
      </vt:variant>
      <vt:variant>
        <vt:lpwstr/>
      </vt:variant>
      <vt:variant>
        <vt:i4>5374025</vt:i4>
      </vt:variant>
      <vt:variant>
        <vt:i4>12</vt:i4>
      </vt:variant>
      <vt:variant>
        <vt:i4>0</vt:i4>
      </vt:variant>
      <vt:variant>
        <vt:i4>5</vt:i4>
      </vt:variant>
      <vt:variant>
        <vt:lpwstr>https://www.safercare.vic.gov.au/best-practice-improvement/publications/credentialing-and-scope-of-clinical-practice-for-senior-medical-practitioners-policy</vt:lpwstr>
      </vt:variant>
      <vt:variant>
        <vt:lpwstr/>
      </vt:variant>
      <vt:variant>
        <vt:i4>4849737</vt:i4>
      </vt:variant>
      <vt:variant>
        <vt:i4>9</vt:i4>
      </vt:variant>
      <vt:variant>
        <vt:i4>0</vt:i4>
      </vt:variant>
      <vt:variant>
        <vt:i4>5</vt:i4>
      </vt:variant>
      <vt:variant>
        <vt:lpwstr>https://www.safercare.vic.gov.au/best-practice-improvement/publications/clinical-governance-framework</vt:lpwstr>
      </vt:variant>
      <vt:variant>
        <vt:lpwstr/>
      </vt:variant>
      <vt:variant>
        <vt:i4>4063294</vt:i4>
      </vt:variant>
      <vt:variant>
        <vt:i4>6</vt:i4>
      </vt:variant>
      <vt:variant>
        <vt:i4>0</vt:i4>
      </vt:variant>
      <vt:variant>
        <vt:i4>5</vt:i4>
      </vt:variant>
      <vt:variant>
        <vt:lpwstr>https://www.safetyandquality.gov.au/standards/national-safety-and-quality-cosmetic-surgery-standards/assessment-cosmetic-surgery-standards</vt:lpwstr>
      </vt:variant>
      <vt:variant>
        <vt:lpwstr/>
      </vt:variant>
      <vt:variant>
        <vt:i4>7274496</vt:i4>
      </vt:variant>
      <vt:variant>
        <vt:i4>3</vt:i4>
      </vt:variant>
      <vt:variant>
        <vt:i4>0</vt:i4>
      </vt:variant>
      <vt:variant>
        <vt:i4>5</vt:i4>
      </vt:variant>
      <vt:variant>
        <vt:lpwstr/>
      </vt:variant>
      <vt:variant>
        <vt:lpwstr>_Appendix_A:_Detailed</vt:lpwstr>
      </vt:variant>
      <vt:variant>
        <vt:i4>6029387</vt:i4>
      </vt:variant>
      <vt:variant>
        <vt:i4>42</vt:i4>
      </vt:variant>
      <vt:variant>
        <vt:i4>0</vt:i4>
      </vt:variant>
      <vt:variant>
        <vt:i4>5</vt:i4>
      </vt:variant>
      <vt:variant>
        <vt:lpwstr>https://www.safercare.vic.gov.au/best-practice-improvement/publications/policy-adverse-patient-safety-events</vt:lpwstr>
      </vt:variant>
      <vt:variant>
        <vt:lpwstr/>
      </vt:variant>
      <vt:variant>
        <vt:i4>4849757</vt:i4>
      </vt:variant>
      <vt:variant>
        <vt:i4>39</vt:i4>
      </vt:variant>
      <vt:variant>
        <vt:i4>0</vt:i4>
      </vt:variant>
      <vt:variant>
        <vt:i4>5</vt:i4>
      </vt:variant>
      <vt:variant>
        <vt:lpwstr>https://www.safercare.vic.gov.au/best-practice-improvement/publications/sentinel-events-guide</vt:lpwstr>
      </vt:variant>
      <vt:variant>
        <vt:lpwstr/>
      </vt:variant>
      <vt:variant>
        <vt:i4>3670048</vt:i4>
      </vt:variant>
      <vt:variant>
        <vt:i4>36</vt:i4>
      </vt:variant>
      <vt:variant>
        <vt:i4>0</vt:i4>
      </vt:variant>
      <vt:variant>
        <vt:i4>5</vt:i4>
      </vt:variant>
      <vt:variant>
        <vt:lpwstr>https://www.safercare.vic.gov.au/report-manage-issues/sentinel-events/adverse-event-review-and-response/duty-of-candour</vt:lpwstr>
      </vt:variant>
      <vt:variant>
        <vt:lpwstr/>
      </vt:variant>
      <vt:variant>
        <vt:i4>8257633</vt:i4>
      </vt:variant>
      <vt:variant>
        <vt:i4>33</vt:i4>
      </vt:variant>
      <vt:variant>
        <vt:i4>0</vt:i4>
      </vt:variant>
      <vt:variant>
        <vt:i4>5</vt:i4>
      </vt:variant>
      <vt:variant>
        <vt:lpwstr>https://www.health.vic.gov.au/legislation/reforms-to-health-regulation-in-victoria</vt:lpwstr>
      </vt:variant>
      <vt:variant>
        <vt:lpwstr/>
      </vt:variant>
      <vt:variant>
        <vt:i4>3407995</vt:i4>
      </vt:variant>
      <vt:variant>
        <vt:i4>30</vt:i4>
      </vt:variant>
      <vt:variant>
        <vt:i4>0</vt:i4>
      </vt:variant>
      <vt:variant>
        <vt:i4>5</vt:i4>
      </vt:variant>
      <vt:variant>
        <vt:lpwstr>https://www.premier.vic.gov.au/reform-better-protect-victorians</vt:lpwstr>
      </vt:variant>
      <vt:variant>
        <vt:lpwstr/>
      </vt:variant>
      <vt:variant>
        <vt:i4>589902</vt:i4>
      </vt:variant>
      <vt:variant>
        <vt:i4>27</vt:i4>
      </vt:variant>
      <vt:variant>
        <vt:i4>0</vt:i4>
      </vt:variant>
      <vt:variant>
        <vt:i4>5</vt:i4>
      </vt:variant>
      <vt:variant>
        <vt:lpwstr>https://www.health.vic.gov.au/publications/inclusive-collection-and-reporting-of-sex-and-gender-data</vt:lpwstr>
      </vt:variant>
      <vt:variant>
        <vt:lpwstr/>
      </vt:variant>
      <vt:variant>
        <vt:i4>1048662</vt:i4>
      </vt:variant>
      <vt:variant>
        <vt:i4>24</vt:i4>
      </vt:variant>
      <vt:variant>
        <vt:i4>0</vt:i4>
      </vt:variant>
      <vt:variant>
        <vt:i4>5</vt:i4>
      </vt:variant>
      <vt:variant>
        <vt:lpwstr>https://www.safetyandquality.gov.au/publications-and-resources/resource-library/as1810-informed-financial-consent</vt:lpwstr>
      </vt:variant>
      <vt:variant>
        <vt:lpwstr/>
      </vt:variant>
      <vt:variant>
        <vt:i4>5374025</vt:i4>
      </vt:variant>
      <vt:variant>
        <vt:i4>21</vt:i4>
      </vt:variant>
      <vt:variant>
        <vt:i4>0</vt:i4>
      </vt:variant>
      <vt:variant>
        <vt:i4>5</vt:i4>
      </vt:variant>
      <vt:variant>
        <vt:lpwstr>https://www.safercare.vic.gov.au/best-practice-improvement/publications/credentialing-and-scope-of-clinical-practice-for-senior-medical-practitioners-policy</vt:lpwstr>
      </vt:variant>
      <vt:variant>
        <vt:lpwstr/>
      </vt:variant>
      <vt:variant>
        <vt:i4>4849737</vt:i4>
      </vt:variant>
      <vt:variant>
        <vt:i4>18</vt:i4>
      </vt:variant>
      <vt:variant>
        <vt:i4>0</vt:i4>
      </vt:variant>
      <vt:variant>
        <vt:i4>5</vt:i4>
      </vt:variant>
      <vt:variant>
        <vt:lpwstr>https://www.safercare.vic.gov.au/best-practice-improvement/publications/clinical-governance-framework</vt:lpwstr>
      </vt:variant>
      <vt:variant>
        <vt:lpwstr/>
      </vt:variant>
      <vt:variant>
        <vt:i4>6619238</vt:i4>
      </vt:variant>
      <vt:variant>
        <vt:i4>15</vt:i4>
      </vt:variant>
      <vt:variant>
        <vt:i4>0</vt:i4>
      </vt:variant>
      <vt:variant>
        <vt:i4>5</vt:i4>
      </vt:variant>
      <vt:variant>
        <vt:lpwstr>https://www.safetyandquality.gov.au/publications-and-resources/resource-library/credentialing-health-practitioners-and-defining-their-scope-clinical-practice-guide-managers-and-practitioners</vt:lpwstr>
      </vt:variant>
      <vt:variant>
        <vt:lpwstr/>
      </vt:variant>
      <vt:variant>
        <vt:i4>6029387</vt:i4>
      </vt:variant>
      <vt:variant>
        <vt:i4>12</vt:i4>
      </vt:variant>
      <vt:variant>
        <vt:i4>0</vt:i4>
      </vt:variant>
      <vt:variant>
        <vt:i4>5</vt:i4>
      </vt:variant>
      <vt:variant>
        <vt:lpwstr>https://www.safercare.vic.gov.au/best-practice-improvement/publications/policy-adverse-patient-safety-events</vt:lpwstr>
      </vt:variant>
      <vt:variant>
        <vt:lpwstr/>
      </vt:variant>
      <vt:variant>
        <vt:i4>4849757</vt:i4>
      </vt:variant>
      <vt:variant>
        <vt:i4>9</vt:i4>
      </vt:variant>
      <vt:variant>
        <vt:i4>0</vt:i4>
      </vt:variant>
      <vt:variant>
        <vt:i4>5</vt:i4>
      </vt:variant>
      <vt:variant>
        <vt:lpwstr>https://www.safercare.vic.gov.au/best-practice-improvement/publications/sentinel-events-guide</vt:lpwstr>
      </vt:variant>
      <vt:variant>
        <vt:lpwstr/>
      </vt:variant>
      <vt:variant>
        <vt:i4>5374025</vt:i4>
      </vt:variant>
      <vt:variant>
        <vt:i4>6</vt:i4>
      </vt:variant>
      <vt:variant>
        <vt:i4>0</vt:i4>
      </vt:variant>
      <vt:variant>
        <vt:i4>5</vt:i4>
      </vt:variant>
      <vt:variant>
        <vt:lpwstr>https://www.safercare.vic.gov.au/best-practice-improvement/publications/credentialing-and-scope-of-clinical-practice-for-senior-medical-practitioners-policy</vt:lpwstr>
      </vt:variant>
      <vt:variant>
        <vt:lpwstr/>
      </vt:variant>
      <vt:variant>
        <vt:i4>4849737</vt:i4>
      </vt:variant>
      <vt:variant>
        <vt:i4>3</vt:i4>
      </vt:variant>
      <vt:variant>
        <vt:i4>0</vt:i4>
      </vt:variant>
      <vt:variant>
        <vt:i4>5</vt:i4>
      </vt:variant>
      <vt:variant>
        <vt:lpwstr>https://www.safercare.vic.gov.au/best-practice-improvement/publications/clinical-governance-framework</vt:lpwstr>
      </vt:variant>
      <vt:variant>
        <vt:lpwstr/>
      </vt:variant>
      <vt:variant>
        <vt:i4>196639</vt:i4>
      </vt:variant>
      <vt:variant>
        <vt:i4>0</vt:i4>
      </vt:variant>
      <vt:variant>
        <vt:i4>0</vt:i4>
      </vt:variant>
      <vt:variant>
        <vt:i4>5</vt:i4>
      </vt:variant>
      <vt:variant>
        <vt:lpwstr>National Licensing 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Reasons - Health Services (Health Service Establishments) Regulations 2024</dc:title>
  <dc:subject/>
  <dc:creator/>
  <cp:keywords/>
  <dc:description/>
  <cp:lastModifiedBy/>
  <cp:revision>1</cp:revision>
  <dcterms:created xsi:type="dcterms:W3CDTF">2024-08-20T05:29:00Z</dcterms:created>
  <dcterms:modified xsi:type="dcterms:W3CDTF">2024-08-20T05:29:00Z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20b1715e,2aa59927,51995c4a</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2024-08-13T04:00:08Z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decdfd75-5009-4bb9-bea2-227977575a8a</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ContentTypeId">
    <vt:lpwstr>0x010100B71D80F382B83A49BA2054F60A134852</vt:lpwstr>
  </property>
  <property fmtid="{D5CDD505-2E9C-101B-9397-08002B2CF9AE}" pid="14" name="version">
    <vt:lpwstr>v5 15032021</vt:lpwstr>
  </property>
  <property fmtid="{D5CDD505-2E9C-101B-9397-08002B2CF9AE}" pid="15" name="Language">
    <vt:lpwstr>English</vt:lpwstr>
  </property>
  <property fmtid="{D5CDD505-2E9C-101B-9397-08002B2CF9AE}" pid="16" name="Sensitivity">
    <vt:lpwstr>1;#OFFICIAL|df0ee81d-089c-4707-9ef8-ac9a7d96e4bd</vt:lpwstr>
  </property>
  <property fmtid="{D5CDD505-2E9C-101B-9397-08002B2CF9AE}" pid="17" name="GrammarlyDocumentId">
    <vt:lpwstr>571614dd7f176818a5e92a33bf70042346515dda5dc135facb426d7acbb0f2a2</vt:lpwstr>
  </property>
</Properties>
</file>