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BE8E6" w14:textId="77777777" w:rsidR="0074696E" w:rsidRPr="004C6EEE" w:rsidRDefault="0001677A" w:rsidP="00EC40D5">
      <w:pPr>
        <w:pStyle w:val="Sectionbreakfirstpage"/>
      </w:pPr>
      <w:bookmarkStart w:id="0" w:name="_Hlk173316595"/>
      <w:bookmarkEnd w:id="0"/>
      <w:r>
        <w:drawing>
          <wp:anchor distT="0" distB="0" distL="114300" distR="114300" simplePos="0" relativeHeight="251658240" behindDoc="1" locked="1" layoutInCell="1" allowOverlap="1" wp14:anchorId="066FBA6B" wp14:editId="074F5984">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D286E4"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348"/>
      </w:tblGrid>
      <w:tr w:rsidR="003B5733" w14:paraId="1DD9632F" w14:textId="77777777" w:rsidTr="00C85B43">
        <w:trPr>
          <w:trHeight w:val="622"/>
        </w:trPr>
        <w:tc>
          <w:tcPr>
            <w:tcW w:w="10348" w:type="dxa"/>
            <w:tcMar>
              <w:top w:w="1531" w:type="dxa"/>
              <w:left w:w="0" w:type="dxa"/>
              <w:right w:w="0" w:type="dxa"/>
            </w:tcMar>
          </w:tcPr>
          <w:p w14:paraId="318D894F" w14:textId="2D65EDDE" w:rsidR="003B5733" w:rsidRPr="003B5733" w:rsidRDefault="003D466D" w:rsidP="003B5733">
            <w:pPr>
              <w:pStyle w:val="Documenttitle"/>
            </w:pPr>
            <w:r>
              <w:t>Serious Transfusion Incident Report</w:t>
            </w:r>
            <w:r w:rsidR="00AB7C82">
              <w:t xml:space="preserve"> (STIR)</w:t>
            </w:r>
            <w:r w:rsidR="002C17C5">
              <w:t xml:space="preserve"> </w:t>
            </w:r>
            <w:r w:rsidR="002C17C5" w:rsidRPr="002C17C5">
              <w:t>Summary</w:t>
            </w:r>
            <w:r w:rsidR="002C17C5">
              <w:t xml:space="preserve"> 2022-23</w:t>
            </w:r>
          </w:p>
        </w:tc>
      </w:tr>
      <w:tr w:rsidR="003B5733" w14:paraId="2BEB6104" w14:textId="77777777" w:rsidTr="00C85B43">
        <w:tc>
          <w:tcPr>
            <w:tcW w:w="10348" w:type="dxa"/>
          </w:tcPr>
          <w:p w14:paraId="37BEC07E" w14:textId="6C4CBCCF" w:rsidR="003B5733" w:rsidRPr="00A0268E" w:rsidRDefault="002C17C5" w:rsidP="005F44C0">
            <w:pPr>
              <w:pStyle w:val="Documentsubtitle"/>
              <w:rPr>
                <w:sz w:val="24"/>
              </w:rPr>
            </w:pPr>
            <w:r w:rsidRPr="00A0268E">
              <w:rPr>
                <w:sz w:val="24"/>
              </w:rPr>
              <w:t>OFFICIAL</w:t>
            </w:r>
          </w:p>
        </w:tc>
      </w:tr>
    </w:tbl>
    <w:p w14:paraId="2EBDA28D" w14:textId="50CA84B5" w:rsidR="002C17C5" w:rsidRDefault="002C17C5" w:rsidP="002C17C5">
      <w:pPr>
        <w:pStyle w:val="Quotetext"/>
        <w:ind w:left="0"/>
      </w:pPr>
      <w:r>
        <w:rPr>
          <w:szCs w:val="21"/>
        </w:rPr>
        <w:t xml:space="preserve">For the complete report and further information on the STIR program go to the Blood Matters website </w:t>
      </w:r>
      <w:hyperlink r:id="rId15" w:history="1">
        <w:r w:rsidR="00A0268E" w:rsidRPr="00AB3127">
          <w:rPr>
            <w:rStyle w:val="Hyperlink"/>
            <w:szCs w:val="21"/>
          </w:rPr>
          <w:t>https://www.health.vic.gov.au/patient-care/blood-matters-program</w:t>
        </w:r>
      </w:hyperlink>
      <w:r w:rsidR="00A0268E">
        <w:rPr>
          <w:szCs w:val="21"/>
        </w:rPr>
        <w:t xml:space="preserve"> </w:t>
      </w:r>
    </w:p>
    <w:p w14:paraId="7ED507C9" w14:textId="5C2E76A9" w:rsidR="00E261B3" w:rsidRDefault="00AD7087" w:rsidP="003D466D">
      <w:pPr>
        <w:pStyle w:val="Quotetext"/>
        <w:ind w:left="0"/>
      </w:pPr>
      <w:r>
        <w:rPr>
          <w:noProof/>
        </w:rPr>
        <mc:AlternateContent>
          <mc:Choice Requires="wps">
            <w:drawing>
              <wp:anchor distT="45720" distB="45720" distL="114300" distR="114300" simplePos="0" relativeHeight="251660288" behindDoc="0" locked="0" layoutInCell="1" allowOverlap="1" wp14:anchorId="5BBC0D6A" wp14:editId="28302923">
                <wp:simplePos x="0" y="0"/>
                <wp:positionH relativeFrom="column">
                  <wp:posOffset>669290</wp:posOffset>
                </wp:positionH>
                <wp:positionV relativeFrom="paragraph">
                  <wp:posOffset>74295</wp:posOffset>
                </wp:positionV>
                <wp:extent cx="24955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404620"/>
                        </a:xfrm>
                        <a:prstGeom prst="rect">
                          <a:avLst/>
                        </a:prstGeom>
                        <a:solidFill>
                          <a:srgbClr val="FFFFFF"/>
                        </a:solidFill>
                        <a:ln w="9525">
                          <a:noFill/>
                          <a:miter lim="800000"/>
                          <a:headEnd/>
                          <a:tailEnd/>
                        </a:ln>
                      </wps:spPr>
                      <wps:txbx>
                        <w:txbxContent>
                          <w:p w14:paraId="2B9377FA" w14:textId="54552338" w:rsidR="003D466D" w:rsidRPr="006D156C" w:rsidRDefault="003D466D">
                            <w:pPr>
                              <w:rPr>
                                <w:b/>
                                <w:bCs/>
                              </w:rPr>
                            </w:pPr>
                            <w:r w:rsidRPr="006D156C">
                              <w:rPr>
                                <w:b/>
                                <w:bCs/>
                              </w:rPr>
                              <w:t>245 notifications</w:t>
                            </w:r>
                            <w:r w:rsidR="006D156C">
                              <w:rPr>
                                <w:b/>
                                <w:bCs/>
                              </w:rPr>
                              <w:t xml:space="preserve"> received</w:t>
                            </w:r>
                            <w:r w:rsidRPr="006D156C">
                              <w:rPr>
                                <w:b/>
                                <w:bCs/>
                              </w:rPr>
                              <w:t xml:space="preserve"> from 50 health service</w:t>
                            </w:r>
                            <w:r w:rsidR="00E67BC9" w:rsidRPr="006D156C">
                              <w:rPr>
                                <w:b/>
                                <w:bCs/>
                              </w:rPr>
                              <w: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BC0D6A" id="_x0000_t202" coordsize="21600,21600" o:spt="202" path="m,l,21600r21600,l21600,xe">
                <v:stroke joinstyle="miter"/>
                <v:path gradientshapeok="t" o:connecttype="rect"/>
              </v:shapetype>
              <v:shape id="Text Box 2" o:spid="_x0000_s1026" type="#_x0000_t202" style="position:absolute;margin-left:52.7pt;margin-top:5.85pt;width:196.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" stroked="f">
                <v:textbox style="mso-fit-shape-to-text:t">
                  <w:txbxContent>
                    <w:p w14:paraId="2B9377FA" w14:textId="54552338" w:rsidR="003D466D" w:rsidRPr="006D156C" w:rsidRDefault="003D466D">
                      <w:pPr>
                        <w:rPr>
                          <w:b/>
                          <w:bCs/>
                        </w:rPr>
                      </w:pPr>
                      <w:r w:rsidRPr="006D156C">
                        <w:rPr>
                          <w:b/>
                          <w:bCs/>
                        </w:rPr>
                        <w:t>245 notifications</w:t>
                      </w:r>
                      <w:r w:rsidR="006D156C">
                        <w:rPr>
                          <w:b/>
                          <w:bCs/>
                        </w:rPr>
                        <w:t xml:space="preserve"> received</w:t>
                      </w:r>
                      <w:r w:rsidRPr="006D156C">
                        <w:rPr>
                          <w:b/>
                          <w:bCs/>
                        </w:rPr>
                        <w:t xml:space="preserve"> from </w:t>
                      </w:r>
                      <w:proofErr w:type="gramStart"/>
                      <w:r w:rsidRPr="006D156C">
                        <w:rPr>
                          <w:b/>
                          <w:bCs/>
                        </w:rPr>
                        <w:t>50</w:t>
                      </w:r>
                      <w:proofErr w:type="gramEnd"/>
                      <w:r w:rsidRPr="006D156C">
                        <w:rPr>
                          <w:b/>
                          <w:bCs/>
                        </w:rPr>
                        <w:t xml:space="preserve"> health service</w:t>
                      </w:r>
                      <w:r w:rsidR="00E67BC9" w:rsidRPr="006D156C">
                        <w:rPr>
                          <w:b/>
                          <w:bCs/>
                        </w:rPr>
                        <w:t>s</w:t>
                      </w:r>
                    </w:p>
                  </w:txbxContent>
                </v:textbox>
                <w10:wrap type="square"/>
              </v:shape>
            </w:pict>
          </mc:Fallback>
        </mc:AlternateContent>
      </w:r>
      <w:r w:rsidR="006D156C">
        <w:rPr>
          <w:noProof/>
        </w:rPr>
        <mc:AlternateContent>
          <mc:Choice Requires="wps">
            <w:drawing>
              <wp:anchor distT="45720" distB="45720" distL="114300" distR="114300" simplePos="0" relativeHeight="251662336" behindDoc="0" locked="0" layoutInCell="1" allowOverlap="1" wp14:anchorId="6E946FE1" wp14:editId="0900D3C8">
                <wp:simplePos x="0" y="0"/>
                <wp:positionH relativeFrom="column">
                  <wp:posOffset>697865</wp:posOffset>
                </wp:positionH>
                <wp:positionV relativeFrom="paragraph">
                  <wp:posOffset>681990</wp:posOffset>
                </wp:positionV>
                <wp:extent cx="2409825" cy="466725"/>
                <wp:effectExtent l="0" t="0" r="9525" b="9525"/>
                <wp:wrapSquare wrapText="bothSides"/>
                <wp:docPr id="100174071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66725"/>
                        </a:xfrm>
                        <a:prstGeom prst="rect">
                          <a:avLst/>
                        </a:prstGeom>
                        <a:solidFill>
                          <a:srgbClr val="FFFFFF"/>
                        </a:solidFill>
                        <a:ln w="9525">
                          <a:noFill/>
                          <a:miter lim="800000"/>
                          <a:headEnd/>
                          <a:tailEnd/>
                        </a:ln>
                      </wps:spPr>
                      <wps:txbx>
                        <w:txbxContent>
                          <w:p w14:paraId="52F82B82" w14:textId="1BE8F53B" w:rsidR="003D466D" w:rsidRPr="006D156C" w:rsidRDefault="003D466D" w:rsidP="003D466D">
                            <w:pPr>
                              <w:spacing w:after="120" w:line="280" w:lineRule="atLeast"/>
                              <w:rPr>
                                <w:b/>
                                <w:bCs/>
                              </w:rPr>
                            </w:pPr>
                            <w:r w:rsidRPr="006D156C">
                              <w:rPr>
                                <w:b/>
                                <w:bCs/>
                              </w:rPr>
                              <w:t xml:space="preserve">36 </w:t>
                            </w:r>
                            <w:r w:rsidR="008A3A7A" w:rsidRPr="006D156C">
                              <w:rPr>
                                <w:b/>
                                <w:bCs/>
                              </w:rPr>
                              <w:t xml:space="preserve">notifications </w:t>
                            </w:r>
                            <w:r w:rsidRPr="006D156C">
                              <w:rPr>
                                <w:b/>
                                <w:bCs/>
                              </w:rPr>
                              <w:t>withdrawn (17 by health services, 19 by expert review)</w:t>
                            </w:r>
                          </w:p>
                          <w:p w14:paraId="51EE3146" w14:textId="56F19CB0" w:rsidR="003D466D" w:rsidRDefault="003D46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46FE1" id="_x0000_s1027" type="#_x0000_t202" alt="&quot;&quot;" style="position:absolute;margin-left:54.95pt;margin-top:53.7pt;width:189.75pt;height:36.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" stroked="f">
                <v:textbox>
                  <w:txbxContent>
                    <w:p w14:paraId="52F82B82" w14:textId="1BE8F53B" w:rsidR="003D466D" w:rsidRPr="006D156C" w:rsidRDefault="003D466D" w:rsidP="003D466D">
                      <w:pPr>
                        <w:spacing w:after="120" w:line="280" w:lineRule="atLeast"/>
                        <w:rPr>
                          <w:b/>
                          <w:bCs/>
                        </w:rPr>
                      </w:pPr>
                      <w:r w:rsidRPr="006D156C">
                        <w:rPr>
                          <w:b/>
                          <w:bCs/>
                        </w:rPr>
                        <w:t xml:space="preserve">36 </w:t>
                      </w:r>
                      <w:r w:rsidR="008A3A7A" w:rsidRPr="006D156C">
                        <w:rPr>
                          <w:b/>
                          <w:bCs/>
                        </w:rPr>
                        <w:t xml:space="preserve">notifications </w:t>
                      </w:r>
                      <w:r w:rsidRPr="006D156C">
                        <w:rPr>
                          <w:b/>
                          <w:bCs/>
                        </w:rPr>
                        <w:t>withdrawn (17 by health services, 19 by expert review)</w:t>
                      </w:r>
                    </w:p>
                    <w:p w14:paraId="51EE3146" w14:textId="56F19CB0" w:rsidR="003D466D" w:rsidRDefault="003D466D"/>
                  </w:txbxContent>
                </v:textbox>
                <w10:wrap type="square"/>
              </v:shape>
            </w:pict>
          </mc:Fallback>
        </mc:AlternateContent>
      </w:r>
      <w:r w:rsidR="00F6430D">
        <w:rPr>
          <w:noProof/>
        </w:rPr>
        <mc:AlternateContent>
          <mc:Choice Requires="wps">
            <w:drawing>
              <wp:anchor distT="45720" distB="45720" distL="114300" distR="114300" simplePos="0" relativeHeight="251666432" behindDoc="0" locked="0" layoutInCell="1" allowOverlap="1" wp14:anchorId="195B4A79" wp14:editId="5CA11247">
                <wp:simplePos x="0" y="0"/>
                <wp:positionH relativeFrom="margin">
                  <wp:align>right</wp:align>
                </wp:positionH>
                <wp:positionV relativeFrom="paragraph">
                  <wp:posOffset>112395</wp:posOffset>
                </wp:positionV>
                <wp:extent cx="3200400" cy="1781175"/>
                <wp:effectExtent l="0" t="0" r="19050" b="28575"/>
                <wp:wrapSquare wrapText="bothSides"/>
                <wp:docPr id="96467029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81175"/>
                        </a:xfrm>
                        <a:prstGeom prst="rect">
                          <a:avLst/>
                        </a:prstGeom>
                        <a:solidFill>
                          <a:srgbClr val="FFFFFF"/>
                        </a:solidFill>
                        <a:ln w="9525">
                          <a:solidFill>
                            <a:srgbClr val="000000"/>
                          </a:solidFill>
                          <a:miter lim="800000"/>
                          <a:headEnd/>
                          <a:tailEnd/>
                        </a:ln>
                      </wps:spPr>
                      <wps:txbx>
                        <w:txbxContent>
                          <w:p w14:paraId="6F24B30D" w14:textId="2FCE8C2D" w:rsidR="003D466D" w:rsidRPr="003D466D" w:rsidRDefault="003D466D" w:rsidP="003D466D">
                            <w:pPr>
                              <w:pStyle w:val="Quotetext"/>
                              <w:ind w:left="0"/>
                              <w:rPr>
                                <w:b/>
                                <w:bCs/>
                              </w:rPr>
                            </w:pPr>
                            <w:r w:rsidRPr="003D466D">
                              <w:rPr>
                                <w:b/>
                                <w:bCs/>
                              </w:rPr>
                              <w:t xml:space="preserve">Characteristics </w:t>
                            </w:r>
                            <w:r w:rsidR="00231934">
                              <w:rPr>
                                <w:b/>
                                <w:bCs/>
                              </w:rPr>
                              <w:t>for all</w:t>
                            </w:r>
                            <w:r w:rsidRPr="003D466D">
                              <w:rPr>
                                <w:b/>
                                <w:bCs/>
                              </w:rPr>
                              <w:t xml:space="preserve"> validated reports (excluding RhD-related incidents)</w:t>
                            </w:r>
                          </w:p>
                          <w:p w14:paraId="3E4084C5" w14:textId="77777777" w:rsidR="003D466D" w:rsidRPr="003D466D" w:rsidRDefault="003D466D" w:rsidP="00AD7087">
                            <w:pPr>
                              <w:pStyle w:val="Quotetext"/>
                              <w:numPr>
                                <w:ilvl w:val="0"/>
                                <w:numId w:val="41"/>
                              </w:numPr>
                            </w:pPr>
                            <w:r w:rsidRPr="003D466D">
                              <w:t>Average age 55 years (range 0-97 years)</w:t>
                            </w:r>
                          </w:p>
                          <w:p w14:paraId="4C323D9A" w14:textId="534BFA58" w:rsidR="003D466D" w:rsidRPr="003D466D" w:rsidRDefault="003D466D" w:rsidP="00AD7087">
                            <w:pPr>
                              <w:pStyle w:val="Quotetext"/>
                              <w:numPr>
                                <w:ilvl w:val="0"/>
                                <w:numId w:val="41"/>
                              </w:numPr>
                            </w:pPr>
                            <w:r w:rsidRPr="003D466D">
                              <w:t>50 per</w:t>
                            </w:r>
                            <w:r w:rsidR="00FA3BE1">
                              <w:t xml:space="preserve"> </w:t>
                            </w:r>
                            <w:r w:rsidRPr="003D466D">
                              <w:t>cent male</w:t>
                            </w:r>
                            <w:r w:rsidR="00034FAB">
                              <w:t>, 50 per cent female</w:t>
                            </w:r>
                          </w:p>
                          <w:p w14:paraId="0BC2C22D" w14:textId="308E49B4" w:rsidR="003D466D" w:rsidRDefault="003D466D" w:rsidP="00AD7087">
                            <w:pPr>
                              <w:pStyle w:val="Quotetext"/>
                              <w:numPr>
                                <w:ilvl w:val="0"/>
                                <w:numId w:val="41"/>
                              </w:numPr>
                            </w:pPr>
                            <w:r w:rsidRPr="003D466D">
                              <w:t xml:space="preserve">Red blood cells </w:t>
                            </w:r>
                            <w:r w:rsidR="0014113C">
                              <w:t xml:space="preserve">were </w:t>
                            </w:r>
                            <w:r w:rsidRPr="003D466D">
                              <w:t>most often associated with reports -130</w:t>
                            </w:r>
                            <w:r w:rsidR="00367460">
                              <w:t>, Platelets -33, FFP -19, Cryoprecipitate -2</w:t>
                            </w:r>
                            <w:r w:rsidRPr="003D466D">
                              <w:t xml:space="preserve"> (multiple components may be </w:t>
                            </w:r>
                            <w:r w:rsidR="00F6430D">
                              <w:t>involved in a re</w:t>
                            </w:r>
                            <w:r w:rsidR="00AD7087">
                              <w:t>port</w:t>
                            </w:r>
                            <w:r w:rsidR="00367460">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B4A79" id="_x0000_s1028" type="#_x0000_t202" alt="&quot;&quot;" style="position:absolute;margin-left:200.8pt;margin-top:8.85pt;width:252pt;height:140.2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">
                <v:textbox>
                  <w:txbxContent>
                    <w:p w14:paraId="6F24B30D" w14:textId="2FCE8C2D" w:rsidR="003D466D" w:rsidRPr="003D466D" w:rsidRDefault="003D466D" w:rsidP="003D466D">
                      <w:pPr>
                        <w:pStyle w:val="Quotetext"/>
                        <w:ind w:left="0"/>
                        <w:rPr>
                          <w:b/>
                          <w:bCs/>
                        </w:rPr>
                      </w:pPr>
                      <w:r w:rsidRPr="003D466D">
                        <w:rPr>
                          <w:b/>
                          <w:bCs/>
                        </w:rPr>
                        <w:t xml:space="preserve">Characteristics </w:t>
                      </w:r>
                      <w:r w:rsidR="00231934">
                        <w:rPr>
                          <w:b/>
                          <w:bCs/>
                        </w:rPr>
                        <w:t>for all</w:t>
                      </w:r>
                      <w:r w:rsidRPr="003D466D">
                        <w:rPr>
                          <w:b/>
                          <w:bCs/>
                        </w:rPr>
                        <w:t xml:space="preserve"> validated reports (excluding RhD-related incidents)</w:t>
                      </w:r>
                    </w:p>
                    <w:p w14:paraId="3E4084C5" w14:textId="77777777" w:rsidR="003D466D" w:rsidRPr="003D466D" w:rsidRDefault="003D466D" w:rsidP="00AD7087">
                      <w:pPr>
                        <w:pStyle w:val="Quotetext"/>
                        <w:numPr>
                          <w:ilvl w:val="0"/>
                          <w:numId w:val="41"/>
                        </w:numPr>
                      </w:pPr>
                      <w:r w:rsidRPr="003D466D">
                        <w:t>Average age 55 years (range 0-97 years)</w:t>
                      </w:r>
                    </w:p>
                    <w:p w14:paraId="4C323D9A" w14:textId="534BFA58" w:rsidR="003D466D" w:rsidRPr="003D466D" w:rsidRDefault="003D466D" w:rsidP="00AD7087">
                      <w:pPr>
                        <w:pStyle w:val="Quotetext"/>
                        <w:numPr>
                          <w:ilvl w:val="0"/>
                          <w:numId w:val="41"/>
                        </w:numPr>
                      </w:pPr>
                      <w:r w:rsidRPr="003D466D">
                        <w:t>50 per</w:t>
                      </w:r>
                      <w:r w:rsidR="00FA3BE1">
                        <w:t xml:space="preserve"> </w:t>
                      </w:r>
                      <w:r w:rsidRPr="003D466D">
                        <w:t>cent male</w:t>
                      </w:r>
                      <w:r w:rsidR="00034FAB">
                        <w:t>, 50 per cent female</w:t>
                      </w:r>
                    </w:p>
                    <w:p w14:paraId="0BC2C22D" w14:textId="308E49B4" w:rsidR="003D466D" w:rsidRDefault="003D466D" w:rsidP="00AD7087">
                      <w:pPr>
                        <w:pStyle w:val="Quotetext"/>
                        <w:numPr>
                          <w:ilvl w:val="0"/>
                          <w:numId w:val="41"/>
                        </w:numPr>
                      </w:pPr>
                      <w:r w:rsidRPr="003D466D">
                        <w:t xml:space="preserve">Red blood cells </w:t>
                      </w:r>
                      <w:r w:rsidR="0014113C">
                        <w:t xml:space="preserve">were </w:t>
                      </w:r>
                      <w:r w:rsidRPr="003D466D">
                        <w:t>most often associated with reports -130</w:t>
                      </w:r>
                      <w:r w:rsidR="00367460">
                        <w:t>, Platelets -33, FFP -19, Cryoprecipitate -2</w:t>
                      </w:r>
                      <w:r w:rsidRPr="003D466D">
                        <w:t xml:space="preserve"> (multiple components may be </w:t>
                      </w:r>
                      <w:r w:rsidR="00F6430D">
                        <w:t>involved in a re</w:t>
                      </w:r>
                      <w:r w:rsidR="00AD7087">
                        <w:t>port</w:t>
                      </w:r>
                      <w:r w:rsidR="00367460">
                        <w:t>)</w:t>
                      </w:r>
                    </w:p>
                  </w:txbxContent>
                </v:textbox>
                <w10:wrap type="square" anchorx="margin"/>
              </v:shape>
            </w:pict>
          </mc:Fallback>
        </mc:AlternateContent>
      </w:r>
      <w:r w:rsidR="00A0268E">
        <w:rPr>
          <w:noProof/>
        </w:rPr>
        <w:drawing>
          <wp:inline distT="0" distB="0" distL="0" distR="0" wp14:anchorId="77DA568C" wp14:editId="099F8F62">
            <wp:extent cx="552450" cy="552450"/>
            <wp:effectExtent l="0" t="0" r="0" b="0"/>
            <wp:docPr id="20268849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884925" name="Picture 1">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pic:spPr>
                </pic:pic>
              </a:graphicData>
            </a:graphic>
          </wp:inline>
        </w:drawing>
      </w:r>
    </w:p>
    <w:p w14:paraId="1FA509C5" w14:textId="58925500" w:rsidR="003D466D" w:rsidRDefault="006D156C" w:rsidP="003D466D">
      <w:pPr>
        <w:pStyle w:val="Quotetext"/>
        <w:ind w:left="0"/>
      </w:pPr>
      <w:r>
        <w:rPr>
          <w:noProof/>
        </w:rPr>
        <mc:AlternateContent>
          <mc:Choice Requires="wps">
            <w:drawing>
              <wp:anchor distT="45720" distB="45720" distL="114300" distR="114300" simplePos="0" relativeHeight="251664384" behindDoc="0" locked="0" layoutInCell="1" allowOverlap="1" wp14:anchorId="1FCF1AFD" wp14:editId="7BCC7A27">
                <wp:simplePos x="0" y="0"/>
                <wp:positionH relativeFrom="column">
                  <wp:posOffset>678815</wp:posOffset>
                </wp:positionH>
                <wp:positionV relativeFrom="paragraph">
                  <wp:posOffset>716280</wp:posOffset>
                </wp:positionV>
                <wp:extent cx="2466975" cy="533400"/>
                <wp:effectExtent l="0" t="0" r="9525" b="0"/>
                <wp:wrapSquare wrapText="bothSides"/>
                <wp:docPr id="78536180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533400"/>
                        </a:xfrm>
                        <a:prstGeom prst="rect">
                          <a:avLst/>
                        </a:prstGeom>
                        <a:solidFill>
                          <a:srgbClr val="FFFFFF"/>
                        </a:solidFill>
                        <a:ln w="9525">
                          <a:noFill/>
                          <a:miter lim="800000"/>
                          <a:headEnd/>
                          <a:tailEnd/>
                        </a:ln>
                      </wps:spPr>
                      <wps:txbx>
                        <w:txbxContent>
                          <w:p w14:paraId="2EF714B9" w14:textId="49D35272" w:rsidR="003D466D" w:rsidRPr="006D156C" w:rsidRDefault="003D466D">
                            <w:pPr>
                              <w:rPr>
                                <w:b/>
                                <w:bCs/>
                              </w:rPr>
                            </w:pPr>
                            <w:r w:rsidRPr="006D156C">
                              <w:rPr>
                                <w:b/>
                                <w:bCs/>
                              </w:rPr>
                              <w:t>209 validated investigations – 141 clinical reactions, 68 procedural events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CF1AFD" id="_x0000_s1029" type="#_x0000_t202" alt="&quot;&quot;" style="position:absolute;margin-left:53.45pt;margin-top:56.4pt;width:194.25pt;height:4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" stroked="f">
                <v:textbox>
                  <w:txbxContent>
                    <w:p w14:paraId="2EF714B9" w14:textId="49D35272" w:rsidR="003D466D" w:rsidRPr="006D156C" w:rsidRDefault="003D466D">
                      <w:pPr>
                        <w:rPr>
                          <w:b/>
                          <w:bCs/>
                        </w:rPr>
                      </w:pPr>
                      <w:r w:rsidRPr="006D156C">
                        <w:rPr>
                          <w:b/>
                          <w:bCs/>
                        </w:rPr>
                        <w:t>209 validated investigations – 141 clinical reactions, 68 procedural events</w:t>
                      </w:r>
                    </w:p>
                  </w:txbxContent>
                </v:textbox>
                <w10:wrap type="square"/>
              </v:shape>
            </w:pict>
          </mc:Fallback>
        </mc:AlternateContent>
      </w:r>
      <w:r w:rsidR="008A3A7A">
        <w:rPr>
          <w:noProof/>
        </w:rPr>
        <w:drawing>
          <wp:inline distT="0" distB="0" distL="0" distR="0" wp14:anchorId="3DD0B99A" wp14:editId="4924637D">
            <wp:extent cx="561975" cy="561975"/>
            <wp:effectExtent l="0" t="0" r="0" b="9525"/>
            <wp:docPr id="144732528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325285" name="Picture 2">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inline>
        </w:drawing>
      </w:r>
    </w:p>
    <w:p w14:paraId="0450A94D" w14:textId="3B0A161E" w:rsidR="003D466D" w:rsidRDefault="008A3A7A" w:rsidP="003D466D">
      <w:pPr>
        <w:pStyle w:val="Quotetext"/>
        <w:ind w:left="0"/>
      </w:pPr>
      <w:r>
        <w:rPr>
          <w:noProof/>
        </w:rPr>
        <w:drawing>
          <wp:inline distT="0" distB="0" distL="0" distR="0" wp14:anchorId="046FC6BE" wp14:editId="1A7CEDC0">
            <wp:extent cx="561975" cy="583589"/>
            <wp:effectExtent l="0" t="0" r="0" b="6985"/>
            <wp:docPr id="94198410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984105" name="Picture 3">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2262" cy="583887"/>
                    </a:xfrm>
                    <a:prstGeom prst="rect">
                      <a:avLst/>
                    </a:prstGeom>
                    <a:noFill/>
                  </pic:spPr>
                </pic:pic>
              </a:graphicData>
            </a:graphic>
          </wp:inline>
        </w:drawing>
      </w:r>
    </w:p>
    <w:p w14:paraId="2A2B9372" w14:textId="7171F423" w:rsidR="003D466D" w:rsidRPr="00F6430D" w:rsidRDefault="008A3A7A" w:rsidP="00F6430D">
      <w:pPr>
        <w:pStyle w:val="Heading4"/>
      </w:pPr>
      <w:r w:rsidRPr="00F6430D">
        <w:t xml:space="preserve">Types of validated </w:t>
      </w:r>
      <w:r w:rsidR="00F6430D" w:rsidRPr="00F6430D">
        <w:t>reports</w:t>
      </w:r>
    </w:p>
    <w:p w14:paraId="1FD3B1B8" w14:textId="15E07118" w:rsidR="00EF04D8" w:rsidRDefault="008A3A7A" w:rsidP="003E1216">
      <w:pPr>
        <w:pStyle w:val="Quotetext"/>
        <w:spacing w:after="0" w:line="240" w:lineRule="auto"/>
        <w:ind w:left="0"/>
      </w:pPr>
      <w:r>
        <w:rPr>
          <w:noProof/>
        </w:rPr>
        <w:drawing>
          <wp:inline distT="0" distB="0" distL="0" distR="0" wp14:anchorId="6038BDEC" wp14:editId="0A8AE30C">
            <wp:extent cx="6479540" cy="2218690"/>
            <wp:effectExtent l="0" t="0" r="16510" b="10160"/>
            <wp:docPr id="456015028" name="Chart 1">
              <a:extLst xmlns:a="http://schemas.openxmlformats.org/drawingml/2006/main">
                <a:ext uri="{FF2B5EF4-FFF2-40B4-BE49-F238E27FC236}">
                  <a16:creationId xmlns:a16="http://schemas.microsoft.com/office/drawing/2014/main" id="{D46F9497-2733-6FD3-C035-F16FD76386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5E948A5" w14:textId="4EDD046E" w:rsidR="00EF04D8" w:rsidRPr="00AF0E98" w:rsidRDefault="008A3A7A" w:rsidP="005D741C">
      <w:pPr>
        <w:pStyle w:val="Tablecaption"/>
      </w:pPr>
      <w:r w:rsidRPr="00AF0E98">
        <w:rPr>
          <w:noProof/>
          <w:highlight w:val="yellow"/>
        </w:rPr>
        <w:drawing>
          <wp:inline distT="0" distB="0" distL="0" distR="0" wp14:anchorId="0FFFC6BB" wp14:editId="62B70BEE">
            <wp:extent cx="6479540" cy="1704975"/>
            <wp:effectExtent l="0" t="0" r="16510" b="9525"/>
            <wp:docPr id="1611055862" name="Chart 1">
              <a:extLst xmlns:a="http://schemas.openxmlformats.org/drawingml/2006/main">
                <a:ext uri="{FF2B5EF4-FFF2-40B4-BE49-F238E27FC236}">
                  <a16:creationId xmlns:a16="http://schemas.microsoft.com/office/drawing/2014/main" id="{7E4195E4-B9B4-809E-CEFE-C946727904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A36F665" w14:textId="0E24E2A1" w:rsidR="00737644" w:rsidRDefault="00737644" w:rsidP="003D466D">
      <w:pPr>
        <w:rPr>
          <w:rFonts w:ascii="Arial" w:hAnsi="Arial" w:cs="Arial"/>
          <w:b/>
          <w:bCs/>
        </w:rPr>
      </w:pPr>
    </w:p>
    <w:p w14:paraId="548BFDA8" w14:textId="6A2B2E93" w:rsidR="00231934" w:rsidRPr="003D466D" w:rsidRDefault="003D466D" w:rsidP="00F24AEF">
      <w:pPr>
        <w:pStyle w:val="Quotetext"/>
        <w:ind w:left="0"/>
        <w:rPr>
          <w:b/>
          <w:bCs/>
        </w:rPr>
      </w:pPr>
      <w:r w:rsidRPr="003D466D">
        <w:rPr>
          <w:b/>
          <w:bCs/>
        </w:rPr>
        <w:lastRenderedPageBreak/>
        <w:t>Key messages</w:t>
      </w:r>
    </w:p>
    <w:tbl>
      <w:tblPr>
        <w:tblStyle w:val="TableGrid"/>
        <w:tblW w:w="9918" w:type="dxa"/>
        <w:tblLook w:val="04A0" w:firstRow="1" w:lastRow="0" w:firstColumn="1" w:lastColumn="0" w:noHBand="0" w:noVBand="1"/>
      </w:tblPr>
      <w:tblGrid>
        <w:gridCol w:w="2972"/>
        <w:gridCol w:w="6946"/>
      </w:tblGrid>
      <w:tr w:rsidR="003D466D" w:rsidRPr="003D466D" w14:paraId="16498740" w14:textId="77777777" w:rsidTr="00231934">
        <w:tc>
          <w:tcPr>
            <w:tcW w:w="2972" w:type="dxa"/>
            <w:shd w:val="clear" w:color="auto" w:fill="C00000"/>
          </w:tcPr>
          <w:p w14:paraId="7EB2138A" w14:textId="77777777" w:rsidR="003D466D" w:rsidRPr="003D466D" w:rsidRDefault="003D466D" w:rsidP="00ED52C1">
            <w:pPr>
              <w:pStyle w:val="Quotetext"/>
              <w:ind w:left="0"/>
              <w:rPr>
                <w:b/>
              </w:rPr>
            </w:pPr>
            <w:r w:rsidRPr="003D466D">
              <w:rPr>
                <w:b/>
              </w:rPr>
              <w:t>Area</w:t>
            </w:r>
          </w:p>
        </w:tc>
        <w:tc>
          <w:tcPr>
            <w:tcW w:w="6946" w:type="dxa"/>
            <w:shd w:val="clear" w:color="auto" w:fill="C00000"/>
          </w:tcPr>
          <w:p w14:paraId="10A49DE1" w14:textId="77777777" w:rsidR="003D466D" w:rsidRPr="003D466D" w:rsidRDefault="003D466D" w:rsidP="002C17C5">
            <w:pPr>
              <w:pStyle w:val="Quotetext"/>
              <w:ind w:left="0"/>
              <w:rPr>
                <w:b/>
              </w:rPr>
            </w:pPr>
            <w:r w:rsidRPr="003D466D">
              <w:rPr>
                <w:b/>
              </w:rPr>
              <w:t>Message</w:t>
            </w:r>
          </w:p>
        </w:tc>
      </w:tr>
      <w:tr w:rsidR="003D466D" w:rsidRPr="003D466D" w14:paraId="3E040053" w14:textId="77777777" w:rsidTr="00231934">
        <w:tc>
          <w:tcPr>
            <w:tcW w:w="2972" w:type="dxa"/>
            <w:shd w:val="clear" w:color="auto" w:fill="F2DBDB" w:themeFill="accent2" w:themeFillTint="33"/>
          </w:tcPr>
          <w:p w14:paraId="1DD652CE" w14:textId="77777777" w:rsidR="003D466D" w:rsidRPr="003D466D" w:rsidRDefault="003D466D" w:rsidP="003D466D">
            <w:pPr>
              <w:pStyle w:val="Quotetext"/>
              <w:ind w:left="0"/>
            </w:pPr>
            <w:r w:rsidRPr="003D466D">
              <w:t>Clinical management of reactions</w:t>
            </w:r>
          </w:p>
        </w:tc>
        <w:tc>
          <w:tcPr>
            <w:tcW w:w="6946" w:type="dxa"/>
            <w:shd w:val="clear" w:color="auto" w:fill="F2DBDB" w:themeFill="accent2" w:themeFillTint="33"/>
          </w:tcPr>
          <w:p w14:paraId="4B740C2D" w14:textId="1C7AFA84" w:rsidR="003D466D" w:rsidRPr="003D466D" w:rsidRDefault="003D466D" w:rsidP="00412144">
            <w:pPr>
              <w:pStyle w:val="Quotetext"/>
              <w:ind w:left="0"/>
            </w:pPr>
            <w:r w:rsidRPr="003D466D">
              <w:t xml:space="preserve">Treatment should be based on the symptoms and signs that occur at the time of the reaction. Diagnosis of type of reaction may require further investigations, blood tests and/or </w:t>
            </w:r>
            <w:r w:rsidR="00006966">
              <w:t>X</w:t>
            </w:r>
            <w:r w:rsidRPr="003D466D">
              <w:t>-rays, to determine the actual or most likely cause of the reaction.</w:t>
            </w:r>
          </w:p>
        </w:tc>
      </w:tr>
      <w:tr w:rsidR="003D466D" w:rsidRPr="003D466D" w14:paraId="289643AA" w14:textId="77777777" w:rsidTr="00231934">
        <w:trPr>
          <w:trHeight w:val="1048"/>
        </w:trPr>
        <w:tc>
          <w:tcPr>
            <w:tcW w:w="2972" w:type="dxa"/>
          </w:tcPr>
          <w:p w14:paraId="3A8D5229" w14:textId="77777777" w:rsidR="003D466D" w:rsidRPr="003D466D" w:rsidRDefault="003D466D" w:rsidP="003D466D">
            <w:pPr>
              <w:pStyle w:val="Quotetext"/>
              <w:ind w:left="0"/>
            </w:pPr>
            <w:r w:rsidRPr="003D466D">
              <w:t>Clinical management - determining the need for transfusion</w:t>
            </w:r>
          </w:p>
        </w:tc>
        <w:tc>
          <w:tcPr>
            <w:tcW w:w="6946" w:type="dxa"/>
          </w:tcPr>
          <w:p w14:paraId="3CE14163" w14:textId="7D9C97D7" w:rsidR="003D466D" w:rsidRPr="003D466D" w:rsidRDefault="003D466D" w:rsidP="00412144">
            <w:pPr>
              <w:pStyle w:val="Quotetext"/>
              <w:ind w:left="0"/>
            </w:pPr>
            <w:r w:rsidRPr="003D466D">
              <w:t xml:space="preserve">Only </w:t>
            </w:r>
            <w:r w:rsidR="00FA3BE1">
              <w:t>transfuse</w:t>
            </w:r>
            <w:r w:rsidRPr="003D466D">
              <w:t xml:space="preserve"> blood components where there is an indication of need. Do not use to treat a number (Hb, INR). </w:t>
            </w:r>
            <w:r w:rsidR="00006966" w:rsidRPr="00006966">
              <w:t>Each transfusion should be an independent decision based on the patient’s current clinical condition.</w:t>
            </w:r>
          </w:p>
        </w:tc>
      </w:tr>
      <w:tr w:rsidR="003D466D" w:rsidRPr="003D466D" w14:paraId="64094202" w14:textId="77777777" w:rsidTr="00231934">
        <w:tc>
          <w:tcPr>
            <w:tcW w:w="2972" w:type="dxa"/>
            <w:shd w:val="clear" w:color="auto" w:fill="F2DBDB" w:themeFill="accent2" w:themeFillTint="33"/>
          </w:tcPr>
          <w:p w14:paraId="27AE9C4A" w14:textId="700BABBB" w:rsidR="003D466D" w:rsidRPr="003D466D" w:rsidRDefault="00006966" w:rsidP="003D466D">
            <w:pPr>
              <w:pStyle w:val="Quotetext"/>
              <w:ind w:left="0"/>
            </w:pPr>
            <w:r w:rsidRPr="00006966">
              <w:t>Clinical management – large-volume FMH and product/route selection</w:t>
            </w:r>
          </w:p>
        </w:tc>
        <w:tc>
          <w:tcPr>
            <w:tcW w:w="6946" w:type="dxa"/>
            <w:shd w:val="clear" w:color="auto" w:fill="F2DBDB" w:themeFill="accent2" w:themeFillTint="33"/>
          </w:tcPr>
          <w:p w14:paraId="708972E2" w14:textId="1EE3B79D" w:rsidR="003D466D" w:rsidRPr="003D466D" w:rsidRDefault="00006966" w:rsidP="00412144">
            <w:pPr>
              <w:pStyle w:val="Quotetext"/>
              <w:ind w:left="0"/>
            </w:pPr>
            <w:r w:rsidRPr="00006966">
              <w:t>Health services providing maternity and obstetric care should have clear guidelines regarding the suitability of RhD Ig products and administration route for the different products. It should also be clear when to use the IV product, either due to patient factors, for example thrombocytopenia, or due to the dose required.</w:t>
            </w:r>
          </w:p>
        </w:tc>
      </w:tr>
      <w:tr w:rsidR="003D466D" w:rsidRPr="003D466D" w14:paraId="5F455D95" w14:textId="77777777" w:rsidTr="00231934">
        <w:tc>
          <w:tcPr>
            <w:tcW w:w="2972" w:type="dxa"/>
          </w:tcPr>
          <w:p w14:paraId="523634F2" w14:textId="77777777" w:rsidR="003D466D" w:rsidRPr="003D466D" w:rsidRDefault="003D466D" w:rsidP="003D466D">
            <w:pPr>
              <w:pStyle w:val="Quotetext"/>
              <w:ind w:left="0"/>
            </w:pPr>
            <w:r w:rsidRPr="003D466D">
              <w:t>Patient / product identification and matching</w:t>
            </w:r>
          </w:p>
        </w:tc>
        <w:tc>
          <w:tcPr>
            <w:tcW w:w="6946" w:type="dxa"/>
          </w:tcPr>
          <w:p w14:paraId="245EADFC" w14:textId="6CB9337B" w:rsidR="003D466D" w:rsidRPr="003D466D" w:rsidRDefault="00006966" w:rsidP="00412144">
            <w:pPr>
              <w:pStyle w:val="Quotetext"/>
              <w:ind w:left="0"/>
            </w:pPr>
            <w:r w:rsidRPr="00006966">
              <w:t>The two-person (double) independent check is still not routinely performed or completely understood. Health services need to provide training on this topic to ensure the right product is given to the right patient.</w:t>
            </w:r>
          </w:p>
        </w:tc>
      </w:tr>
      <w:tr w:rsidR="003D466D" w:rsidRPr="003D466D" w14:paraId="0E956A64" w14:textId="77777777" w:rsidTr="00231934">
        <w:tc>
          <w:tcPr>
            <w:tcW w:w="2972" w:type="dxa"/>
            <w:shd w:val="clear" w:color="auto" w:fill="F2DBDB" w:themeFill="accent2" w:themeFillTint="33"/>
          </w:tcPr>
          <w:p w14:paraId="03241073" w14:textId="17381BDD" w:rsidR="003D466D" w:rsidRPr="003D466D" w:rsidRDefault="003D466D" w:rsidP="003D466D">
            <w:pPr>
              <w:pStyle w:val="Quotetext"/>
              <w:ind w:left="0"/>
            </w:pPr>
            <w:r w:rsidRPr="003D466D">
              <w:t xml:space="preserve">Documentation - recording and sharing of </w:t>
            </w:r>
            <w:r w:rsidR="00FA3BE1">
              <w:t xml:space="preserve">transfusion </w:t>
            </w:r>
            <w:r w:rsidRPr="003D466D">
              <w:t>information</w:t>
            </w:r>
          </w:p>
        </w:tc>
        <w:tc>
          <w:tcPr>
            <w:tcW w:w="6946" w:type="dxa"/>
            <w:shd w:val="clear" w:color="auto" w:fill="F2DBDB" w:themeFill="accent2" w:themeFillTint="33"/>
          </w:tcPr>
          <w:p w14:paraId="6AF3306B" w14:textId="0D869C78" w:rsidR="003D466D" w:rsidRPr="003D466D" w:rsidRDefault="00006966" w:rsidP="00412144">
            <w:pPr>
              <w:pStyle w:val="Quotetext"/>
              <w:ind w:left="0"/>
            </w:pPr>
            <w:r w:rsidRPr="00006966">
              <w:t>STIR has repeatedly advocated for the development of a national antibody registry. While this is currently available in Western Australia, this is not a nation-wide system. Patients move between health services, and the information regarding known antibodies is not always available to each health service providing care. This puts patients at risk of receiving an incompatible blood component.</w:t>
            </w:r>
          </w:p>
        </w:tc>
      </w:tr>
      <w:tr w:rsidR="003D466D" w:rsidRPr="003D466D" w14:paraId="222D6FBC" w14:textId="77777777" w:rsidTr="00231934">
        <w:tc>
          <w:tcPr>
            <w:tcW w:w="2972" w:type="dxa"/>
          </w:tcPr>
          <w:p w14:paraId="151F3900" w14:textId="77777777" w:rsidR="003D466D" w:rsidRPr="003D466D" w:rsidRDefault="003D466D" w:rsidP="003D466D">
            <w:pPr>
              <w:pStyle w:val="Quotetext"/>
              <w:ind w:left="0"/>
            </w:pPr>
            <w:r w:rsidRPr="003D466D">
              <w:t>Documentation -transcription errors</w:t>
            </w:r>
          </w:p>
        </w:tc>
        <w:tc>
          <w:tcPr>
            <w:tcW w:w="6946" w:type="dxa"/>
          </w:tcPr>
          <w:p w14:paraId="791DACE4" w14:textId="77777777" w:rsidR="003B4AD3" w:rsidRDefault="003B4AD3" w:rsidP="003B4AD3">
            <w:pPr>
              <w:pStyle w:val="Body"/>
            </w:pPr>
            <w:r>
              <w:t xml:space="preserve">Do not manually transcribe results from one system to another. STIR receives multiple reports of errors associated with this process each year. </w:t>
            </w:r>
          </w:p>
          <w:p w14:paraId="027EB186" w14:textId="77777777" w:rsidR="003B4AD3" w:rsidRDefault="003B4AD3" w:rsidP="003B4AD3">
            <w:pPr>
              <w:pStyle w:val="Body"/>
            </w:pPr>
            <w:r>
              <w:t>Incorrectly transcribing a blood group can lead to incorrect or missed blood components or products (such as RhD immunoglobulin).</w:t>
            </w:r>
          </w:p>
          <w:p w14:paraId="58E69D4D" w14:textId="722691AF" w:rsidR="003D466D" w:rsidRPr="003D466D" w:rsidRDefault="003B4AD3" w:rsidP="003B4AD3">
            <w:pPr>
              <w:pStyle w:val="Body"/>
            </w:pPr>
            <w:r>
              <w:t>Health services should consider electronic transfer of results, or easy access to systems containing those results when clinical staff work in a separate system.</w:t>
            </w:r>
          </w:p>
        </w:tc>
      </w:tr>
    </w:tbl>
    <w:p w14:paraId="4D98B89C" w14:textId="77777777" w:rsidR="00200176" w:rsidRPr="00200176" w:rsidRDefault="00200176" w:rsidP="00200176">
      <w:pPr>
        <w:pStyle w:val="Body"/>
      </w:pPr>
    </w:p>
    <w:tbl>
      <w:tblPr>
        <w:tblStyle w:val="TableGrid"/>
        <w:tblW w:w="0" w:type="auto"/>
        <w:tblCellMar>
          <w:bottom w:w="108" w:type="dxa"/>
        </w:tblCellMar>
        <w:tblLook w:val="0620" w:firstRow="1" w:lastRow="0" w:firstColumn="0" w:lastColumn="0" w:noHBand="1" w:noVBand="1"/>
      </w:tblPr>
      <w:tblGrid>
        <w:gridCol w:w="10194"/>
      </w:tblGrid>
      <w:tr w:rsidR="0055119B" w14:paraId="638FBAA1" w14:textId="77777777" w:rsidTr="00C85B43">
        <w:tc>
          <w:tcPr>
            <w:tcW w:w="10194" w:type="dxa"/>
          </w:tcPr>
          <w:p w14:paraId="76EF059F" w14:textId="10D343C0" w:rsidR="0055119B" w:rsidRPr="0055119B" w:rsidRDefault="0055119B" w:rsidP="0055119B">
            <w:pPr>
              <w:pStyle w:val="Accessibilitypara"/>
            </w:pPr>
            <w:bookmarkStart w:id="1" w:name="_Hlk37240926"/>
            <w:r w:rsidRPr="0055119B">
              <w:t>To receive this document in another format</w:t>
            </w:r>
            <w:r>
              <w:t>,</w:t>
            </w:r>
            <w:r w:rsidRPr="0055119B">
              <w:t xml:space="preserve"> phone </w:t>
            </w:r>
            <w:r w:rsidR="003D466D">
              <w:rPr>
                <w:color w:val="004C97"/>
              </w:rPr>
              <w:t>03</w:t>
            </w:r>
            <w:r w:rsidR="00A85011">
              <w:rPr>
                <w:color w:val="004C97"/>
              </w:rPr>
              <w:t xml:space="preserve"> </w:t>
            </w:r>
            <w:r w:rsidR="00A85011" w:rsidRPr="00A85011">
              <w:rPr>
                <w:color w:val="004C97"/>
              </w:rPr>
              <w:t>9694 0102</w:t>
            </w:r>
            <w:r w:rsidRPr="0055119B">
              <w:t xml:space="preserve">, using the National Relay Service 13 36 77 if required, or email </w:t>
            </w:r>
            <w:r w:rsidR="00AB7C82" w:rsidRPr="00AB7C82">
              <w:t xml:space="preserve">Blood Matters (VIC) </w:t>
            </w:r>
            <w:r w:rsidR="00AB7C82">
              <w:t>&lt;</w:t>
            </w:r>
            <w:r w:rsidR="00AB7C82" w:rsidRPr="00AB7C82">
              <w:t>Bloodmatters@redcrossblood.org.au&gt;</w:t>
            </w:r>
          </w:p>
          <w:p w14:paraId="4AB79381" w14:textId="77777777" w:rsidR="0055119B" w:rsidRPr="0055119B" w:rsidRDefault="0055119B" w:rsidP="00E33237">
            <w:pPr>
              <w:pStyle w:val="Imprint"/>
            </w:pPr>
            <w:r w:rsidRPr="0055119B">
              <w:t>Authorised and published by the Victorian Government, 1 Treasury Place, Melbourne.</w:t>
            </w:r>
          </w:p>
          <w:p w14:paraId="7FA2A7AE" w14:textId="4F74CDE5"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AB7C82">
              <w:t>September 2024</w:t>
            </w:r>
            <w:r w:rsidRPr="0055119B">
              <w:t>.</w:t>
            </w:r>
          </w:p>
          <w:p w14:paraId="443BB885" w14:textId="25A4347F" w:rsidR="0055119B" w:rsidRPr="0055119B" w:rsidRDefault="006B56FA" w:rsidP="00E33237">
            <w:pPr>
              <w:pStyle w:val="Imprint"/>
            </w:pPr>
            <w:r w:rsidRPr="006B56FA">
              <w:rPr>
                <w:b/>
                <w:bCs/>
              </w:rPr>
              <w:t>ISSN 2651-8872</w:t>
            </w:r>
            <w:r w:rsidRPr="006B56FA">
              <w:t xml:space="preserve"> </w:t>
            </w:r>
            <w:r w:rsidR="0055119B" w:rsidRPr="0055119B">
              <w:t>online/PDF/Word) or (print)</w:t>
            </w:r>
          </w:p>
          <w:p w14:paraId="47A01699" w14:textId="0310E815" w:rsidR="0055119B" w:rsidRDefault="0055119B" w:rsidP="00E33237">
            <w:pPr>
              <w:pStyle w:val="Imprint"/>
            </w:pPr>
            <w:r w:rsidRPr="0055119B">
              <w:t xml:space="preserve">Available at </w:t>
            </w:r>
            <w:r w:rsidR="00AB7C82">
              <w:t>Blood Matters</w:t>
            </w:r>
            <w:r w:rsidRPr="0055119B">
              <w:t xml:space="preserve"> &lt;</w:t>
            </w:r>
            <w:hyperlink r:id="rId21" w:history="1">
              <w:r w:rsidR="00AB7C82" w:rsidRPr="00AB7C82">
                <w:rPr>
                  <w:rStyle w:val="Hyperlink"/>
                </w:rPr>
                <w:t>Blood Matters Program | health.vic.gov.au</w:t>
              </w:r>
            </w:hyperlink>
            <w:r w:rsidRPr="0055119B">
              <w:t>&gt;</w:t>
            </w:r>
          </w:p>
        </w:tc>
      </w:tr>
      <w:bookmarkEnd w:id="1"/>
    </w:tbl>
    <w:p w14:paraId="1BF7A488" w14:textId="77777777" w:rsidR="00162CA9" w:rsidRDefault="00162CA9" w:rsidP="00162CA9">
      <w:pPr>
        <w:pStyle w:val="Body"/>
      </w:pPr>
    </w:p>
    <w:sectPr w:rsidR="00162CA9" w:rsidSect="00D5409D">
      <w:footerReference w:type="default" r:id="rId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6ABE2" w14:textId="77777777" w:rsidR="00CA47EF" w:rsidRDefault="00CA47EF">
      <w:r>
        <w:separator/>
      </w:r>
    </w:p>
  </w:endnote>
  <w:endnote w:type="continuationSeparator" w:id="0">
    <w:p w14:paraId="5F7D2788" w14:textId="77777777" w:rsidR="00CA47EF" w:rsidRDefault="00CA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6C86B" w14:textId="77777777" w:rsidR="00E261B3" w:rsidRPr="00F65AA9" w:rsidRDefault="0001677A" w:rsidP="00F84FA0">
    <w:pPr>
      <w:pStyle w:val="Footer"/>
    </w:pPr>
    <w:r>
      <w:rPr>
        <w:noProof/>
        <w:lang w:eastAsia="en-AU"/>
      </w:rPr>
      <w:drawing>
        <wp:anchor distT="0" distB="0" distL="114300" distR="114300" simplePos="0" relativeHeight="251676160" behindDoc="1" locked="1" layoutInCell="1" allowOverlap="1" wp14:anchorId="6CE69C47" wp14:editId="66064547">
          <wp:simplePos x="0" y="0"/>
          <wp:positionH relativeFrom="page">
            <wp:posOffset>0</wp:posOffset>
          </wp:positionH>
          <wp:positionV relativeFrom="page">
            <wp:posOffset>9536430</wp:posOffset>
          </wp:positionV>
          <wp:extent cx="7559675" cy="1156335"/>
          <wp:effectExtent l="0" t="0" r="0" b="0"/>
          <wp:wrapNone/>
          <wp:docPr id="4" name="Picture 4"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ctoria State Government&#10;Australian Red Cross&#10;Blood Matters"/>
                  <pic:cNvPicPr/>
                </pic:nvPicPr>
                <pic:blipFill rotWithShape="1">
                  <a:blip r:embed="rId1"/>
                  <a:srcRect t="89176"/>
                  <a:stretch/>
                </pic:blipFill>
                <pic:spPr bwMode="auto">
                  <a:xfrm>
                    <a:off x="0" y="0"/>
                    <a:ext cx="7559675" cy="1156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199CADCE" wp14:editId="2AC478BA">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20943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9CADCE" id="_x0000_t202" coordsize="21600,21600" o:spt="202" path="m,l,21600r21600,l21600,xe">
              <v:stroke joinstyle="miter"/>
              <v:path gradientshapeok="t" o:connecttype="rect"/>
            </v:shapetype>
            <v:shape id="MSIPCMc3054336811d08b680b9289e" o:spid="_x0000_s1030"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D20943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99D3A" w14:textId="77777777" w:rsidR="00E261B3" w:rsidRDefault="00E261B3">
    <w:pPr>
      <w:pStyle w:val="Footer"/>
    </w:pPr>
    <w:r>
      <w:rPr>
        <w:noProof/>
      </w:rPr>
      <mc:AlternateContent>
        <mc:Choice Requires="wps">
          <w:drawing>
            <wp:anchor distT="0" distB="0" distL="114300" distR="114300" simplePos="0" relativeHeight="251670016" behindDoc="0" locked="0" layoutInCell="0" allowOverlap="1" wp14:anchorId="4E583696" wp14:editId="2932E91E">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DE423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583696" id="_x0000_t202" coordsize="21600,21600" o:spt="202" path="m,l,21600r21600,l21600,xe">
              <v:stroke joinstyle="miter"/>
              <v:path gradientshapeok="t" o:connecttype="rect"/>
            </v:shapetype>
            <v:shape id="MSIPCM418f4cbe97f099549309dca7" o:spid="_x0000_s1031"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2ADE423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16B22"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2125E876" wp14:editId="4653B20F">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7C4CB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25E876" id="_x0000_t202" coordsize="21600,21600" o:spt="202" path="m,l,21600r21600,l21600,xe">
              <v:stroke joinstyle="miter"/>
              <v:path gradientshapeok="t" o:connecttype="rect"/>
            </v:shapetype>
            <v:shape id="MSIPCMf473436da8889006ed5648e0" o:spid="_x0000_s1032"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C7C4CB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D2358" w14:textId="77777777" w:rsidR="00CA47EF" w:rsidRDefault="00CA47EF" w:rsidP="002862F1">
      <w:pPr>
        <w:spacing w:before="120"/>
      </w:pPr>
      <w:r>
        <w:separator/>
      </w:r>
    </w:p>
  </w:footnote>
  <w:footnote w:type="continuationSeparator" w:id="0">
    <w:p w14:paraId="170D76DC" w14:textId="77777777" w:rsidR="00CA47EF" w:rsidRDefault="00CA4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986BC"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00E4B69"/>
    <w:multiLevelType w:val="hybridMultilevel"/>
    <w:tmpl w:val="809E8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8862CC"/>
    <w:multiLevelType w:val="hybridMultilevel"/>
    <w:tmpl w:val="DA520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76958559">
    <w:abstractNumId w:val="10"/>
  </w:num>
  <w:num w:numId="2" w16cid:durableId="148643493">
    <w:abstractNumId w:val="18"/>
  </w:num>
  <w:num w:numId="3" w16cid:durableId="13071219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726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89778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61834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5907046">
    <w:abstractNumId w:val="22"/>
  </w:num>
  <w:num w:numId="8" w16cid:durableId="666396678">
    <w:abstractNumId w:val="17"/>
  </w:num>
  <w:num w:numId="9" w16cid:durableId="1368335077">
    <w:abstractNumId w:val="21"/>
  </w:num>
  <w:num w:numId="10" w16cid:durableId="21297367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1609292">
    <w:abstractNumId w:val="23"/>
  </w:num>
  <w:num w:numId="12" w16cid:durableId="11576513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4110207">
    <w:abstractNumId w:val="19"/>
  </w:num>
  <w:num w:numId="14" w16cid:durableId="12113103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49601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45558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2067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1241052">
    <w:abstractNumId w:val="26"/>
  </w:num>
  <w:num w:numId="19" w16cid:durableId="10087573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0137519">
    <w:abstractNumId w:val="14"/>
  </w:num>
  <w:num w:numId="21" w16cid:durableId="1644265094">
    <w:abstractNumId w:val="12"/>
  </w:num>
  <w:num w:numId="22" w16cid:durableId="8555376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6395159">
    <w:abstractNumId w:val="15"/>
  </w:num>
  <w:num w:numId="24" w16cid:durableId="2032997882">
    <w:abstractNumId w:val="27"/>
  </w:num>
  <w:num w:numId="25" w16cid:durableId="879705326">
    <w:abstractNumId w:val="24"/>
  </w:num>
  <w:num w:numId="26" w16cid:durableId="1515420161">
    <w:abstractNumId w:val="20"/>
  </w:num>
  <w:num w:numId="27" w16cid:durableId="1834489851">
    <w:abstractNumId w:val="11"/>
  </w:num>
  <w:num w:numId="28" w16cid:durableId="1752698057">
    <w:abstractNumId w:val="28"/>
  </w:num>
  <w:num w:numId="29" w16cid:durableId="2010667672">
    <w:abstractNumId w:val="9"/>
  </w:num>
  <w:num w:numId="30" w16cid:durableId="1557276920">
    <w:abstractNumId w:val="7"/>
  </w:num>
  <w:num w:numId="31" w16cid:durableId="785078131">
    <w:abstractNumId w:val="6"/>
  </w:num>
  <w:num w:numId="32" w16cid:durableId="2055305058">
    <w:abstractNumId w:val="5"/>
  </w:num>
  <w:num w:numId="33" w16cid:durableId="1405446919">
    <w:abstractNumId w:val="4"/>
  </w:num>
  <w:num w:numId="34" w16cid:durableId="648752229">
    <w:abstractNumId w:val="8"/>
  </w:num>
  <w:num w:numId="35" w16cid:durableId="45838032">
    <w:abstractNumId w:val="3"/>
  </w:num>
  <w:num w:numId="36" w16cid:durableId="569072718">
    <w:abstractNumId w:val="2"/>
  </w:num>
  <w:num w:numId="37" w16cid:durableId="307518032">
    <w:abstractNumId w:val="1"/>
  </w:num>
  <w:num w:numId="38" w16cid:durableId="1161238526">
    <w:abstractNumId w:val="0"/>
  </w:num>
  <w:num w:numId="39" w16cid:durableId="3083625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21044405">
    <w:abstractNumId w:val="16"/>
  </w:num>
  <w:num w:numId="41" w16cid:durableId="1109738182">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66D"/>
    <w:rsid w:val="00000719"/>
    <w:rsid w:val="00003403"/>
    <w:rsid w:val="00005347"/>
    <w:rsid w:val="00006966"/>
    <w:rsid w:val="000072B6"/>
    <w:rsid w:val="0001021B"/>
    <w:rsid w:val="00011D89"/>
    <w:rsid w:val="000154FD"/>
    <w:rsid w:val="0001677A"/>
    <w:rsid w:val="00016FBF"/>
    <w:rsid w:val="00022271"/>
    <w:rsid w:val="000235E8"/>
    <w:rsid w:val="00024D89"/>
    <w:rsid w:val="000250B6"/>
    <w:rsid w:val="00033D81"/>
    <w:rsid w:val="00034FAB"/>
    <w:rsid w:val="00037366"/>
    <w:rsid w:val="0004038D"/>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113C"/>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6D95"/>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67C"/>
    <w:rsid w:val="00216C03"/>
    <w:rsid w:val="00220C04"/>
    <w:rsid w:val="0022278D"/>
    <w:rsid w:val="0022701F"/>
    <w:rsid w:val="00227C68"/>
    <w:rsid w:val="00231934"/>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4B5C"/>
    <w:rsid w:val="002763B3"/>
    <w:rsid w:val="002802E3"/>
    <w:rsid w:val="0028213D"/>
    <w:rsid w:val="002862F1"/>
    <w:rsid w:val="00291373"/>
    <w:rsid w:val="002955F1"/>
    <w:rsid w:val="0029597D"/>
    <w:rsid w:val="002962C3"/>
    <w:rsid w:val="0029752B"/>
    <w:rsid w:val="002A0A9C"/>
    <w:rsid w:val="002A483C"/>
    <w:rsid w:val="002B0C7C"/>
    <w:rsid w:val="002B1729"/>
    <w:rsid w:val="002B36C7"/>
    <w:rsid w:val="002B4DD4"/>
    <w:rsid w:val="002B5277"/>
    <w:rsid w:val="002B5375"/>
    <w:rsid w:val="002B77C1"/>
    <w:rsid w:val="002C0ED7"/>
    <w:rsid w:val="002C17C5"/>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201B"/>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67460"/>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4AD3"/>
    <w:rsid w:val="003B5733"/>
    <w:rsid w:val="003C08A2"/>
    <w:rsid w:val="003C2045"/>
    <w:rsid w:val="003C43A1"/>
    <w:rsid w:val="003C4FC0"/>
    <w:rsid w:val="003C55F4"/>
    <w:rsid w:val="003C65C5"/>
    <w:rsid w:val="003C7897"/>
    <w:rsid w:val="003C7A3F"/>
    <w:rsid w:val="003D2766"/>
    <w:rsid w:val="003D2A74"/>
    <w:rsid w:val="003D3E8F"/>
    <w:rsid w:val="003D466D"/>
    <w:rsid w:val="003D6475"/>
    <w:rsid w:val="003E1216"/>
    <w:rsid w:val="003E375C"/>
    <w:rsid w:val="003E4086"/>
    <w:rsid w:val="003E639E"/>
    <w:rsid w:val="003E71E5"/>
    <w:rsid w:val="003F0104"/>
    <w:rsid w:val="003F0445"/>
    <w:rsid w:val="003F0CF0"/>
    <w:rsid w:val="003F14B1"/>
    <w:rsid w:val="003F2B20"/>
    <w:rsid w:val="003F3289"/>
    <w:rsid w:val="003F5CB9"/>
    <w:rsid w:val="00400CCB"/>
    <w:rsid w:val="004013C7"/>
    <w:rsid w:val="00401FCF"/>
    <w:rsid w:val="0040248F"/>
    <w:rsid w:val="00403294"/>
    <w:rsid w:val="00406285"/>
    <w:rsid w:val="004112C6"/>
    <w:rsid w:val="00412144"/>
    <w:rsid w:val="004148F9"/>
    <w:rsid w:val="00414D4A"/>
    <w:rsid w:val="0042084E"/>
    <w:rsid w:val="00421EEF"/>
    <w:rsid w:val="00424D65"/>
    <w:rsid w:val="00442C6C"/>
    <w:rsid w:val="00443CBE"/>
    <w:rsid w:val="00443E8A"/>
    <w:rsid w:val="004441BC"/>
    <w:rsid w:val="00446463"/>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6B17"/>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37CB2"/>
    <w:rsid w:val="00540FE7"/>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D7375"/>
    <w:rsid w:val="005D741C"/>
    <w:rsid w:val="005E14E7"/>
    <w:rsid w:val="005E26A3"/>
    <w:rsid w:val="005E2ECB"/>
    <w:rsid w:val="005E447E"/>
    <w:rsid w:val="005E4FD1"/>
    <w:rsid w:val="005F0775"/>
    <w:rsid w:val="005F0CF5"/>
    <w:rsid w:val="005F21EB"/>
    <w:rsid w:val="005F5031"/>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49F"/>
    <w:rsid w:val="00667770"/>
    <w:rsid w:val="00670597"/>
    <w:rsid w:val="006706D0"/>
    <w:rsid w:val="00677574"/>
    <w:rsid w:val="0068454C"/>
    <w:rsid w:val="00691B62"/>
    <w:rsid w:val="0069289B"/>
    <w:rsid w:val="006933B5"/>
    <w:rsid w:val="00693D14"/>
    <w:rsid w:val="00696F27"/>
    <w:rsid w:val="006A18C2"/>
    <w:rsid w:val="006A3383"/>
    <w:rsid w:val="006B077C"/>
    <w:rsid w:val="006B56FA"/>
    <w:rsid w:val="006B6803"/>
    <w:rsid w:val="006D0F16"/>
    <w:rsid w:val="006D156C"/>
    <w:rsid w:val="006D2A3F"/>
    <w:rsid w:val="006D2FBC"/>
    <w:rsid w:val="006E0541"/>
    <w:rsid w:val="006E138B"/>
    <w:rsid w:val="006F0330"/>
    <w:rsid w:val="006F1FDC"/>
    <w:rsid w:val="006F6B8C"/>
    <w:rsid w:val="006F72B5"/>
    <w:rsid w:val="007013EF"/>
    <w:rsid w:val="007055BD"/>
    <w:rsid w:val="007173CA"/>
    <w:rsid w:val="007216AA"/>
    <w:rsid w:val="00721AB5"/>
    <w:rsid w:val="00721CFB"/>
    <w:rsid w:val="00721DEF"/>
    <w:rsid w:val="0072251A"/>
    <w:rsid w:val="00723451"/>
    <w:rsid w:val="00723A38"/>
    <w:rsid w:val="00724555"/>
    <w:rsid w:val="00724A43"/>
    <w:rsid w:val="007273AC"/>
    <w:rsid w:val="00731AD4"/>
    <w:rsid w:val="007346E4"/>
    <w:rsid w:val="00734FCA"/>
    <w:rsid w:val="0073582E"/>
    <w:rsid w:val="00737644"/>
    <w:rsid w:val="00740F22"/>
    <w:rsid w:val="00741CF0"/>
    <w:rsid w:val="00741F1A"/>
    <w:rsid w:val="007447DA"/>
    <w:rsid w:val="007450F8"/>
    <w:rsid w:val="0074696E"/>
    <w:rsid w:val="00750135"/>
    <w:rsid w:val="00750EC2"/>
    <w:rsid w:val="00752B28"/>
    <w:rsid w:val="007541A9"/>
    <w:rsid w:val="00754E36"/>
    <w:rsid w:val="00763139"/>
    <w:rsid w:val="007637F3"/>
    <w:rsid w:val="00770F37"/>
    <w:rsid w:val="007711A0"/>
    <w:rsid w:val="00772D5E"/>
    <w:rsid w:val="007743F7"/>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0D0F"/>
    <w:rsid w:val="007C1838"/>
    <w:rsid w:val="007C20B9"/>
    <w:rsid w:val="007C7301"/>
    <w:rsid w:val="007C7859"/>
    <w:rsid w:val="007C7F28"/>
    <w:rsid w:val="007D1466"/>
    <w:rsid w:val="007D1CA2"/>
    <w:rsid w:val="007D2BDE"/>
    <w:rsid w:val="007D2FB6"/>
    <w:rsid w:val="007D49EB"/>
    <w:rsid w:val="007D5E1C"/>
    <w:rsid w:val="007E0DE2"/>
    <w:rsid w:val="007E1227"/>
    <w:rsid w:val="007E3B98"/>
    <w:rsid w:val="007E417A"/>
    <w:rsid w:val="007F31B6"/>
    <w:rsid w:val="007F41E4"/>
    <w:rsid w:val="007F546C"/>
    <w:rsid w:val="007F625F"/>
    <w:rsid w:val="007F665E"/>
    <w:rsid w:val="007F7EB5"/>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3A7A"/>
    <w:rsid w:val="008A5B32"/>
    <w:rsid w:val="008B2EE4"/>
    <w:rsid w:val="008B4D3D"/>
    <w:rsid w:val="008B57C7"/>
    <w:rsid w:val="008C2F92"/>
    <w:rsid w:val="008C3697"/>
    <w:rsid w:val="008C5557"/>
    <w:rsid w:val="008C589D"/>
    <w:rsid w:val="008C6D51"/>
    <w:rsid w:val="008C7CB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77F7"/>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68E"/>
    <w:rsid w:val="00A02FA1"/>
    <w:rsid w:val="00A04CCE"/>
    <w:rsid w:val="00A07421"/>
    <w:rsid w:val="00A0776B"/>
    <w:rsid w:val="00A10FB9"/>
    <w:rsid w:val="00A11421"/>
    <w:rsid w:val="00A1389F"/>
    <w:rsid w:val="00A157B1"/>
    <w:rsid w:val="00A22229"/>
    <w:rsid w:val="00A24442"/>
    <w:rsid w:val="00A330BB"/>
    <w:rsid w:val="00A444F9"/>
    <w:rsid w:val="00A44882"/>
    <w:rsid w:val="00A45125"/>
    <w:rsid w:val="00A54715"/>
    <w:rsid w:val="00A6061C"/>
    <w:rsid w:val="00A62D44"/>
    <w:rsid w:val="00A67263"/>
    <w:rsid w:val="00A7161C"/>
    <w:rsid w:val="00A77AA3"/>
    <w:rsid w:val="00A80421"/>
    <w:rsid w:val="00A8236D"/>
    <w:rsid w:val="00A85011"/>
    <w:rsid w:val="00A854EB"/>
    <w:rsid w:val="00A872E5"/>
    <w:rsid w:val="00A91406"/>
    <w:rsid w:val="00A96E65"/>
    <w:rsid w:val="00A97C72"/>
    <w:rsid w:val="00AA268E"/>
    <w:rsid w:val="00AA310B"/>
    <w:rsid w:val="00AA63D4"/>
    <w:rsid w:val="00AB06E8"/>
    <w:rsid w:val="00AB1CD3"/>
    <w:rsid w:val="00AB352F"/>
    <w:rsid w:val="00AB7C82"/>
    <w:rsid w:val="00AC274B"/>
    <w:rsid w:val="00AC4764"/>
    <w:rsid w:val="00AC6D36"/>
    <w:rsid w:val="00AD0CBA"/>
    <w:rsid w:val="00AD177A"/>
    <w:rsid w:val="00AD26E2"/>
    <w:rsid w:val="00AD7087"/>
    <w:rsid w:val="00AD784C"/>
    <w:rsid w:val="00AE126A"/>
    <w:rsid w:val="00AE1BAE"/>
    <w:rsid w:val="00AE3005"/>
    <w:rsid w:val="00AE3BD5"/>
    <w:rsid w:val="00AE59A0"/>
    <w:rsid w:val="00AE6975"/>
    <w:rsid w:val="00AE72E3"/>
    <w:rsid w:val="00AF0C57"/>
    <w:rsid w:val="00AF0E98"/>
    <w:rsid w:val="00AF26F3"/>
    <w:rsid w:val="00AF5F04"/>
    <w:rsid w:val="00B00672"/>
    <w:rsid w:val="00B01B4D"/>
    <w:rsid w:val="00B06571"/>
    <w:rsid w:val="00B068BA"/>
    <w:rsid w:val="00B07FF7"/>
    <w:rsid w:val="00B10258"/>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728A"/>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1ED0"/>
    <w:rsid w:val="00BE28D2"/>
    <w:rsid w:val="00BE4A64"/>
    <w:rsid w:val="00BE5E43"/>
    <w:rsid w:val="00BF30B2"/>
    <w:rsid w:val="00BF557D"/>
    <w:rsid w:val="00BF7F58"/>
    <w:rsid w:val="00C01381"/>
    <w:rsid w:val="00C01AB1"/>
    <w:rsid w:val="00C026A0"/>
    <w:rsid w:val="00C06137"/>
    <w:rsid w:val="00C079B8"/>
    <w:rsid w:val="00C07E66"/>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3DAF"/>
    <w:rsid w:val="00C74C5D"/>
    <w:rsid w:val="00C85B43"/>
    <w:rsid w:val="00C863C4"/>
    <w:rsid w:val="00C8746D"/>
    <w:rsid w:val="00C87D55"/>
    <w:rsid w:val="00C920EA"/>
    <w:rsid w:val="00C93C3E"/>
    <w:rsid w:val="00CA12E3"/>
    <w:rsid w:val="00CA1476"/>
    <w:rsid w:val="00CA47EF"/>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409D"/>
    <w:rsid w:val="00D56B20"/>
    <w:rsid w:val="00D578B3"/>
    <w:rsid w:val="00D618F4"/>
    <w:rsid w:val="00D6261F"/>
    <w:rsid w:val="00D67097"/>
    <w:rsid w:val="00D714CC"/>
    <w:rsid w:val="00D75EA7"/>
    <w:rsid w:val="00D7641C"/>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554"/>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67BC9"/>
    <w:rsid w:val="00E71591"/>
    <w:rsid w:val="00E71CEB"/>
    <w:rsid w:val="00E7474F"/>
    <w:rsid w:val="00E80DE3"/>
    <w:rsid w:val="00E82C55"/>
    <w:rsid w:val="00E8787E"/>
    <w:rsid w:val="00E92AC3"/>
    <w:rsid w:val="00EA0BBA"/>
    <w:rsid w:val="00EA1360"/>
    <w:rsid w:val="00EA2F6A"/>
    <w:rsid w:val="00EB00E0"/>
    <w:rsid w:val="00EC059F"/>
    <w:rsid w:val="00EC1F24"/>
    <w:rsid w:val="00EC22F6"/>
    <w:rsid w:val="00EC40D5"/>
    <w:rsid w:val="00ED52C1"/>
    <w:rsid w:val="00ED5B9B"/>
    <w:rsid w:val="00ED6BAD"/>
    <w:rsid w:val="00ED7447"/>
    <w:rsid w:val="00EE00D6"/>
    <w:rsid w:val="00EE11E7"/>
    <w:rsid w:val="00EE1488"/>
    <w:rsid w:val="00EE29AD"/>
    <w:rsid w:val="00EE3E24"/>
    <w:rsid w:val="00EE4D5D"/>
    <w:rsid w:val="00EE5131"/>
    <w:rsid w:val="00EF04D8"/>
    <w:rsid w:val="00EF109B"/>
    <w:rsid w:val="00EF201C"/>
    <w:rsid w:val="00EF36AF"/>
    <w:rsid w:val="00EF59A3"/>
    <w:rsid w:val="00EF6675"/>
    <w:rsid w:val="00F00F9C"/>
    <w:rsid w:val="00F01E5F"/>
    <w:rsid w:val="00F024F3"/>
    <w:rsid w:val="00F02ABA"/>
    <w:rsid w:val="00F0437A"/>
    <w:rsid w:val="00F101B8"/>
    <w:rsid w:val="00F11037"/>
    <w:rsid w:val="00F16F1B"/>
    <w:rsid w:val="00F24AEF"/>
    <w:rsid w:val="00F250A9"/>
    <w:rsid w:val="00F267AF"/>
    <w:rsid w:val="00F30FF4"/>
    <w:rsid w:val="00F3122E"/>
    <w:rsid w:val="00F32368"/>
    <w:rsid w:val="00F331AD"/>
    <w:rsid w:val="00F35287"/>
    <w:rsid w:val="00F40A70"/>
    <w:rsid w:val="00F43A37"/>
    <w:rsid w:val="00F451AB"/>
    <w:rsid w:val="00F4641B"/>
    <w:rsid w:val="00F46EB8"/>
    <w:rsid w:val="00F47CAD"/>
    <w:rsid w:val="00F50CD1"/>
    <w:rsid w:val="00F511E4"/>
    <w:rsid w:val="00F52D09"/>
    <w:rsid w:val="00F52E08"/>
    <w:rsid w:val="00F53A66"/>
    <w:rsid w:val="00F53DDD"/>
    <w:rsid w:val="00F5462D"/>
    <w:rsid w:val="00F55B21"/>
    <w:rsid w:val="00F56EF6"/>
    <w:rsid w:val="00F60082"/>
    <w:rsid w:val="00F61A9F"/>
    <w:rsid w:val="00F61B5F"/>
    <w:rsid w:val="00F62248"/>
    <w:rsid w:val="00F6430D"/>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3BE1"/>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E583E"/>
    <w:rsid w:val="00FF188F"/>
    <w:rsid w:val="00FF20F5"/>
    <w:rsid w:val="00FF2A4E"/>
    <w:rsid w:val="00FF2FCE"/>
    <w:rsid w:val="00FF4DE4"/>
    <w:rsid w:val="00FF4F7D"/>
    <w:rsid w:val="00FF54DF"/>
    <w:rsid w:val="00FF6C65"/>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96CADE"/>
  <w15:docId w15:val="{ECF972F5-A537-4E19-981F-75B6BD18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66D"/>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ascii="Arial" w:eastAsia="MS Mincho" w:hAnsi="Arial" w:cs="Times New Roman"/>
      <w:b/>
      <w:bCs/>
      <w:iCs/>
      <w:color w:val="53565A"/>
      <w:kern w:val="0"/>
      <w:sz w:val="21"/>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ascii="Arial" w:eastAsia="Times New Roman" w:hAnsi="Arial" w:cs="Arial"/>
      <w:b/>
      <w:color w:val="53565A"/>
      <w:kern w:val="0"/>
      <w:sz w:val="18"/>
      <w:szCs w:val="18"/>
      <w14:ligatures w14:val="none"/>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pPr>
      <w:spacing w:after="120" w:line="280" w:lineRule="atLeast"/>
    </w:pPr>
    <w:rPr>
      <w:rFonts w:ascii="Arial" w:eastAsia="Times New Roman" w:hAnsi="Arial" w:cs="Times New Roman"/>
      <w:kern w:val="0"/>
      <w:sz w:val="24"/>
      <w:szCs w:val="24"/>
      <w14:ligatures w14:val="none"/>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pPr>
      <w:spacing w:after="120" w:line="280" w:lineRule="atLeast"/>
    </w:pPr>
    <w:rPr>
      <w:rFonts w:ascii="Lucida Grande" w:eastAsia="Times New Roman" w:hAnsi="Lucida Grande" w:cs="Lucida Grande"/>
      <w:kern w:val="0"/>
      <w:sz w:val="24"/>
      <w:szCs w:val="24"/>
      <w14:ligatures w14:val="none"/>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line="280" w:lineRule="atLeast"/>
    </w:pPr>
    <w:rPr>
      <w:rFonts w:ascii="Arial" w:eastAsia="Times New Roman" w:hAnsi="Arial" w:cs="Times New Roman"/>
      <w:b/>
      <w:noProof/>
      <w:kern w:val="0"/>
      <w:sz w:val="21"/>
      <w:szCs w:val="20"/>
      <w14:ligatures w14:val="none"/>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line="280" w:lineRule="atLeast"/>
    </w:pPr>
    <w:rPr>
      <w:rFonts w:ascii="Arial" w:eastAsia="Times New Roman" w:hAnsi="Arial" w:cs="Times New Roman"/>
      <w:noProof/>
      <w:kern w:val="0"/>
      <w:sz w:val="21"/>
      <w:szCs w:val="20"/>
      <w14:ligatures w14:val="none"/>
    </w:rPr>
  </w:style>
  <w:style w:type="paragraph" w:styleId="TOC3">
    <w:name w:val="toc 3"/>
    <w:basedOn w:val="Normal"/>
    <w:next w:val="Normal"/>
    <w:uiPriority w:val="39"/>
    <w:rsid w:val="00D46C92"/>
    <w:pPr>
      <w:keepLines/>
      <w:tabs>
        <w:tab w:val="right" w:leader="dot" w:pos="10206"/>
      </w:tabs>
      <w:spacing w:after="60" w:line="280" w:lineRule="atLeast"/>
      <w:ind w:left="284"/>
    </w:pPr>
    <w:rPr>
      <w:rFonts w:ascii="Arial" w:eastAsia="Times New Roman" w:hAnsi="Arial" w:cs="Arial"/>
      <w:kern w:val="0"/>
      <w:sz w:val="21"/>
      <w:szCs w:val="20"/>
      <w14:ligatures w14:val="none"/>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spacing w:after="120" w:line="280" w:lineRule="atLeast"/>
      <w:ind w:left="1000"/>
    </w:pPr>
    <w:rPr>
      <w:rFonts w:ascii="Arial" w:eastAsia="Times New Roman" w:hAnsi="Arial" w:cs="Times New Roman"/>
      <w:kern w:val="0"/>
      <w:sz w:val="21"/>
      <w:szCs w:val="20"/>
      <w14:ligatures w14:val="none"/>
    </w:rPr>
  </w:style>
  <w:style w:type="paragraph" w:styleId="TOC7">
    <w:name w:val="toc 7"/>
    <w:basedOn w:val="Normal"/>
    <w:next w:val="Normal"/>
    <w:autoRedefine/>
    <w:uiPriority w:val="39"/>
    <w:semiHidden/>
    <w:rsid w:val="0021053D"/>
    <w:pPr>
      <w:spacing w:after="120" w:line="280" w:lineRule="atLeast"/>
      <w:ind w:left="1200"/>
    </w:pPr>
    <w:rPr>
      <w:rFonts w:ascii="Arial" w:eastAsia="Times New Roman" w:hAnsi="Arial" w:cs="Times New Roman"/>
      <w:kern w:val="0"/>
      <w:sz w:val="21"/>
      <w:szCs w:val="20"/>
      <w14:ligatures w14:val="none"/>
    </w:rPr>
  </w:style>
  <w:style w:type="paragraph" w:styleId="TOC8">
    <w:name w:val="toc 8"/>
    <w:basedOn w:val="Normal"/>
    <w:next w:val="Normal"/>
    <w:autoRedefine/>
    <w:uiPriority w:val="39"/>
    <w:semiHidden/>
    <w:rsid w:val="0021053D"/>
    <w:pPr>
      <w:spacing w:after="120" w:line="280" w:lineRule="atLeast"/>
      <w:ind w:left="1400"/>
    </w:pPr>
    <w:rPr>
      <w:rFonts w:ascii="Arial" w:eastAsia="Times New Roman" w:hAnsi="Arial" w:cs="Times New Roman"/>
      <w:kern w:val="0"/>
      <w:sz w:val="21"/>
      <w:szCs w:val="20"/>
      <w14:ligatures w14:val="none"/>
    </w:rPr>
  </w:style>
  <w:style w:type="paragraph" w:styleId="TOC9">
    <w:name w:val="toc 9"/>
    <w:basedOn w:val="Normal"/>
    <w:next w:val="Normal"/>
    <w:autoRedefine/>
    <w:uiPriority w:val="39"/>
    <w:semiHidden/>
    <w:rsid w:val="0021053D"/>
    <w:pPr>
      <w:spacing w:after="120" w:line="280" w:lineRule="atLeast"/>
      <w:ind w:left="1600"/>
    </w:pPr>
    <w:rPr>
      <w:rFonts w:ascii="Arial" w:eastAsia="Times New Roman" w:hAnsi="Arial" w:cs="Times New Roman"/>
      <w:kern w:val="0"/>
      <w:sz w:val="21"/>
      <w:szCs w:val="20"/>
      <w14:ligatures w14:val="none"/>
    </w:r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ascii="Arial" w:eastAsia="MS Gothic" w:hAnsi="Arial" w:cs="Arial"/>
      <w:kern w:val="0"/>
      <w:sz w:val="18"/>
      <w:szCs w:val="16"/>
      <w14:ligatures w14:val="none"/>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line="280" w:lineRule="atLeast"/>
      <w:jc w:val="center"/>
    </w:pPr>
    <w:rPr>
      <w:rFonts w:ascii="Calibri Light" w:eastAsia="Times New Roman" w:hAnsi="Calibri Light" w:cs="Times New Roman"/>
      <w:b/>
      <w:bCs/>
      <w:kern w:val="28"/>
      <w:sz w:val="32"/>
      <w:szCs w:val="32"/>
      <w14:ligatures w14:val="none"/>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pPr>
      <w:spacing w:after="120" w:line="280" w:lineRule="atLeast"/>
    </w:pPr>
    <w:rPr>
      <w:rFonts w:ascii="Arial" w:eastAsia="Times New Roman" w:hAnsi="Arial" w:cs="Times New Roman"/>
      <w:kern w:val="0"/>
      <w:sz w:val="21"/>
      <w:szCs w:val="20"/>
      <w14:ligatures w14:val="none"/>
    </w:rPr>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customStyle="1" w:styleId="Default">
    <w:name w:val="Default"/>
    <w:rsid w:val="002C17C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5016862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health.vic.gov.au/patient-care/blood-matters-progra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vic.gov.au/patient-care/blood-matters-progra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motion\2024\Branding_templates\New%20templates%20July%202021\Blood%20Matters%20DH%20red%20factsheet_front%20page%20logos%20only.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sfpsou03\Bloodmatters$\STIR\2024\Reports\STIR%20Report%202022-23\Data\Chart%20for%20summary%20report.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sfpsou03\Bloodmatters$\STIR\2024\Reports\STIR%20Report%202022-23\Data\Chart%20for%20summary%20repo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Clinical reactions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Sheet1!$A$25:$A$31</c:f>
              <c:strCache>
                <c:ptCount val="7"/>
                <c:pt idx="0">
                  <c:v>Acute haemolytic reaction</c:v>
                </c:pt>
                <c:pt idx="1">
                  <c:v>Acute hypotensive transfusion reaction</c:v>
                </c:pt>
                <c:pt idx="2">
                  <c:v>Delayed haemolytic transfusion reaction</c:v>
                </c:pt>
                <c:pt idx="3">
                  <c:v>Febrile non-haemolytic transfusion reaction</c:v>
                </c:pt>
                <c:pt idx="4">
                  <c:v>Allergic/anaphylactic/anaphylactoid</c:v>
                </c:pt>
                <c:pt idx="5">
                  <c:v>Transfusion associated circulatory overload</c:v>
                </c:pt>
                <c:pt idx="6">
                  <c:v>Delayed serologic transfusion reaction</c:v>
                </c:pt>
              </c:strCache>
            </c:strRef>
          </c:cat>
          <c:val>
            <c:numRef>
              <c:f>Sheet1!$B$25:$B$31</c:f>
              <c:numCache>
                <c:formatCode>General</c:formatCode>
                <c:ptCount val="7"/>
                <c:pt idx="0">
                  <c:v>1</c:v>
                </c:pt>
                <c:pt idx="1">
                  <c:v>3</c:v>
                </c:pt>
                <c:pt idx="2">
                  <c:v>4</c:v>
                </c:pt>
                <c:pt idx="3">
                  <c:v>23</c:v>
                </c:pt>
                <c:pt idx="4">
                  <c:v>31</c:v>
                </c:pt>
                <c:pt idx="5">
                  <c:v>34</c:v>
                </c:pt>
                <c:pt idx="6">
                  <c:v>45</c:v>
                </c:pt>
              </c:numCache>
            </c:numRef>
          </c:val>
          <c:extLst>
            <c:ext xmlns:c16="http://schemas.microsoft.com/office/drawing/2014/chart" uri="{C3380CC4-5D6E-409C-BE32-E72D297353CC}">
              <c16:uniqueId val="{00000000-7856-4C14-A7CF-50D27F05A847}"/>
            </c:ext>
          </c:extLst>
        </c:ser>
        <c:dLbls>
          <c:showLegendKey val="0"/>
          <c:showVal val="0"/>
          <c:showCatName val="0"/>
          <c:showSerName val="0"/>
          <c:showPercent val="0"/>
          <c:showBubbleSize val="0"/>
        </c:dLbls>
        <c:gapWidth val="182"/>
        <c:axId val="369512991"/>
        <c:axId val="498779392"/>
      </c:barChart>
      <c:catAx>
        <c:axId val="3695129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498779392"/>
        <c:crosses val="autoZero"/>
        <c:auto val="1"/>
        <c:lblAlgn val="ctr"/>
        <c:lblOffset val="100"/>
        <c:noMultiLvlLbl val="0"/>
      </c:catAx>
      <c:valAx>
        <c:axId val="4987793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5129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Procedural events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rgbClr val="C00000"/>
            </a:solidFill>
            <a:ln>
              <a:noFill/>
            </a:ln>
            <a:effectLst/>
          </c:spPr>
          <c:invertIfNegative val="0"/>
          <c:cat>
            <c:strRef>
              <c:f>Sheet1!$A$18:$A$22</c:f>
              <c:strCache>
                <c:ptCount val="5"/>
                <c:pt idx="0">
                  <c:v>Procedural other</c:v>
                </c:pt>
                <c:pt idx="1">
                  <c:v>Near miss</c:v>
                </c:pt>
                <c:pt idx="2">
                  <c:v>Incorrect blood component transfused </c:v>
                </c:pt>
                <c:pt idx="3">
                  <c:v>RhD immunoglobulin error</c:v>
                </c:pt>
                <c:pt idx="4">
                  <c:v>Wrong blood in tube</c:v>
                </c:pt>
              </c:strCache>
            </c:strRef>
          </c:cat>
          <c:val>
            <c:numRef>
              <c:f>Sheet1!$B$18:$B$22</c:f>
              <c:numCache>
                <c:formatCode>General</c:formatCode>
                <c:ptCount val="5"/>
                <c:pt idx="0">
                  <c:v>7</c:v>
                </c:pt>
                <c:pt idx="1">
                  <c:v>9</c:v>
                </c:pt>
                <c:pt idx="2">
                  <c:v>10</c:v>
                </c:pt>
                <c:pt idx="3">
                  <c:v>15</c:v>
                </c:pt>
                <c:pt idx="4">
                  <c:v>27</c:v>
                </c:pt>
              </c:numCache>
            </c:numRef>
          </c:val>
          <c:extLst>
            <c:ext xmlns:c16="http://schemas.microsoft.com/office/drawing/2014/chart" uri="{C3380CC4-5D6E-409C-BE32-E72D297353CC}">
              <c16:uniqueId val="{00000000-0FF1-4FF4-8724-A28F002EC106}"/>
            </c:ext>
          </c:extLst>
        </c:ser>
        <c:dLbls>
          <c:showLegendKey val="0"/>
          <c:showVal val="0"/>
          <c:showCatName val="0"/>
          <c:showSerName val="0"/>
          <c:showPercent val="0"/>
          <c:showBubbleSize val="0"/>
        </c:dLbls>
        <c:gapWidth val="182"/>
        <c:axId val="424887695"/>
        <c:axId val="424872335"/>
      </c:barChart>
      <c:catAx>
        <c:axId val="4248876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424872335"/>
        <c:crosses val="autoZero"/>
        <c:auto val="1"/>
        <c:lblAlgn val="ctr"/>
        <c:lblOffset val="100"/>
        <c:noMultiLvlLbl val="0"/>
      </c:catAx>
      <c:valAx>
        <c:axId val="42487233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48876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f9efe166-4f28-4f85-8235-ea2c89133434"/>
    <ds:schemaRef ds:uri="http://schemas.microsoft.com/office/infopath/2007/PartnerControls"/>
    <ds:schemaRef ds:uri="http://purl.org/dc/terms/"/>
    <ds:schemaRef ds:uri="http://schemas.microsoft.com/office/2006/metadata/properties"/>
    <ds:schemaRef ds:uri="http://schemas.microsoft.com/office/2006/documentManagement/types"/>
    <ds:schemaRef ds:uri="71bad440-a7e7-46c6-81bd-18ed54663c6a"/>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Metadata/LabelInfo.xml><?xml version="1.0" encoding="utf-8"?>
<clbl:labelList xmlns:clbl="http://schemas.microsoft.com/office/2020/mipLabelMetadata">
  <clbl:label id="{dd9262fe-586d-4d19-94d3-2a13903414dc}" enabled="1" method="Privileged" siteId="{957b3627-a629-4769-908d-ff92d7d3323d}" removed="0"/>
</clbl:labelList>
</file>

<file path=docProps/app.xml><?xml version="1.0" encoding="utf-8"?>
<Properties xmlns="http://schemas.openxmlformats.org/officeDocument/2006/extended-properties" xmlns:vt="http://schemas.openxmlformats.org/officeDocument/2006/docPropsVTypes">
  <Template>Blood Matters DH red factsheet_front page logos only.dotx</Template>
  <TotalTime>40</TotalTime>
  <Pages>2</Pages>
  <Words>413</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Blood Matters DH red factsheet_front page logos only</vt:lpstr>
    </vt:vector>
  </TitlesOfParts>
  <Manager/>
  <Company>Victoria State Government, Department of Health, Blood Matters</Company>
  <LinksUpToDate>false</LinksUpToDate>
  <CharactersWithSpaces>3058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Serious Transfusion Incident Report (STIR) Summary 2022-23</dc:title>
  <dc:subject/>
  <dc:creator>bloodmatters@dhhs.vic.gov.au</dc:creator>
  <cp:keywords/>
  <dc:description/>
  <cp:lastModifiedBy>Emily Hirst (Health)</cp:lastModifiedBy>
  <cp:revision>5</cp:revision>
  <cp:lastPrinted>2020-03-30T03:28:00Z</cp:lastPrinted>
  <dcterms:created xsi:type="dcterms:W3CDTF">2024-08-13T23:57:00Z</dcterms:created>
  <dcterms:modified xsi:type="dcterms:W3CDTF">2024-09-19T01:10:00Z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