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7FBA0" w14:textId="5366BFC3" w:rsidR="00056EC4" w:rsidRDefault="00E9042A" w:rsidP="2CA33581">
      <w:pPr>
        <w:pStyle w:val="Body"/>
        <w:ind w:firstLine="1134"/>
      </w:pPr>
      <w:r>
        <w:rPr>
          <w:noProof/>
        </w:rPr>
        <w:drawing>
          <wp:anchor distT="0" distB="0" distL="114300" distR="114300" simplePos="0" relativeHeight="251658240" behindDoc="1" locked="1" layoutInCell="1" allowOverlap="0" wp14:anchorId="1DCD5EAD" wp14:editId="2541AB53">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C61DA11" w14:textId="77777777" w:rsidTr="6B3575E0">
        <w:trPr>
          <w:cantSplit/>
        </w:trPr>
        <w:tc>
          <w:tcPr>
            <w:tcW w:w="0" w:type="auto"/>
            <w:tcMar>
              <w:top w:w="0" w:type="dxa"/>
              <w:left w:w="0" w:type="dxa"/>
              <w:right w:w="0" w:type="dxa"/>
            </w:tcMar>
          </w:tcPr>
          <w:p w14:paraId="089D0F55" w14:textId="7AE5B254" w:rsidR="00AD784C" w:rsidRPr="00431F42" w:rsidRDefault="00762082" w:rsidP="00CC3BB0">
            <w:pPr>
              <w:pStyle w:val="Documenttitle"/>
            </w:pPr>
            <w:r>
              <w:t>Policy and funding guidelines 2024–25</w:t>
            </w:r>
          </w:p>
        </w:tc>
      </w:tr>
      <w:tr w:rsidR="00AD784C" w14:paraId="5153F3E1" w14:textId="77777777" w:rsidTr="6B3575E0">
        <w:trPr>
          <w:cantSplit/>
        </w:trPr>
        <w:tc>
          <w:tcPr>
            <w:tcW w:w="0" w:type="auto"/>
          </w:tcPr>
          <w:p w14:paraId="4D9CD336" w14:textId="3B3BC851" w:rsidR="00386109" w:rsidRDefault="00762082" w:rsidP="00D2666F">
            <w:pPr>
              <w:pStyle w:val="Documentsubtitle"/>
            </w:pPr>
            <w:r>
              <w:t>Funding rules</w:t>
            </w:r>
          </w:p>
          <w:p w14:paraId="20F77BC5" w14:textId="1DD61EB8" w:rsidR="00762082" w:rsidRPr="00A1389F" w:rsidRDefault="00762082" w:rsidP="00762082">
            <w:pPr>
              <w:pStyle w:val="Body"/>
            </w:pPr>
          </w:p>
        </w:tc>
      </w:tr>
      <w:tr w:rsidR="00430393" w14:paraId="09B0373D" w14:textId="77777777" w:rsidTr="6B3575E0">
        <w:trPr>
          <w:cantSplit/>
        </w:trPr>
        <w:tc>
          <w:tcPr>
            <w:tcW w:w="0" w:type="auto"/>
          </w:tcPr>
          <w:p w14:paraId="3E8A92EE" w14:textId="3C75C5B2" w:rsidR="00D75490" w:rsidRDefault="00D75490" w:rsidP="00430393">
            <w:pPr>
              <w:pStyle w:val="Bannermarking"/>
            </w:pPr>
          </w:p>
          <w:p w14:paraId="1CBFEB3D" w14:textId="77777777" w:rsidR="00430393" w:rsidRDefault="00000000" w:rsidP="00430393">
            <w:pPr>
              <w:pStyle w:val="Bannermarking"/>
            </w:pPr>
            <w:fldSimple w:instr="FILLIN  &quot;Type the protective marking&quot; \d OFFICIAL \o  \* MERGEFORMAT">
              <w:r w:rsidR="00AA7D32">
                <w:t>OFFICIAL</w:t>
              </w:r>
            </w:fldSimple>
          </w:p>
        </w:tc>
      </w:tr>
    </w:tbl>
    <w:p w14:paraId="4843DBDA" w14:textId="77777777" w:rsidR="00FE4081" w:rsidRDefault="00FE4081" w:rsidP="00D2666F">
      <w:pPr>
        <w:pStyle w:val="Body"/>
      </w:pPr>
    </w:p>
    <w:p w14:paraId="6E5618FA" w14:textId="77777777" w:rsidR="00FE4081" w:rsidRPr="00FE4081" w:rsidRDefault="00FE4081" w:rsidP="00FE4081">
      <w:pPr>
        <w:pStyle w:val="Body"/>
        <w:sectPr w:rsidR="00FE4081" w:rsidRPr="00FE4081" w:rsidSect="008D71AD">
          <w:headerReference w:type="default" r:id="rId12"/>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p w14:paraId="7CE32833" w14:textId="3A1B5712" w:rsidR="0094291C" w:rsidRDefault="0094291C" w:rsidP="0094291C">
      <w:pPr>
        <w:pStyle w:val="Accessibilitypara"/>
        <w:spacing w:before="8000"/>
      </w:pPr>
      <w:r w:rsidRPr="000F3F7F">
        <w:rPr>
          <w:lang w:val="en-US"/>
        </w:rPr>
        <w:lastRenderedPageBreak/>
        <w:t>To receive this publication in an accessible format</w:t>
      </w:r>
      <w:r>
        <w:rPr>
          <w:lang w:val="en-US"/>
        </w:rPr>
        <w:t xml:space="preserve"> email </w:t>
      </w:r>
      <w:hyperlink r:id="rId16" w:history="1">
        <w:r>
          <w:rPr>
            <w:rStyle w:val="Hyperlink"/>
          </w:rPr>
          <w:t>Health Funding, Finance and Investment; Accountability</w:t>
        </w:r>
      </w:hyperlink>
      <w:r>
        <w:rPr>
          <w:rStyle w:val="Hyperlink"/>
        </w:rPr>
        <w:t xml:space="preserve"> on</w:t>
      </w:r>
      <w:r>
        <w:t xml:space="preserve"> &lt;Accountability</w:t>
      </w:r>
      <w:r w:rsidRPr="00E41295">
        <w:t>@</w:t>
      </w:r>
      <w:r>
        <w:t>health</w:t>
      </w:r>
      <w:r w:rsidRPr="00E41295">
        <w:t>.vic.gov.au</w:t>
      </w:r>
      <w:r>
        <w:t>&gt;.</w:t>
      </w:r>
    </w:p>
    <w:p w14:paraId="318A3712" w14:textId="77777777" w:rsidR="0094291C" w:rsidRPr="00741904" w:rsidRDefault="0094291C" w:rsidP="0094291C">
      <w:pPr>
        <w:pStyle w:val="DHHSaccessibilitypara"/>
      </w:pPr>
      <w:r w:rsidRPr="00903B70">
        <w:rPr>
          <w:sz w:val="20"/>
        </w:rPr>
        <w:t>Authorised and published by the Victorian Government, 1 Treasury Place, Melbourne.</w:t>
      </w:r>
    </w:p>
    <w:p w14:paraId="1E6F81D6" w14:textId="6D5C6136" w:rsidR="0094291C" w:rsidRPr="00903B70" w:rsidRDefault="0094291C" w:rsidP="0094291C">
      <w:pPr>
        <w:pStyle w:val="Body"/>
        <w:rPr>
          <w:sz w:val="20"/>
        </w:rPr>
      </w:pPr>
      <w:r w:rsidRPr="3D00DAF1">
        <w:rPr>
          <w:sz w:val="20"/>
        </w:rPr>
        <w:t xml:space="preserve">© State of Victoria, Department of Health, </w:t>
      </w:r>
      <w:r w:rsidR="00A770A8">
        <w:rPr>
          <w:sz w:val="20"/>
        </w:rPr>
        <w:t>October</w:t>
      </w:r>
      <w:r>
        <w:rPr>
          <w:sz w:val="20"/>
        </w:rPr>
        <w:t xml:space="preserve"> </w:t>
      </w:r>
      <w:r w:rsidRPr="0002212C">
        <w:rPr>
          <w:sz w:val="20"/>
        </w:rPr>
        <w:t>2024.</w:t>
      </w:r>
    </w:p>
    <w:p w14:paraId="36D4AF7B" w14:textId="77777777" w:rsidR="0094291C" w:rsidRPr="00903B70" w:rsidRDefault="0094291C" w:rsidP="0094291C">
      <w:pPr>
        <w:pStyle w:val="Imprint"/>
        <w:rPr>
          <w:color w:val="auto"/>
        </w:rPr>
      </w:pPr>
      <w:r w:rsidRPr="00903B70">
        <w:rPr>
          <w:color w:val="auto"/>
        </w:rPr>
        <w:t>In this document, ‘Aboriginal’ refers to both Aboriginal and Torres Strait Islander people. ‘Indigenous’ or ‘Koori/Koorie’ is retained when part of the title of a report, program or quotation</w:t>
      </w:r>
      <w:r w:rsidRPr="00903B70">
        <w:t>.</w:t>
      </w:r>
    </w:p>
    <w:p w14:paraId="185CD921" w14:textId="77777777" w:rsidR="0094291C" w:rsidRPr="00903B70" w:rsidRDefault="0094291C" w:rsidP="0094291C">
      <w:pPr>
        <w:pStyle w:val="Body"/>
        <w:rPr>
          <w:sz w:val="20"/>
          <w:lang w:val="en-US"/>
        </w:rPr>
      </w:pPr>
      <w:r w:rsidRPr="00C45C95">
        <w:rPr>
          <w:sz w:val="20"/>
          <w:lang w:val="en-US"/>
        </w:rPr>
        <w:t xml:space="preserve">ISSN </w:t>
      </w:r>
      <w:r w:rsidRPr="00C45C95">
        <w:rPr>
          <w:rFonts w:cs="Arial"/>
          <w:color w:val="000000"/>
          <w:sz w:val="20"/>
        </w:rPr>
        <w:t>2653-4207</w:t>
      </w:r>
      <w:r w:rsidRPr="00C45C95">
        <w:rPr>
          <w:sz w:val="20"/>
          <w:lang w:val="en-US"/>
        </w:rPr>
        <w:t xml:space="preserve"> (online</w:t>
      </w:r>
      <w:r>
        <w:rPr>
          <w:sz w:val="20"/>
          <w:lang w:val="en-US"/>
        </w:rPr>
        <w:t>/Word</w:t>
      </w:r>
      <w:r w:rsidRPr="00C45C95">
        <w:rPr>
          <w:sz w:val="20"/>
          <w:lang w:val="en-US"/>
        </w:rPr>
        <w:t>)</w:t>
      </w:r>
    </w:p>
    <w:p w14:paraId="3D02797E" w14:textId="77777777" w:rsidR="0094291C" w:rsidRDefault="0094291C" w:rsidP="0094291C">
      <w:pPr>
        <w:pStyle w:val="Imprint"/>
      </w:pPr>
      <w:r w:rsidRPr="00903B70">
        <w:rPr>
          <w:lang w:val="en-US"/>
        </w:rPr>
        <w:t xml:space="preserve">Available on the </w:t>
      </w:r>
      <w:hyperlink r:id="rId17" w:history="1">
        <w:r w:rsidRPr="00903B70">
          <w:rPr>
            <w:rStyle w:val="Hyperlink"/>
            <w:lang w:val="en-US"/>
          </w:rPr>
          <w:t>Policy and Funding Guidelines webpage</w:t>
        </w:r>
      </w:hyperlink>
      <w:r w:rsidRPr="00903B70">
        <w:rPr>
          <w:lang w:val="en-US"/>
        </w:rPr>
        <w:t xml:space="preserve"> &lt;https://www.health.vic.gov.au/policy-and-funding-guidelines-for-health-services&gt;.</w:t>
      </w:r>
      <w:r w:rsidRPr="00E835BA">
        <w:t xml:space="preserve"> </w:t>
      </w:r>
    </w:p>
    <w:p w14:paraId="118F77A7" w14:textId="726923AC" w:rsidR="009F2182" w:rsidRDefault="009F2182" w:rsidP="009F2182">
      <w:pPr>
        <w:pStyle w:val="Body"/>
      </w:pPr>
    </w:p>
    <w:p w14:paraId="640659E7" w14:textId="77777777" w:rsidR="0008204A" w:rsidRPr="0008204A" w:rsidRDefault="0008204A" w:rsidP="0008204A">
      <w:pPr>
        <w:pStyle w:val="Body"/>
      </w:pPr>
      <w:r w:rsidRPr="0008204A">
        <w:br w:type="page"/>
      </w:r>
    </w:p>
    <w:p w14:paraId="62B3E4BB" w14:textId="77D04507" w:rsidR="00AD784C" w:rsidRPr="00B57329" w:rsidRDefault="00AD784C" w:rsidP="00AD4C45">
      <w:pPr>
        <w:pStyle w:val="Heading1"/>
        <w:numPr>
          <w:ilvl w:val="0"/>
          <w:numId w:val="0"/>
        </w:numPr>
        <w:ind w:left="1134" w:hanging="1134"/>
      </w:pPr>
      <w:bookmarkStart w:id="0" w:name="_Toc167651218"/>
      <w:bookmarkStart w:id="1" w:name="_Toc178963567"/>
      <w:r w:rsidRPr="00B57329">
        <w:lastRenderedPageBreak/>
        <w:t>Contents</w:t>
      </w:r>
      <w:bookmarkEnd w:id="0"/>
      <w:bookmarkEnd w:id="1"/>
    </w:p>
    <w:p w14:paraId="41930BCD" w14:textId="53B3B7FF" w:rsidR="00226E47" w:rsidRDefault="00481585">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w:instrText>
      </w:r>
      <w:r>
        <w:rPr>
          <w:b w:val="0"/>
        </w:rPr>
        <w:fldChar w:fldCharType="separate"/>
      </w:r>
      <w:hyperlink w:anchor="_Toc178963567" w:history="1">
        <w:r w:rsidR="00226E47" w:rsidRPr="001C0855">
          <w:rPr>
            <w:rStyle w:val="Hyperlink"/>
          </w:rPr>
          <w:t>Contents</w:t>
        </w:r>
        <w:r w:rsidR="00226E47">
          <w:rPr>
            <w:webHidden/>
          </w:rPr>
          <w:tab/>
        </w:r>
        <w:r w:rsidR="00226E47">
          <w:rPr>
            <w:webHidden/>
          </w:rPr>
          <w:fldChar w:fldCharType="begin"/>
        </w:r>
        <w:r w:rsidR="00226E47">
          <w:rPr>
            <w:webHidden/>
          </w:rPr>
          <w:instrText xml:space="preserve"> PAGEREF _Toc178963567 \h </w:instrText>
        </w:r>
        <w:r w:rsidR="00226E47">
          <w:rPr>
            <w:webHidden/>
          </w:rPr>
        </w:r>
        <w:r w:rsidR="00226E47">
          <w:rPr>
            <w:webHidden/>
          </w:rPr>
          <w:fldChar w:fldCharType="separate"/>
        </w:r>
        <w:r w:rsidR="00226E47">
          <w:rPr>
            <w:webHidden/>
          </w:rPr>
          <w:t>2</w:t>
        </w:r>
        <w:r w:rsidR="00226E47">
          <w:rPr>
            <w:webHidden/>
          </w:rPr>
          <w:fldChar w:fldCharType="end"/>
        </w:r>
      </w:hyperlink>
    </w:p>
    <w:p w14:paraId="41388420" w14:textId="41E6D27C" w:rsidR="00226E47"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63568" w:history="1">
        <w:r w:rsidR="00226E47" w:rsidRPr="001C0855">
          <w:rPr>
            <w:rStyle w:val="Hyperlink"/>
          </w:rPr>
          <w:t>Overview of the Policy and funding guidelines 2024–25</w:t>
        </w:r>
        <w:r w:rsidR="00226E47">
          <w:rPr>
            <w:webHidden/>
          </w:rPr>
          <w:tab/>
        </w:r>
        <w:r w:rsidR="00226E47">
          <w:rPr>
            <w:webHidden/>
          </w:rPr>
          <w:fldChar w:fldCharType="begin"/>
        </w:r>
        <w:r w:rsidR="00226E47">
          <w:rPr>
            <w:webHidden/>
          </w:rPr>
          <w:instrText xml:space="preserve"> PAGEREF _Toc178963568 \h </w:instrText>
        </w:r>
        <w:r w:rsidR="00226E47">
          <w:rPr>
            <w:webHidden/>
          </w:rPr>
        </w:r>
        <w:r w:rsidR="00226E47">
          <w:rPr>
            <w:webHidden/>
          </w:rPr>
          <w:fldChar w:fldCharType="separate"/>
        </w:r>
        <w:r w:rsidR="00226E47">
          <w:rPr>
            <w:webHidden/>
          </w:rPr>
          <w:t>5</w:t>
        </w:r>
        <w:r w:rsidR="00226E47">
          <w:rPr>
            <w:webHidden/>
          </w:rPr>
          <w:fldChar w:fldCharType="end"/>
        </w:r>
      </w:hyperlink>
    </w:p>
    <w:p w14:paraId="3031927F" w14:textId="75068D69" w:rsidR="00226E47" w:rsidRDefault="00000000">
      <w:pPr>
        <w:pStyle w:val="TOC2"/>
        <w:rPr>
          <w:rFonts w:asciiTheme="minorHAnsi" w:eastAsiaTheme="minorEastAsia" w:hAnsiTheme="minorHAnsi" w:cstheme="minorBidi"/>
          <w:kern w:val="2"/>
          <w:sz w:val="24"/>
          <w:szCs w:val="24"/>
          <w:lang w:eastAsia="en-AU"/>
          <w14:ligatures w14:val="standardContextual"/>
        </w:rPr>
      </w:pPr>
      <w:hyperlink w:anchor="_Toc178963569" w:history="1">
        <w:r w:rsidR="00226E47" w:rsidRPr="001C0855">
          <w:rPr>
            <w:rStyle w:val="Hyperlink"/>
          </w:rPr>
          <w:t>Policy guide</w:t>
        </w:r>
        <w:r w:rsidR="00226E47">
          <w:rPr>
            <w:webHidden/>
          </w:rPr>
          <w:tab/>
        </w:r>
        <w:r w:rsidR="00226E47">
          <w:rPr>
            <w:webHidden/>
          </w:rPr>
          <w:fldChar w:fldCharType="begin"/>
        </w:r>
        <w:r w:rsidR="00226E47">
          <w:rPr>
            <w:webHidden/>
          </w:rPr>
          <w:instrText xml:space="preserve"> PAGEREF _Toc178963569 \h </w:instrText>
        </w:r>
        <w:r w:rsidR="00226E47">
          <w:rPr>
            <w:webHidden/>
          </w:rPr>
        </w:r>
        <w:r w:rsidR="00226E47">
          <w:rPr>
            <w:webHidden/>
          </w:rPr>
          <w:fldChar w:fldCharType="separate"/>
        </w:r>
        <w:r w:rsidR="00226E47">
          <w:rPr>
            <w:webHidden/>
          </w:rPr>
          <w:t>5</w:t>
        </w:r>
        <w:r w:rsidR="00226E47">
          <w:rPr>
            <w:webHidden/>
          </w:rPr>
          <w:fldChar w:fldCharType="end"/>
        </w:r>
      </w:hyperlink>
    </w:p>
    <w:p w14:paraId="78CDE7ED" w14:textId="5DFB4955" w:rsidR="00226E47" w:rsidRDefault="00000000">
      <w:pPr>
        <w:pStyle w:val="TOC2"/>
        <w:rPr>
          <w:rFonts w:asciiTheme="minorHAnsi" w:eastAsiaTheme="minorEastAsia" w:hAnsiTheme="minorHAnsi" w:cstheme="minorBidi"/>
          <w:kern w:val="2"/>
          <w:sz w:val="24"/>
          <w:szCs w:val="24"/>
          <w:lang w:eastAsia="en-AU"/>
          <w14:ligatures w14:val="standardContextual"/>
        </w:rPr>
      </w:pPr>
      <w:hyperlink w:anchor="_Toc178963570" w:history="1">
        <w:r w:rsidR="00226E47" w:rsidRPr="001C0855">
          <w:rPr>
            <w:rStyle w:val="Hyperlink"/>
          </w:rPr>
          <w:t>Funding rules</w:t>
        </w:r>
        <w:r w:rsidR="00226E47">
          <w:rPr>
            <w:webHidden/>
          </w:rPr>
          <w:tab/>
        </w:r>
        <w:r w:rsidR="00226E47">
          <w:rPr>
            <w:webHidden/>
          </w:rPr>
          <w:fldChar w:fldCharType="begin"/>
        </w:r>
        <w:r w:rsidR="00226E47">
          <w:rPr>
            <w:webHidden/>
          </w:rPr>
          <w:instrText xml:space="preserve"> PAGEREF _Toc178963570 \h </w:instrText>
        </w:r>
        <w:r w:rsidR="00226E47">
          <w:rPr>
            <w:webHidden/>
          </w:rPr>
        </w:r>
        <w:r w:rsidR="00226E47">
          <w:rPr>
            <w:webHidden/>
          </w:rPr>
          <w:fldChar w:fldCharType="separate"/>
        </w:r>
        <w:r w:rsidR="00226E47">
          <w:rPr>
            <w:webHidden/>
          </w:rPr>
          <w:t>5</w:t>
        </w:r>
        <w:r w:rsidR="00226E47">
          <w:rPr>
            <w:webHidden/>
          </w:rPr>
          <w:fldChar w:fldCharType="end"/>
        </w:r>
      </w:hyperlink>
    </w:p>
    <w:p w14:paraId="0E476E7B" w14:textId="4C533AEA" w:rsidR="00226E47" w:rsidRDefault="00000000">
      <w:pPr>
        <w:pStyle w:val="TOC2"/>
        <w:rPr>
          <w:rFonts w:asciiTheme="minorHAnsi" w:eastAsiaTheme="minorEastAsia" w:hAnsiTheme="minorHAnsi" w:cstheme="minorBidi"/>
          <w:kern w:val="2"/>
          <w:sz w:val="24"/>
          <w:szCs w:val="24"/>
          <w:lang w:eastAsia="en-AU"/>
          <w14:ligatures w14:val="standardContextual"/>
        </w:rPr>
      </w:pPr>
      <w:hyperlink w:anchor="_Toc178963571" w:history="1">
        <w:r w:rsidR="00226E47" w:rsidRPr="001C0855">
          <w:rPr>
            <w:rStyle w:val="Hyperlink"/>
          </w:rPr>
          <w:t>Terminology</w:t>
        </w:r>
        <w:r w:rsidR="00226E47">
          <w:rPr>
            <w:webHidden/>
          </w:rPr>
          <w:tab/>
        </w:r>
        <w:r w:rsidR="00226E47">
          <w:rPr>
            <w:webHidden/>
          </w:rPr>
          <w:fldChar w:fldCharType="begin"/>
        </w:r>
        <w:r w:rsidR="00226E47">
          <w:rPr>
            <w:webHidden/>
          </w:rPr>
          <w:instrText xml:space="preserve"> PAGEREF _Toc178963571 \h </w:instrText>
        </w:r>
        <w:r w:rsidR="00226E47">
          <w:rPr>
            <w:webHidden/>
          </w:rPr>
        </w:r>
        <w:r w:rsidR="00226E47">
          <w:rPr>
            <w:webHidden/>
          </w:rPr>
          <w:fldChar w:fldCharType="separate"/>
        </w:r>
        <w:r w:rsidR="00226E47">
          <w:rPr>
            <w:webHidden/>
          </w:rPr>
          <w:t>6</w:t>
        </w:r>
        <w:r w:rsidR="00226E47">
          <w:rPr>
            <w:webHidden/>
          </w:rPr>
          <w:fldChar w:fldCharType="end"/>
        </w:r>
      </w:hyperlink>
    </w:p>
    <w:p w14:paraId="65661011" w14:textId="1BF0F803" w:rsidR="00226E47"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63572" w:history="1">
        <w:r w:rsidR="00226E47" w:rsidRPr="001C0855">
          <w:rPr>
            <w:rStyle w:val="Hyperlink"/>
          </w:rPr>
          <w:t>Part 1: Funding and pricing arrangements</w:t>
        </w:r>
        <w:r w:rsidR="00226E47">
          <w:rPr>
            <w:webHidden/>
          </w:rPr>
          <w:tab/>
        </w:r>
        <w:r w:rsidR="00226E47">
          <w:rPr>
            <w:webHidden/>
          </w:rPr>
          <w:fldChar w:fldCharType="begin"/>
        </w:r>
        <w:r w:rsidR="00226E47">
          <w:rPr>
            <w:webHidden/>
          </w:rPr>
          <w:instrText xml:space="preserve"> PAGEREF _Toc178963572 \h </w:instrText>
        </w:r>
        <w:r w:rsidR="00226E47">
          <w:rPr>
            <w:webHidden/>
          </w:rPr>
        </w:r>
        <w:r w:rsidR="00226E47">
          <w:rPr>
            <w:webHidden/>
          </w:rPr>
          <w:fldChar w:fldCharType="separate"/>
        </w:r>
        <w:r w:rsidR="00226E47">
          <w:rPr>
            <w:webHidden/>
          </w:rPr>
          <w:t>7</w:t>
        </w:r>
        <w:r w:rsidR="00226E47">
          <w:rPr>
            <w:webHidden/>
          </w:rPr>
          <w:fldChar w:fldCharType="end"/>
        </w:r>
      </w:hyperlink>
    </w:p>
    <w:p w14:paraId="17833C89" w14:textId="5F706384"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573" w:history="1">
        <w:r w:rsidR="00226E47" w:rsidRPr="001C0855">
          <w:rPr>
            <w:rStyle w:val="Hyperlink"/>
          </w:rPr>
          <w:t>1</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Pricing framework for activity-based funded health services</w:t>
        </w:r>
        <w:r w:rsidR="00226E47">
          <w:rPr>
            <w:webHidden/>
          </w:rPr>
          <w:tab/>
        </w:r>
        <w:r w:rsidR="00226E47">
          <w:rPr>
            <w:webHidden/>
          </w:rPr>
          <w:fldChar w:fldCharType="begin"/>
        </w:r>
        <w:r w:rsidR="00226E47">
          <w:rPr>
            <w:webHidden/>
          </w:rPr>
          <w:instrText xml:space="preserve"> PAGEREF _Toc178963573 \h </w:instrText>
        </w:r>
        <w:r w:rsidR="00226E47">
          <w:rPr>
            <w:webHidden/>
          </w:rPr>
        </w:r>
        <w:r w:rsidR="00226E47">
          <w:rPr>
            <w:webHidden/>
          </w:rPr>
          <w:fldChar w:fldCharType="separate"/>
        </w:r>
        <w:r w:rsidR="00226E47">
          <w:rPr>
            <w:webHidden/>
          </w:rPr>
          <w:t>8</w:t>
        </w:r>
        <w:r w:rsidR="00226E47">
          <w:rPr>
            <w:webHidden/>
          </w:rPr>
          <w:fldChar w:fldCharType="end"/>
        </w:r>
      </w:hyperlink>
    </w:p>
    <w:p w14:paraId="20B61DE0" w14:textId="1EA23F35"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74" w:history="1">
        <w:r w:rsidR="00226E47" w:rsidRPr="001C0855">
          <w:rPr>
            <w:rStyle w:val="Hyperlink"/>
          </w:rPr>
          <w:t>1.1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ABF pricing framework principles</w:t>
        </w:r>
        <w:r w:rsidR="00226E47">
          <w:rPr>
            <w:webHidden/>
          </w:rPr>
          <w:tab/>
        </w:r>
        <w:r w:rsidR="00226E47">
          <w:rPr>
            <w:webHidden/>
          </w:rPr>
          <w:fldChar w:fldCharType="begin"/>
        </w:r>
        <w:r w:rsidR="00226E47">
          <w:rPr>
            <w:webHidden/>
          </w:rPr>
          <w:instrText xml:space="preserve"> PAGEREF _Toc178963574 \h </w:instrText>
        </w:r>
        <w:r w:rsidR="00226E47">
          <w:rPr>
            <w:webHidden/>
          </w:rPr>
        </w:r>
        <w:r w:rsidR="00226E47">
          <w:rPr>
            <w:webHidden/>
          </w:rPr>
          <w:fldChar w:fldCharType="separate"/>
        </w:r>
        <w:r w:rsidR="00226E47">
          <w:rPr>
            <w:webHidden/>
          </w:rPr>
          <w:t>8</w:t>
        </w:r>
        <w:r w:rsidR="00226E47">
          <w:rPr>
            <w:webHidden/>
          </w:rPr>
          <w:fldChar w:fldCharType="end"/>
        </w:r>
      </w:hyperlink>
    </w:p>
    <w:p w14:paraId="05A4E682" w14:textId="208B43C8"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75" w:history="1">
        <w:r w:rsidR="00226E47" w:rsidRPr="001C0855">
          <w:rPr>
            <w:rStyle w:val="Hyperlink"/>
          </w:rPr>
          <w:t>1.2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ABF pricing framework scope</w:t>
        </w:r>
        <w:r w:rsidR="00226E47">
          <w:rPr>
            <w:webHidden/>
          </w:rPr>
          <w:tab/>
        </w:r>
        <w:r w:rsidR="00226E47">
          <w:rPr>
            <w:webHidden/>
          </w:rPr>
          <w:fldChar w:fldCharType="begin"/>
        </w:r>
        <w:r w:rsidR="00226E47">
          <w:rPr>
            <w:webHidden/>
          </w:rPr>
          <w:instrText xml:space="preserve"> PAGEREF _Toc178963575 \h </w:instrText>
        </w:r>
        <w:r w:rsidR="00226E47">
          <w:rPr>
            <w:webHidden/>
          </w:rPr>
        </w:r>
        <w:r w:rsidR="00226E47">
          <w:rPr>
            <w:webHidden/>
          </w:rPr>
          <w:fldChar w:fldCharType="separate"/>
        </w:r>
        <w:r w:rsidR="00226E47">
          <w:rPr>
            <w:webHidden/>
          </w:rPr>
          <w:t>9</w:t>
        </w:r>
        <w:r w:rsidR="00226E47">
          <w:rPr>
            <w:webHidden/>
          </w:rPr>
          <w:fldChar w:fldCharType="end"/>
        </w:r>
      </w:hyperlink>
    </w:p>
    <w:p w14:paraId="222BAB52" w14:textId="6A1E6DE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76" w:history="1">
        <w:r w:rsidR="00226E47" w:rsidRPr="001C0855">
          <w:rPr>
            <w:rStyle w:val="Hyperlink"/>
          </w:rPr>
          <w:t>1.3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efficient price</w:t>
        </w:r>
        <w:r w:rsidR="00226E47">
          <w:rPr>
            <w:webHidden/>
          </w:rPr>
          <w:tab/>
        </w:r>
        <w:r w:rsidR="00226E47">
          <w:rPr>
            <w:webHidden/>
          </w:rPr>
          <w:fldChar w:fldCharType="begin"/>
        </w:r>
        <w:r w:rsidR="00226E47">
          <w:rPr>
            <w:webHidden/>
          </w:rPr>
          <w:instrText xml:space="preserve"> PAGEREF _Toc178963576 \h </w:instrText>
        </w:r>
        <w:r w:rsidR="00226E47">
          <w:rPr>
            <w:webHidden/>
          </w:rPr>
        </w:r>
        <w:r w:rsidR="00226E47">
          <w:rPr>
            <w:webHidden/>
          </w:rPr>
          <w:fldChar w:fldCharType="separate"/>
        </w:r>
        <w:r w:rsidR="00226E47">
          <w:rPr>
            <w:webHidden/>
          </w:rPr>
          <w:t>9</w:t>
        </w:r>
        <w:r w:rsidR="00226E47">
          <w:rPr>
            <w:webHidden/>
          </w:rPr>
          <w:fldChar w:fldCharType="end"/>
        </w:r>
      </w:hyperlink>
    </w:p>
    <w:p w14:paraId="00583512" w14:textId="6A35C0FE"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77" w:history="1">
        <w:r w:rsidR="00226E47" w:rsidRPr="001C0855">
          <w:rPr>
            <w:rStyle w:val="Hyperlink"/>
          </w:rPr>
          <w:t>1.4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Localised pricing adjustments</w:t>
        </w:r>
        <w:r w:rsidR="00226E47">
          <w:rPr>
            <w:webHidden/>
          </w:rPr>
          <w:tab/>
        </w:r>
        <w:r w:rsidR="00226E47">
          <w:rPr>
            <w:webHidden/>
          </w:rPr>
          <w:fldChar w:fldCharType="begin"/>
        </w:r>
        <w:r w:rsidR="00226E47">
          <w:rPr>
            <w:webHidden/>
          </w:rPr>
          <w:instrText xml:space="preserve"> PAGEREF _Toc178963577 \h </w:instrText>
        </w:r>
        <w:r w:rsidR="00226E47">
          <w:rPr>
            <w:webHidden/>
          </w:rPr>
        </w:r>
        <w:r w:rsidR="00226E47">
          <w:rPr>
            <w:webHidden/>
          </w:rPr>
          <w:fldChar w:fldCharType="separate"/>
        </w:r>
        <w:r w:rsidR="00226E47">
          <w:rPr>
            <w:webHidden/>
          </w:rPr>
          <w:t>9</w:t>
        </w:r>
        <w:r w:rsidR="00226E47">
          <w:rPr>
            <w:webHidden/>
          </w:rPr>
          <w:fldChar w:fldCharType="end"/>
        </w:r>
      </w:hyperlink>
    </w:p>
    <w:p w14:paraId="52F8A391" w14:textId="4D3D81F6"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78" w:history="1">
        <w:r w:rsidR="00226E47" w:rsidRPr="001C0855">
          <w:rPr>
            <w:rStyle w:val="Hyperlink"/>
          </w:rPr>
          <w:t>1.5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Funding reforms 2024–25</w:t>
        </w:r>
        <w:r w:rsidR="00226E47">
          <w:rPr>
            <w:webHidden/>
          </w:rPr>
          <w:tab/>
        </w:r>
        <w:r w:rsidR="00226E47">
          <w:rPr>
            <w:webHidden/>
          </w:rPr>
          <w:fldChar w:fldCharType="begin"/>
        </w:r>
        <w:r w:rsidR="00226E47">
          <w:rPr>
            <w:webHidden/>
          </w:rPr>
          <w:instrText xml:space="preserve"> PAGEREF _Toc178963578 \h </w:instrText>
        </w:r>
        <w:r w:rsidR="00226E47">
          <w:rPr>
            <w:webHidden/>
          </w:rPr>
        </w:r>
        <w:r w:rsidR="00226E47">
          <w:rPr>
            <w:webHidden/>
          </w:rPr>
          <w:fldChar w:fldCharType="separate"/>
        </w:r>
        <w:r w:rsidR="00226E47">
          <w:rPr>
            <w:webHidden/>
          </w:rPr>
          <w:t>12</w:t>
        </w:r>
        <w:r w:rsidR="00226E47">
          <w:rPr>
            <w:webHidden/>
          </w:rPr>
          <w:fldChar w:fldCharType="end"/>
        </w:r>
      </w:hyperlink>
    </w:p>
    <w:p w14:paraId="27A7DC14" w14:textId="05B80F01"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579" w:history="1">
        <w:r w:rsidR="00226E47" w:rsidRPr="001C0855">
          <w:rPr>
            <w:rStyle w:val="Hyperlink"/>
          </w:rPr>
          <w:t>2</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Services funded outside the Victorian ABF pricing framework</w:t>
        </w:r>
        <w:r w:rsidR="00226E47">
          <w:rPr>
            <w:webHidden/>
          </w:rPr>
          <w:tab/>
        </w:r>
        <w:r w:rsidR="00226E47">
          <w:rPr>
            <w:webHidden/>
          </w:rPr>
          <w:fldChar w:fldCharType="begin"/>
        </w:r>
        <w:r w:rsidR="00226E47">
          <w:rPr>
            <w:webHidden/>
          </w:rPr>
          <w:instrText xml:space="preserve"> PAGEREF _Toc178963579 \h </w:instrText>
        </w:r>
        <w:r w:rsidR="00226E47">
          <w:rPr>
            <w:webHidden/>
          </w:rPr>
        </w:r>
        <w:r w:rsidR="00226E47">
          <w:rPr>
            <w:webHidden/>
          </w:rPr>
          <w:fldChar w:fldCharType="separate"/>
        </w:r>
        <w:r w:rsidR="00226E47">
          <w:rPr>
            <w:webHidden/>
          </w:rPr>
          <w:t>13</w:t>
        </w:r>
        <w:r w:rsidR="00226E47">
          <w:rPr>
            <w:webHidden/>
          </w:rPr>
          <w:fldChar w:fldCharType="end"/>
        </w:r>
      </w:hyperlink>
    </w:p>
    <w:p w14:paraId="6DB2AA6D" w14:textId="76045935"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0" w:history="1">
        <w:r w:rsidR="00226E47" w:rsidRPr="001C0855">
          <w:rPr>
            <w:rStyle w:val="Hyperlink"/>
          </w:rPr>
          <w:t>2.1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Community health pricing</w:t>
        </w:r>
        <w:r w:rsidR="00226E47">
          <w:rPr>
            <w:webHidden/>
          </w:rPr>
          <w:tab/>
        </w:r>
        <w:r w:rsidR="00226E47">
          <w:rPr>
            <w:webHidden/>
          </w:rPr>
          <w:fldChar w:fldCharType="begin"/>
        </w:r>
        <w:r w:rsidR="00226E47">
          <w:rPr>
            <w:webHidden/>
          </w:rPr>
          <w:instrText xml:space="preserve"> PAGEREF _Toc178963580 \h </w:instrText>
        </w:r>
        <w:r w:rsidR="00226E47">
          <w:rPr>
            <w:webHidden/>
          </w:rPr>
        </w:r>
        <w:r w:rsidR="00226E47">
          <w:rPr>
            <w:webHidden/>
          </w:rPr>
          <w:fldChar w:fldCharType="separate"/>
        </w:r>
        <w:r w:rsidR="00226E47">
          <w:rPr>
            <w:webHidden/>
          </w:rPr>
          <w:t>13</w:t>
        </w:r>
        <w:r w:rsidR="00226E47">
          <w:rPr>
            <w:webHidden/>
          </w:rPr>
          <w:fldChar w:fldCharType="end"/>
        </w:r>
      </w:hyperlink>
    </w:p>
    <w:p w14:paraId="7A411C84" w14:textId="3E76C27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1" w:history="1">
        <w:r w:rsidR="00226E47" w:rsidRPr="001C0855">
          <w:rPr>
            <w:rStyle w:val="Hyperlink"/>
          </w:rPr>
          <w:t>2.2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Nationally funded centres</w:t>
        </w:r>
        <w:r w:rsidR="00226E47">
          <w:rPr>
            <w:webHidden/>
          </w:rPr>
          <w:tab/>
        </w:r>
        <w:r w:rsidR="00226E47">
          <w:rPr>
            <w:webHidden/>
          </w:rPr>
          <w:fldChar w:fldCharType="begin"/>
        </w:r>
        <w:r w:rsidR="00226E47">
          <w:rPr>
            <w:webHidden/>
          </w:rPr>
          <w:instrText xml:space="preserve"> PAGEREF _Toc178963581 \h </w:instrText>
        </w:r>
        <w:r w:rsidR="00226E47">
          <w:rPr>
            <w:webHidden/>
          </w:rPr>
        </w:r>
        <w:r w:rsidR="00226E47">
          <w:rPr>
            <w:webHidden/>
          </w:rPr>
          <w:fldChar w:fldCharType="separate"/>
        </w:r>
        <w:r w:rsidR="00226E47">
          <w:rPr>
            <w:webHidden/>
          </w:rPr>
          <w:t>13</w:t>
        </w:r>
        <w:r w:rsidR="00226E47">
          <w:rPr>
            <w:webHidden/>
          </w:rPr>
          <w:fldChar w:fldCharType="end"/>
        </w:r>
      </w:hyperlink>
    </w:p>
    <w:p w14:paraId="2EEFFD26" w14:textId="65E44F76"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2" w:history="1">
        <w:r w:rsidR="00226E47" w:rsidRPr="001C0855">
          <w:rPr>
            <w:rStyle w:val="Hyperlink"/>
          </w:rPr>
          <w:t>2.3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Mental health and wellbeing</w:t>
        </w:r>
        <w:r w:rsidR="00226E47">
          <w:rPr>
            <w:webHidden/>
          </w:rPr>
          <w:tab/>
        </w:r>
        <w:r w:rsidR="00226E47">
          <w:rPr>
            <w:webHidden/>
          </w:rPr>
          <w:fldChar w:fldCharType="begin"/>
        </w:r>
        <w:r w:rsidR="00226E47">
          <w:rPr>
            <w:webHidden/>
          </w:rPr>
          <w:instrText xml:space="preserve"> PAGEREF _Toc178963582 \h </w:instrText>
        </w:r>
        <w:r w:rsidR="00226E47">
          <w:rPr>
            <w:webHidden/>
          </w:rPr>
        </w:r>
        <w:r w:rsidR="00226E47">
          <w:rPr>
            <w:webHidden/>
          </w:rPr>
          <w:fldChar w:fldCharType="separate"/>
        </w:r>
        <w:r w:rsidR="00226E47">
          <w:rPr>
            <w:webHidden/>
          </w:rPr>
          <w:t>13</w:t>
        </w:r>
        <w:r w:rsidR="00226E47">
          <w:rPr>
            <w:webHidden/>
          </w:rPr>
          <w:fldChar w:fldCharType="end"/>
        </w:r>
      </w:hyperlink>
    </w:p>
    <w:p w14:paraId="47CF64C2" w14:textId="3D3130AC"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3" w:history="1">
        <w:r w:rsidR="00226E47" w:rsidRPr="001C0855">
          <w:rPr>
            <w:rStyle w:val="Hyperlink"/>
          </w:rPr>
          <w:t>2.4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Community palliative care</w:t>
        </w:r>
        <w:r w:rsidR="00226E47">
          <w:rPr>
            <w:webHidden/>
          </w:rPr>
          <w:tab/>
        </w:r>
        <w:r w:rsidR="00226E47">
          <w:rPr>
            <w:webHidden/>
          </w:rPr>
          <w:fldChar w:fldCharType="begin"/>
        </w:r>
        <w:r w:rsidR="00226E47">
          <w:rPr>
            <w:webHidden/>
          </w:rPr>
          <w:instrText xml:space="preserve"> PAGEREF _Toc178963583 \h </w:instrText>
        </w:r>
        <w:r w:rsidR="00226E47">
          <w:rPr>
            <w:webHidden/>
          </w:rPr>
        </w:r>
        <w:r w:rsidR="00226E47">
          <w:rPr>
            <w:webHidden/>
          </w:rPr>
          <w:fldChar w:fldCharType="separate"/>
        </w:r>
        <w:r w:rsidR="00226E47">
          <w:rPr>
            <w:webHidden/>
          </w:rPr>
          <w:t>14</w:t>
        </w:r>
        <w:r w:rsidR="00226E47">
          <w:rPr>
            <w:webHidden/>
          </w:rPr>
          <w:fldChar w:fldCharType="end"/>
        </w:r>
      </w:hyperlink>
    </w:p>
    <w:p w14:paraId="7A594B07" w14:textId="2FB43EAA"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4" w:history="1">
        <w:r w:rsidR="00226E47" w:rsidRPr="001C0855">
          <w:rPr>
            <w:rStyle w:val="Hyperlink"/>
          </w:rPr>
          <w:t>2.5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Palliative care consultancy services</w:t>
        </w:r>
        <w:r w:rsidR="00226E47">
          <w:rPr>
            <w:webHidden/>
          </w:rPr>
          <w:tab/>
        </w:r>
        <w:r w:rsidR="00226E47">
          <w:rPr>
            <w:webHidden/>
          </w:rPr>
          <w:fldChar w:fldCharType="begin"/>
        </w:r>
        <w:r w:rsidR="00226E47">
          <w:rPr>
            <w:webHidden/>
          </w:rPr>
          <w:instrText xml:space="preserve"> PAGEREF _Toc178963584 \h </w:instrText>
        </w:r>
        <w:r w:rsidR="00226E47">
          <w:rPr>
            <w:webHidden/>
          </w:rPr>
        </w:r>
        <w:r w:rsidR="00226E47">
          <w:rPr>
            <w:webHidden/>
          </w:rPr>
          <w:fldChar w:fldCharType="separate"/>
        </w:r>
        <w:r w:rsidR="00226E47">
          <w:rPr>
            <w:webHidden/>
          </w:rPr>
          <w:t>14</w:t>
        </w:r>
        <w:r w:rsidR="00226E47">
          <w:rPr>
            <w:webHidden/>
          </w:rPr>
          <w:fldChar w:fldCharType="end"/>
        </w:r>
      </w:hyperlink>
    </w:p>
    <w:p w14:paraId="4EA0429A" w14:textId="66EC0613"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5" w:history="1">
        <w:r w:rsidR="00226E47" w:rsidRPr="001C0855">
          <w:rPr>
            <w:rStyle w:val="Hyperlink"/>
          </w:rPr>
          <w:t>2.6</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Local public health unit block-funded functions</w:t>
        </w:r>
        <w:r w:rsidR="00226E47">
          <w:rPr>
            <w:webHidden/>
          </w:rPr>
          <w:tab/>
        </w:r>
        <w:r w:rsidR="00226E47">
          <w:rPr>
            <w:webHidden/>
          </w:rPr>
          <w:fldChar w:fldCharType="begin"/>
        </w:r>
        <w:r w:rsidR="00226E47">
          <w:rPr>
            <w:webHidden/>
          </w:rPr>
          <w:instrText xml:space="preserve"> PAGEREF _Toc178963585 \h </w:instrText>
        </w:r>
        <w:r w:rsidR="00226E47">
          <w:rPr>
            <w:webHidden/>
          </w:rPr>
        </w:r>
        <w:r w:rsidR="00226E47">
          <w:rPr>
            <w:webHidden/>
          </w:rPr>
          <w:fldChar w:fldCharType="separate"/>
        </w:r>
        <w:r w:rsidR="00226E47">
          <w:rPr>
            <w:webHidden/>
          </w:rPr>
          <w:t>15</w:t>
        </w:r>
        <w:r w:rsidR="00226E47">
          <w:rPr>
            <w:webHidden/>
          </w:rPr>
          <w:fldChar w:fldCharType="end"/>
        </w:r>
      </w:hyperlink>
    </w:p>
    <w:p w14:paraId="7527FFE9" w14:textId="0498E633"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6" w:history="1">
        <w:r w:rsidR="00226E47" w:rsidRPr="001C0855">
          <w:rPr>
            <w:rStyle w:val="Hyperlink"/>
          </w:rPr>
          <w:t>2.7</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Radiotherapy</w:t>
        </w:r>
        <w:r w:rsidR="00226E47">
          <w:rPr>
            <w:webHidden/>
          </w:rPr>
          <w:tab/>
        </w:r>
        <w:r w:rsidR="00226E47">
          <w:rPr>
            <w:webHidden/>
          </w:rPr>
          <w:fldChar w:fldCharType="begin"/>
        </w:r>
        <w:r w:rsidR="00226E47">
          <w:rPr>
            <w:webHidden/>
          </w:rPr>
          <w:instrText xml:space="preserve"> PAGEREF _Toc178963586 \h </w:instrText>
        </w:r>
        <w:r w:rsidR="00226E47">
          <w:rPr>
            <w:webHidden/>
          </w:rPr>
        </w:r>
        <w:r w:rsidR="00226E47">
          <w:rPr>
            <w:webHidden/>
          </w:rPr>
          <w:fldChar w:fldCharType="separate"/>
        </w:r>
        <w:r w:rsidR="00226E47">
          <w:rPr>
            <w:webHidden/>
          </w:rPr>
          <w:t>16</w:t>
        </w:r>
        <w:r w:rsidR="00226E47">
          <w:rPr>
            <w:webHidden/>
          </w:rPr>
          <w:fldChar w:fldCharType="end"/>
        </w:r>
      </w:hyperlink>
    </w:p>
    <w:p w14:paraId="1A91720D" w14:textId="135FBA51"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7" w:history="1">
        <w:r w:rsidR="00226E47" w:rsidRPr="001C0855">
          <w:rPr>
            <w:rStyle w:val="Hyperlink"/>
          </w:rPr>
          <w:t>2.8</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Subcutaneous immunoglobulin therapy</w:t>
        </w:r>
        <w:r w:rsidR="00226E47">
          <w:rPr>
            <w:webHidden/>
          </w:rPr>
          <w:tab/>
        </w:r>
        <w:r w:rsidR="00226E47">
          <w:rPr>
            <w:webHidden/>
          </w:rPr>
          <w:fldChar w:fldCharType="begin"/>
        </w:r>
        <w:r w:rsidR="00226E47">
          <w:rPr>
            <w:webHidden/>
          </w:rPr>
          <w:instrText xml:space="preserve"> PAGEREF _Toc178963587 \h </w:instrText>
        </w:r>
        <w:r w:rsidR="00226E47">
          <w:rPr>
            <w:webHidden/>
          </w:rPr>
        </w:r>
        <w:r w:rsidR="00226E47">
          <w:rPr>
            <w:webHidden/>
          </w:rPr>
          <w:fldChar w:fldCharType="separate"/>
        </w:r>
        <w:r w:rsidR="00226E47">
          <w:rPr>
            <w:webHidden/>
          </w:rPr>
          <w:t>18</w:t>
        </w:r>
        <w:r w:rsidR="00226E47">
          <w:rPr>
            <w:webHidden/>
          </w:rPr>
          <w:fldChar w:fldCharType="end"/>
        </w:r>
      </w:hyperlink>
    </w:p>
    <w:p w14:paraId="58D11F7C" w14:textId="675D0FE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88" w:history="1">
        <w:r w:rsidR="00226E47" w:rsidRPr="001C0855">
          <w:rPr>
            <w:rStyle w:val="Hyperlink"/>
          </w:rPr>
          <w:t>2.9</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Transition Care Program</w:t>
        </w:r>
        <w:r w:rsidR="00226E47">
          <w:rPr>
            <w:webHidden/>
          </w:rPr>
          <w:tab/>
        </w:r>
        <w:r w:rsidR="00226E47">
          <w:rPr>
            <w:webHidden/>
          </w:rPr>
          <w:fldChar w:fldCharType="begin"/>
        </w:r>
        <w:r w:rsidR="00226E47">
          <w:rPr>
            <w:webHidden/>
          </w:rPr>
          <w:instrText xml:space="preserve"> PAGEREF _Toc178963588 \h </w:instrText>
        </w:r>
        <w:r w:rsidR="00226E47">
          <w:rPr>
            <w:webHidden/>
          </w:rPr>
        </w:r>
        <w:r w:rsidR="00226E47">
          <w:rPr>
            <w:webHidden/>
          </w:rPr>
          <w:fldChar w:fldCharType="separate"/>
        </w:r>
        <w:r w:rsidR="00226E47">
          <w:rPr>
            <w:webHidden/>
          </w:rPr>
          <w:t>18</w:t>
        </w:r>
        <w:r w:rsidR="00226E47">
          <w:rPr>
            <w:webHidden/>
          </w:rPr>
          <w:fldChar w:fldCharType="end"/>
        </w:r>
      </w:hyperlink>
    </w:p>
    <w:p w14:paraId="69B1ABD1" w14:textId="0FAE21CB" w:rsidR="00226E47" w:rsidRPr="00A67B23" w:rsidRDefault="00000000" w:rsidP="00A67B23">
      <w:pPr>
        <w:pStyle w:val="TOC2"/>
        <w:tabs>
          <w:tab w:val="left" w:pos="567"/>
        </w:tabs>
        <w:rPr>
          <w:rStyle w:val="Hyperlink"/>
        </w:rPr>
      </w:pPr>
      <w:hyperlink w:anchor="_Toc178963589" w:history="1">
        <w:r w:rsidR="00226E47" w:rsidRPr="001C0855">
          <w:rPr>
            <w:rStyle w:val="Hyperlink"/>
          </w:rPr>
          <w:t>2.10</w:t>
        </w:r>
        <w:r w:rsidR="00226E47" w:rsidRPr="00A67B23">
          <w:rPr>
            <w:rStyle w:val="Hyperlink"/>
          </w:rPr>
          <w:tab/>
        </w:r>
        <w:r w:rsidR="00226E47" w:rsidRPr="001C0855">
          <w:rPr>
            <w:rStyle w:val="Hyperlink"/>
          </w:rPr>
          <w:t>Victorian Virtual Emergency Department</w:t>
        </w:r>
        <w:r w:rsidR="00226E47" w:rsidRPr="00A67B23">
          <w:rPr>
            <w:rStyle w:val="Hyperlink"/>
            <w:webHidden/>
          </w:rPr>
          <w:tab/>
        </w:r>
        <w:r w:rsidR="00226E47" w:rsidRPr="00A67B23">
          <w:rPr>
            <w:rStyle w:val="Hyperlink"/>
            <w:webHidden/>
          </w:rPr>
          <w:fldChar w:fldCharType="begin"/>
        </w:r>
        <w:r w:rsidR="00226E47" w:rsidRPr="00A67B23">
          <w:rPr>
            <w:rStyle w:val="Hyperlink"/>
            <w:webHidden/>
          </w:rPr>
          <w:instrText xml:space="preserve"> PAGEREF _Toc178963589 \h </w:instrText>
        </w:r>
        <w:r w:rsidR="00226E47" w:rsidRPr="00A67B23">
          <w:rPr>
            <w:rStyle w:val="Hyperlink"/>
            <w:webHidden/>
          </w:rPr>
        </w:r>
        <w:r w:rsidR="00226E47" w:rsidRPr="00A67B23">
          <w:rPr>
            <w:rStyle w:val="Hyperlink"/>
            <w:webHidden/>
          </w:rPr>
          <w:fldChar w:fldCharType="separate"/>
        </w:r>
        <w:r w:rsidR="00226E47" w:rsidRPr="00A67B23">
          <w:rPr>
            <w:rStyle w:val="Hyperlink"/>
            <w:webHidden/>
          </w:rPr>
          <w:t>19</w:t>
        </w:r>
        <w:r w:rsidR="00226E47" w:rsidRPr="00A67B23">
          <w:rPr>
            <w:rStyle w:val="Hyperlink"/>
            <w:webHidden/>
          </w:rPr>
          <w:fldChar w:fldCharType="end"/>
        </w:r>
      </w:hyperlink>
    </w:p>
    <w:p w14:paraId="60194D9C" w14:textId="2B4836CF" w:rsidR="00226E47" w:rsidRPr="00A67B23" w:rsidRDefault="00000000" w:rsidP="00A67B23">
      <w:pPr>
        <w:pStyle w:val="TOC2"/>
        <w:tabs>
          <w:tab w:val="left" w:pos="567"/>
        </w:tabs>
        <w:rPr>
          <w:rStyle w:val="Hyperlink"/>
        </w:rPr>
      </w:pPr>
      <w:hyperlink w:anchor="_Toc178963590" w:history="1">
        <w:r w:rsidR="00226E47" w:rsidRPr="00A67B23">
          <w:rPr>
            <w:rStyle w:val="Hyperlink"/>
          </w:rPr>
          <w:t>2.11</w:t>
        </w:r>
        <w:r w:rsidR="00226E47" w:rsidRPr="00A67B23">
          <w:rPr>
            <w:rStyle w:val="Hyperlink"/>
          </w:rPr>
          <w:tab/>
        </w:r>
        <w:r w:rsidR="00226E47" w:rsidRPr="001C0855">
          <w:rPr>
            <w:rStyle w:val="Hyperlink"/>
          </w:rPr>
          <w:t>High cost, highly specialised therapies</w:t>
        </w:r>
        <w:r w:rsidR="00226E47" w:rsidRPr="00A67B23">
          <w:rPr>
            <w:rStyle w:val="Hyperlink"/>
            <w:webHidden/>
          </w:rPr>
          <w:tab/>
        </w:r>
        <w:r w:rsidR="00226E47" w:rsidRPr="00A67B23">
          <w:rPr>
            <w:rStyle w:val="Hyperlink"/>
            <w:webHidden/>
          </w:rPr>
          <w:fldChar w:fldCharType="begin"/>
        </w:r>
        <w:r w:rsidR="00226E47" w:rsidRPr="00A67B23">
          <w:rPr>
            <w:rStyle w:val="Hyperlink"/>
            <w:webHidden/>
          </w:rPr>
          <w:instrText xml:space="preserve"> PAGEREF _Toc178963590 \h </w:instrText>
        </w:r>
        <w:r w:rsidR="00226E47" w:rsidRPr="00A67B23">
          <w:rPr>
            <w:rStyle w:val="Hyperlink"/>
            <w:webHidden/>
          </w:rPr>
        </w:r>
        <w:r w:rsidR="00226E47" w:rsidRPr="00A67B23">
          <w:rPr>
            <w:rStyle w:val="Hyperlink"/>
            <w:webHidden/>
          </w:rPr>
          <w:fldChar w:fldCharType="separate"/>
        </w:r>
        <w:r w:rsidR="00226E47" w:rsidRPr="00A67B23">
          <w:rPr>
            <w:rStyle w:val="Hyperlink"/>
            <w:webHidden/>
          </w:rPr>
          <w:t>19</w:t>
        </w:r>
        <w:r w:rsidR="00226E47" w:rsidRPr="00A67B23">
          <w:rPr>
            <w:rStyle w:val="Hyperlink"/>
            <w:webHidden/>
          </w:rPr>
          <w:fldChar w:fldCharType="end"/>
        </w:r>
      </w:hyperlink>
    </w:p>
    <w:p w14:paraId="45C34DF6" w14:textId="21E18B87"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591" w:history="1">
        <w:r w:rsidR="00226E47" w:rsidRPr="001C0855">
          <w:rPr>
            <w:rStyle w:val="Hyperlink"/>
          </w:rPr>
          <w:t>3</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Compensable and cross-border patients</w:t>
        </w:r>
        <w:r w:rsidR="00226E47">
          <w:rPr>
            <w:webHidden/>
          </w:rPr>
          <w:tab/>
        </w:r>
        <w:r w:rsidR="00226E47">
          <w:rPr>
            <w:webHidden/>
          </w:rPr>
          <w:fldChar w:fldCharType="begin"/>
        </w:r>
        <w:r w:rsidR="00226E47">
          <w:rPr>
            <w:webHidden/>
          </w:rPr>
          <w:instrText xml:space="preserve"> PAGEREF _Toc178963591 \h </w:instrText>
        </w:r>
        <w:r w:rsidR="00226E47">
          <w:rPr>
            <w:webHidden/>
          </w:rPr>
        </w:r>
        <w:r w:rsidR="00226E47">
          <w:rPr>
            <w:webHidden/>
          </w:rPr>
          <w:fldChar w:fldCharType="separate"/>
        </w:r>
        <w:r w:rsidR="00226E47">
          <w:rPr>
            <w:webHidden/>
          </w:rPr>
          <w:t>21</w:t>
        </w:r>
        <w:r w:rsidR="00226E47">
          <w:rPr>
            <w:webHidden/>
          </w:rPr>
          <w:fldChar w:fldCharType="end"/>
        </w:r>
      </w:hyperlink>
    </w:p>
    <w:p w14:paraId="7092AC9B" w14:textId="6216ED51"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2" w:history="1">
        <w:r w:rsidR="00226E47" w:rsidRPr="001C0855">
          <w:rPr>
            <w:rStyle w:val="Hyperlink"/>
          </w:rPr>
          <w:t>3.1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Compensable patients</w:t>
        </w:r>
        <w:r w:rsidR="00226E47">
          <w:rPr>
            <w:webHidden/>
          </w:rPr>
          <w:tab/>
        </w:r>
        <w:r w:rsidR="00226E47">
          <w:rPr>
            <w:webHidden/>
          </w:rPr>
          <w:fldChar w:fldCharType="begin"/>
        </w:r>
        <w:r w:rsidR="00226E47">
          <w:rPr>
            <w:webHidden/>
          </w:rPr>
          <w:instrText xml:space="preserve"> PAGEREF _Toc178963592 \h </w:instrText>
        </w:r>
        <w:r w:rsidR="00226E47">
          <w:rPr>
            <w:webHidden/>
          </w:rPr>
        </w:r>
        <w:r w:rsidR="00226E47">
          <w:rPr>
            <w:webHidden/>
          </w:rPr>
          <w:fldChar w:fldCharType="separate"/>
        </w:r>
        <w:r w:rsidR="00226E47">
          <w:rPr>
            <w:webHidden/>
          </w:rPr>
          <w:t>21</w:t>
        </w:r>
        <w:r w:rsidR="00226E47">
          <w:rPr>
            <w:webHidden/>
          </w:rPr>
          <w:fldChar w:fldCharType="end"/>
        </w:r>
      </w:hyperlink>
    </w:p>
    <w:p w14:paraId="45F4B922" w14:textId="7988194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3" w:history="1">
        <w:r w:rsidR="00226E47" w:rsidRPr="001C0855">
          <w:rPr>
            <w:rStyle w:val="Hyperlink"/>
          </w:rPr>
          <w:t>3.2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Cross-border patients</w:t>
        </w:r>
        <w:r w:rsidR="00226E47">
          <w:rPr>
            <w:webHidden/>
          </w:rPr>
          <w:tab/>
        </w:r>
        <w:r w:rsidR="00226E47">
          <w:rPr>
            <w:webHidden/>
          </w:rPr>
          <w:fldChar w:fldCharType="begin"/>
        </w:r>
        <w:r w:rsidR="00226E47">
          <w:rPr>
            <w:webHidden/>
          </w:rPr>
          <w:instrText xml:space="preserve"> PAGEREF _Toc178963593 \h </w:instrText>
        </w:r>
        <w:r w:rsidR="00226E47">
          <w:rPr>
            <w:webHidden/>
          </w:rPr>
        </w:r>
        <w:r w:rsidR="00226E47">
          <w:rPr>
            <w:webHidden/>
          </w:rPr>
          <w:fldChar w:fldCharType="separate"/>
        </w:r>
        <w:r w:rsidR="00226E47">
          <w:rPr>
            <w:webHidden/>
          </w:rPr>
          <w:t>28</w:t>
        </w:r>
        <w:r w:rsidR="00226E47">
          <w:rPr>
            <w:webHidden/>
          </w:rPr>
          <w:fldChar w:fldCharType="end"/>
        </w:r>
      </w:hyperlink>
    </w:p>
    <w:p w14:paraId="586F2CE2" w14:textId="5DADAE25"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594" w:history="1">
        <w:r w:rsidR="00226E47" w:rsidRPr="001C0855">
          <w:rPr>
            <w:rStyle w:val="Hyperlink"/>
            <w:rFonts w:eastAsia="Arial"/>
          </w:rPr>
          <w:t>4</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Improving health outcomes for Aboriginal and Torres Strait Islander patients</w:t>
        </w:r>
        <w:r w:rsidR="00226E47">
          <w:rPr>
            <w:webHidden/>
          </w:rPr>
          <w:tab/>
        </w:r>
        <w:r w:rsidR="00226E47">
          <w:rPr>
            <w:webHidden/>
          </w:rPr>
          <w:fldChar w:fldCharType="begin"/>
        </w:r>
        <w:r w:rsidR="00226E47">
          <w:rPr>
            <w:webHidden/>
          </w:rPr>
          <w:instrText xml:space="preserve"> PAGEREF _Toc178963594 \h </w:instrText>
        </w:r>
        <w:r w:rsidR="00226E47">
          <w:rPr>
            <w:webHidden/>
          </w:rPr>
        </w:r>
        <w:r w:rsidR="00226E47">
          <w:rPr>
            <w:webHidden/>
          </w:rPr>
          <w:fldChar w:fldCharType="separate"/>
        </w:r>
        <w:r w:rsidR="00226E47">
          <w:rPr>
            <w:webHidden/>
          </w:rPr>
          <w:t>30</w:t>
        </w:r>
        <w:r w:rsidR="00226E47">
          <w:rPr>
            <w:webHidden/>
          </w:rPr>
          <w:fldChar w:fldCharType="end"/>
        </w:r>
      </w:hyperlink>
    </w:p>
    <w:p w14:paraId="3C19CAA5" w14:textId="1689114A"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5" w:history="1">
        <w:r w:rsidR="00226E47" w:rsidRPr="001C0855">
          <w:rPr>
            <w:rStyle w:val="Hyperlink"/>
            <w:rFonts w:eastAsia="Arial" w:cs="Arial"/>
          </w:rPr>
          <w:t>4.1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Aboriginal cultural safety planning and reporting requirements</w:t>
        </w:r>
        <w:r w:rsidR="00226E47">
          <w:rPr>
            <w:webHidden/>
          </w:rPr>
          <w:tab/>
        </w:r>
        <w:r w:rsidR="00226E47">
          <w:rPr>
            <w:webHidden/>
          </w:rPr>
          <w:fldChar w:fldCharType="begin"/>
        </w:r>
        <w:r w:rsidR="00226E47">
          <w:rPr>
            <w:webHidden/>
          </w:rPr>
          <w:instrText xml:space="preserve"> PAGEREF _Toc178963595 \h </w:instrText>
        </w:r>
        <w:r w:rsidR="00226E47">
          <w:rPr>
            <w:webHidden/>
          </w:rPr>
        </w:r>
        <w:r w:rsidR="00226E47">
          <w:rPr>
            <w:webHidden/>
          </w:rPr>
          <w:fldChar w:fldCharType="separate"/>
        </w:r>
        <w:r w:rsidR="00226E47">
          <w:rPr>
            <w:webHidden/>
          </w:rPr>
          <w:t>31</w:t>
        </w:r>
        <w:r w:rsidR="00226E47">
          <w:rPr>
            <w:webHidden/>
          </w:rPr>
          <w:fldChar w:fldCharType="end"/>
        </w:r>
      </w:hyperlink>
    </w:p>
    <w:p w14:paraId="447FEF09" w14:textId="3DFEAEE2"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6" w:history="1">
        <w:r w:rsidR="00226E47" w:rsidRPr="001C0855">
          <w:rPr>
            <w:rStyle w:val="Hyperlink"/>
          </w:rPr>
          <w:t>4.2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Indicators and monitoring</w:t>
        </w:r>
        <w:r w:rsidR="00226E47">
          <w:rPr>
            <w:webHidden/>
          </w:rPr>
          <w:tab/>
        </w:r>
        <w:r w:rsidR="00226E47">
          <w:rPr>
            <w:webHidden/>
          </w:rPr>
          <w:fldChar w:fldCharType="begin"/>
        </w:r>
        <w:r w:rsidR="00226E47">
          <w:rPr>
            <w:webHidden/>
          </w:rPr>
          <w:instrText xml:space="preserve"> PAGEREF _Toc178963596 \h </w:instrText>
        </w:r>
        <w:r w:rsidR="00226E47">
          <w:rPr>
            <w:webHidden/>
          </w:rPr>
        </w:r>
        <w:r w:rsidR="00226E47">
          <w:rPr>
            <w:webHidden/>
          </w:rPr>
          <w:fldChar w:fldCharType="separate"/>
        </w:r>
        <w:r w:rsidR="00226E47">
          <w:rPr>
            <w:webHidden/>
          </w:rPr>
          <w:t>31</w:t>
        </w:r>
        <w:r w:rsidR="00226E47">
          <w:rPr>
            <w:webHidden/>
          </w:rPr>
          <w:fldChar w:fldCharType="end"/>
        </w:r>
      </w:hyperlink>
    </w:p>
    <w:p w14:paraId="7B0216F7" w14:textId="232F98E2"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597" w:history="1">
        <w:r w:rsidR="00226E47" w:rsidRPr="001C0855">
          <w:rPr>
            <w:rStyle w:val="Hyperlink"/>
          </w:rPr>
          <w:t>5</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Pricing for quality</w:t>
        </w:r>
        <w:r w:rsidR="00226E47">
          <w:rPr>
            <w:webHidden/>
          </w:rPr>
          <w:tab/>
        </w:r>
        <w:r w:rsidR="00226E47">
          <w:rPr>
            <w:webHidden/>
          </w:rPr>
          <w:fldChar w:fldCharType="begin"/>
        </w:r>
        <w:r w:rsidR="00226E47">
          <w:rPr>
            <w:webHidden/>
          </w:rPr>
          <w:instrText xml:space="preserve"> PAGEREF _Toc178963597 \h </w:instrText>
        </w:r>
        <w:r w:rsidR="00226E47">
          <w:rPr>
            <w:webHidden/>
          </w:rPr>
        </w:r>
        <w:r w:rsidR="00226E47">
          <w:rPr>
            <w:webHidden/>
          </w:rPr>
          <w:fldChar w:fldCharType="separate"/>
        </w:r>
        <w:r w:rsidR="00226E47">
          <w:rPr>
            <w:webHidden/>
          </w:rPr>
          <w:t>32</w:t>
        </w:r>
        <w:r w:rsidR="00226E47">
          <w:rPr>
            <w:webHidden/>
          </w:rPr>
          <w:fldChar w:fldCharType="end"/>
        </w:r>
      </w:hyperlink>
    </w:p>
    <w:p w14:paraId="1A37F4BF" w14:textId="0761E2F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8" w:history="1">
        <w:r w:rsidR="00226E47" w:rsidRPr="001C0855">
          <w:rPr>
            <w:rStyle w:val="Hyperlink"/>
            <w:lang w:eastAsia="en-AU"/>
          </w:rPr>
          <w:t>5.1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Sentinel</w:t>
        </w:r>
        <w:r w:rsidR="00226E47" w:rsidRPr="001C0855">
          <w:rPr>
            <w:rStyle w:val="Hyperlink"/>
            <w:lang w:eastAsia="en-AU"/>
          </w:rPr>
          <w:t xml:space="preserve"> events</w:t>
        </w:r>
        <w:r w:rsidR="00226E47">
          <w:rPr>
            <w:webHidden/>
          </w:rPr>
          <w:tab/>
        </w:r>
        <w:r w:rsidR="00226E47">
          <w:rPr>
            <w:webHidden/>
          </w:rPr>
          <w:fldChar w:fldCharType="begin"/>
        </w:r>
        <w:r w:rsidR="00226E47">
          <w:rPr>
            <w:webHidden/>
          </w:rPr>
          <w:instrText xml:space="preserve"> PAGEREF _Toc178963598 \h </w:instrText>
        </w:r>
        <w:r w:rsidR="00226E47">
          <w:rPr>
            <w:webHidden/>
          </w:rPr>
        </w:r>
        <w:r w:rsidR="00226E47">
          <w:rPr>
            <w:webHidden/>
          </w:rPr>
          <w:fldChar w:fldCharType="separate"/>
        </w:r>
        <w:r w:rsidR="00226E47">
          <w:rPr>
            <w:webHidden/>
          </w:rPr>
          <w:t>32</w:t>
        </w:r>
        <w:r w:rsidR="00226E47">
          <w:rPr>
            <w:webHidden/>
          </w:rPr>
          <w:fldChar w:fldCharType="end"/>
        </w:r>
      </w:hyperlink>
    </w:p>
    <w:p w14:paraId="6FB51654" w14:textId="2105E2F6"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599" w:history="1">
        <w:r w:rsidR="00226E47" w:rsidRPr="001C0855">
          <w:rPr>
            <w:rStyle w:val="Hyperlink"/>
            <w:lang w:eastAsia="en-AU"/>
          </w:rPr>
          <w:t>5.2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lang w:eastAsia="en-AU"/>
          </w:rPr>
          <w:t xml:space="preserve">Hospital acquired </w:t>
        </w:r>
        <w:r w:rsidR="00226E47" w:rsidRPr="001C0855">
          <w:rPr>
            <w:rStyle w:val="Hyperlink"/>
          </w:rPr>
          <w:t>complications</w:t>
        </w:r>
        <w:r w:rsidR="00226E47">
          <w:rPr>
            <w:webHidden/>
          </w:rPr>
          <w:tab/>
        </w:r>
        <w:r w:rsidR="00226E47">
          <w:rPr>
            <w:webHidden/>
          </w:rPr>
          <w:fldChar w:fldCharType="begin"/>
        </w:r>
        <w:r w:rsidR="00226E47">
          <w:rPr>
            <w:webHidden/>
          </w:rPr>
          <w:instrText xml:space="preserve"> PAGEREF _Toc178963599 \h </w:instrText>
        </w:r>
        <w:r w:rsidR="00226E47">
          <w:rPr>
            <w:webHidden/>
          </w:rPr>
        </w:r>
        <w:r w:rsidR="00226E47">
          <w:rPr>
            <w:webHidden/>
          </w:rPr>
          <w:fldChar w:fldCharType="separate"/>
        </w:r>
        <w:r w:rsidR="00226E47">
          <w:rPr>
            <w:webHidden/>
          </w:rPr>
          <w:t>33</w:t>
        </w:r>
        <w:r w:rsidR="00226E47">
          <w:rPr>
            <w:webHidden/>
          </w:rPr>
          <w:fldChar w:fldCharType="end"/>
        </w:r>
      </w:hyperlink>
    </w:p>
    <w:p w14:paraId="112697A5" w14:textId="0821E762"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0" w:history="1">
        <w:r w:rsidR="00226E47" w:rsidRPr="001C0855">
          <w:rPr>
            <w:rStyle w:val="Hyperlink"/>
            <w:lang w:eastAsia="en-AU"/>
          </w:rPr>
          <w:t>5.3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lang w:eastAsia="en-AU"/>
          </w:rPr>
          <w:t>Avoidable hospital readmissions</w:t>
        </w:r>
        <w:r w:rsidR="00226E47">
          <w:rPr>
            <w:webHidden/>
          </w:rPr>
          <w:tab/>
        </w:r>
        <w:r w:rsidR="00226E47">
          <w:rPr>
            <w:webHidden/>
          </w:rPr>
          <w:fldChar w:fldCharType="begin"/>
        </w:r>
        <w:r w:rsidR="00226E47">
          <w:rPr>
            <w:webHidden/>
          </w:rPr>
          <w:instrText xml:space="preserve"> PAGEREF _Toc178963600 \h </w:instrText>
        </w:r>
        <w:r w:rsidR="00226E47">
          <w:rPr>
            <w:webHidden/>
          </w:rPr>
        </w:r>
        <w:r w:rsidR="00226E47">
          <w:rPr>
            <w:webHidden/>
          </w:rPr>
          <w:fldChar w:fldCharType="separate"/>
        </w:r>
        <w:r w:rsidR="00226E47">
          <w:rPr>
            <w:webHidden/>
          </w:rPr>
          <w:t>34</w:t>
        </w:r>
        <w:r w:rsidR="00226E47">
          <w:rPr>
            <w:webHidden/>
          </w:rPr>
          <w:fldChar w:fldCharType="end"/>
        </w:r>
      </w:hyperlink>
    </w:p>
    <w:p w14:paraId="109443A0" w14:textId="26A8D2F0"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01" w:history="1">
        <w:r w:rsidR="00226E47" w:rsidRPr="001C0855">
          <w:rPr>
            <w:rStyle w:val="Hyperlink"/>
          </w:rPr>
          <w:t>6</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Health service requirements</w:t>
        </w:r>
        <w:r w:rsidR="00226E47">
          <w:rPr>
            <w:webHidden/>
          </w:rPr>
          <w:tab/>
        </w:r>
        <w:r w:rsidR="00226E47">
          <w:rPr>
            <w:webHidden/>
          </w:rPr>
          <w:fldChar w:fldCharType="begin"/>
        </w:r>
        <w:r w:rsidR="00226E47">
          <w:rPr>
            <w:webHidden/>
          </w:rPr>
          <w:instrText xml:space="preserve"> PAGEREF _Toc178963601 \h </w:instrText>
        </w:r>
        <w:r w:rsidR="00226E47">
          <w:rPr>
            <w:webHidden/>
          </w:rPr>
        </w:r>
        <w:r w:rsidR="00226E47">
          <w:rPr>
            <w:webHidden/>
          </w:rPr>
          <w:fldChar w:fldCharType="separate"/>
        </w:r>
        <w:r w:rsidR="00226E47">
          <w:rPr>
            <w:webHidden/>
          </w:rPr>
          <w:t>36</w:t>
        </w:r>
        <w:r w:rsidR="00226E47">
          <w:rPr>
            <w:webHidden/>
          </w:rPr>
          <w:fldChar w:fldCharType="end"/>
        </w:r>
      </w:hyperlink>
    </w:p>
    <w:p w14:paraId="22F30AD2" w14:textId="160ED91F"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2" w:history="1">
        <w:r w:rsidR="00226E47" w:rsidRPr="001C0855">
          <w:rPr>
            <w:rStyle w:val="Hyperlink"/>
          </w:rPr>
          <w:t>6.1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Patient costing</w:t>
        </w:r>
        <w:r w:rsidR="00226E47">
          <w:rPr>
            <w:webHidden/>
          </w:rPr>
          <w:tab/>
        </w:r>
        <w:r w:rsidR="00226E47">
          <w:rPr>
            <w:webHidden/>
          </w:rPr>
          <w:fldChar w:fldCharType="begin"/>
        </w:r>
        <w:r w:rsidR="00226E47">
          <w:rPr>
            <w:webHidden/>
          </w:rPr>
          <w:instrText xml:space="preserve"> PAGEREF _Toc178963602 \h </w:instrText>
        </w:r>
        <w:r w:rsidR="00226E47">
          <w:rPr>
            <w:webHidden/>
          </w:rPr>
        </w:r>
        <w:r w:rsidR="00226E47">
          <w:rPr>
            <w:webHidden/>
          </w:rPr>
          <w:fldChar w:fldCharType="separate"/>
        </w:r>
        <w:r w:rsidR="00226E47">
          <w:rPr>
            <w:webHidden/>
          </w:rPr>
          <w:t>36</w:t>
        </w:r>
        <w:r w:rsidR="00226E47">
          <w:rPr>
            <w:webHidden/>
          </w:rPr>
          <w:fldChar w:fldCharType="end"/>
        </w:r>
      </w:hyperlink>
    </w:p>
    <w:p w14:paraId="60F2EEE2" w14:textId="27F835F9"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3" w:history="1">
        <w:r w:rsidR="00226E47" w:rsidRPr="001C0855">
          <w:rPr>
            <w:rStyle w:val="Hyperlink"/>
          </w:rPr>
          <w:t>6.2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Activity reporting</w:t>
        </w:r>
        <w:r w:rsidR="00226E47">
          <w:rPr>
            <w:webHidden/>
          </w:rPr>
          <w:tab/>
        </w:r>
        <w:r w:rsidR="00226E47">
          <w:rPr>
            <w:webHidden/>
          </w:rPr>
          <w:fldChar w:fldCharType="begin"/>
        </w:r>
        <w:r w:rsidR="00226E47">
          <w:rPr>
            <w:webHidden/>
          </w:rPr>
          <w:instrText xml:space="preserve"> PAGEREF _Toc178963603 \h </w:instrText>
        </w:r>
        <w:r w:rsidR="00226E47">
          <w:rPr>
            <w:webHidden/>
          </w:rPr>
        </w:r>
        <w:r w:rsidR="00226E47">
          <w:rPr>
            <w:webHidden/>
          </w:rPr>
          <w:fldChar w:fldCharType="separate"/>
        </w:r>
        <w:r w:rsidR="00226E47">
          <w:rPr>
            <w:webHidden/>
          </w:rPr>
          <w:t>37</w:t>
        </w:r>
        <w:r w:rsidR="00226E47">
          <w:rPr>
            <w:webHidden/>
          </w:rPr>
          <w:fldChar w:fldCharType="end"/>
        </w:r>
      </w:hyperlink>
    </w:p>
    <w:p w14:paraId="62C330B6" w14:textId="42A1DC00"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04" w:history="1">
        <w:r w:rsidR="00226E47" w:rsidRPr="001C0855">
          <w:rPr>
            <w:rStyle w:val="Hyperlink"/>
          </w:rPr>
          <w:t>7</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Acute admitted services</w:t>
        </w:r>
        <w:r w:rsidR="00226E47">
          <w:rPr>
            <w:webHidden/>
          </w:rPr>
          <w:tab/>
        </w:r>
        <w:r w:rsidR="00226E47">
          <w:rPr>
            <w:webHidden/>
          </w:rPr>
          <w:fldChar w:fldCharType="begin"/>
        </w:r>
        <w:r w:rsidR="00226E47">
          <w:rPr>
            <w:webHidden/>
          </w:rPr>
          <w:instrText xml:space="preserve"> PAGEREF _Toc178963604 \h </w:instrText>
        </w:r>
        <w:r w:rsidR="00226E47">
          <w:rPr>
            <w:webHidden/>
          </w:rPr>
        </w:r>
        <w:r w:rsidR="00226E47">
          <w:rPr>
            <w:webHidden/>
          </w:rPr>
          <w:fldChar w:fldCharType="separate"/>
        </w:r>
        <w:r w:rsidR="00226E47">
          <w:rPr>
            <w:webHidden/>
          </w:rPr>
          <w:t>39</w:t>
        </w:r>
        <w:r w:rsidR="00226E47">
          <w:rPr>
            <w:webHidden/>
          </w:rPr>
          <w:fldChar w:fldCharType="end"/>
        </w:r>
      </w:hyperlink>
    </w:p>
    <w:p w14:paraId="7530A36F" w14:textId="650566FB"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5" w:history="1">
        <w:r w:rsidR="00226E47" w:rsidRPr="001C0855">
          <w:rPr>
            <w:rStyle w:val="Hyperlink"/>
          </w:rPr>
          <w:t>7.1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Eligibility</w:t>
        </w:r>
        <w:r w:rsidR="00226E47">
          <w:rPr>
            <w:webHidden/>
          </w:rPr>
          <w:tab/>
        </w:r>
        <w:r w:rsidR="00226E47">
          <w:rPr>
            <w:webHidden/>
          </w:rPr>
          <w:fldChar w:fldCharType="begin"/>
        </w:r>
        <w:r w:rsidR="00226E47">
          <w:rPr>
            <w:webHidden/>
          </w:rPr>
          <w:instrText xml:space="preserve"> PAGEREF _Toc178963605 \h </w:instrText>
        </w:r>
        <w:r w:rsidR="00226E47">
          <w:rPr>
            <w:webHidden/>
          </w:rPr>
        </w:r>
        <w:r w:rsidR="00226E47">
          <w:rPr>
            <w:webHidden/>
          </w:rPr>
          <w:fldChar w:fldCharType="separate"/>
        </w:r>
        <w:r w:rsidR="00226E47">
          <w:rPr>
            <w:webHidden/>
          </w:rPr>
          <w:t>39</w:t>
        </w:r>
        <w:r w:rsidR="00226E47">
          <w:rPr>
            <w:webHidden/>
          </w:rPr>
          <w:fldChar w:fldCharType="end"/>
        </w:r>
      </w:hyperlink>
    </w:p>
    <w:p w14:paraId="65FADA0D" w14:textId="79193E05"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6" w:history="1">
        <w:r w:rsidR="00226E47" w:rsidRPr="001C0855">
          <w:rPr>
            <w:rStyle w:val="Hyperlink"/>
          </w:rPr>
          <w:t>7.2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Business rules</w:t>
        </w:r>
        <w:r w:rsidR="00226E47">
          <w:rPr>
            <w:webHidden/>
          </w:rPr>
          <w:tab/>
        </w:r>
        <w:r w:rsidR="00226E47">
          <w:rPr>
            <w:webHidden/>
          </w:rPr>
          <w:fldChar w:fldCharType="begin"/>
        </w:r>
        <w:r w:rsidR="00226E47">
          <w:rPr>
            <w:webHidden/>
          </w:rPr>
          <w:instrText xml:space="preserve"> PAGEREF _Toc178963606 \h </w:instrText>
        </w:r>
        <w:r w:rsidR="00226E47">
          <w:rPr>
            <w:webHidden/>
          </w:rPr>
        </w:r>
        <w:r w:rsidR="00226E47">
          <w:rPr>
            <w:webHidden/>
          </w:rPr>
          <w:fldChar w:fldCharType="separate"/>
        </w:r>
        <w:r w:rsidR="00226E47">
          <w:rPr>
            <w:webHidden/>
          </w:rPr>
          <w:t>39</w:t>
        </w:r>
        <w:r w:rsidR="00226E47">
          <w:rPr>
            <w:webHidden/>
          </w:rPr>
          <w:fldChar w:fldCharType="end"/>
        </w:r>
      </w:hyperlink>
    </w:p>
    <w:p w14:paraId="638C00F5" w14:textId="3CEF31F2"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07" w:history="1">
        <w:r w:rsidR="00226E47" w:rsidRPr="001C0855">
          <w:rPr>
            <w:rStyle w:val="Hyperlink"/>
          </w:rPr>
          <w:t>8</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Subacute admitted services</w:t>
        </w:r>
        <w:r w:rsidR="00226E47">
          <w:rPr>
            <w:webHidden/>
          </w:rPr>
          <w:tab/>
        </w:r>
        <w:r w:rsidR="00226E47">
          <w:rPr>
            <w:webHidden/>
          </w:rPr>
          <w:fldChar w:fldCharType="begin"/>
        </w:r>
        <w:r w:rsidR="00226E47">
          <w:rPr>
            <w:webHidden/>
          </w:rPr>
          <w:instrText xml:space="preserve"> PAGEREF _Toc178963607 \h </w:instrText>
        </w:r>
        <w:r w:rsidR="00226E47">
          <w:rPr>
            <w:webHidden/>
          </w:rPr>
        </w:r>
        <w:r w:rsidR="00226E47">
          <w:rPr>
            <w:webHidden/>
          </w:rPr>
          <w:fldChar w:fldCharType="separate"/>
        </w:r>
        <w:r w:rsidR="00226E47">
          <w:rPr>
            <w:webHidden/>
          </w:rPr>
          <w:t>41</w:t>
        </w:r>
        <w:r w:rsidR="00226E47">
          <w:rPr>
            <w:webHidden/>
          </w:rPr>
          <w:fldChar w:fldCharType="end"/>
        </w:r>
      </w:hyperlink>
    </w:p>
    <w:p w14:paraId="0D0DA7D9" w14:textId="34D02CDA"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8" w:history="1">
        <w:r w:rsidR="00226E47" w:rsidRPr="001C0855">
          <w:rPr>
            <w:rStyle w:val="Hyperlink"/>
          </w:rPr>
          <w:t>8.1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Eligibility</w:t>
        </w:r>
        <w:r w:rsidR="00226E47">
          <w:rPr>
            <w:webHidden/>
          </w:rPr>
          <w:tab/>
        </w:r>
        <w:r w:rsidR="00226E47">
          <w:rPr>
            <w:webHidden/>
          </w:rPr>
          <w:fldChar w:fldCharType="begin"/>
        </w:r>
        <w:r w:rsidR="00226E47">
          <w:rPr>
            <w:webHidden/>
          </w:rPr>
          <w:instrText xml:space="preserve"> PAGEREF _Toc178963608 \h </w:instrText>
        </w:r>
        <w:r w:rsidR="00226E47">
          <w:rPr>
            <w:webHidden/>
          </w:rPr>
        </w:r>
        <w:r w:rsidR="00226E47">
          <w:rPr>
            <w:webHidden/>
          </w:rPr>
          <w:fldChar w:fldCharType="separate"/>
        </w:r>
        <w:r w:rsidR="00226E47">
          <w:rPr>
            <w:webHidden/>
          </w:rPr>
          <w:t>41</w:t>
        </w:r>
        <w:r w:rsidR="00226E47">
          <w:rPr>
            <w:webHidden/>
          </w:rPr>
          <w:fldChar w:fldCharType="end"/>
        </w:r>
      </w:hyperlink>
    </w:p>
    <w:p w14:paraId="5FECF870" w14:textId="0DFFB412"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09" w:history="1">
        <w:r w:rsidR="00226E47" w:rsidRPr="001C0855">
          <w:rPr>
            <w:rStyle w:val="Hyperlink"/>
          </w:rPr>
          <w:t>8.2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Business rules</w:t>
        </w:r>
        <w:r w:rsidR="00226E47">
          <w:rPr>
            <w:webHidden/>
          </w:rPr>
          <w:tab/>
        </w:r>
        <w:r w:rsidR="00226E47">
          <w:rPr>
            <w:webHidden/>
          </w:rPr>
          <w:fldChar w:fldCharType="begin"/>
        </w:r>
        <w:r w:rsidR="00226E47">
          <w:rPr>
            <w:webHidden/>
          </w:rPr>
          <w:instrText xml:space="preserve"> PAGEREF _Toc178963609 \h </w:instrText>
        </w:r>
        <w:r w:rsidR="00226E47">
          <w:rPr>
            <w:webHidden/>
          </w:rPr>
        </w:r>
        <w:r w:rsidR="00226E47">
          <w:rPr>
            <w:webHidden/>
          </w:rPr>
          <w:fldChar w:fldCharType="separate"/>
        </w:r>
        <w:r w:rsidR="00226E47">
          <w:rPr>
            <w:webHidden/>
          </w:rPr>
          <w:t>41</w:t>
        </w:r>
        <w:r w:rsidR="00226E47">
          <w:rPr>
            <w:webHidden/>
          </w:rPr>
          <w:fldChar w:fldCharType="end"/>
        </w:r>
      </w:hyperlink>
    </w:p>
    <w:p w14:paraId="2103BAE7" w14:textId="06CB1BAD"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10" w:history="1">
        <w:r w:rsidR="00226E47" w:rsidRPr="001C0855">
          <w:rPr>
            <w:rStyle w:val="Hyperlink"/>
          </w:rPr>
          <w:t>9</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Emergency care services</w:t>
        </w:r>
        <w:r w:rsidR="00226E47">
          <w:rPr>
            <w:webHidden/>
          </w:rPr>
          <w:tab/>
        </w:r>
        <w:r w:rsidR="00226E47">
          <w:rPr>
            <w:webHidden/>
          </w:rPr>
          <w:fldChar w:fldCharType="begin"/>
        </w:r>
        <w:r w:rsidR="00226E47">
          <w:rPr>
            <w:webHidden/>
          </w:rPr>
          <w:instrText xml:space="preserve"> PAGEREF _Toc178963610 \h </w:instrText>
        </w:r>
        <w:r w:rsidR="00226E47">
          <w:rPr>
            <w:webHidden/>
          </w:rPr>
        </w:r>
        <w:r w:rsidR="00226E47">
          <w:rPr>
            <w:webHidden/>
          </w:rPr>
          <w:fldChar w:fldCharType="separate"/>
        </w:r>
        <w:r w:rsidR="00226E47">
          <w:rPr>
            <w:webHidden/>
          </w:rPr>
          <w:t>43</w:t>
        </w:r>
        <w:r w:rsidR="00226E47">
          <w:rPr>
            <w:webHidden/>
          </w:rPr>
          <w:fldChar w:fldCharType="end"/>
        </w:r>
      </w:hyperlink>
    </w:p>
    <w:p w14:paraId="2725FE12" w14:textId="1FA41349"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11" w:history="1">
        <w:r w:rsidR="00226E47" w:rsidRPr="001C0855">
          <w:rPr>
            <w:rStyle w:val="Hyperlink"/>
          </w:rPr>
          <w:t>9.1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Eligibility</w:t>
        </w:r>
        <w:r w:rsidR="00226E47">
          <w:rPr>
            <w:webHidden/>
          </w:rPr>
          <w:tab/>
        </w:r>
        <w:r w:rsidR="00226E47">
          <w:rPr>
            <w:webHidden/>
          </w:rPr>
          <w:fldChar w:fldCharType="begin"/>
        </w:r>
        <w:r w:rsidR="00226E47">
          <w:rPr>
            <w:webHidden/>
          </w:rPr>
          <w:instrText xml:space="preserve"> PAGEREF _Toc178963611 \h </w:instrText>
        </w:r>
        <w:r w:rsidR="00226E47">
          <w:rPr>
            <w:webHidden/>
          </w:rPr>
        </w:r>
        <w:r w:rsidR="00226E47">
          <w:rPr>
            <w:webHidden/>
          </w:rPr>
          <w:fldChar w:fldCharType="separate"/>
        </w:r>
        <w:r w:rsidR="00226E47">
          <w:rPr>
            <w:webHidden/>
          </w:rPr>
          <w:t>43</w:t>
        </w:r>
        <w:r w:rsidR="00226E47">
          <w:rPr>
            <w:webHidden/>
          </w:rPr>
          <w:fldChar w:fldCharType="end"/>
        </w:r>
      </w:hyperlink>
    </w:p>
    <w:p w14:paraId="7790BD52" w14:textId="4DF8415D" w:rsidR="00226E47"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8963612" w:history="1">
        <w:r w:rsidR="00226E47" w:rsidRPr="001C0855">
          <w:rPr>
            <w:rStyle w:val="Hyperlink"/>
          </w:rPr>
          <w:t>9.2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Business rules</w:t>
        </w:r>
        <w:r w:rsidR="00226E47">
          <w:rPr>
            <w:webHidden/>
          </w:rPr>
          <w:tab/>
        </w:r>
        <w:r w:rsidR="00226E47">
          <w:rPr>
            <w:webHidden/>
          </w:rPr>
          <w:fldChar w:fldCharType="begin"/>
        </w:r>
        <w:r w:rsidR="00226E47">
          <w:rPr>
            <w:webHidden/>
          </w:rPr>
          <w:instrText xml:space="preserve"> PAGEREF _Toc178963612 \h </w:instrText>
        </w:r>
        <w:r w:rsidR="00226E47">
          <w:rPr>
            <w:webHidden/>
          </w:rPr>
        </w:r>
        <w:r w:rsidR="00226E47">
          <w:rPr>
            <w:webHidden/>
          </w:rPr>
          <w:fldChar w:fldCharType="separate"/>
        </w:r>
        <w:r w:rsidR="00226E47">
          <w:rPr>
            <w:webHidden/>
          </w:rPr>
          <w:t>43</w:t>
        </w:r>
        <w:r w:rsidR="00226E47">
          <w:rPr>
            <w:webHidden/>
          </w:rPr>
          <w:fldChar w:fldCharType="end"/>
        </w:r>
      </w:hyperlink>
    </w:p>
    <w:p w14:paraId="06BBE941" w14:textId="14409EBD"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13" w:history="1">
        <w:r w:rsidR="00226E47" w:rsidRPr="001C0855">
          <w:rPr>
            <w:rStyle w:val="Hyperlink"/>
          </w:rPr>
          <w:t>10</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Non-admitted services</w:t>
        </w:r>
        <w:r w:rsidR="00226E47">
          <w:rPr>
            <w:webHidden/>
          </w:rPr>
          <w:tab/>
        </w:r>
        <w:r w:rsidR="00226E47">
          <w:rPr>
            <w:webHidden/>
          </w:rPr>
          <w:fldChar w:fldCharType="begin"/>
        </w:r>
        <w:r w:rsidR="00226E47">
          <w:rPr>
            <w:webHidden/>
          </w:rPr>
          <w:instrText xml:space="preserve"> PAGEREF _Toc178963613 \h </w:instrText>
        </w:r>
        <w:r w:rsidR="00226E47">
          <w:rPr>
            <w:webHidden/>
          </w:rPr>
        </w:r>
        <w:r w:rsidR="00226E47">
          <w:rPr>
            <w:webHidden/>
          </w:rPr>
          <w:fldChar w:fldCharType="separate"/>
        </w:r>
        <w:r w:rsidR="00226E47">
          <w:rPr>
            <w:webHidden/>
          </w:rPr>
          <w:t>45</w:t>
        </w:r>
        <w:r w:rsidR="00226E47">
          <w:rPr>
            <w:webHidden/>
          </w:rPr>
          <w:fldChar w:fldCharType="end"/>
        </w:r>
      </w:hyperlink>
    </w:p>
    <w:p w14:paraId="71F01CD4" w14:textId="7765057C"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14" w:history="1">
        <w:r w:rsidR="00226E47" w:rsidRPr="001C0855">
          <w:rPr>
            <w:rStyle w:val="Hyperlink"/>
          </w:rPr>
          <w:t>10.1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Eligibility</w:t>
        </w:r>
        <w:r w:rsidR="00226E47">
          <w:rPr>
            <w:webHidden/>
          </w:rPr>
          <w:tab/>
        </w:r>
        <w:r w:rsidR="00226E47">
          <w:rPr>
            <w:webHidden/>
          </w:rPr>
          <w:fldChar w:fldCharType="begin"/>
        </w:r>
        <w:r w:rsidR="00226E47">
          <w:rPr>
            <w:webHidden/>
          </w:rPr>
          <w:instrText xml:space="preserve"> PAGEREF _Toc178963614 \h </w:instrText>
        </w:r>
        <w:r w:rsidR="00226E47">
          <w:rPr>
            <w:webHidden/>
          </w:rPr>
        </w:r>
        <w:r w:rsidR="00226E47">
          <w:rPr>
            <w:webHidden/>
          </w:rPr>
          <w:fldChar w:fldCharType="separate"/>
        </w:r>
        <w:r w:rsidR="00226E47">
          <w:rPr>
            <w:webHidden/>
          </w:rPr>
          <w:t>45</w:t>
        </w:r>
        <w:r w:rsidR="00226E47">
          <w:rPr>
            <w:webHidden/>
          </w:rPr>
          <w:fldChar w:fldCharType="end"/>
        </w:r>
      </w:hyperlink>
    </w:p>
    <w:p w14:paraId="238EF664" w14:textId="52360AC5"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15" w:history="1">
        <w:r w:rsidR="00226E47" w:rsidRPr="001C0855">
          <w:rPr>
            <w:rStyle w:val="Hyperlink"/>
          </w:rPr>
          <w:t>11</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National funding arrangements</w:t>
        </w:r>
        <w:r w:rsidR="00226E47">
          <w:rPr>
            <w:webHidden/>
          </w:rPr>
          <w:tab/>
        </w:r>
        <w:r w:rsidR="00226E47">
          <w:rPr>
            <w:webHidden/>
          </w:rPr>
          <w:fldChar w:fldCharType="begin"/>
        </w:r>
        <w:r w:rsidR="00226E47">
          <w:rPr>
            <w:webHidden/>
          </w:rPr>
          <w:instrText xml:space="preserve"> PAGEREF _Toc178963615 \h </w:instrText>
        </w:r>
        <w:r w:rsidR="00226E47">
          <w:rPr>
            <w:webHidden/>
          </w:rPr>
        </w:r>
        <w:r w:rsidR="00226E47">
          <w:rPr>
            <w:webHidden/>
          </w:rPr>
          <w:fldChar w:fldCharType="separate"/>
        </w:r>
        <w:r w:rsidR="00226E47">
          <w:rPr>
            <w:webHidden/>
          </w:rPr>
          <w:t>47</w:t>
        </w:r>
        <w:r w:rsidR="00226E47">
          <w:rPr>
            <w:webHidden/>
          </w:rPr>
          <w:fldChar w:fldCharType="end"/>
        </w:r>
      </w:hyperlink>
    </w:p>
    <w:p w14:paraId="3E8F1A18" w14:textId="166D2648"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16" w:history="1">
        <w:r w:rsidR="00226E47" w:rsidRPr="001C0855">
          <w:rPr>
            <w:rStyle w:val="Hyperlink"/>
          </w:rPr>
          <w:t>11.1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National Funding Model</w:t>
        </w:r>
        <w:r w:rsidR="00226E47">
          <w:rPr>
            <w:webHidden/>
          </w:rPr>
          <w:tab/>
        </w:r>
        <w:r w:rsidR="00226E47">
          <w:rPr>
            <w:webHidden/>
          </w:rPr>
          <w:fldChar w:fldCharType="begin"/>
        </w:r>
        <w:r w:rsidR="00226E47">
          <w:rPr>
            <w:webHidden/>
          </w:rPr>
          <w:instrText xml:space="preserve"> PAGEREF _Toc178963616 \h </w:instrText>
        </w:r>
        <w:r w:rsidR="00226E47">
          <w:rPr>
            <w:webHidden/>
          </w:rPr>
        </w:r>
        <w:r w:rsidR="00226E47">
          <w:rPr>
            <w:webHidden/>
          </w:rPr>
          <w:fldChar w:fldCharType="separate"/>
        </w:r>
        <w:r w:rsidR="00226E47">
          <w:rPr>
            <w:webHidden/>
          </w:rPr>
          <w:t>47</w:t>
        </w:r>
        <w:r w:rsidR="00226E47">
          <w:rPr>
            <w:webHidden/>
          </w:rPr>
          <w:fldChar w:fldCharType="end"/>
        </w:r>
      </w:hyperlink>
    </w:p>
    <w:p w14:paraId="12E8D44D" w14:textId="79CD754B"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17" w:history="1">
        <w:r w:rsidR="00226E47" w:rsidRPr="001C0855">
          <w:rPr>
            <w:rStyle w:val="Hyperlink"/>
          </w:rPr>
          <w:t>11.2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Payment flows under the national funding approach</w:t>
        </w:r>
        <w:r w:rsidR="00226E47">
          <w:rPr>
            <w:webHidden/>
          </w:rPr>
          <w:tab/>
        </w:r>
        <w:r w:rsidR="00226E47">
          <w:rPr>
            <w:webHidden/>
          </w:rPr>
          <w:fldChar w:fldCharType="begin"/>
        </w:r>
        <w:r w:rsidR="00226E47">
          <w:rPr>
            <w:webHidden/>
          </w:rPr>
          <w:instrText xml:space="preserve"> PAGEREF _Toc178963617 \h </w:instrText>
        </w:r>
        <w:r w:rsidR="00226E47">
          <w:rPr>
            <w:webHidden/>
          </w:rPr>
        </w:r>
        <w:r w:rsidR="00226E47">
          <w:rPr>
            <w:webHidden/>
          </w:rPr>
          <w:fldChar w:fldCharType="separate"/>
        </w:r>
        <w:r w:rsidR="00226E47">
          <w:rPr>
            <w:webHidden/>
          </w:rPr>
          <w:t>49</w:t>
        </w:r>
        <w:r w:rsidR="00226E47">
          <w:rPr>
            <w:webHidden/>
          </w:rPr>
          <w:fldChar w:fldCharType="end"/>
        </w:r>
      </w:hyperlink>
    </w:p>
    <w:p w14:paraId="09254FB0" w14:textId="7CA5E566"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18" w:history="1">
        <w:r w:rsidR="00226E47" w:rsidRPr="001C0855">
          <w:rPr>
            <w:rStyle w:val="Hyperlink"/>
          </w:rPr>
          <w:t>12</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Prior-year adjustment: activity-based funding reconciliation</w:t>
        </w:r>
        <w:r w:rsidR="00226E47">
          <w:rPr>
            <w:webHidden/>
          </w:rPr>
          <w:tab/>
        </w:r>
        <w:r w:rsidR="00226E47">
          <w:rPr>
            <w:webHidden/>
          </w:rPr>
          <w:fldChar w:fldCharType="begin"/>
        </w:r>
        <w:r w:rsidR="00226E47">
          <w:rPr>
            <w:webHidden/>
          </w:rPr>
          <w:instrText xml:space="preserve"> PAGEREF _Toc178963618 \h </w:instrText>
        </w:r>
        <w:r w:rsidR="00226E47">
          <w:rPr>
            <w:webHidden/>
          </w:rPr>
        </w:r>
        <w:r w:rsidR="00226E47">
          <w:rPr>
            <w:webHidden/>
          </w:rPr>
          <w:fldChar w:fldCharType="separate"/>
        </w:r>
        <w:r w:rsidR="00226E47">
          <w:rPr>
            <w:webHidden/>
          </w:rPr>
          <w:t>50</w:t>
        </w:r>
        <w:r w:rsidR="00226E47">
          <w:rPr>
            <w:webHidden/>
          </w:rPr>
          <w:fldChar w:fldCharType="end"/>
        </w:r>
      </w:hyperlink>
    </w:p>
    <w:p w14:paraId="776ED1E0" w14:textId="3E2ECE6A"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19" w:history="1">
        <w:r w:rsidR="00226E47" w:rsidRPr="001C0855">
          <w:rPr>
            <w:rStyle w:val="Hyperlink"/>
          </w:rPr>
          <w:t>12.1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funding recall policy</w:t>
        </w:r>
        <w:r w:rsidR="00226E47">
          <w:rPr>
            <w:webHidden/>
          </w:rPr>
          <w:tab/>
        </w:r>
        <w:r w:rsidR="00226E47">
          <w:rPr>
            <w:webHidden/>
          </w:rPr>
          <w:fldChar w:fldCharType="begin"/>
        </w:r>
        <w:r w:rsidR="00226E47">
          <w:rPr>
            <w:webHidden/>
          </w:rPr>
          <w:instrText xml:space="preserve"> PAGEREF _Toc178963619 \h </w:instrText>
        </w:r>
        <w:r w:rsidR="00226E47">
          <w:rPr>
            <w:webHidden/>
          </w:rPr>
        </w:r>
        <w:r w:rsidR="00226E47">
          <w:rPr>
            <w:webHidden/>
          </w:rPr>
          <w:fldChar w:fldCharType="separate"/>
        </w:r>
        <w:r w:rsidR="00226E47">
          <w:rPr>
            <w:webHidden/>
          </w:rPr>
          <w:t>50</w:t>
        </w:r>
        <w:r w:rsidR="00226E47">
          <w:rPr>
            <w:webHidden/>
          </w:rPr>
          <w:fldChar w:fldCharType="end"/>
        </w:r>
      </w:hyperlink>
    </w:p>
    <w:p w14:paraId="71766E64" w14:textId="3167D5F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0" w:history="1">
        <w:r w:rsidR="00226E47" w:rsidRPr="001C0855">
          <w:rPr>
            <w:rStyle w:val="Hyperlink"/>
          </w:rPr>
          <w:t>12.2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Funding for throughput above target</w:t>
        </w:r>
        <w:r w:rsidR="00226E47">
          <w:rPr>
            <w:webHidden/>
          </w:rPr>
          <w:tab/>
        </w:r>
        <w:r w:rsidR="00226E47">
          <w:rPr>
            <w:webHidden/>
          </w:rPr>
          <w:fldChar w:fldCharType="begin"/>
        </w:r>
        <w:r w:rsidR="00226E47">
          <w:rPr>
            <w:webHidden/>
          </w:rPr>
          <w:instrText xml:space="preserve"> PAGEREF _Toc178963620 \h </w:instrText>
        </w:r>
        <w:r w:rsidR="00226E47">
          <w:rPr>
            <w:webHidden/>
          </w:rPr>
        </w:r>
        <w:r w:rsidR="00226E47">
          <w:rPr>
            <w:webHidden/>
          </w:rPr>
          <w:fldChar w:fldCharType="separate"/>
        </w:r>
        <w:r w:rsidR="00226E47">
          <w:rPr>
            <w:webHidden/>
          </w:rPr>
          <w:t>53</w:t>
        </w:r>
        <w:r w:rsidR="00226E47">
          <w:rPr>
            <w:webHidden/>
          </w:rPr>
          <w:fldChar w:fldCharType="end"/>
        </w:r>
      </w:hyperlink>
    </w:p>
    <w:p w14:paraId="6775E172" w14:textId="59DC075E"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1" w:history="1">
        <w:r w:rsidR="00226E47" w:rsidRPr="001C0855">
          <w:rPr>
            <w:rStyle w:val="Hyperlink"/>
          </w:rPr>
          <w:t>12.3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Recall with respect to public and private activity mix changes</w:t>
        </w:r>
        <w:r w:rsidR="00226E47">
          <w:rPr>
            <w:webHidden/>
          </w:rPr>
          <w:tab/>
        </w:r>
        <w:r w:rsidR="00226E47">
          <w:rPr>
            <w:webHidden/>
          </w:rPr>
          <w:fldChar w:fldCharType="begin"/>
        </w:r>
        <w:r w:rsidR="00226E47">
          <w:rPr>
            <w:webHidden/>
          </w:rPr>
          <w:instrText xml:space="preserve"> PAGEREF _Toc178963621 \h </w:instrText>
        </w:r>
        <w:r w:rsidR="00226E47">
          <w:rPr>
            <w:webHidden/>
          </w:rPr>
        </w:r>
        <w:r w:rsidR="00226E47">
          <w:rPr>
            <w:webHidden/>
          </w:rPr>
          <w:fldChar w:fldCharType="separate"/>
        </w:r>
        <w:r w:rsidR="00226E47">
          <w:rPr>
            <w:webHidden/>
          </w:rPr>
          <w:t>54</w:t>
        </w:r>
        <w:r w:rsidR="00226E47">
          <w:rPr>
            <w:webHidden/>
          </w:rPr>
          <w:fldChar w:fldCharType="end"/>
        </w:r>
      </w:hyperlink>
    </w:p>
    <w:p w14:paraId="3056BAA4" w14:textId="47A128C4"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2" w:history="1">
        <w:r w:rsidR="00226E47" w:rsidRPr="001C0855">
          <w:rPr>
            <w:rStyle w:val="Hyperlink"/>
          </w:rPr>
          <w:t>12.4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Reconciliation of National Health Reform Commonwealth contributions</w:t>
        </w:r>
        <w:r w:rsidR="00226E47">
          <w:rPr>
            <w:webHidden/>
          </w:rPr>
          <w:tab/>
        </w:r>
        <w:r w:rsidR="00226E47">
          <w:rPr>
            <w:webHidden/>
          </w:rPr>
          <w:fldChar w:fldCharType="begin"/>
        </w:r>
        <w:r w:rsidR="00226E47">
          <w:rPr>
            <w:webHidden/>
          </w:rPr>
          <w:instrText xml:space="preserve"> PAGEREF _Toc178963622 \h </w:instrText>
        </w:r>
        <w:r w:rsidR="00226E47">
          <w:rPr>
            <w:webHidden/>
          </w:rPr>
        </w:r>
        <w:r w:rsidR="00226E47">
          <w:rPr>
            <w:webHidden/>
          </w:rPr>
          <w:fldChar w:fldCharType="separate"/>
        </w:r>
        <w:r w:rsidR="00226E47">
          <w:rPr>
            <w:webHidden/>
          </w:rPr>
          <w:t>54</w:t>
        </w:r>
        <w:r w:rsidR="00226E47">
          <w:rPr>
            <w:webHidden/>
          </w:rPr>
          <w:fldChar w:fldCharType="end"/>
        </w:r>
      </w:hyperlink>
    </w:p>
    <w:p w14:paraId="0A42F275" w14:textId="424C13A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3" w:history="1">
        <w:r w:rsidR="00226E47" w:rsidRPr="001C0855">
          <w:rPr>
            <w:rStyle w:val="Hyperlink"/>
          </w:rPr>
          <w:t>12.5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Reconciliation of pricing for safety and quality adjustments</w:t>
        </w:r>
        <w:r w:rsidR="00226E47">
          <w:rPr>
            <w:webHidden/>
          </w:rPr>
          <w:tab/>
        </w:r>
        <w:r w:rsidR="00226E47">
          <w:rPr>
            <w:webHidden/>
          </w:rPr>
          <w:fldChar w:fldCharType="begin"/>
        </w:r>
        <w:r w:rsidR="00226E47">
          <w:rPr>
            <w:webHidden/>
          </w:rPr>
          <w:instrText xml:space="preserve"> PAGEREF _Toc178963623 \h </w:instrText>
        </w:r>
        <w:r w:rsidR="00226E47">
          <w:rPr>
            <w:webHidden/>
          </w:rPr>
        </w:r>
        <w:r w:rsidR="00226E47">
          <w:rPr>
            <w:webHidden/>
          </w:rPr>
          <w:fldChar w:fldCharType="separate"/>
        </w:r>
        <w:r w:rsidR="00226E47">
          <w:rPr>
            <w:webHidden/>
          </w:rPr>
          <w:t>55</w:t>
        </w:r>
        <w:r w:rsidR="00226E47">
          <w:rPr>
            <w:webHidden/>
          </w:rPr>
          <w:fldChar w:fldCharType="end"/>
        </w:r>
      </w:hyperlink>
    </w:p>
    <w:p w14:paraId="455C33EB" w14:textId="76AF1D80"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4" w:history="1">
        <w:r w:rsidR="00226E47" w:rsidRPr="001C0855">
          <w:rPr>
            <w:rStyle w:val="Hyperlink"/>
          </w:rPr>
          <w:t>12.6</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Hospital activity, NWAU and subacute NWAU reports</w:t>
        </w:r>
        <w:r w:rsidR="00226E47">
          <w:rPr>
            <w:webHidden/>
          </w:rPr>
          <w:tab/>
        </w:r>
        <w:r w:rsidR="00226E47">
          <w:rPr>
            <w:webHidden/>
          </w:rPr>
          <w:fldChar w:fldCharType="begin"/>
        </w:r>
        <w:r w:rsidR="00226E47">
          <w:rPr>
            <w:webHidden/>
          </w:rPr>
          <w:instrText xml:space="preserve"> PAGEREF _Toc178963624 \h </w:instrText>
        </w:r>
        <w:r w:rsidR="00226E47">
          <w:rPr>
            <w:webHidden/>
          </w:rPr>
        </w:r>
        <w:r w:rsidR="00226E47">
          <w:rPr>
            <w:webHidden/>
          </w:rPr>
          <w:fldChar w:fldCharType="separate"/>
        </w:r>
        <w:r w:rsidR="00226E47">
          <w:rPr>
            <w:webHidden/>
          </w:rPr>
          <w:t>55</w:t>
        </w:r>
        <w:r w:rsidR="00226E47">
          <w:rPr>
            <w:webHidden/>
          </w:rPr>
          <w:fldChar w:fldCharType="end"/>
        </w:r>
      </w:hyperlink>
    </w:p>
    <w:p w14:paraId="7D4087CC" w14:textId="5DFD3F9B"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25" w:history="1">
        <w:r w:rsidR="00226E47" w:rsidRPr="001C0855">
          <w:rPr>
            <w:rStyle w:val="Hyperlink"/>
          </w:rPr>
          <w:t>13</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Calculating funding recall and adjustment</w:t>
        </w:r>
        <w:r w:rsidR="00226E47">
          <w:rPr>
            <w:webHidden/>
          </w:rPr>
          <w:tab/>
        </w:r>
        <w:r w:rsidR="00226E47">
          <w:rPr>
            <w:webHidden/>
          </w:rPr>
          <w:fldChar w:fldCharType="begin"/>
        </w:r>
        <w:r w:rsidR="00226E47">
          <w:rPr>
            <w:webHidden/>
          </w:rPr>
          <w:instrText xml:space="preserve"> PAGEREF _Toc178963625 \h </w:instrText>
        </w:r>
        <w:r w:rsidR="00226E47">
          <w:rPr>
            <w:webHidden/>
          </w:rPr>
        </w:r>
        <w:r w:rsidR="00226E47">
          <w:rPr>
            <w:webHidden/>
          </w:rPr>
          <w:fldChar w:fldCharType="separate"/>
        </w:r>
        <w:r w:rsidR="00226E47">
          <w:rPr>
            <w:webHidden/>
          </w:rPr>
          <w:t>56</w:t>
        </w:r>
        <w:r w:rsidR="00226E47">
          <w:rPr>
            <w:webHidden/>
          </w:rPr>
          <w:fldChar w:fldCharType="end"/>
        </w:r>
      </w:hyperlink>
    </w:p>
    <w:p w14:paraId="2FA69D9D" w14:textId="1837801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6" w:history="1">
        <w:r w:rsidR="00226E47" w:rsidRPr="001C0855">
          <w:rPr>
            <w:rStyle w:val="Hyperlink"/>
          </w:rPr>
          <w:t>13.1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Calculating NWAU funding recall</w:t>
        </w:r>
        <w:r w:rsidR="00226E47">
          <w:rPr>
            <w:webHidden/>
          </w:rPr>
          <w:tab/>
        </w:r>
        <w:r w:rsidR="00226E47">
          <w:rPr>
            <w:webHidden/>
          </w:rPr>
          <w:fldChar w:fldCharType="begin"/>
        </w:r>
        <w:r w:rsidR="00226E47">
          <w:rPr>
            <w:webHidden/>
          </w:rPr>
          <w:instrText xml:space="preserve"> PAGEREF _Toc178963626 \h </w:instrText>
        </w:r>
        <w:r w:rsidR="00226E47">
          <w:rPr>
            <w:webHidden/>
          </w:rPr>
        </w:r>
        <w:r w:rsidR="00226E47">
          <w:rPr>
            <w:webHidden/>
          </w:rPr>
          <w:fldChar w:fldCharType="separate"/>
        </w:r>
        <w:r w:rsidR="00226E47">
          <w:rPr>
            <w:webHidden/>
          </w:rPr>
          <w:t>56</w:t>
        </w:r>
        <w:r w:rsidR="00226E47">
          <w:rPr>
            <w:webHidden/>
          </w:rPr>
          <w:fldChar w:fldCharType="end"/>
        </w:r>
      </w:hyperlink>
    </w:p>
    <w:p w14:paraId="25F9574B" w14:textId="3286DEAF"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7" w:history="1">
        <w:r w:rsidR="00226E47" w:rsidRPr="001C0855">
          <w:rPr>
            <w:rStyle w:val="Hyperlink"/>
          </w:rPr>
          <w:t>13.2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Calculating HAC NWAU growth-funding adjustment</w:t>
        </w:r>
        <w:r w:rsidR="00226E47">
          <w:rPr>
            <w:webHidden/>
          </w:rPr>
          <w:tab/>
        </w:r>
        <w:r w:rsidR="00226E47">
          <w:rPr>
            <w:webHidden/>
          </w:rPr>
          <w:fldChar w:fldCharType="begin"/>
        </w:r>
        <w:r w:rsidR="00226E47">
          <w:rPr>
            <w:webHidden/>
          </w:rPr>
          <w:instrText xml:space="preserve"> PAGEREF _Toc178963627 \h </w:instrText>
        </w:r>
        <w:r w:rsidR="00226E47">
          <w:rPr>
            <w:webHidden/>
          </w:rPr>
        </w:r>
        <w:r w:rsidR="00226E47">
          <w:rPr>
            <w:webHidden/>
          </w:rPr>
          <w:fldChar w:fldCharType="separate"/>
        </w:r>
        <w:r w:rsidR="00226E47">
          <w:rPr>
            <w:webHidden/>
          </w:rPr>
          <w:t>56</w:t>
        </w:r>
        <w:r w:rsidR="00226E47">
          <w:rPr>
            <w:webHidden/>
          </w:rPr>
          <w:fldChar w:fldCharType="end"/>
        </w:r>
      </w:hyperlink>
    </w:p>
    <w:p w14:paraId="6996A81E" w14:textId="494DE591"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8" w:history="1">
        <w:r w:rsidR="00226E47" w:rsidRPr="001C0855">
          <w:rPr>
            <w:rStyle w:val="Hyperlink"/>
          </w:rPr>
          <w:t>13.3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Calculating AHR NWAU growth-funding adjustment</w:t>
        </w:r>
        <w:r w:rsidR="00226E47">
          <w:rPr>
            <w:webHidden/>
          </w:rPr>
          <w:tab/>
        </w:r>
        <w:r w:rsidR="00226E47">
          <w:rPr>
            <w:webHidden/>
          </w:rPr>
          <w:fldChar w:fldCharType="begin"/>
        </w:r>
        <w:r w:rsidR="00226E47">
          <w:rPr>
            <w:webHidden/>
          </w:rPr>
          <w:instrText xml:space="preserve"> PAGEREF _Toc178963628 \h </w:instrText>
        </w:r>
        <w:r w:rsidR="00226E47">
          <w:rPr>
            <w:webHidden/>
          </w:rPr>
        </w:r>
        <w:r w:rsidR="00226E47">
          <w:rPr>
            <w:webHidden/>
          </w:rPr>
          <w:fldChar w:fldCharType="separate"/>
        </w:r>
        <w:r w:rsidR="00226E47">
          <w:rPr>
            <w:webHidden/>
          </w:rPr>
          <w:t>56</w:t>
        </w:r>
        <w:r w:rsidR="00226E47">
          <w:rPr>
            <w:webHidden/>
          </w:rPr>
          <w:fldChar w:fldCharType="end"/>
        </w:r>
      </w:hyperlink>
    </w:p>
    <w:p w14:paraId="53BC78DD" w14:textId="63C0ABAD"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29" w:history="1">
        <w:r w:rsidR="00226E47" w:rsidRPr="001C0855">
          <w:rPr>
            <w:rStyle w:val="Hyperlink"/>
          </w:rPr>
          <w:t>13.4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Calculating TAC or Department of Veterans’ Affairs NWAU funding recall</w:t>
        </w:r>
        <w:r w:rsidR="00226E47">
          <w:rPr>
            <w:webHidden/>
          </w:rPr>
          <w:tab/>
        </w:r>
        <w:r w:rsidR="00226E47">
          <w:rPr>
            <w:webHidden/>
          </w:rPr>
          <w:fldChar w:fldCharType="begin"/>
        </w:r>
        <w:r w:rsidR="00226E47">
          <w:rPr>
            <w:webHidden/>
          </w:rPr>
          <w:instrText xml:space="preserve"> PAGEREF _Toc178963629 \h </w:instrText>
        </w:r>
        <w:r w:rsidR="00226E47">
          <w:rPr>
            <w:webHidden/>
          </w:rPr>
        </w:r>
        <w:r w:rsidR="00226E47">
          <w:rPr>
            <w:webHidden/>
          </w:rPr>
          <w:fldChar w:fldCharType="separate"/>
        </w:r>
        <w:r w:rsidR="00226E47">
          <w:rPr>
            <w:webHidden/>
          </w:rPr>
          <w:t>56</w:t>
        </w:r>
        <w:r w:rsidR="00226E47">
          <w:rPr>
            <w:webHidden/>
          </w:rPr>
          <w:fldChar w:fldCharType="end"/>
        </w:r>
      </w:hyperlink>
    </w:p>
    <w:p w14:paraId="00759AB1" w14:textId="4443CA2C"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30" w:history="1">
        <w:r w:rsidR="00226E47" w:rsidRPr="001C0855">
          <w:rPr>
            <w:rStyle w:val="Hyperlink"/>
          </w:rPr>
          <w:t>14</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Payments and cash flow</w:t>
        </w:r>
        <w:r w:rsidR="00226E47">
          <w:rPr>
            <w:webHidden/>
          </w:rPr>
          <w:tab/>
        </w:r>
        <w:r w:rsidR="00226E47">
          <w:rPr>
            <w:webHidden/>
          </w:rPr>
          <w:fldChar w:fldCharType="begin"/>
        </w:r>
        <w:r w:rsidR="00226E47">
          <w:rPr>
            <w:webHidden/>
          </w:rPr>
          <w:instrText xml:space="preserve"> PAGEREF _Toc178963630 \h </w:instrText>
        </w:r>
        <w:r w:rsidR="00226E47">
          <w:rPr>
            <w:webHidden/>
          </w:rPr>
        </w:r>
        <w:r w:rsidR="00226E47">
          <w:rPr>
            <w:webHidden/>
          </w:rPr>
          <w:fldChar w:fldCharType="separate"/>
        </w:r>
        <w:r w:rsidR="00226E47">
          <w:rPr>
            <w:webHidden/>
          </w:rPr>
          <w:t>58</w:t>
        </w:r>
        <w:r w:rsidR="00226E47">
          <w:rPr>
            <w:webHidden/>
          </w:rPr>
          <w:fldChar w:fldCharType="end"/>
        </w:r>
      </w:hyperlink>
    </w:p>
    <w:p w14:paraId="3ABC3B10" w14:textId="5D3902DA"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1" w:history="1">
        <w:r w:rsidR="00226E47" w:rsidRPr="001C0855">
          <w:rPr>
            <w:rStyle w:val="Hyperlink"/>
          </w:rPr>
          <w:t>14.1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Use of contracts</w:t>
        </w:r>
        <w:r w:rsidR="00226E47">
          <w:rPr>
            <w:webHidden/>
          </w:rPr>
          <w:tab/>
        </w:r>
        <w:r w:rsidR="00226E47">
          <w:rPr>
            <w:webHidden/>
          </w:rPr>
          <w:fldChar w:fldCharType="begin"/>
        </w:r>
        <w:r w:rsidR="00226E47">
          <w:rPr>
            <w:webHidden/>
          </w:rPr>
          <w:instrText xml:space="preserve"> PAGEREF _Toc178963631 \h </w:instrText>
        </w:r>
        <w:r w:rsidR="00226E47">
          <w:rPr>
            <w:webHidden/>
          </w:rPr>
        </w:r>
        <w:r w:rsidR="00226E47">
          <w:rPr>
            <w:webHidden/>
          </w:rPr>
          <w:fldChar w:fldCharType="separate"/>
        </w:r>
        <w:r w:rsidR="00226E47">
          <w:rPr>
            <w:webHidden/>
          </w:rPr>
          <w:t>58</w:t>
        </w:r>
        <w:r w:rsidR="00226E47">
          <w:rPr>
            <w:webHidden/>
          </w:rPr>
          <w:fldChar w:fldCharType="end"/>
        </w:r>
      </w:hyperlink>
    </w:p>
    <w:p w14:paraId="6232A895" w14:textId="6EC4E1FA"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2" w:history="1">
        <w:r w:rsidR="00226E47" w:rsidRPr="001C0855">
          <w:rPr>
            <w:rStyle w:val="Hyperlink"/>
          </w:rPr>
          <w:t>14.2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Health service fees and charges</w:t>
        </w:r>
        <w:r w:rsidR="00226E47">
          <w:rPr>
            <w:webHidden/>
          </w:rPr>
          <w:tab/>
        </w:r>
        <w:r w:rsidR="00226E47">
          <w:rPr>
            <w:webHidden/>
          </w:rPr>
          <w:fldChar w:fldCharType="begin"/>
        </w:r>
        <w:r w:rsidR="00226E47">
          <w:rPr>
            <w:webHidden/>
          </w:rPr>
          <w:instrText xml:space="preserve"> PAGEREF _Toc178963632 \h </w:instrText>
        </w:r>
        <w:r w:rsidR="00226E47">
          <w:rPr>
            <w:webHidden/>
          </w:rPr>
        </w:r>
        <w:r w:rsidR="00226E47">
          <w:rPr>
            <w:webHidden/>
          </w:rPr>
          <w:fldChar w:fldCharType="separate"/>
        </w:r>
        <w:r w:rsidR="00226E47">
          <w:rPr>
            <w:webHidden/>
          </w:rPr>
          <w:t>58</w:t>
        </w:r>
        <w:r w:rsidR="00226E47">
          <w:rPr>
            <w:webHidden/>
          </w:rPr>
          <w:fldChar w:fldCharType="end"/>
        </w:r>
      </w:hyperlink>
    </w:p>
    <w:p w14:paraId="4C7A4447" w14:textId="7FDE8FDD"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3" w:history="1">
        <w:r w:rsidR="00226E47" w:rsidRPr="001C0855">
          <w:rPr>
            <w:rStyle w:val="Hyperlink"/>
          </w:rPr>
          <w:t>14.3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Private patient accommodation charges</w:t>
        </w:r>
        <w:r w:rsidR="00226E47">
          <w:rPr>
            <w:webHidden/>
          </w:rPr>
          <w:tab/>
        </w:r>
        <w:r w:rsidR="00226E47">
          <w:rPr>
            <w:webHidden/>
          </w:rPr>
          <w:fldChar w:fldCharType="begin"/>
        </w:r>
        <w:r w:rsidR="00226E47">
          <w:rPr>
            <w:webHidden/>
          </w:rPr>
          <w:instrText xml:space="preserve"> PAGEREF _Toc178963633 \h </w:instrText>
        </w:r>
        <w:r w:rsidR="00226E47">
          <w:rPr>
            <w:webHidden/>
          </w:rPr>
        </w:r>
        <w:r w:rsidR="00226E47">
          <w:rPr>
            <w:webHidden/>
          </w:rPr>
          <w:fldChar w:fldCharType="separate"/>
        </w:r>
        <w:r w:rsidR="00226E47">
          <w:rPr>
            <w:webHidden/>
          </w:rPr>
          <w:t>58</w:t>
        </w:r>
        <w:r w:rsidR="00226E47">
          <w:rPr>
            <w:webHidden/>
          </w:rPr>
          <w:fldChar w:fldCharType="end"/>
        </w:r>
      </w:hyperlink>
    </w:p>
    <w:p w14:paraId="099A4411" w14:textId="23BE529D"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4" w:history="1">
        <w:r w:rsidR="00226E47" w:rsidRPr="001C0855">
          <w:rPr>
            <w:rStyle w:val="Hyperlink"/>
          </w:rPr>
          <w:t>14.4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Redirection of funds</w:t>
        </w:r>
        <w:r w:rsidR="00226E47">
          <w:rPr>
            <w:webHidden/>
          </w:rPr>
          <w:tab/>
        </w:r>
        <w:r w:rsidR="00226E47">
          <w:rPr>
            <w:webHidden/>
          </w:rPr>
          <w:fldChar w:fldCharType="begin"/>
        </w:r>
        <w:r w:rsidR="00226E47">
          <w:rPr>
            <w:webHidden/>
          </w:rPr>
          <w:instrText xml:space="preserve"> PAGEREF _Toc178963634 \h </w:instrText>
        </w:r>
        <w:r w:rsidR="00226E47">
          <w:rPr>
            <w:webHidden/>
          </w:rPr>
        </w:r>
        <w:r w:rsidR="00226E47">
          <w:rPr>
            <w:webHidden/>
          </w:rPr>
          <w:fldChar w:fldCharType="separate"/>
        </w:r>
        <w:r w:rsidR="00226E47">
          <w:rPr>
            <w:webHidden/>
          </w:rPr>
          <w:t>59</w:t>
        </w:r>
        <w:r w:rsidR="00226E47">
          <w:rPr>
            <w:webHidden/>
          </w:rPr>
          <w:fldChar w:fldCharType="end"/>
        </w:r>
      </w:hyperlink>
    </w:p>
    <w:p w14:paraId="7E3205B5" w14:textId="13815A4E"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5" w:history="1">
        <w:r w:rsidR="00226E47" w:rsidRPr="001C0855">
          <w:rPr>
            <w:rStyle w:val="Hyperlink"/>
          </w:rPr>
          <w:t>14.5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Doctors in training secondment arrangements</w:t>
        </w:r>
        <w:r w:rsidR="00226E47">
          <w:rPr>
            <w:webHidden/>
          </w:rPr>
          <w:tab/>
        </w:r>
        <w:r w:rsidR="00226E47">
          <w:rPr>
            <w:webHidden/>
          </w:rPr>
          <w:fldChar w:fldCharType="begin"/>
        </w:r>
        <w:r w:rsidR="00226E47">
          <w:rPr>
            <w:webHidden/>
          </w:rPr>
          <w:instrText xml:space="preserve"> PAGEREF _Toc178963635 \h </w:instrText>
        </w:r>
        <w:r w:rsidR="00226E47">
          <w:rPr>
            <w:webHidden/>
          </w:rPr>
        </w:r>
        <w:r w:rsidR="00226E47">
          <w:rPr>
            <w:webHidden/>
          </w:rPr>
          <w:fldChar w:fldCharType="separate"/>
        </w:r>
        <w:r w:rsidR="00226E47">
          <w:rPr>
            <w:webHidden/>
          </w:rPr>
          <w:t>59</w:t>
        </w:r>
        <w:r w:rsidR="00226E47">
          <w:rPr>
            <w:webHidden/>
          </w:rPr>
          <w:fldChar w:fldCharType="end"/>
        </w:r>
      </w:hyperlink>
    </w:p>
    <w:p w14:paraId="6011E02C" w14:textId="62FA49F4"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36" w:history="1">
        <w:r w:rsidR="00226E47" w:rsidRPr="001C0855">
          <w:rPr>
            <w:rStyle w:val="Hyperlink"/>
          </w:rPr>
          <w:t>15</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Price tables</w:t>
        </w:r>
        <w:r w:rsidR="00226E47">
          <w:rPr>
            <w:webHidden/>
          </w:rPr>
          <w:tab/>
        </w:r>
        <w:r w:rsidR="00226E47">
          <w:rPr>
            <w:webHidden/>
          </w:rPr>
          <w:fldChar w:fldCharType="begin"/>
        </w:r>
        <w:r w:rsidR="00226E47">
          <w:rPr>
            <w:webHidden/>
          </w:rPr>
          <w:instrText xml:space="preserve"> PAGEREF _Toc178963636 \h </w:instrText>
        </w:r>
        <w:r w:rsidR="00226E47">
          <w:rPr>
            <w:webHidden/>
          </w:rPr>
        </w:r>
        <w:r w:rsidR="00226E47">
          <w:rPr>
            <w:webHidden/>
          </w:rPr>
          <w:fldChar w:fldCharType="separate"/>
        </w:r>
        <w:r w:rsidR="00226E47">
          <w:rPr>
            <w:webHidden/>
          </w:rPr>
          <w:t>60</w:t>
        </w:r>
        <w:r w:rsidR="00226E47">
          <w:rPr>
            <w:webHidden/>
          </w:rPr>
          <w:fldChar w:fldCharType="end"/>
        </w:r>
      </w:hyperlink>
    </w:p>
    <w:p w14:paraId="28D1D5B9" w14:textId="7EB4863E"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7" w:history="1">
        <w:r w:rsidR="00226E47" w:rsidRPr="001C0855">
          <w:rPr>
            <w:rStyle w:val="Hyperlink"/>
          </w:rPr>
          <w:t>15.1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NWAU 2024–25</w:t>
        </w:r>
        <w:r w:rsidR="00226E47">
          <w:rPr>
            <w:webHidden/>
          </w:rPr>
          <w:tab/>
        </w:r>
        <w:r w:rsidR="00226E47">
          <w:rPr>
            <w:webHidden/>
          </w:rPr>
          <w:fldChar w:fldCharType="begin"/>
        </w:r>
        <w:r w:rsidR="00226E47">
          <w:rPr>
            <w:webHidden/>
          </w:rPr>
          <w:instrText xml:space="preserve"> PAGEREF _Toc178963637 \h </w:instrText>
        </w:r>
        <w:r w:rsidR="00226E47">
          <w:rPr>
            <w:webHidden/>
          </w:rPr>
        </w:r>
        <w:r w:rsidR="00226E47">
          <w:rPr>
            <w:webHidden/>
          </w:rPr>
          <w:fldChar w:fldCharType="separate"/>
        </w:r>
        <w:r w:rsidR="00226E47">
          <w:rPr>
            <w:webHidden/>
          </w:rPr>
          <w:t>60</w:t>
        </w:r>
        <w:r w:rsidR="00226E47">
          <w:rPr>
            <w:webHidden/>
          </w:rPr>
          <w:fldChar w:fldCharType="end"/>
        </w:r>
      </w:hyperlink>
    </w:p>
    <w:p w14:paraId="1500D69A" w14:textId="25705998"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8" w:history="1">
        <w:r w:rsidR="00226E47" w:rsidRPr="001C0855">
          <w:rPr>
            <w:rStyle w:val="Hyperlink"/>
          </w:rPr>
          <w:t>15.2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Mental health services</w:t>
        </w:r>
        <w:r w:rsidR="00226E47">
          <w:rPr>
            <w:webHidden/>
          </w:rPr>
          <w:tab/>
        </w:r>
        <w:r w:rsidR="00226E47">
          <w:rPr>
            <w:webHidden/>
          </w:rPr>
          <w:fldChar w:fldCharType="begin"/>
        </w:r>
        <w:r w:rsidR="00226E47">
          <w:rPr>
            <w:webHidden/>
          </w:rPr>
          <w:instrText xml:space="preserve"> PAGEREF _Toc178963638 \h </w:instrText>
        </w:r>
        <w:r w:rsidR="00226E47">
          <w:rPr>
            <w:webHidden/>
          </w:rPr>
        </w:r>
        <w:r w:rsidR="00226E47">
          <w:rPr>
            <w:webHidden/>
          </w:rPr>
          <w:fldChar w:fldCharType="separate"/>
        </w:r>
        <w:r w:rsidR="00226E47">
          <w:rPr>
            <w:webHidden/>
          </w:rPr>
          <w:t>61</w:t>
        </w:r>
        <w:r w:rsidR="00226E47">
          <w:rPr>
            <w:webHidden/>
          </w:rPr>
          <w:fldChar w:fldCharType="end"/>
        </w:r>
      </w:hyperlink>
    </w:p>
    <w:p w14:paraId="5C3594DB" w14:textId="486782A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39" w:history="1">
        <w:r w:rsidR="00226E47" w:rsidRPr="001C0855">
          <w:rPr>
            <w:rStyle w:val="Hyperlink"/>
          </w:rPr>
          <w:t>15.3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Ageing, aged and home care</w:t>
        </w:r>
        <w:r w:rsidR="00226E47">
          <w:rPr>
            <w:webHidden/>
          </w:rPr>
          <w:tab/>
        </w:r>
        <w:r w:rsidR="00226E47">
          <w:rPr>
            <w:webHidden/>
          </w:rPr>
          <w:fldChar w:fldCharType="begin"/>
        </w:r>
        <w:r w:rsidR="00226E47">
          <w:rPr>
            <w:webHidden/>
          </w:rPr>
          <w:instrText xml:space="preserve"> PAGEREF _Toc178963639 \h </w:instrText>
        </w:r>
        <w:r w:rsidR="00226E47">
          <w:rPr>
            <w:webHidden/>
          </w:rPr>
        </w:r>
        <w:r w:rsidR="00226E47">
          <w:rPr>
            <w:webHidden/>
          </w:rPr>
          <w:fldChar w:fldCharType="separate"/>
        </w:r>
        <w:r w:rsidR="00226E47">
          <w:rPr>
            <w:webHidden/>
          </w:rPr>
          <w:t>63</w:t>
        </w:r>
        <w:r w:rsidR="00226E47">
          <w:rPr>
            <w:webHidden/>
          </w:rPr>
          <w:fldChar w:fldCharType="end"/>
        </w:r>
      </w:hyperlink>
    </w:p>
    <w:p w14:paraId="0E9C7745" w14:textId="576B18B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0" w:history="1">
        <w:r w:rsidR="00226E47" w:rsidRPr="001C0855">
          <w:rPr>
            <w:rStyle w:val="Hyperlink"/>
          </w:rPr>
          <w:t>15.4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Small rural health services – ageing, aged and home care</w:t>
        </w:r>
        <w:r w:rsidR="00226E47">
          <w:rPr>
            <w:webHidden/>
          </w:rPr>
          <w:tab/>
        </w:r>
        <w:r w:rsidR="00226E47">
          <w:rPr>
            <w:webHidden/>
          </w:rPr>
          <w:fldChar w:fldCharType="begin"/>
        </w:r>
        <w:r w:rsidR="00226E47">
          <w:rPr>
            <w:webHidden/>
          </w:rPr>
          <w:instrText xml:space="preserve"> PAGEREF _Toc178963640 \h </w:instrText>
        </w:r>
        <w:r w:rsidR="00226E47">
          <w:rPr>
            <w:webHidden/>
          </w:rPr>
        </w:r>
        <w:r w:rsidR="00226E47">
          <w:rPr>
            <w:webHidden/>
          </w:rPr>
          <w:fldChar w:fldCharType="separate"/>
        </w:r>
        <w:r w:rsidR="00226E47">
          <w:rPr>
            <w:webHidden/>
          </w:rPr>
          <w:t>65</w:t>
        </w:r>
        <w:r w:rsidR="00226E47">
          <w:rPr>
            <w:webHidden/>
          </w:rPr>
          <w:fldChar w:fldCharType="end"/>
        </w:r>
      </w:hyperlink>
    </w:p>
    <w:p w14:paraId="23984026" w14:textId="14164957"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1" w:history="1">
        <w:r w:rsidR="00226E47" w:rsidRPr="001C0855">
          <w:rPr>
            <w:rStyle w:val="Hyperlink"/>
          </w:rPr>
          <w:t>15.5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Primary, community and dental health output group</w:t>
        </w:r>
        <w:r w:rsidR="00226E47">
          <w:rPr>
            <w:webHidden/>
          </w:rPr>
          <w:tab/>
        </w:r>
        <w:r w:rsidR="00226E47">
          <w:rPr>
            <w:webHidden/>
          </w:rPr>
          <w:fldChar w:fldCharType="begin"/>
        </w:r>
        <w:r w:rsidR="00226E47">
          <w:rPr>
            <w:webHidden/>
          </w:rPr>
          <w:instrText xml:space="preserve"> PAGEREF _Toc178963641 \h </w:instrText>
        </w:r>
        <w:r w:rsidR="00226E47">
          <w:rPr>
            <w:webHidden/>
          </w:rPr>
        </w:r>
        <w:r w:rsidR="00226E47">
          <w:rPr>
            <w:webHidden/>
          </w:rPr>
          <w:fldChar w:fldCharType="separate"/>
        </w:r>
        <w:r w:rsidR="00226E47">
          <w:rPr>
            <w:webHidden/>
          </w:rPr>
          <w:t>66</w:t>
        </w:r>
        <w:r w:rsidR="00226E47">
          <w:rPr>
            <w:webHidden/>
          </w:rPr>
          <w:fldChar w:fldCharType="end"/>
        </w:r>
      </w:hyperlink>
    </w:p>
    <w:p w14:paraId="22E1C07B" w14:textId="527A282E"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2" w:history="1">
        <w:r w:rsidR="00226E47" w:rsidRPr="001C0855">
          <w:rPr>
            <w:rStyle w:val="Hyperlink"/>
          </w:rPr>
          <w:t>15.6</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Training and development</w:t>
        </w:r>
        <w:r w:rsidR="00226E47">
          <w:rPr>
            <w:webHidden/>
          </w:rPr>
          <w:tab/>
        </w:r>
        <w:r w:rsidR="00226E47">
          <w:rPr>
            <w:webHidden/>
          </w:rPr>
          <w:fldChar w:fldCharType="begin"/>
        </w:r>
        <w:r w:rsidR="00226E47">
          <w:rPr>
            <w:webHidden/>
          </w:rPr>
          <w:instrText xml:space="preserve"> PAGEREF _Toc178963642 \h </w:instrText>
        </w:r>
        <w:r w:rsidR="00226E47">
          <w:rPr>
            <w:webHidden/>
          </w:rPr>
        </w:r>
        <w:r w:rsidR="00226E47">
          <w:rPr>
            <w:webHidden/>
          </w:rPr>
          <w:fldChar w:fldCharType="separate"/>
        </w:r>
        <w:r w:rsidR="00226E47">
          <w:rPr>
            <w:webHidden/>
          </w:rPr>
          <w:t>67</w:t>
        </w:r>
        <w:r w:rsidR="00226E47">
          <w:rPr>
            <w:webHidden/>
          </w:rPr>
          <w:fldChar w:fldCharType="end"/>
        </w:r>
      </w:hyperlink>
    </w:p>
    <w:p w14:paraId="49A1FDE2" w14:textId="7C33A67D"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43" w:history="1">
        <w:r w:rsidR="00226E47" w:rsidRPr="001C0855">
          <w:rPr>
            <w:rStyle w:val="Hyperlink"/>
          </w:rPr>
          <w:t>16</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Price groups for NWAU purposes</w:t>
        </w:r>
        <w:r w:rsidR="00226E47">
          <w:rPr>
            <w:webHidden/>
          </w:rPr>
          <w:tab/>
        </w:r>
        <w:r w:rsidR="00226E47">
          <w:rPr>
            <w:webHidden/>
          </w:rPr>
          <w:fldChar w:fldCharType="begin"/>
        </w:r>
        <w:r w:rsidR="00226E47">
          <w:rPr>
            <w:webHidden/>
          </w:rPr>
          <w:instrText xml:space="preserve"> PAGEREF _Toc178963643 \h </w:instrText>
        </w:r>
        <w:r w:rsidR="00226E47">
          <w:rPr>
            <w:webHidden/>
          </w:rPr>
        </w:r>
        <w:r w:rsidR="00226E47">
          <w:rPr>
            <w:webHidden/>
          </w:rPr>
          <w:fldChar w:fldCharType="separate"/>
        </w:r>
        <w:r w:rsidR="00226E47">
          <w:rPr>
            <w:webHidden/>
          </w:rPr>
          <w:t>67</w:t>
        </w:r>
        <w:r w:rsidR="00226E47">
          <w:rPr>
            <w:webHidden/>
          </w:rPr>
          <w:fldChar w:fldCharType="end"/>
        </w:r>
      </w:hyperlink>
    </w:p>
    <w:p w14:paraId="6695A0B7" w14:textId="436BE85C"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44" w:history="1">
        <w:r w:rsidR="00226E47" w:rsidRPr="001C0855">
          <w:rPr>
            <w:rStyle w:val="Hyperlink"/>
          </w:rPr>
          <w:t>17</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Output and activity tables</w:t>
        </w:r>
        <w:r w:rsidR="00226E47">
          <w:rPr>
            <w:webHidden/>
          </w:rPr>
          <w:tab/>
        </w:r>
        <w:r w:rsidR="00226E47">
          <w:rPr>
            <w:webHidden/>
          </w:rPr>
          <w:fldChar w:fldCharType="begin"/>
        </w:r>
        <w:r w:rsidR="00226E47">
          <w:rPr>
            <w:webHidden/>
          </w:rPr>
          <w:instrText xml:space="preserve"> PAGEREF _Toc178963644 \h </w:instrText>
        </w:r>
        <w:r w:rsidR="00226E47">
          <w:rPr>
            <w:webHidden/>
          </w:rPr>
        </w:r>
        <w:r w:rsidR="00226E47">
          <w:rPr>
            <w:webHidden/>
          </w:rPr>
          <w:fldChar w:fldCharType="separate"/>
        </w:r>
        <w:r w:rsidR="00226E47">
          <w:rPr>
            <w:webHidden/>
          </w:rPr>
          <w:t>69</w:t>
        </w:r>
        <w:r w:rsidR="00226E47">
          <w:rPr>
            <w:webHidden/>
          </w:rPr>
          <w:fldChar w:fldCharType="end"/>
        </w:r>
      </w:hyperlink>
    </w:p>
    <w:p w14:paraId="15436F9D" w14:textId="0DC336E1" w:rsidR="00226E47"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63645" w:history="1">
        <w:r w:rsidR="00226E47" w:rsidRPr="001C0855">
          <w:rPr>
            <w:rStyle w:val="Hyperlink"/>
          </w:rPr>
          <w:t>Part 2: Funding and activity levels</w:t>
        </w:r>
        <w:r w:rsidR="00226E47">
          <w:rPr>
            <w:webHidden/>
          </w:rPr>
          <w:tab/>
        </w:r>
        <w:r w:rsidR="00226E47">
          <w:rPr>
            <w:webHidden/>
          </w:rPr>
          <w:fldChar w:fldCharType="begin"/>
        </w:r>
        <w:r w:rsidR="00226E47">
          <w:rPr>
            <w:webHidden/>
          </w:rPr>
          <w:instrText xml:space="preserve"> PAGEREF _Toc178963645 \h </w:instrText>
        </w:r>
        <w:r w:rsidR="00226E47">
          <w:rPr>
            <w:webHidden/>
          </w:rPr>
        </w:r>
        <w:r w:rsidR="00226E47">
          <w:rPr>
            <w:webHidden/>
          </w:rPr>
          <w:fldChar w:fldCharType="separate"/>
        </w:r>
        <w:r w:rsidR="00226E47">
          <w:rPr>
            <w:webHidden/>
          </w:rPr>
          <w:t>89</w:t>
        </w:r>
        <w:r w:rsidR="00226E47">
          <w:rPr>
            <w:webHidden/>
          </w:rPr>
          <w:fldChar w:fldCharType="end"/>
        </w:r>
      </w:hyperlink>
    </w:p>
    <w:p w14:paraId="571D996C" w14:textId="4402080E"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46" w:history="1">
        <w:r w:rsidR="00226E47" w:rsidRPr="001C0855">
          <w:rPr>
            <w:rStyle w:val="Hyperlink"/>
          </w:rPr>
          <w:t>18</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Budget tables</w:t>
        </w:r>
        <w:r w:rsidR="00226E47">
          <w:rPr>
            <w:webHidden/>
          </w:rPr>
          <w:tab/>
        </w:r>
        <w:r w:rsidR="00226E47">
          <w:rPr>
            <w:webHidden/>
          </w:rPr>
          <w:fldChar w:fldCharType="begin"/>
        </w:r>
        <w:r w:rsidR="00226E47">
          <w:rPr>
            <w:webHidden/>
          </w:rPr>
          <w:instrText xml:space="preserve"> PAGEREF _Toc178963646 \h </w:instrText>
        </w:r>
        <w:r w:rsidR="00226E47">
          <w:rPr>
            <w:webHidden/>
          </w:rPr>
        </w:r>
        <w:r w:rsidR="00226E47">
          <w:rPr>
            <w:webHidden/>
          </w:rPr>
          <w:fldChar w:fldCharType="separate"/>
        </w:r>
        <w:r w:rsidR="00226E47">
          <w:rPr>
            <w:webHidden/>
          </w:rPr>
          <w:t>90</w:t>
        </w:r>
        <w:r w:rsidR="00226E47">
          <w:rPr>
            <w:webHidden/>
          </w:rPr>
          <w:fldChar w:fldCharType="end"/>
        </w:r>
      </w:hyperlink>
    </w:p>
    <w:p w14:paraId="2593B7B3" w14:textId="6A9F28D3"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7" w:history="1">
        <w:r w:rsidR="00226E47" w:rsidRPr="001C0855">
          <w:rPr>
            <w:rStyle w:val="Hyperlink"/>
          </w:rPr>
          <w:t>18.1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Health service modelled budgets 2024–25</w:t>
        </w:r>
        <w:r w:rsidR="00226E47">
          <w:rPr>
            <w:webHidden/>
          </w:rPr>
          <w:tab/>
        </w:r>
        <w:r w:rsidR="00226E47">
          <w:rPr>
            <w:webHidden/>
          </w:rPr>
          <w:fldChar w:fldCharType="begin"/>
        </w:r>
        <w:r w:rsidR="00226E47">
          <w:rPr>
            <w:webHidden/>
          </w:rPr>
          <w:instrText xml:space="preserve"> PAGEREF _Toc178963647 \h </w:instrText>
        </w:r>
        <w:r w:rsidR="00226E47">
          <w:rPr>
            <w:webHidden/>
          </w:rPr>
        </w:r>
        <w:r w:rsidR="00226E47">
          <w:rPr>
            <w:webHidden/>
          </w:rPr>
          <w:fldChar w:fldCharType="separate"/>
        </w:r>
        <w:r w:rsidR="00226E47">
          <w:rPr>
            <w:webHidden/>
          </w:rPr>
          <w:t>90</w:t>
        </w:r>
        <w:r w:rsidR="00226E47">
          <w:rPr>
            <w:webHidden/>
          </w:rPr>
          <w:fldChar w:fldCharType="end"/>
        </w:r>
      </w:hyperlink>
    </w:p>
    <w:p w14:paraId="2EFB2459" w14:textId="2B0E2337"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8" w:history="1">
        <w:r w:rsidR="00226E47" w:rsidRPr="001C0855">
          <w:rPr>
            <w:rStyle w:val="Hyperlink"/>
          </w:rPr>
          <w:t>18.2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Small rural health services expenditure budgets 2024–25</w:t>
        </w:r>
        <w:r w:rsidR="00226E47">
          <w:rPr>
            <w:webHidden/>
          </w:rPr>
          <w:tab/>
        </w:r>
        <w:r w:rsidR="00226E47">
          <w:rPr>
            <w:webHidden/>
          </w:rPr>
          <w:fldChar w:fldCharType="begin"/>
        </w:r>
        <w:r w:rsidR="00226E47">
          <w:rPr>
            <w:webHidden/>
          </w:rPr>
          <w:instrText xml:space="preserve"> PAGEREF _Toc178963648 \h </w:instrText>
        </w:r>
        <w:r w:rsidR="00226E47">
          <w:rPr>
            <w:webHidden/>
          </w:rPr>
        </w:r>
        <w:r w:rsidR="00226E47">
          <w:rPr>
            <w:webHidden/>
          </w:rPr>
          <w:fldChar w:fldCharType="separate"/>
        </w:r>
        <w:r w:rsidR="00226E47">
          <w:rPr>
            <w:webHidden/>
          </w:rPr>
          <w:t>92</w:t>
        </w:r>
        <w:r w:rsidR="00226E47">
          <w:rPr>
            <w:webHidden/>
          </w:rPr>
          <w:fldChar w:fldCharType="end"/>
        </w:r>
      </w:hyperlink>
    </w:p>
    <w:p w14:paraId="73AE2765" w14:textId="0A7EA72D"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49" w:history="1">
        <w:r w:rsidR="00226E47" w:rsidRPr="001C0855">
          <w:rPr>
            <w:rStyle w:val="Hyperlink"/>
          </w:rPr>
          <w:t>18.3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Activity-based funding: health service expenditure budgets 2024–25 by service category</w:t>
        </w:r>
        <w:r w:rsidR="00226E47">
          <w:rPr>
            <w:webHidden/>
          </w:rPr>
          <w:tab/>
        </w:r>
        <w:r w:rsidR="00226E47">
          <w:rPr>
            <w:webHidden/>
          </w:rPr>
          <w:fldChar w:fldCharType="begin"/>
        </w:r>
        <w:r w:rsidR="00226E47">
          <w:rPr>
            <w:webHidden/>
          </w:rPr>
          <w:instrText xml:space="preserve"> PAGEREF _Toc178963649 \h </w:instrText>
        </w:r>
        <w:r w:rsidR="00226E47">
          <w:rPr>
            <w:webHidden/>
          </w:rPr>
        </w:r>
        <w:r w:rsidR="00226E47">
          <w:rPr>
            <w:webHidden/>
          </w:rPr>
          <w:fldChar w:fldCharType="separate"/>
        </w:r>
        <w:r w:rsidR="00226E47">
          <w:rPr>
            <w:webHidden/>
          </w:rPr>
          <w:t>94</w:t>
        </w:r>
        <w:r w:rsidR="00226E47">
          <w:rPr>
            <w:webHidden/>
          </w:rPr>
          <w:fldChar w:fldCharType="end"/>
        </w:r>
      </w:hyperlink>
    </w:p>
    <w:p w14:paraId="7B2A4F50" w14:textId="6F9BCB9C"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0" w:history="1">
        <w:r w:rsidR="00226E47" w:rsidRPr="001C0855">
          <w:rPr>
            <w:rStyle w:val="Hyperlink"/>
          </w:rPr>
          <w:t>18.4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Mental health expenditure budgets 2024–25 by service type</w:t>
        </w:r>
        <w:r w:rsidR="00226E47">
          <w:rPr>
            <w:webHidden/>
          </w:rPr>
          <w:tab/>
        </w:r>
        <w:r w:rsidR="00226E47">
          <w:rPr>
            <w:webHidden/>
          </w:rPr>
          <w:fldChar w:fldCharType="begin"/>
        </w:r>
        <w:r w:rsidR="00226E47">
          <w:rPr>
            <w:webHidden/>
          </w:rPr>
          <w:instrText xml:space="preserve"> PAGEREF _Toc178963650 \h </w:instrText>
        </w:r>
        <w:r w:rsidR="00226E47">
          <w:rPr>
            <w:webHidden/>
          </w:rPr>
        </w:r>
        <w:r w:rsidR="00226E47">
          <w:rPr>
            <w:webHidden/>
          </w:rPr>
          <w:fldChar w:fldCharType="separate"/>
        </w:r>
        <w:r w:rsidR="00226E47">
          <w:rPr>
            <w:webHidden/>
          </w:rPr>
          <w:t>96</w:t>
        </w:r>
        <w:r w:rsidR="00226E47">
          <w:rPr>
            <w:webHidden/>
          </w:rPr>
          <w:fldChar w:fldCharType="end"/>
        </w:r>
      </w:hyperlink>
    </w:p>
    <w:p w14:paraId="2131B98F" w14:textId="38EE7500"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1" w:history="1">
        <w:r w:rsidR="00226E47" w:rsidRPr="001C0855">
          <w:rPr>
            <w:rStyle w:val="Hyperlink"/>
          </w:rPr>
          <w:t>18.5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Registered Community Health Centres Budgets 2024–25</w:t>
        </w:r>
        <w:r w:rsidR="00226E47">
          <w:rPr>
            <w:webHidden/>
          </w:rPr>
          <w:tab/>
        </w:r>
        <w:r w:rsidR="00226E47">
          <w:rPr>
            <w:webHidden/>
          </w:rPr>
          <w:fldChar w:fldCharType="begin"/>
        </w:r>
        <w:r w:rsidR="00226E47">
          <w:rPr>
            <w:webHidden/>
          </w:rPr>
          <w:instrText xml:space="preserve"> PAGEREF _Toc178963651 \h </w:instrText>
        </w:r>
        <w:r w:rsidR="00226E47">
          <w:rPr>
            <w:webHidden/>
          </w:rPr>
        </w:r>
        <w:r w:rsidR="00226E47">
          <w:rPr>
            <w:webHidden/>
          </w:rPr>
          <w:fldChar w:fldCharType="separate"/>
        </w:r>
        <w:r w:rsidR="00226E47">
          <w:rPr>
            <w:webHidden/>
          </w:rPr>
          <w:t>100</w:t>
        </w:r>
        <w:r w:rsidR="00226E47">
          <w:rPr>
            <w:webHidden/>
          </w:rPr>
          <w:fldChar w:fldCharType="end"/>
        </w:r>
      </w:hyperlink>
    </w:p>
    <w:p w14:paraId="0BA8626B" w14:textId="34B9F7C0"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2" w:history="1">
        <w:r w:rsidR="00226E47" w:rsidRPr="001C0855">
          <w:rPr>
            <w:rStyle w:val="Hyperlink"/>
          </w:rPr>
          <w:t>18.6</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Local government authorities 2024–25</w:t>
        </w:r>
        <w:r w:rsidR="00226E47">
          <w:rPr>
            <w:webHidden/>
          </w:rPr>
          <w:tab/>
        </w:r>
        <w:r w:rsidR="00226E47">
          <w:rPr>
            <w:webHidden/>
          </w:rPr>
          <w:fldChar w:fldCharType="begin"/>
        </w:r>
        <w:r w:rsidR="00226E47">
          <w:rPr>
            <w:webHidden/>
          </w:rPr>
          <w:instrText xml:space="preserve"> PAGEREF _Toc178963652 \h </w:instrText>
        </w:r>
        <w:r w:rsidR="00226E47">
          <w:rPr>
            <w:webHidden/>
          </w:rPr>
        </w:r>
        <w:r w:rsidR="00226E47">
          <w:rPr>
            <w:webHidden/>
          </w:rPr>
          <w:fldChar w:fldCharType="separate"/>
        </w:r>
        <w:r w:rsidR="00226E47">
          <w:rPr>
            <w:webHidden/>
          </w:rPr>
          <w:t>101</w:t>
        </w:r>
        <w:r w:rsidR="00226E47">
          <w:rPr>
            <w:webHidden/>
          </w:rPr>
          <w:fldChar w:fldCharType="end"/>
        </w:r>
      </w:hyperlink>
    </w:p>
    <w:p w14:paraId="55D45094" w14:textId="5EA914B1"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3" w:history="1">
        <w:r w:rsidR="00226E47" w:rsidRPr="001C0855">
          <w:rPr>
            <w:rStyle w:val="Hyperlink"/>
          </w:rPr>
          <w:t>18.7</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Non-government providers 2024–25</w:t>
        </w:r>
        <w:r w:rsidR="00226E47">
          <w:rPr>
            <w:webHidden/>
          </w:rPr>
          <w:tab/>
        </w:r>
        <w:r w:rsidR="00226E47">
          <w:rPr>
            <w:webHidden/>
          </w:rPr>
          <w:fldChar w:fldCharType="begin"/>
        </w:r>
        <w:r w:rsidR="00226E47">
          <w:rPr>
            <w:webHidden/>
          </w:rPr>
          <w:instrText xml:space="preserve"> PAGEREF _Toc178963653 \h </w:instrText>
        </w:r>
        <w:r w:rsidR="00226E47">
          <w:rPr>
            <w:webHidden/>
          </w:rPr>
        </w:r>
        <w:r w:rsidR="00226E47">
          <w:rPr>
            <w:webHidden/>
          </w:rPr>
          <w:fldChar w:fldCharType="separate"/>
        </w:r>
        <w:r w:rsidR="00226E47">
          <w:rPr>
            <w:webHidden/>
          </w:rPr>
          <w:t>103</w:t>
        </w:r>
        <w:r w:rsidR="00226E47">
          <w:rPr>
            <w:webHidden/>
          </w:rPr>
          <w:fldChar w:fldCharType="end"/>
        </w:r>
      </w:hyperlink>
    </w:p>
    <w:p w14:paraId="4D240FF6" w14:textId="3ADD116C"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4" w:history="1">
        <w:r w:rsidR="00226E47" w:rsidRPr="001C0855">
          <w:rPr>
            <w:rStyle w:val="Hyperlink"/>
          </w:rPr>
          <w:t>18.8</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Other Funded Organisations 2024–25</w:t>
        </w:r>
        <w:r w:rsidR="00226E47">
          <w:rPr>
            <w:webHidden/>
          </w:rPr>
          <w:tab/>
        </w:r>
        <w:r w:rsidR="00226E47">
          <w:rPr>
            <w:webHidden/>
          </w:rPr>
          <w:fldChar w:fldCharType="begin"/>
        </w:r>
        <w:r w:rsidR="00226E47">
          <w:rPr>
            <w:webHidden/>
          </w:rPr>
          <w:instrText xml:space="preserve"> PAGEREF _Toc178963654 \h </w:instrText>
        </w:r>
        <w:r w:rsidR="00226E47">
          <w:rPr>
            <w:webHidden/>
          </w:rPr>
        </w:r>
        <w:r w:rsidR="00226E47">
          <w:rPr>
            <w:webHidden/>
          </w:rPr>
          <w:fldChar w:fldCharType="separate"/>
        </w:r>
        <w:r w:rsidR="00226E47">
          <w:rPr>
            <w:webHidden/>
          </w:rPr>
          <w:t>106</w:t>
        </w:r>
        <w:r w:rsidR="00226E47">
          <w:rPr>
            <w:webHidden/>
          </w:rPr>
          <w:fldChar w:fldCharType="end"/>
        </w:r>
      </w:hyperlink>
    </w:p>
    <w:p w14:paraId="7B85342B" w14:textId="083A3D28"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5" w:history="1">
        <w:r w:rsidR="00226E47" w:rsidRPr="001C0855">
          <w:rPr>
            <w:rStyle w:val="Hyperlink"/>
          </w:rPr>
          <w:t>18.9</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Health operations 2024–25</w:t>
        </w:r>
        <w:r w:rsidR="00226E47">
          <w:rPr>
            <w:webHidden/>
          </w:rPr>
          <w:tab/>
        </w:r>
        <w:r w:rsidR="00226E47">
          <w:rPr>
            <w:webHidden/>
          </w:rPr>
          <w:fldChar w:fldCharType="begin"/>
        </w:r>
        <w:r w:rsidR="00226E47">
          <w:rPr>
            <w:webHidden/>
          </w:rPr>
          <w:instrText xml:space="preserve"> PAGEREF _Toc178963655 \h </w:instrText>
        </w:r>
        <w:r w:rsidR="00226E47">
          <w:rPr>
            <w:webHidden/>
          </w:rPr>
        </w:r>
        <w:r w:rsidR="00226E47">
          <w:rPr>
            <w:webHidden/>
          </w:rPr>
          <w:fldChar w:fldCharType="separate"/>
        </w:r>
        <w:r w:rsidR="00226E47">
          <w:rPr>
            <w:webHidden/>
          </w:rPr>
          <w:t>107</w:t>
        </w:r>
        <w:r w:rsidR="00226E47">
          <w:rPr>
            <w:webHidden/>
          </w:rPr>
          <w:fldChar w:fldCharType="end"/>
        </w:r>
      </w:hyperlink>
    </w:p>
    <w:p w14:paraId="402F53BA" w14:textId="3835E431" w:rsidR="00226E47" w:rsidRDefault="0000000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8963656" w:history="1">
        <w:r w:rsidR="00226E47" w:rsidRPr="001C0855">
          <w:rPr>
            <w:rStyle w:val="Hyperlink"/>
          </w:rPr>
          <w:t>19</w:t>
        </w:r>
        <w:r w:rsidR="00226E47">
          <w:rPr>
            <w:rFonts w:asciiTheme="minorHAnsi" w:eastAsiaTheme="minorEastAsia" w:hAnsiTheme="minorHAnsi" w:cstheme="minorBidi"/>
            <w:b w:val="0"/>
            <w:kern w:val="2"/>
            <w:sz w:val="24"/>
            <w:szCs w:val="24"/>
            <w:lang w:eastAsia="en-AU"/>
            <w14:ligatures w14:val="standardContextual"/>
          </w:rPr>
          <w:tab/>
        </w:r>
        <w:r w:rsidR="00226E47" w:rsidRPr="001C0855">
          <w:rPr>
            <w:rStyle w:val="Hyperlink"/>
          </w:rPr>
          <w:t>Activity target tables</w:t>
        </w:r>
        <w:r w:rsidR="00226E47">
          <w:rPr>
            <w:webHidden/>
          </w:rPr>
          <w:tab/>
        </w:r>
        <w:r w:rsidR="00226E47">
          <w:rPr>
            <w:webHidden/>
          </w:rPr>
          <w:fldChar w:fldCharType="begin"/>
        </w:r>
        <w:r w:rsidR="00226E47">
          <w:rPr>
            <w:webHidden/>
          </w:rPr>
          <w:instrText xml:space="preserve"> PAGEREF _Toc178963656 \h </w:instrText>
        </w:r>
        <w:r w:rsidR="00226E47">
          <w:rPr>
            <w:webHidden/>
          </w:rPr>
        </w:r>
        <w:r w:rsidR="00226E47">
          <w:rPr>
            <w:webHidden/>
          </w:rPr>
          <w:fldChar w:fldCharType="separate"/>
        </w:r>
        <w:r w:rsidR="00226E47">
          <w:rPr>
            <w:webHidden/>
          </w:rPr>
          <w:t>108</w:t>
        </w:r>
        <w:r w:rsidR="00226E47">
          <w:rPr>
            <w:webHidden/>
          </w:rPr>
          <w:fldChar w:fldCharType="end"/>
        </w:r>
      </w:hyperlink>
    </w:p>
    <w:p w14:paraId="72ABD504" w14:textId="580B4557"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7" w:history="1">
        <w:r w:rsidR="00226E47" w:rsidRPr="001C0855">
          <w:rPr>
            <w:rStyle w:val="Hyperlink"/>
          </w:rPr>
          <w:t>19.1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activity targets (NWAU) 2024–25</w:t>
        </w:r>
        <w:r w:rsidR="00226E47">
          <w:rPr>
            <w:webHidden/>
          </w:rPr>
          <w:tab/>
        </w:r>
        <w:r w:rsidR="00226E47">
          <w:rPr>
            <w:webHidden/>
          </w:rPr>
          <w:fldChar w:fldCharType="begin"/>
        </w:r>
        <w:r w:rsidR="00226E47">
          <w:rPr>
            <w:webHidden/>
          </w:rPr>
          <w:instrText xml:space="preserve"> PAGEREF _Toc178963657 \h </w:instrText>
        </w:r>
        <w:r w:rsidR="00226E47">
          <w:rPr>
            <w:webHidden/>
          </w:rPr>
        </w:r>
        <w:r w:rsidR="00226E47">
          <w:rPr>
            <w:webHidden/>
          </w:rPr>
          <w:fldChar w:fldCharType="separate"/>
        </w:r>
        <w:r w:rsidR="00226E47">
          <w:rPr>
            <w:webHidden/>
          </w:rPr>
          <w:t>108</w:t>
        </w:r>
        <w:r w:rsidR="00226E47">
          <w:rPr>
            <w:webHidden/>
          </w:rPr>
          <w:fldChar w:fldCharType="end"/>
        </w:r>
      </w:hyperlink>
    </w:p>
    <w:p w14:paraId="45180179" w14:textId="12DD34A4"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8" w:history="1">
        <w:r w:rsidR="00226E47" w:rsidRPr="001C0855">
          <w:rPr>
            <w:rStyle w:val="Hyperlink"/>
          </w:rPr>
          <w:t>19.2</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Indicative NWAU adjustments for safety and quality</w:t>
        </w:r>
        <w:r w:rsidR="00226E47">
          <w:rPr>
            <w:webHidden/>
          </w:rPr>
          <w:tab/>
        </w:r>
        <w:r w:rsidR="00226E47">
          <w:rPr>
            <w:webHidden/>
          </w:rPr>
          <w:fldChar w:fldCharType="begin"/>
        </w:r>
        <w:r w:rsidR="00226E47">
          <w:rPr>
            <w:webHidden/>
          </w:rPr>
          <w:instrText xml:space="preserve"> PAGEREF _Toc178963658 \h </w:instrText>
        </w:r>
        <w:r w:rsidR="00226E47">
          <w:rPr>
            <w:webHidden/>
          </w:rPr>
        </w:r>
        <w:r w:rsidR="00226E47">
          <w:rPr>
            <w:webHidden/>
          </w:rPr>
          <w:fldChar w:fldCharType="separate"/>
        </w:r>
        <w:r w:rsidR="00226E47">
          <w:rPr>
            <w:webHidden/>
          </w:rPr>
          <w:t>110</w:t>
        </w:r>
        <w:r w:rsidR="00226E47">
          <w:rPr>
            <w:webHidden/>
          </w:rPr>
          <w:fldChar w:fldCharType="end"/>
        </w:r>
      </w:hyperlink>
    </w:p>
    <w:p w14:paraId="44FD6516" w14:textId="54869D12"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59" w:history="1">
        <w:r w:rsidR="00226E47" w:rsidRPr="001C0855">
          <w:rPr>
            <w:rStyle w:val="Hyperlink"/>
          </w:rPr>
          <w:t>19.3</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Victorian small rural health service activity targets 2024–25</w:t>
        </w:r>
        <w:r w:rsidR="00226E47">
          <w:rPr>
            <w:webHidden/>
          </w:rPr>
          <w:tab/>
        </w:r>
        <w:r w:rsidR="00226E47">
          <w:rPr>
            <w:webHidden/>
          </w:rPr>
          <w:fldChar w:fldCharType="begin"/>
        </w:r>
        <w:r w:rsidR="00226E47">
          <w:rPr>
            <w:webHidden/>
          </w:rPr>
          <w:instrText xml:space="preserve"> PAGEREF _Toc178963659 \h </w:instrText>
        </w:r>
        <w:r w:rsidR="00226E47">
          <w:rPr>
            <w:webHidden/>
          </w:rPr>
        </w:r>
        <w:r w:rsidR="00226E47">
          <w:rPr>
            <w:webHidden/>
          </w:rPr>
          <w:fldChar w:fldCharType="separate"/>
        </w:r>
        <w:r w:rsidR="00226E47">
          <w:rPr>
            <w:webHidden/>
          </w:rPr>
          <w:t>113</w:t>
        </w:r>
        <w:r w:rsidR="00226E47">
          <w:rPr>
            <w:webHidden/>
          </w:rPr>
          <w:fldChar w:fldCharType="end"/>
        </w:r>
      </w:hyperlink>
    </w:p>
    <w:p w14:paraId="481BC692" w14:textId="2823C6CA"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0" w:history="1">
        <w:r w:rsidR="00226E47" w:rsidRPr="001C0855">
          <w:rPr>
            <w:rStyle w:val="Hyperlink"/>
          </w:rPr>
          <w:t>19.4</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Non-admitted radiotherapy activity (WAU) targets 2024–25</w:t>
        </w:r>
        <w:r w:rsidR="00226E47">
          <w:rPr>
            <w:webHidden/>
          </w:rPr>
          <w:tab/>
        </w:r>
        <w:r w:rsidR="00226E47">
          <w:rPr>
            <w:webHidden/>
          </w:rPr>
          <w:fldChar w:fldCharType="begin"/>
        </w:r>
        <w:r w:rsidR="00226E47">
          <w:rPr>
            <w:webHidden/>
          </w:rPr>
          <w:instrText xml:space="preserve"> PAGEREF _Toc178963660 \h </w:instrText>
        </w:r>
        <w:r w:rsidR="00226E47">
          <w:rPr>
            <w:webHidden/>
          </w:rPr>
        </w:r>
        <w:r w:rsidR="00226E47">
          <w:rPr>
            <w:webHidden/>
          </w:rPr>
          <w:fldChar w:fldCharType="separate"/>
        </w:r>
        <w:r w:rsidR="00226E47">
          <w:rPr>
            <w:webHidden/>
          </w:rPr>
          <w:t>114</w:t>
        </w:r>
        <w:r w:rsidR="00226E47">
          <w:rPr>
            <w:webHidden/>
          </w:rPr>
          <w:fldChar w:fldCharType="end"/>
        </w:r>
      </w:hyperlink>
    </w:p>
    <w:p w14:paraId="6C9DB71D" w14:textId="3F38C167"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1" w:history="1">
        <w:r w:rsidR="00226E47" w:rsidRPr="001C0855">
          <w:rPr>
            <w:rStyle w:val="Hyperlink"/>
          </w:rPr>
          <w:t>19.5</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Transition Care Program targets 2024–25</w:t>
        </w:r>
        <w:r w:rsidR="00226E47">
          <w:rPr>
            <w:webHidden/>
          </w:rPr>
          <w:tab/>
        </w:r>
        <w:r w:rsidR="00226E47">
          <w:rPr>
            <w:webHidden/>
          </w:rPr>
          <w:fldChar w:fldCharType="begin"/>
        </w:r>
        <w:r w:rsidR="00226E47">
          <w:rPr>
            <w:webHidden/>
          </w:rPr>
          <w:instrText xml:space="preserve"> PAGEREF _Toc178963661 \h </w:instrText>
        </w:r>
        <w:r w:rsidR="00226E47">
          <w:rPr>
            <w:webHidden/>
          </w:rPr>
        </w:r>
        <w:r w:rsidR="00226E47">
          <w:rPr>
            <w:webHidden/>
          </w:rPr>
          <w:fldChar w:fldCharType="separate"/>
        </w:r>
        <w:r w:rsidR="00226E47">
          <w:rPr>
            <w:webHidden/>
          </w:rPr>
          <w:t>115</w:t>
        </w:r>
        <w:r w:rsidR="00226E47">
          <w:rPr>
            <w:webHidden/>
          </w:rPr>
          <w:fldChar w:fldCharType="end"/>
        </w:r>
      </w:hyperlink>
    </w:p>
    <w:p w14:paraId="7986B8D6" w14:textId="7BE0680F"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2" w:history="1">
        <w:r w:rsidR="00226E47" w:rsidRPr="001C0855">
          <w:rPr>
            <w:rStyle w:val="Hyperlink"/>
          </w:rPr>
          <w:t>19.6</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Non-admitted episode targets – community palliative care</w:t>
        </w:r>
        <w:r w:rsidR="00226E47">
          <w:rPr>
            <w:webHidden/>
          </w:rPr>
          <w:tab/>
        </w:r>
        <w:r w:rsidR="00226E47">
          <w:rPr>
            <w:webHidden/>
          </w:rPr>
          <w:fldChar w:fldCharType="begin"/>
        </w:r>
        <w:r w:rsidR="00226E47">
          <w:rPr>
            <w:webHidden/>
          </w:rPr>
          <w:instrText xml:space="preserve"> PAGEREF _Toc178963662 \h </w:instrText>
        </w:r>
        <w:r w:rsidR="00226E47">
          <w:rPr>
            <w:webHidden/>
          </w:rPr>
        </w:r>
        <w:r w:rsidR="00226E47">
          <w:rPr>
            <w:webHidden/>
          </w:rPr>
          <w:fldChar w:fldCharType="separate"/>
        </w:r>
        <w:r w:rsidR="00226E47">
          <w:rPr>
            <w:webHidden/>
          </w:rPr>
          <w:t>116</w:t>
        </w:r>
        <w:r w:rsidR="00226E47">
          <w:rPr>
            <w:webHidden/>
          </w:rPr>
          <w:fldChar w:fldCharType="end"/>
        </w:r>
      </w:hyperlink>
    </w:p>
    <w:p w14:paraId="406DD9C3" w14:textId="50E73156"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3" w:history="1">
        <w:r w:rsidR="00226E47" w:rsidRPr="001C0855">
          <w:rPr>
            <w:rStyle w:val="Hyperlink"/>
          </w:rPr>
          <w:t>19.7</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Nationally Funded Centres Program 2024–25</w:t>
        </w:r>
        <w:r w:rsidR="00226E47">
          <w:rPr>
            <w:webHidden/>
          </w:rPr>
          <w:tab/>
        </w:r>
        <w:r w:rsidR="00226E47">
          <w:rPr>
            <w:webHidden/>
          </w:rPr>
          <w:fldChar w:fldCharType="begin"/>
        </w:r>
        <w:r w:rsidR="00226E47">
          <w:rPr>
            <w:webHidden/>
          </w:rPr>
          <w:instrText xml:space="preserve"> PAGEREF _Toc178963663 \h </w:instrText>
        </w:r>
        <w:r w:rsidR="00226E47">
          <w:rPr>
            <w:webHidden/>
          </w:rPr>
        </w:r>
        <w:r w:rsidR="00226E47">
          <w:rPr>
            <w:webHidden/>
          </w:rPr>
          <w:fldChar w:fldCharType="separate"/>
        </w:r>
        <w:r w:rsidR="00226E47">
          <w:rPr>
            <w:webHidden/>
          </w:rPr>
          <w:t>117</w:t>
        </w:r>
        <w:r w:rsidR="00226E47">
          <w:rPr>
            <w:webHidden/>
          </w:rPr>
          <w:fldChar w:fldCharType="end"/>
        </w:r>
      </w:hyperlink>
    </w:p>
    <w:p w14:paraId="5147D698" w14:textId="526D8779"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4" w:history="1">
        <w:r w:rsidR="00226E47" w:rsidRPr="001C0855">
          <w:rPr>
            <w:rStyle w:val="Hyperlink"/>
          </w:rPr>
          <w:t>19.8</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Mental health acute, non-acute, subacute, and residential available beds 2024–25</w:t>
        </w:r>
        <w:r w:rsidR="00226E47">
          <w:rPr>
            <w:webHidden/>
          </w:rPr>
          <w:tab/>
        </w:r>
        <w:r w:rsidR="00226E47">
          <w:rPr>
            <w:webHidden/>
          </w:rPr>
          <w:fldChar w:fldCharType="begin"/>
        </w:r>
        <w:r w:rsidR="00226E47">
          <w:rPr>
            <w:webHidden/>
          </w:rPr>
          <w:instrText xml:space="preserve"> PAGEREF _Toc178963664 \h </w:instrText>
        </w:r>
        <w:r w:rsidR="00226E47">
          <w:rPr>
            <w:webHidden/>
          </w:rPr>
        </w:r>
        <w:r w:rsidR="00226E47">
          <w:rPr>
            <w:webHidden/>
          </w:rPr>
          <w:fldChar w:fldCharType="separate"/>
        </w:r>
        <w:r w:rsidR="00226E47">
          <w:rPr>
            <w:webHidden/>
          </w:rPr>
          <w:t>118</w:t>
        </w:r>
        <w:r w:rsidR="00226E47">
          <w:rPr>
            <w:webHidden/>
          </w:rPr>
          <w:fldChar w:fldCharType="end"/>
        </w:r>
      </w:hyperlink>
    </w:p>
    <w:p w14:paraId="4C006D5E" w14:textId="38DFAD8D"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5" w:history="1">
        <w:r w:rsidR="00226E47" w:rsidRPr="001C0855">
          <w:rPr>
            <w:rStyle w:val="Hyperlink"/>
          </w:rPr>
          <w:t>19.9</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Mental health ambulatory targets 2024–25</w:t>
        </w:r>
        <w:r w:rsidR="00226E47">
          <w:rPr>
            <w:webHidden/>
          </w:rPr>
          <w:tab/>
        </w:r>
        <w:r w:rsidR="00226E47">
          <w:rPr>
            <w:webHidden/>
          </w:rPr>
          <w:fldChar w:fldCharType="begin"/>
        </w:r>
        <w:r w:rsidR="00226E47">
          <w:rPr>
            <w:webHidden/>
          </w:rPr>
          <w:instrText xml:space="preserve"> PAGEREF _Toc178963665 \h </w:instrText>
        </w:r>
        <w:r w:rsidR="00226E47">
          <w:rPr>
            <w:webHidden/>
          </w:rPr>
        </w:r>
        <w:r w:rsidR="00226E47">
          <w:rPr>
            <w:webHidden/>
          </w:rPr>
          <w:fldChar w:fldCharType="separate"/>
        </w:r>
        <w:r w:rsidR="00226E47">
          <w:rPr>
            <w:webHidden/>
          </w:rPr>
          <w:t>120</w:t>
        </w:r>
        <w:r w:rsidR="00226E47">
          <w:rPr>
            <w:webHidden/>
          </w:rPr>
          <w:fldChar w:fldCharType="end"/>
        </w:r>
      </w:hyperlink>
    </w:p>
    <w:p w14:paraId="47709B6B" w14:textId="17E8E0F9"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6" w:history="1">
        <w:r w:rsidR="00226E47" w:rsidRPr="001C0855">
          <w:rPr>
            <w:rStyle w:val="Hyperlink"/>
          </w:rPr>
          <w:t>19.10</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Alcohol and other drugs output targets 2024–25</w:t>
        </w:r>
        <w:r w:rsidR="00226E47">
          <w:rPr>
            <w:webHidden/>
          </w:rPr>
          <w:tab/>
        </w:r>
        <w:r w:rsidR="00226E47">
          <w:rPr>
            <w:webHidden/>
          </w:rPr>
          <w:fldChar w:fldCharType="begin"/>
        </w:r>
        <w:r w:rsidR="00226E47">
          <w:rPr>
            <w:webHidden/>
          </w:rPr>
          <w:instrText xml:space="preserve"> PAGEREF _Toc178963666 \h </w:instrText>
        </w:r>
        <w:r w:rsidR="00226E47">
          <w:rPr>
            <w:webHidden/>
          </w:rPr>
        </w:r>
        <w:r w:rsidR="00226E47">
          <w:rPr>
            <w:webHidden/>
          </w:rPr>
          <w:fldChar w:fldCharType="separate"/>
        </w:r>
        <w:r w:rsidR="00226E47">
          <w:rPr>
            <w:webHidden/>
          </w:rPr>
          <w:t>121</w:t>
        </w:r>
        <w:r w:rsidR="00226E47">
          <w:rPr>
            <w:webHidden/>
          </w:rPr>
          <w:fldChar w:fldCharType="end"/>
        </w:r>
      </w:hyperlink>
    </w:p>
    <w:p w14:paraId="460743C5" w14:textId="70E61A93" w:rsidR="00226E47"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8963667" w:history="1">
        <w:r w:rsidR="00226E47" w:rsidRPr="001C0855">
          <w:rPr>
            <w:rStyle w:val="Hyperlink"/>
          </w:rPr>
          <w:t>19.11</w:t>
        </w:r>
        <w:r w:rsidR="00226E47">
          <w:rPr>
            <w:rFonts w:asciiTheme="minorHAnsi" w:eastAsiaTheme="minorEastAsia" w:hAnsiTheme="minorHAnsi" w:cstheme="minorBidi"/>
            <w:kern w:val="2"/>
            <w:sz w:val="24"/>
            <w:szCs w:val="24"/>
            <w:lang w:eastAsia="en-AU"/>
            <w14:ligatures w14:val="standardContextual"/>
          </w:rPr>
          <w:tab/>
        </w:r>
        <w:r w:rsidR="00226E47" w:rsidRPr="001C0855">
          <w:rPr>
            <w:rStyle w:val="Hyperlink"/>
          </w:rPr>
          <w:t>Localised pricing adjustments to the Victorian ABF Pricing Framework</w:t>
        </w:r>
        <w:r w:rsidR="00226E47">
          <w:rPr>
            <w:webHidden/>
          </w:rPr>
          <w:tab/>
        </w:r>
        <w:r w:rsidR="00226E47">
          <w:rPr>
            <w:webHidden/>
          </w:rPr>
          <w:fldChar w:fldCharType="begin"/>
        </w:r>
        <w:r w:rsidR="00226E47">
          <w:rPr>
            <w:webHidden/>
          </w:rPr>
          <w:instrText xml:space="preserve"> PAGEREF _Toc178963667 \h </w:instrText>
        </w:r>
        <w:r w:rsidR="00226E47">
          <w:rPr>
            <w:webHidden/>
          </w:rPr>
        </w:r>
        <w:r w:rsidR="00226E47">
          <w:rPr>
            <w:webHidden/>
          </w:rPr>
          <w:fldChar w:fldCharType="separate"/>
        </w:r>
        <w:r w:rsidR="00226E47">
          <w:rPr>
            <w:webHidden/>
          </w:rPr>
          <w:t>124</w:t>
        </w:r>
        <w:r w:rsidR="00226E47">
          <w:rPr>
            <w:webHidden/>
          </w:rPr>
          <w:fldChar w:fldCharType="end"/>
        </w:r>
      </w:hyperlink>
    </w:p>
    <w:p w14:paraId="1FBFA5A0" w14:textId="4919A59F" w:rsidR="00226E47"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63668" w:history="1">
        <w:r w:rsidR="00226E47" w:rsidRPr="001C0855">
          <w:rPr>
            <w:rStyle w:val="Hyperlink"/>
          </w:rPr>
          <w:t>List of tables</w:t>
        </w:r>
        <w:r w:rsidR="00226E47">
          <w:rPr>
            <w:webHidden/>
          </w:rPr>
          <w:tab/>
        </w:r>
        <w:r w:rsidR="00226E47">
          <w:rPr>
            <w:webHidden/>
          </w:rPr>
          <w:fldChar w:fldCharType="begin"/>
        </w:r>
        <w:r w:rsidR="00226E47">
          <w:rPr>
            <w:webHidden/>
          </w:rPr>
          <w:instrText xml:space="preserve"> PAGEREF _Toc178963668 \h </w:instrText>
        </w:r>
        <w:r w:rsidR="00226E47">
          <w:rPr>
            <w:webHidden/>
          </w:rPr>
        </w:r>
        <w:r w:rsidR="00226E47">
          <w:rPr>
            <w:webHidden/>
          </w:rPr>
          <w:fldChar w:fldCharType="separate"/>
        </w:r>
        <w:r w:rsidR="00226E47">
          <w:rPr>
            <w:webHidden/>
          </w:rPr>
          <w:t>127</w:t>
        </w:r>
        <w:r w:rsidR="00226E47">
          <w:rPr>
            <w:webHidden/>
          </w:rPr>
          <w:fldChar w:fldCharType="end"/>
        </w:r>
      </w:hyperlink>
    </w:p>
    <w:p w14:paraId="1641A26D" w14:textId="4C43CCB4" w:rsidR="00226E47"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8963669" w:history="1">
        <w:r w:rsidR="00226E47" w:rsidRPr="001C0855">
          <w:rPr>
            <w:rStyle w:val="Hyperlink"/>
          </w:rPr>
          <w:t>Acronyms and abbreviations</w:t>
        </w:r>
        <w:r w:rsidR="00226E47">
          <w:rPr>
            <w:webHidden/>
          </w:rPr>
          <w:tab/>
        </w:r>
        <w:r w:rsidR="00226E47">
          <w:rPr>
            <w:webHidden/>
          </w:rPr>
          <w:fldChar w:fldCharType="begin"/>
        </w:r>
        <w:r w:rsidR="00226E47">
          <w:rPr>
            <w:webHidden/>
          </w:rPr>
          <w:instrText xml:space="preserve"> PAGEREF _Toc178963669 \h </w:instrText>
        </w:r>
        <w:r w:rsidR="00226E47">
          <w:rPr>
            <w:webHidden/>
          </w:rPr>
        </w:r>
        <w:r w:rsidR="00226E47">
          <w:rPr>
            <w:webHidden/>
          </w:rPr>
          <w:fldChar w:fldCharType="separate"/>
        </w:r>
        <w:r w:rsidR="00226E47">
          <w:rPr>
            <w:webHidden/>
          </w:rPr>
          <w:t>129</w:t>
        </w:r>
        <w:r w:rsidR="00226E47">
          <w:rPr>
            <w:webHidden/>
          </w:rPr>
          <w:fldChar w:fldCharType="end"/>
        </w:r>
      </w:hyperlink>
    </w:p>
    <w:p w14:paraId="3879D8C5" w14:textId="6F00E505" w:rsidR="00FB1F6E" w:rsidRDefault="00481585" w:rsidP="00D079AA">
      <w:pPr>
        <w:pStyle w:val="Body"/>
      </w:pPr>
      <w:r>
        <w:rPr>
          <w:rFonts w:eastAsia="Times New Roman"/>
          <w:b/>
          <w:noProof/>
        </w:rPr>
        <w:fldChar w:fldCharType="end"/>
      </w:r>
    </w:p>
    <w:p w14:paraId="357DBE75" w14:textId="77777777" w:rsidR="00FB1F6E" w:rsidRDefault="00FB1F6E">
      <w:pPr>
        <w:spacing w:after="0" w:line="240" w:lineRule="auto"/>
        <w:rPr>
          <w:rFonts w:eastAsia="Times"/>
        </w:rPr>
      </w:pPr>
      <w:r>
        <w:br w:type="page"/>
      </w:r>
    </w:p>
    <w:p w14:paraId="04BF19B7" w14:textId="228FC415" w:rsidR="005B699B" w:rsidRPr="00674286" w:rsidRDefault="005B699B" w:rsidP="00AF18F3">
      <w:pPr>
        <w:pStyle w:val="Heading1"/>
        <w:numPr>
          <w:ilvl w:val="0"/>
          <w:numId w:val="0"/>
        </w:numPr>
      </w:pPr>
      <w:bookmarkStart w:id="2" w:name="_Toc106870423"/>
      <w:bookmarkStart w:id="3" w:name="_Toc165964624"/>
      <w:bookmarkStart w:id="4" w:name="_Toc167174486"/>
      <w:bookmarkStart w:id="5" w:name="_Toc167225998"/>
      <w:bookmarkStart w:id="6" w:name="_Toc178963568"/>
      <w:bookmarkStart w:id="7" w:name="_Toc10199536"/>
      <w:bookmarkStart w:id="8" w:name="_Toc487742003"/>
      <w:bookmarkStart w:id="9" w:name="_Toc14172232"/>
      <w:r>
        <w:lastRenderedPageBreak/>
        <w:t xml:space="preserve">Overview of the </w:t>
      </w:r>
      <w:r w:rsidRPr="00481585">
        <w:t>Policy and funding guidelines</w:t>
      </w:r>
      <w:r w:rsidRPr="00481585">
        <w:br/>
        <w:t>2024–25</w:t>
      </w:r>
      <w:bookmarkEnd w:id="2"/>
      <w:bookmarkEnd w:id="3"/>
      <w:bookmarkEnd w:id="4"/>
      <w:bookmarkEnd w:id="5"/>
      <w:bookmarkEnd w:id="6"/>
    </w:p>
    <w:p w14:paraId="324A24B3" w14:textId="6EE99698" w:rsidR="005B699B" w:rsidRDefault="005B699B" w:rsidP="00AD4C45">
      <w:pPr>
        <w:pStyle w:val="Body"/>
      </w:pPr>
      <w:r>
        <w:t xml:space="preserve">The </w:t>
      </w:r>
      <w:r w:rsidRPr="0670E279">
        <w:rPr>
          <w:i/>
          <w:iCs/>
        </w:rPr>
        <w:t xml:space="preserve">Policy and </w:t>
      </w:r>
      <w:r>
        <w:rPr>
          <w:i/>
          <w:iCs/>
        </w:rPr>
        <w:t>f</w:t>
      </w:r>
      <w:r w:rsidRPr="0670E279">
        <w:rPr>
          <w:i/>
          <w:iCs/>
        </w:rPr>
        <w:t xml:space="preserve">unding </w:t>
      </w:r>
      <w:r>
        <w:rPr>
          <w:i/>
          <w:iCs/>
        </w:rPr>
        <w:t>g</w:t>
      </w:r>
      <w:r w:rsidRPr="0670E279">
        <w:rPr>
          <w:i/>
          <w:iCs/>
        </w:rPr>
        <w:t xml:space="preserve">uidelines 2024–25 </w:t>
      </w:r>
      <w:r>
        <w:t xml:space="preserve">(the guidelines) provide the system-wide terms and conditions for government-funded healthcare organisations (funded organisations). This includes health services and hospitals, community </w:t>
      </w:r>
      <w:r w:rsidRPr="00D65A04">
        <w:t>service</w:t>
      </w:r>
      <w:r>
        <w:t xml:space="preserve"> organisations and other organisations, such as Ambulance Victoria.</w:t>
      </w:r>
    </w:p>
    <w:p w14:paraId="616EA8BD" w14:textId="77777777" w:rsidR="005B699B" w:rsidRDefault="005B699B" w:rsidP="005B699B">
      <w:pPr>
        <w:pStyle w:val="Body"/>
      </w:pPr>
      <w:r>
        <w:t xml:space="preserve">The guidelines: </w:t>
      </w:r>
    </w:p>
    <w:p w14:paraId="6D4C3FF6" w14:textId="77777777" w:rsidR="005B699B" w:rsidRPr="002A7703" w:rsidRDefault="005B699B" w:rsidP="00EA18DD">
      <w:pPr>
        <w:pStyle w:val="Bullet1"/>
      </w:pPr>
      <w:r>
        <w:t xml:space="preserve">reflect the role of the </w:t>
      </w:r>
      <w:r w:rsidRPr="00481585">
        <w:t>Department</w:t>
      </w:r>
      <w:r>
        <w:t xml:space="preserve"> of Health (the department) as the system steward</w:t>
      </w:r>
    </w:p>
    <w:p w14:paraId="213EB063" w14:textId="16000E0E" w:rsidR="005B699B" w:rsidRDefault="005B699B" w:rsidP="00EA18DD">
      <w:pPr>
        <w:pStyle w:val="Bullet1"/>
      </w:pPr>
      <w:r>
        <w:t xml:space="preserve">provide policy changes relating to operational and </w:t>
      </w:r>
      <w:r w:rsidRPr="00481585">
        <w:t>service</w:t>
      </w:r>
      <w:r>
        <w:t xml:space="preserve"> delivery</w:t>
      </w:r>
    </w:p>
    <w:p w14:paraId="7D018EB8" w14:textId="1DFEC98B" w:rsidR="005B699B" w:rsidRPr="002A7703" w:rsidRDefault="005B699B" w:rsidP="00EA18DD">
      <w:pPr>
        <w:pStyle w:val="Bullet1"/>
      </w:pPr>
      <w:r>
        <w:t xml:space="preserve">set out contractual, statutory and </w:t>
      </w:r>
      <w:r w:rsidRPr="00481585">
        <w:t>other</w:t>
      </w:r>
      <w:r>
        <w:t xml:space="preserve"> duties and requirements</w:t>
      </w:r>
    </w:p>
    <w:p w14:paraId="3FCD10FF" w14:textId="77777777" w:rsidR="005B699B" w:rsidRDefault="005B699B" w:rsidP="00EA18DD">
      <w:pPr>
        <w:pStyle w:val="Bullet1"/>
      </w:pPr>
      <w:r>
        <w:t xml:space="preserve">detail the budgetary landscape, </w:t>
      </w:r>
      <w:r w:rsidRPr="00481585">
        <w:t>including</w:t>
      </w:r>
      <w:r>
        <w:t xml:space="preserve"> funding and pricing arrangements, as well as funded activity and targets.</w:t>
      </w:r>
    </w:p>
    <w:p w14:paraId="3911CC8C" w14:textId="77777777" w:rsidR="005B699B" w:rsidRDefault="005B699B" w:rsidP="005B699B">
      <w:pPr>
        <w:pStyle w:val="Bodyafterbullets"/>
      </w:pPr>
      <w:r>
        <w:t>The guidelines comprise two separate but related publications:</w:t>
      </w:r>
    </w:p>
    <w:p w14:paraId="7AE0DC64" w14:textId="2F49AEFB" w:rsidR="005B699B" w:rsidRPr="0005765E" w:rsidRDefault="005B699B" w:rsidP="00EA18DD">
      <w:pPr>
        <w:pStyle w:val="Bullet1"/>
      </w:pPr>
      <w:r w:rsidRPr="000E690D">
        <w:t>Policy guide</w:t>
      </w:r>
      <w:r w:rsidRPr="0005765E">
        <w:t xml:space="preserve"> </w:t>
      </w:r>
    </w:p>
    <w:p w14:paraId="1F73D7C0" w14:textId="338AF180" w:rsidR="005B699B" w:rsidRPr="0005765E" w:rsidRDefault="005B699B" w:rsidP="00EA18DD">
      <w:pPr>
        <w:pStyle w:val="Bullet1"/>
      </w:pPr>
      <w:r w:rsidRPr="00481585">
        <w:rPr>
          <w:i/>
          <w:iCs/>
        </w:rPr>
        <w:t>Funding rules</w:t>
      </w:r>
      <w:r w:rsidR="00481585">
        <w:t xml:space="preserve"> </w:t>
      </w:r>
      <w:r w:rsidR="00481585" w:rsidRPr="0005765E">
        <w:t xml:space="preserve">(this </w:t>
      </w:r>
      <w:r w:rsidR="00481585" w:rsidRPr="00481585">
        <w:t>document</w:t>
      </w:r>
      <w:r w:rsidR="00481585" w:rsidRPr="0005765E">
        <w:t>)</w:t>
      </w:r>
      <w:r w:rsidR="00481585">
        <w:t>.</w:t>
      </w:r>
    </w:p>
    <w:p w14:paraId="4260C004" w14:textId="245FD531" w:rsidR="005B699B" w:rsidRPr="008B63F8" w:rsidRDefault="005B699B" w:rsidP="000E690D">
      <w:pPr>
        <w:pStyle w:val="Heading2"/>
        <w:numPr>
          <w:ilvl w:val="0"/>
          <w:numId w:val="0"/>
        </w:numPr>
        <w:ind w:left="1134" w:hanging="1134"/>
      </w:pPr>
      <w:bookmarkStart w:id="10" w:name="_Toc167225999"/>
      <w:bookmarkStart w:id="11" w:name="_Toc106868005"/>
      <w:bookmarkStart w:id="12" w:name="_Toc106869752"/>
      <w:bookmarkStart w:id="13" w:name="_Toc106870086"/>
      <w:bookmarkStart w:id="14" w:name="_Toc106870252"/>
      <w:bookmarkStart w:id="15" w:name="_Toc106870424"/>
      <w:bookmarkStart w:id="16" w:name="_Toc165964625"/>
      <w:bookmarkStart w:id="17" w:name="_Toc167174487"/>
      <w:bookmarkStart w:id="18" w:name="_Toc167226000"/>
      <w:bookmarkStart w:id="19" w:name="_Toc178963569"/>
      <w:bookmarkEnd w:id="10"/>
      <w:r>
        <w:t>Policy guide</w:t>
      </w:r>
      <w:bookmarkEnd w:id="11"/>
      <w:bookmarkEnd w:id="12"/>
      <w:bookmarkEnd w:id="13"/>
      <w:bookmarkEnd w:id="14"/>
      <w:bookmarkEnd w:id="15"/>
      <w:bookmarkEnd w:id="16"/>
      <w:bookmarkEnd w:id="17"/>
      <w:bookmarkEnd w:id="18"/>
      <w:bookmarkEnd w:id="19"/>
    </w:p>
    <w:p w14:paraId="14B342BB" w14:textId="24601794" w:rsidR="005B699B" w:rsidRPr="00F64A0A" w:rsidRDefault="005B699B" w:rsidP="005B699B">
      <w:pPr>
        <w:pStyle w:val="Body"/>
      </w:pPr>
      <w:r>
        <w:t xml:space="preserve">The </w:t>
      </w:r>
      <w:r w:rsidRPr="000E690D">
        <w:rPr>
          <w:i/>
          <w:iCs/>
        </w:rPr>
        <w:t xml:space="preserve">Policy </w:t>
      </w:r>
      <w:r>
        <w:rPr>
          <w:i/>
          <w:iCs/>
        </w:rPr>
        <w:t>g</w:t>
      </w:r>
      <w:r w:rsidRPr="000E690D">
        <w:rPr>
          <w:i/>
          <w:iCs/>
        </w:rPr>
        <w:t>uide</w:t>
      </w:r>
      <w:r>
        <w:t xml:space="preserve"> provides detailed information regarding operational and service delivery policy. This includes the conditions within which funded organisations operate, as well as the obligations, standards and requirements funded organisations are expected to adhere to.</w:t>
      </w:r>
    </w:p>
    <w:p w14:paraId="3C13BB47" w14:textId="77777777" w:rsidR="005B699B" w:rsidRDefault="005B699B" w:rsidP="002E0877">
      <w:pPr>
        <w:pStyle w:val="Heading3"/>
        <w:numPr>
          <w:ilvl w:val="0"/>
          <w:numId w:val="0"/>
        </w:numPr>
        <w:ind w:left="720" w:hanging="720"/>
      </w:pPr>
      <w:bookmarkStart w:id="20" w:name="_Toc106869753"/>
      <w:bookmarkStart w:id="21" w:name="_Toc106870087"/>
      <w:bookmarkStart w:id="22" w:name="_Toc106870253"/>
      <w:bookmarkStart w:id="23" w:name="_Toc106870425"/>
      <w:bookmarkStart w:id="24" w:name="_Toc167174147"/>
      <w:r>
        <w:t xml:space="preserve">Part 1: Operational and </w:t>
      </w:r>
      <w:bookmarkEnd w:id="20"/>
      <w:bookmarkEnd w:id="21"/>
      <w:bookmarkEnd w:id="22"/>
      <w:bookmarkEnd w:id="23"/>
      <w:r>
        <w:t>service delivery policy</w:t>
      </w:r>
      <w:bookmarkEnd w:id="24"/>
    </w:p>
    <w:p w14:paraId="5C04673C" w14:textId="489E2444" w:rsidR="005B699B" w:rsidRDefault="005B699B" w:rsidP="005B699B">
      <w:pPr>
        <w:pStyle w:val="Body"/>
      </w:pPr>
      <w:r>
        <w:t xml:space="preserve">Part 1 provides health services with the policy changes for the year. Note that it is not a complete, holistic guide to operational and service delivery policy in Victoria. </w:t>
      </w:r>
    </w:p>
    <w:p w14:paraId="2FF95DD6" w14:textId="77777777" w:rsidR="005B699B" w:rsidRPr="0005765E" w:rsidRDefault="005B699B" w:rsidP="002E0877">
      <w:pPr>
        <w:pStyle w:val="Heading3"/>
        <w:numPr>
          <w:ilvl w:val="0"/>
          <w:numId w:val="0"/>
        </w:numPr>
        <w:ind w:left="720" w:hanging="720"/>
      </w:pPr>
      <w:bookmarkStart w:id="25" w:name="_Toc106869754"/>
      <w:bookmarkStart w:id="26" w:name="_Toc106870088"/>
      <w:bookmarkStart w:id="27" w:name="_Toc106870254"/>
      <w:bookmarkStart w:id="28" w:name="_Toc106870426"/>
      <w:bookmarkStart w:id="29" w:name="_Toc167174148"/>
      <w:r>
        <w:t xml:space="preserve">Part 2: Obligations, standards and </w:t>
      </w:r>
      <w:bookmarkEnd w:id="25"/>
      <w:bookmarkEnd w:id="26"/>
      <w:bookmarkEnd w:id="27"/>
      <w:bookmarkEnd w:id="28"/>
      <w:r>
        <w:t>requirements</w:t>
      </w:r>
      <w:bookmarkEnd w:id="29"/>
    </w:p>
    <w:p w14:paraId="0C91A9F2" w14:textId="77777777" w:rsidR="005B699B" w:rsidRDefault="005B699B" w:rsidP="005B699B">
      <w:pPr>
        <w:pStyle w:val="Body"/>
      </w:pPr>
      <w:r>
        <w:t>Part 2 outlines the relevant standards and obligations to which funded organisations must adhere, ensuring the delivery of safe, high-quality services and responsible financial management.</w:t>
      </w:r>
    </w:p>
    <w:p w14:paraId="4B315C2A" w14:textId="030056CC" w:rsidR="005B699B" w:rsidRPr="008B63F8" w:rsidRDefault="005B699B" w:rsidP="00061545">
      <w:pPr>
        <w:pStyle w:val="Heading2"/>
        <w:numPr>
          <w:ilvl w:val="0"/>
          <w:numId w:val="0"/>
        </w:numPr>
        <w:ind w:left="1134" w:hanging="1134"/>
      </w:pPr>
      <w:bookmarkStart w:id="30" w:name="_Toc106868006"/>
      <w:bookmarkStart w:id="31" w:name="_Toc106869755"/>
      <w:bookmarkStart w:id="32" w:name="_Toc106870089"/>
      <w:bookmarkStart w:id="33" w:name="_Toc106870255"/>
      <w:bookmarkStart w:id="34" w:name="_Toc106870427"/>
      <w:bookmarkStart w:id="35" w:name="_Toc165964626"/>
      <w:bookmarkStart w:id="36" w:name="_Toc167174488"/>
      <w:bookmarkStart w:id="37" w:name="_Toc167226001"/>
      <w:bookmarkStart w:id="38" w:name="_Toc178963570"/>
      <w:r>
        <w:t xml:space="preserve">Funding </w:t>
      </w:r>
      <w:r w:rsidRPr="0005765E">
        <w:t>rules</w:t>
      </w:r>
      <w:bookmarkEnd w:id="30"/>
      <w:bookmarkEnd w:id="31"/>
      <w:bookmarkEnd w:id="32"/>
      <w:bookmarkEnd w:id="33"/>
      <w:bookmarkEnd w:id="34"/>
      <w:bookmarkEnd w:id="35"/>
      <w:bookmarkEnd w:id="36"/>
      <w:bookmarkEnd w:id="37"/>
      <w:bookmarkEnd w:id="38"/>
    </w:p>
    <w:p w14:paraId="3FA99A63" w14:textId="43DE46CC" w:rsidR="005B699B" w:rsidRDefault="005B699B" w:rsidP="005B699B">
      <w:pPr>
        <w:pStyle w:val="Body"/>
      </w:pPr>
      <w:r w:rsidRPr="00653A10">
        <w:t xml:space="preserve">The </w:t>
      </w:r>
      <w:r w:rsidRPr="00653A10">
        <w:rPr>
          <w:i/>
        </w:rPr>
        <w:t>Funding rules</w:t>
      </w:r>
      <w:r w:rsidRPr="00653A10">
        <w:t xml:space="preserve"> go over the funding parameters within which funded organisations are expected to work.</w:t>
      </w:r>
    </w:p>
    <w:p w14:paraId="6894ADB7" w14:textId="414EE663" w:rsidR="005B699B" w:rsidRPr="005A38DA" w:rsidRDefault="005B699B" w:rsidP="002E0877">
      <w:pPr>
        <w:pStyle w:val="Heading3"/>
        <w:numPr>
          <w:ilvl w:val="0"/>
          <w:numId w:val="0"/>
        </w:numPr>
        <w:ind w:left="720" w:hanging="720"/>
      </w:pPr>
      <w:bookmarkStart w:id="39" w:name="_Toc106869756"/>
      <w:bookmarkStart w:id="40" w:name="_Toc106870090"/>
      <w:bookmarkStart w:id="41" w:name="_Toc106870256"/>
      <w:bookmarkStart w:id="42" w:name="_Toc106870428"/>
      <w:bookmarkStart w:id="43" w:name="_Toc167174150"/>
      <w:r>
        <w:t xml:space="preserve">Part 1: </w:t>
      </w:r>
      <w:r w:rsidR="005D2A74" w:rsidRPr="005D2A74">
        <w:t xml:space="preserve">Funding and pricing </w:t>
      </w:r>
      <w:bookmarkEnd w:id="39"/>
      <w:bookmarkEnd w:id="40"/>
      <w:bookmarkEnd w:id="41"/>
      <w:bookmarkEnd w:id="42"/>
      <w:r w:rsidDel="005D2A74">
        <w:t>arrangements</w:t>
      </w:r>
      <w:bookmarkEnd w:id="43"/>
    </w:p>
    <w:p w14:paraId="2AD938F2" w14:textId="77777777" w:rsidR="005B699B" w:rsidRPr="005A38DA" w:rsidRDefault="005B699B" w:rsidP="005B699B">
      <w:pPr>
        <w:pStyle w:val="Body"/>
      </w:pPr>
      <w:r>
        <w:t>Part 1 details the budget highlights and outputs, and funding and pricing arrangements.</w:t>
      </w:r>
    </w:p>
    <w:p w14:paraId="6A6A723B" w14:textId="77777777" w:rsidR="005B699B" w:rsidRPr="0005765E" w:rsidRDefault="005B699B" w:rsidP="002E0877">
      <w:pPr>
        <w:pStyle w:val="Heading3"/>
        <w:numPr>
          <w:ilvl w:val="0"/>
          <w:numId w:val="0"/>
        </w:numPr>
        <w:ind w:left="720" w:hanging="720"/>
      </w:pPr>
      <w:bookmarkStart w:id="44" w:name="_Toc106869757"/>
      <w:bookmarkStart w:id="45" w:name="_Toc106870091"/>
      <w:bookmarkStart w:id="46" w:name="_Toc106870257"/>
      <w:bookmarkStart w:id="47" w:name="_Toc106870429"/>
      <w:bookmarkStart w:id="48" w:name="_Toc167174151"/>
      <w:r>
        <w:t xml:space="preserve">Part 2: Funding and </w:t>
      </w:r>
      <w:bookmarkEnd w:id="44"/>
      <w:bookmarkEnd w:id="45"/>
      <w:bookmarkEnd w:id="46"/>
      <w:bookmarkEnd w:id="47"/>
      <w:r>
        <w:t>activity levels</w:t>
      </w:r>
      <w:bookmarkEnd w:id="48"/>
    </w:p>
    <w:p w14:paraId="5D6C0D8C" w14:textId="37FFE673" w:rsidR="005B699B" w:rsidRDefault="005B699B" w:rsidP="005B699B">
      <w:pPr>
        <w:pStyle w:val="Body"/>
      </w:pPr>
      <w:r>
        <w:t>Part 2 provides funding and activity tables that detail the modelled budgets, as well as targets for a range of programs across the health system.</w:t>
      </w:r>
    </w:p>
    <w:p w14:paraId="155096D8" w14:textId="77777777" w:rsidR="005B699B" w:rsidRPr="00C97358" w:rsidRDefault="005B699B" w:rsidP="005B699B">
      <w:pPr>
        <w:pStyle w:val="Body"/>
      </w:pPr>
      <w:r>
        <w:lastRenderedPageBreak/>
        <w:t>In addition to these guidelines, funded organisations are expected to comply with all other applicable policies.</w:t>
      </w:r>
    </w:p>
    <w:p w14:paraId="4FB78DEC" w14:textId="00409964" w:rsidR="005B699B" w:rsidRPr="00F3725E" w:rsidRDefault="005B699B" w:rsidP="005B699B">
      <w:pPr>
        <w:pStyle w:val="Body"/>
      </w:pPr>
      <w:r>
        <w:t xml:space="preserve">Ensure you are reading the most recent version of this document on the </w:t>
      </w:r>
      <w:hyperlink r:id="rId18">
        <w:r w:rsidRPr="0670E279">
          <w:rPr>
            <w:rStyle w:val="Hyperlink"/>
            <w:lang w:val="en-US"/>
          </w:rPr>
          <w:t xml:space="preserve">Policy and </w:t>
        </w:r>
        <w:r>
          <w:rPr>
            <w:rStyle w:val="Hyperlink"/>
            <w:lang w:val="en-US"/>
          </w:rPr>
          <w:t>f</w:t>
        </w:r>
        <w:r w:rsidRPr="0670E279">
          <w:rPr>
            <w:rStyle w:val="Hyperlink"/>
            <w:lang w:val="en-US"/>
          </w:rPr>
          <w:t xml:space="preserve">unding </w:t>
        </w:r>
        <w:r>
          <w:rPr>
            <w:rStyle w:val="Hyperlink"/>
            <w:lang w:val="en-US"/>
          </w:rPr>
          <w:t>g</w:t>
        </w:r>
        <w:r w:rsidRPr="0670E279">
          <w:rPr>
            <w:rStyle w:val="Hyperlink"/>
            <w:lang w:val="en-US"/>
          </w:rPr>
          <w:t>uidelines webpage</w:t>
        </w:r>
      </w:hyperlink>
      <w:r w:rsidRPr="0670E279">
        <w:rPr>
          <w:lang w:val="en-US"/>
        </w:rPr>
        <w:t xml:space="preserve"> &lt;https://www.health.vic.gov.au/policy-and-funding-guidelines-for-health-services</w:t>
      </w:r>
      <w:r>
        <w:t>&gt;, as it may be updated throughout the year.</w:t>
      </w:r>
    </w:p>
    <w:p w14:paraId="4FCC6C14" w14:textId="150C4580" w:rsidR="005B699B" w:rsidRPr="00F3725E" w:rsidRDefault="005B699B" w:rsidP="005B699B">
      <w:pPr>
        <w:pStyle w:val="Body"/>
      </w:pPr>
      <w:r>
        <w:t>References to particular statutes, regulations or contracts are descriptive only.</w:t>
      </w:r>
    </w:p>
    <w:p w14:paraId="705B10D5" w14:textId="4D736B25" w:rsidR="005B699B" w:rsidRPr="00F3725E" w:rsidRDefault="005B699B" w:rsidP="005B699B">
      <w:pPr>
        <w:pStyle w:val="Body"/>
      </w:pPr>
      <w:r>
        <w:t xml:space="preserve">If there are inconsistencies or ambiguities between these guidelines and any legislation, regulations and contractual obligations with the State of Victoria (acting through the department or the Secretary of the department), the legislative, regulatory and contractual obligations take precedence. </w:t>
      </w:r>
    </w:p>
    <w:p w14:paraId="70A1A5D9" w14:textId="77777777" w:rsidR="005B699B" w:rsidRPr="00EE21CA" w:rsidRDefault="005B699B" w:rsidP="005B699B">
      <w:pPr>
        <w:pStyle w:val="Body"/>
      </w:pPr>
      <w:r>
        <w:t>Each funded organisation should refer to the relevant statute, regulation or contract to ascertain all details of its legal obligations. If any funded organisation has specific queries regarding its legal obligations, it should seek independent legal advice.</w:t>
      </w:r>
    </w:p>
    <w:p w14:paraId="04647A62" w14:textId="6AB7FE8A" w:rsidR="005B699B" w:rsidRPr="00EE21CA" w:rsidRDefault="005B699B" w:rsidP="005B699B">
      <w:pPr>
        <w:pStyle w:val="Body"/>
      </w:pPr>
      <w:r w:rsidRPr="00563FC9">
        <w:t xml:space="preserve">Service agreements are contractual arrangements between entities for the delivery of services in the community, funded by the department. </w:t>
      </w:r>
      <w:r>
        <w:t xml:space="preserve">For entities funded through a service agreement, visit the </w:t>
      </w:r>
      <w:hyperlink r:id="rId19">
        <w:r w:rsidRPr="0670E279">
          <w:rPr>
            <w:rStyle w:val="Hyperlink"/>
            <w:lang w:val="en-US"/>
          </w:rPr>
          <w:t>service agreement website</w:t>
        </w:r>
      </w:hyperlink>
      <w:r>
        <w:t xml:space="preserve"> &lt;</w:t>
      </w:r>
      <w:r w:rsidRPr="00AC1491">
        <w:t>https://fac.dffh.vic.gov.au/service-agreement</w:t>
      </w:r>
      <w:r>
        <w:t>&gt; for funding information and activity tables that underpin service agreements.</w:t>
      </w:r>
    </w:p>
    <w:p w14:paraId="1DB7C185" w14:textId="77777777" w:rsidR="005B699B" w:rsidRDefault="005B699B" w:rsidP="005B699B">
      <w:pPr>
        <w:pStyle w:val="Body"/>
        <w:rPr>
          <w:lang w:val="en-US"/>
        </w:rPr>
      </w:pPr>
      <w:r>
        <w:t xml:space="preserve">Those entities funded through a service agreement can search for activity descriptions by visiting the </w:t>
      </w:r>
      <w:hyperlink r:id="rId20">
        <w:r w:rsidRPr="0670E279">
          <w:rPr>
            <w:rStyle w:val="Hyperlink"/>
          </w:rPr>
          <w:t>Department of Families, Fairness and Housing and Department of Health activity search</w:t>
        </w:r>
      </w:hyperlink>
      <w:r>
        <w:t xml:space="preserve"> &lt;https://providers.dffh.vic.gov.au/families-fairness-housing-health-activity-search&gt;.</w:t>
      </w:r>
    </w:p>
    <w:p w14:paraId="4B56276D" w14:textId="77777777" w:rsidR="005B699B" w:rsidRPr="002F56B3" w:rsidRDefault="005B699B" w:rsidP="00AC1491">
      <w:pPr>
        <w:pStyle w:val="Heading2"/>
        <w:numPr>
          <w:ilvl w:val="0"/>
          <w:numId w:val="0"/>
        </w:numPr>
        <w:ind w:left="1134" w:hanging="1134"/>
      </w:pPr>
      <w:bookmarkStart w:id="49" w:name="_Toc167226002"/>
      <w:bookmarkStart w:id="50" w:name="_Toc12894352"/>
      <w:bookmarkStart w:id="51" w:name="_Toc12895308"/>
      <w:bookmarkStart w:id="52" w:name="_Toc414438675"/>
      <w:bookmarkStart w:id="53" w:name="_Toc12894353"/>
      <w:bookmarkStart w:id="54" w:name="_Toc12895309"/>
      <w:bookmarkStart w:id="55" w:name="_Toc12894354"/>
      <w:bookmarkStart w:id="56" w:name="_Toc12895310"/>
      <w:bookmarkStart w:id="57" w:name="_Toc12894355"/>
      <w:bookmarkStart w:id="58" w:name="_Toc12895311"/>
      <w:bookmarkStart w:id="59" w:name="_Toc12894356"/>
      <w:bookmarkStart w:id="60" w:name="_Toc12895312"/>
      <w:bookmarkStart w:id="61" w:name="_Toc12894357"/>
      <w:bookmarkStart w:id="62" w:name="_Toc12895313"/>
      <w:bookmarkStart w:id="63" w:name="_Toc12894358"/>
      <w:bookmarkStart w:id="64" w:name="_Toc12895314"/>
      <w:bookmarkStart w:id="65" w:name="_Toc12894359"/>
      <w:bookmarkStart w:id="66" w:name="_Toc12895315"/>
      <w:bookmarkStart w:id="67" w:name="_Toc12894360"/>
      <w:bookmarkStart w:id="68" w:name="_Toc12895316"/>
      <w:bookmarkStart w:id="69" w:name="_Toc12894361"/>
      <w:bookmarkStart w:id="70" w:name="_Toc12895317"/>
      <w:bookmarkStart w:id="71" w:name="_Toc12894362"/>
      <w:bookmarkStart w:id="72" w:name="_Toc12895318"/>
      <w:bookmarkStart w:id="73" w:name="_Toc12894363"/>
      <w:bookmarkStart w:id="74" w:name="_Toc12895319"/>
      <w:bookmarkStart w:id="75" w:name="_Toc12894364"/>
      <w:bookmarkStart w:id="76" w:name="_Toc12895320"/>
      <w:bookmarkStart w:id="77" w:name="_Toc12894365"/>
      <w:bookmarkStart w:id="78" w:name="_Toc12895321"/>
      <w:bookmarkStart w:id="79" w:name="_Toc12894366"/>
      <w:bookmarkStart w:id="80" w:name="_Toc12895322"/>
      <w:bookmarkStart w:id="81" w:name="_Toc12894367"/>
      <w:bookmarkStart w:id="82" w:name="_Toc12895323"/>
      <w:bookmarkStart w:id="83" w:name="_Toc12894368"/>
      <w:bookmarkStart w:id="84" w:name="_Toc12895324"/>
      <w:bookmarkStart w:id="85" w:name="_Toc12894369"/>
      <w:bookmarkStart w:id="86" w:name="_Toc12895325"/>
      <w:bookmarkStart w:id="87" w:name="_Toc12894370"/>
      <w:bookmarkStart w:id="88" w:name="_Toc12895326"/>
      <w:bookmarkStart w:id="89" w:name="_Toc12894371"/>
      <w:bookmarkStart w:id="90" w:name="_Toc12895327"/>
      <w:bookmarkStart w:id="91" w:name="_Toc12894372"/>
      <w:bookmarkStart w:id="92" w:name="_Toc12895328"/>
      <w:bookmarkStart w:id="93" w:name="_Toc12894373"/>
      <w:bookmarkStart w:id="94" w:name="_Toc12895329"/>
      <w:bookmarkStart w:id="95" w:name="_Toc12894374"/>
      <w:bookmarkStart w:id="96" w:name="_Toc12895330"/>
      <w:bookmarkStart w:id="97" w:name="_Toc12894375"/>
      <w:bookmarkStart w:id="98" w:name="_Toc12895331"/>
      <w:bookmarkStart w:id="99" w:name="_Toc12894376"/>
      <w:bookmarkStart w:id="100" w:name="_Toc12895332"/>
      <w:bookmarkStart w:id="101" w:name="_Toc12894377"/>
      <w:bookmarkStart w:id="102" w:name="_Toc12895333"/>
      <w:bookmarkStart w:id="103" w:name="_Toc12894378"/>
      <w:bookmarkStart w:id="104" w:name="_Toc12895334"/>
      <w:bookmarkStart w:id="105" w:name="_Toc12894379"/>
      <w:bookmarkStart w:id="106" w:name="_Toc12895335"/>
      <w:bookmarkStart w:id="107" w:name="_Toc12894380"/>
      <w:bookmarkStart w:id="108" w:name="_Toc12895336"/>
      <w:bookmarkStart w:id="109" w:name="_Toc12894381"/>
      <w:bookmarkStart w:id="110" w:name="_Toc12895337"/>
      <w:bookmarkStart w:id="111" w:name="_Toc12894382"/>
      <w:bookmarkStart w:id="112" w:name="_Toc12895338"/>
      <w:bookmarkStart w:id="113" w:name="_Toc12894383"/>
      <w:bookmarkStart w:id="114" w:name="_Toc12895339"/>
      <w:bookmarkStart w:id="115" w:name="_Toc12894384"/>
      <w:bookmarkStart w:id="116" w:name="_Toc12895340"/>
      <w:bookmarkStart w:id="117" w:name="_Toc12894385"/>
      <w:bookmarkStart w:id="118" w:name="_Toc12895341"/>
      <w:bookmarkStart w:id="119" w:name="_Toc12894386"/>
      <w:bookmarkStart w:id="120" w:name="_Toc12895342"/>
      <w:bookmarkStart w:id="121" w:name="_Toc12894387"/>
      <w:bookmarkStart w:id="122" w:name="_Toc12895343"/>
      <w:bookmarkStart w:id="123" w:name="_Toc12894388"/>
      <w:bookmarkStart w:id="124" w:name="_Toc12895344"/>
      <w:bookmarkStart w:id="125" w:name="_Toc12894389"/>
      <w:bookmarkStart w:id="126" w:name="_Toc12895345"/>
      <w:bookmarkStart w:id="127" w:name="_Toc12894390"/>
      <w:bookmarkStart w:id="128" w:name="_Toc12895346"/>
      <w:bookmarkStart w:id="129" w:name="_Toc12894391"/>
      <w:bookmarkStart w:id="130" w:name="_Toc12895347"/>
      <w:bookmarkStart w:id="131" w:name="_Toc12894392"/>
      <w:bookmarkStart w:id="132" w:name="_Toc12895348"/>
      <w:bookmarkStart w:id="133" w:name="_Toc12894393"/>
      <w:bookmarkStart w:id="134" w:name="_Toc12895349"/>
      <w:bookmarkStart w:id="135" w:name="_Toc12894394"/>
      <w:bookmarkStart w:id="136" w:name="_Toc12895350"/>
      <w:bookmarkStart w:id="137" w:name="_Toc12894395"/>
      <w:bookmarkStart w:id="138" w:name="_Toc12895351"/>
      <w:bookmarkStart w:id="139" w:name="_Toc12894396"/>
      <w:bookmarkStart w:id="140" w:name="_Toc12895352"/>
      <w:bookmarkStart w:id="141" w:name="_Toc12894397"/>
      <w:bookmarkStart w:id="142" w:name="_Toc12895353"/>
      <w:bookmarkStart w:id="143" w:name="_Toc12894398"/>
      <w:bookmarkStart w:id="144" w:name="_Toc12895354"/>
      <w:bookmarkStart w:id="145" w:name="_Toc12894399"/>
      <w:bookmarkStart w:id="146" w:name="_Toc12895355"/>
      <w:bookmarkStart w:id="147" w:name="_Toc12894400"/>
      <w:bookmarkStart w:id="148" w:name="_Toc12895356"/>
      <w:bookmarkStart w:id="149" w:name="_Toc12894401"/>
      <w:bookmarkStart w:id="150" w:name="_Toc12895357"/>
      <w:bookmarkStart w:id="151" w:name="_Toc12894402"/>
      <w:bookmarkStart w:id="152" w:name="_Toc12895358"/>
      <w:bookmarkStart w:id="153" w:name="_Toc12894403"/>
      <w:bookmarkStart w:id="154" w:name="_Toc12895359"/>
      <w:bookmarkStart w:id="155" w:name="_Toc12894404"/>
      <w:bookmarkStart w:id="156" w:name="_Toc12895360"/>
      <w:bookmarkStart w:id="157" w:name="_Toc12894405"/>
      <w:bookmarkStart w:id="158" w:name="_Toc12895361"/>
      <w:bookmarkStart w:id="159" w:name="_Toc12894406"/>
      <w:bookmarkStart w:id="160" w:name="_Toc12895362"/>
      <w:bookmarkStart w:id="161" w:name="_Toc12894407"/>
      <w:bookmarkStart w:id="162" w:name="_Toc12895363"/>
      <w:bookmarkStart w:id="163" w:name="_Toc12894408"/>
      <w:bookmarkStart w:id="164" w:name="_Toc12895364"/>
      <w:bookmarkStart w:id="165" w:name="_Toc12894409"/>
      <w:bookmarkStart w:id="166" w:name="_Toc12895365"/>
      <w:bookmarkStart w:id="167" w:name="_Toc12894410"/>
      <w:bookmarkStart w:id="168" w:name="_Toc12895366"/>
      <w:bookmarkStart w:id="169" w:name="_Toc12894411"/>
      <w:bookmarkStart w:id="170" w:name="_Toc12895367"/>
      <w:bookmarkStart w:id="171" w:name="_Toc12894412"/>
      <w:bookmarkStart w:id="172" w:name="_Toc12895368"/>
      <w:bookmarkStart w:id="173" w:name="_Toc12894413"/>
      <w:bookmarkStart w:id="174" w:name="_Toc12895369"/>
      <w:bookmarkStart w:id="175" w:name="_Toc12894414"/>
      <w:bookmarkStart w:id="176" w:name="_Toc12895370"/>
      <w:bookmarkStart w:id="177" w:name="_Toc12894415"/>
      <w:bookmarkStart w:id="178" w:name="_Toc12895371"/>
      <w:bookmarkStart w:id="179" w:name="_Toc12894416"/>
      <w:bookmarkStart w:id="180" w:name="_Toc12895372"/>
      <w:bookmarkStart w:id="181" w:name="_Toc486516936"/>
      <w:bookmarkStart w:id="182" w:name="_Toc486516937"/>
      <w:bookmarkStart w:id="183" w:name="_Toc486516938"/>
      <w:bookmarkStart w:id="184" w:name="_Toc486516939"/>
      <w:bookmarkStart w:id="185" w:name="_Toc12894417"/>
      <w:bookmarkStart w:id="186" w:name="_Toc12895373"/>
      <w:bookmarkStart w:id="187" w:name="_Toc12894418"/>
      <w:bookmarkStart w:id="188" w:name="_Toc12895374"/>
      <w:bookmarkStart w:id="189" w:name="_Toc12894419"/>
      <w:bookmarkStart w:id="190" w:name="_Toc12895375"/>
      <w:bookmarkStart w:id="191" w:name="_Toc12894420"/>
      <w:bookmarkStart w:id="192" w:name="_Toc12895376"/>
      <w:bookmarkStart w:id="193" w:name="_Toc12894421"/>
      <w:bookmarkStart w:id="194" w:name="_Toc12895377"/>
      <w:bookmarkStart w:id="195" w:name="_Toc12894422"/>
      <w:bookmarkStart w:id="196" w:name="_Toc12895378"/>
      <w:bookmarkStart w:id="197" w:name="_Toc12894423"/>
      <w:bookmarkStart w:id="198" w:name="_Toc12895379"/>
      <w:bookmarkStart w:id="199" w:name="_Toc12894424"/>
      <w:bookmarkStart w:id="200" w:name="_Toc12895380"/>
      <w:bookmarkStart w:id="201" w:name="_Toc12894425"/>
      <w:bookmarkStart w:id="202" w:name="_Toc12895381"/>
      <w:bookmarkStart w:id="203" w:name="_Toc12894426"/>
      <w:bookmarkStart w:id="204" w:name="_Toc12895382"/>
      <w:bookmarkStart w:id="205" w:name="_Toc12894427"/>
      <w:bookmarkStart w:id="206" w:name="_Toc12895383"/>
      <w:bookmarkStart w:id="207" w:name="_Toc12894428"/>
      <w:bookmarkStart w:id="208" w:name="_Toc12895384"/>
      <w:bookmarkStart w:id="209" w:name="_Toc12894429"/>
      <w:bookmarkStart w:id="210" w:name="_Toc12895385"/>
      <w:bookmarkStart w:id="211" w:name="_Toc12894430"/>
      <w:bookmarkStart w:id="212" w:name="_Toc12895386"/>
      <w:bookmarkStart w:id="213" w:name="_Toc12894431"/>
      <w:bookmarkStart w:id="214" w:name="_Toc12895387"/>
      <w:bookmarkStart w:id="215" w:name="_Toc12894432"/>
      <w:bookmarkStart w:id="216" w:name="_Toc12895388"/>
      <w:bookmarkStart w:id="217" w:name="_Toc12894433"/>
      <w:bookmarkStart w:id="218" w:name="_Toc12895389"/>
      <w:bookmarkStart w:id="219" w:name="_Toc12894434"/>
      <w:bookmarkStart w:id="220" w:name="_Toc12895390"/>
      <w:bookmarkStart w:id="221" w:name="_Toc12894435"/>
      <w:bookmarkStart w:id="222" w:name="_Toc12895391"/>
      <w:bookmarkStart w:id="223" w:name="_Toc12894436"/>
      <w:bookmarkStart w:id="224" w:name="_Toc12895392"/>
      <w:bookmarkStart w:id="225" w:name="_Toc12894437"/>
      <w:bookmarkStart w:id="226" w:name="_Toc12895393"/>
      <w:bookmarkStart w:id="227" w:name="_Toc12894438"/>
      <w:bookmarkStart w:id="228" w:name="_Toc12895394"/>
      <w:bookmarkStart w:id="229" w:name="_Toc12894439"/>
      <w:bookmarkStart w:id="230" w:name="_Toc12895395"/>
      <w:bookmarkStart w:id="231" w:name="_Toc12894440"/>
      <w:bookmarkStart w:id="232" w:name="_Toc12895396"/>
      <w:bookmarkStart w:id="233" w:name="_Toc12894441"/>
      <w:bookmarkStart w:id="234" w:name="_Toc12895397"/>
      <w:bookmarkStart w:id="235" w:name="_Toc12894442"/>
      <w:bookmarkStart w:id="236" w:name="_Toc12895398"/>
      <w:bookmarkStart w:id="237" w:name="_Toc12894443"/>
      <w:bookmarkStart w:id="238" w:name="_Toc12895399"/>
      <w:bookmarkStart w:id="239" w:name="_Toc12894444"/>
      <w:bookmarkStart w:id="240" w:name="_Toc12895400"/>
      <w:bookmarkStart w:id="241" w:name="_Toc12894445"/>
      <w:bookmarkStart w:id="242" w:name="_Toc12895401"/>
      <w:bookmarkStart w:id="243" w:name="_Toc12894446"/>
      <w:bookmarkStart w:id="244" w:name="_Toc12895402"/>
      <w:bookmarkStart w:id="245" w:name="_Toc12894447"/>
      <w:bookmarkStart w:id="246" w:name="_Toc12895403"/>
      <w:bookmarkStart w:id="247" w:name="_Toc12894448"/>
      <w:bookmarkStart w:id="248" w:name="_Toc12895404"/>
      <w:bookmarkStart w:id="249" w:name="_Toc12894449"/>
      <w:bookmarkStart w:id="250" w:name="_Toc12895405"/>
      <w:bookmarkStart w:id="251" w:name="_Toc12894450"/>
      <w:bookmarkStart w:id="252" w:name="_Toc12895406"/>
      <w:bookmarkStart w:id="253" w:name="_Toc12894451"/>
      <w:bookmarkStart w:id="254" w:name="_Toc12895407"/>
      <w:bookmarkStart w:id="255" w:name="_Toc12894452"/>
      <w:bookmarkStart w:id="256" w:name="_Toc12895408"/>
      <w:bookmarkStart w:id="257" w:name="_Toc12894453"/>
      <w:bookmarkStart w:id="258" w:name="_Toc12895409"/>
      <w:bookmarkStart w:id="259" w:name="_Toc12894454"/>
      <w:bookmarkStart w:id="260" w:name="_Toc12895410"/>
      <w:bookmarkStart w:id="261" w:name="_Toc12894455"/>
      <w:bookmarkStart w:id="262" w:name="_Toc12895411"/>
      <w:bookmarkStart w:id="263" w:name="_Toc12894456"/>
      <w:bookmarkStart w:id="264" w:name="_Toc12895412"/>
      <w:bookmarkStart w:id="265" w:name="_Toc12894457"/>
      <w:bookmarkStart w:id="266" w:name="_Toc12895413"/>
      <w:bookmarkStart w:id="267" w:name="_Toc12894458"/>
      <w:bookmarkStart w:id="268" w:name="_Toc12895414"/>
      <w:bookmarkStart w:id="269" w:name="_Toc12894459"/>
      <w:bookmarkStart w:id="270" w:name="_Toc12895415"/>
      <w:bookmarkStart w:id="271" w:name="_Toc12894460"/>
      <w:bookmarkStart w:id="272" w:name="_Toc12895416"/>
      <w:bookmarkStart w:id="273" w:name="_Toc12894461"/>
      <w:bookmarkStart w:id="274" w:name="_Toc12895417"/>
      <w:bookmarkStart w:id="275" w:name="_Toc12894462"/>
      <w:bookmarkStart w:id="276" w:name="_Toc12895418"/>
      <w:bookmarkStart w:id="277" w:name="_Toc12894463"/>
      <w:bookmarkStart w:id="278" w:name="_Toc12895419"/>
      <w:bookmarkStart w:id="279" w:name="_Toc12894464"/>
      <w:bookmarkStart w:id="280" w:name="_Toc12895420"/>
      <w:bookmarkStart w:id="281" w:name="_Toc12894465"/>
      <w:bookmarkStart w:id="282" w:name="_Toc12895421"/>
      <w:bookmarkStart w:id="283" w:name="_Toc12894466"/>
      <w:bookmarkStart w:id="284" w:name="_Toc12895422"/>
      <w:bookmarkStart w:id="285" w:name="_Toc12894467"/>
      <w:bookmarkStart w:id="286" w:name="_Toc12895423"/>
      <w:bookmarkStart w:id="287" w:name="_Toc12894468"/>
      <w:bookmarkStart w:id="288" w:name="_Toc12895424"/>
      <w:bookmarkStart w:id="289" w:name="_Toc12894469"/>
      <w:bookmarkStart w:id="290" w:name="_Toc12895425"/>
      <w:bookmarkStart w:id="291" w:name="_Toc12894470"/>
      <w:bookmarkStart w:id="292" w:name="_Toc12895426"/>
      <w:bookmarkStart w:id="293" w:name="_Toc12894471"/>
      <w:bookmarkStart w:id="294" w:name="_Toc12895427"/>
      <w:bookmarkStart w:id="295" w:name="_Toc12894472"/>
      <w:bookmarkStart w:id="296" w:name="_Toc12895428"/>
      <w:bookmarkStart w:id="297" w:name="_Toc12894473"/>
      <w:bookmarkStart w:id="298" w:name="_Toc12895429"/>
      <w:bookmarkStart w:id="299" w:name="_Toc12894474"/>
      <w:bookmarkStart w:id="300" w:name="_Toc12895430"/>
      <w:bookmarkStart w:id="301" w:name="_Toc12894475"/>
      <w:bookmarkStart w:id="302" w:name="_Toc12895431"/>
      <w:bookmarkStart w:id="303" w:name="_Toc12894476"/>
      <w:bookmarkStart w:id="304" w:name="_Toc12895432"/>
      <w:bookmarkStart w:id="305" w:name="_Toc12894477"/>
      <w:bookmarkStart w:id="306" w:name="_Toc12895433"/>
      <w:bookmarkStart w:id="307" w:name="_Toc12894478"/>
      <w:bookmarkStart w:id="308" w:name="_Toc12895434"/>
      <w:bookmarkStart w:id="309" w:name="_Toc12894479"/>
      <w:bookmarkStart w:id="310" w:name="_Toc12895435"/>
      <w:bookmarkStart w:id="311" w:name="_Toc12894480"/>
      <w:bookmarkStart w:id="312" w:name="_Toc12895436"/>
      <w:bookmarkStart w:id="313" w:name="_Toc12894481"/>
      <w:bookmarkStart w:id="314" w:name="_Toc12895437"/>
      <w:bookmarkStart w:id="315" w:name="_Toc12894482"/>
      <w:bookmarkStart w:id="316" w:name="_Toc12895438"/>
      <w:bookmarkStart w:id="317" w:name="_Toc12894483"/>
      <w:bookmarkStart w:id="318" w:name="_Toc12895439"/>
      <w:bookmarkStart w:id="319" w:name="_Toc12894484"/>
      <w:bookmarkStart w:id="320" w:name="_Toc12895440"/>
      <w:bookmarkStart w:id="321" w:name="_Toc12894485"/>
      <w:bookmarkStart w:id="322" w:name="_Toc12895441"/>
      <w:bookmarkStart w:id="323" w:name="_Toc12894486"/>
      <w:bookmarkStart w:id="324" w:name="_Toc12895442"/>
      <w:bookmarkStart w:id="325" w:name="_Toc12894487"/>
      <w:bookmarkStart w:id="326" w:name="_Toc12895443"/>
      <w:bookmarkStart w:id="327" w:name="_Toc12894488"/>
      <w:bookmarkStart w:id="328" w:name="_Toc12895444"/>
      <w:bookmarkStart w:id="329" w:name="_Toc12894489"/>
      <w:bookmarkStart w:id="330" w:name="_Toc12895445"/>
      <w:bookmarkStart w:id="331" w:name="_Toc12894490"/>
      <w:bookmarkStart w:id="332" w:name="_Toc12895446"/>
      <w:bookmarkStart w:id="333" w:name="_Toc12894491"/>
      <w:bookmarkStart w:id="334" w:name="_Toc12895447"/>
      <w:bookmarkStart w:id="335" w:name="_Toc12894492"/>
      <w:bookmarkStart w:id="336" w:name="_Toc12895448"/>
      <w:bookmarkStart w:id="337" w:name="_Toc12894493"/>
      <w:bookmarkStart w:id="338" w:name="_Toc12895449"/>
      <w:bookmarkStart w:id="339" w:name="_Toc12894494"/>
      <w:bookmarkStart w:id="340" w:name="_Toc12895450"/>
      <w:bookmarkStart w:id="341" w:name="_Toc12894495"/>
      <w:bookmarkStart w:id="342" w:name="_Toc12895451"/>
      <w:bookmarkStart w:id="343" w:name="_Toc12894496"/>
      <w:bookmarkStart w:id="344" w:name="_Toc12895452"/>
      <w:bookmarkStart w:id="345" w:name="_Toc12894497"/>
      <w:bookmarkStart w:id="346" w:name="_Toc12895453"/>
      <w:bookmarkStart w:id="347" w:name="_Toc12894498"/>
      <w:bookmarkStart w:id="348" w:name="_Toc12895454"/>
      <w:bookmarkStart w:id="349" w:name="_Toc12894499"/>
      <w:bookmarkStart w:id="350" w:name="_Toc12895455"/>
      <w:bookmarkStart w:id="351" w:name="_Toc12894500"/>
      <w:bookmarkStart w:id="352" w:name="_Toc12895456"/>
      <w:bookmarkStart w:id="353" w:name="_Toc12894501"/>
      <w:bookmarkStart w:id="354" w:name="_Toc12895457"/>
      <w:bookmarkStart w:id="355" w:name="_Toc12894502"/>
      <w:bookmarkStart w:id="356" w:name="_Toc12895458"/>
      <w:bookmarkStart w:id="357" w:name="_Toc12894503"/>
      <w:bookmarkStart w:id="358" w:name="_Toc12895459"/>
      <w:bookmarkStart w:id="359" w:name="_Toc12894504"/>
      <w:bookmarkStart w:id="360" w:name="_Toc12895460"/>
      <w:bookmarkStart w:id="361" w:name="_Toc12894505"/>
      <w:bookmarkStart w:id="362" w:name="_Toc12895461"/>
      <w:bookmarkStart w:id="363" w:name="_Toc12894506"/>
      <w:bookmarkStart w:id="364" w:name="_Toc12895462"/>
      <w:bookmarkStart w:id="365" w:name="_Toc12894507"/>
      <w:bookmarkStart w:id="366" w:name="_Toc12895463"/>
      <w:bookmarkStart w:id="367" w:name="_Toc12894508"/>
      <w:bookmarkStart w:id="368" w:name="_Toc12895464"/>
      <w:bookmarkStart w:id="369" w:name="_Toc12894509"/>
      <w:bookmarkStart w:id="370" w:name="_Toc12895465"/>
      <w:bookmarkStart w:id="371" w:name="_Toc12894510"/>
      <w:bookmarkStart w:id="372" w:name="_Toc12895466"/>
      <w:bookmarkStart w:id="373" w:name="_Toc12894511"/>
      <w:bookmarkStart w:id="374" w:name="_Toc12895467"/>
      <w:bookmarkStart w:id="375" w:name="_Toc12894512"/>
      <w:bookmarkStart w:id="376" w:name="_Toc12895468"/>
      <w:bookmarkStart w:id="377" w:name="_Toc12894513"/>
      <w:bookmarkStart w:id="378" w:name="_Toc12895469"/>
      <w:bookmarkStart w:id="379" w:name="_Toc12894514"/>
      <w:bookmarkStart w:id="380" w:name="_Toc12895470"/>
      <w:bookmarkStart w:id="381" w:name="_Toc12894515"/>
      <w:bookmarkStart w:id="382" w:name="_Toc12895471"/>
      <w:bookmarkStart w:id="383" w:name="_Toc12894516"/>
      <w:bookmarkStart w:id="384" w:name="_Toc12895472"/>
      <w:bookmarkStart w:id="385" w:name="_Toc12894517"/>
      <w:bookmarkStart w:id="386" w:name="_Toc12895473"/>
      <w:bookmarkStart w:id="387" w:name="_Toc12894518"/>
      <w:bookmarkStart w:id="388" w:name="_Toc12895474"/>
      <w:bookmarkStart w:id="389" w:name="_Toc12894519"/>
      <w:bookmarkStart w:id="390" w:name="_Toc12895475"/>
      <w:bookmarkStart w:id="391" w:name="_Toc12894520"/>
      <w:bookmarkStart w:id="392" w:name="_Toc12895476"/>
      <w:bookmarkStart w:id="393" w:name="_Toc12894521"/>
      <w:bookmarkStart w:id="394" w:name="_Toc12895477"/>
      <w:bookmarkStart w:id="395" w:name="_Toc12894522"/>
      <w:bookmarkStart w:id="396" w:name="_Toc12895478"/>
      <w:bookmarkStart w:id="397" w:name="_Toc12894523"/>
      <w:bookmarkStart w:id="398" w:name="_Toc12895479"/>
      <w:bookmarkStart w:id="399" w:name="_Toc12894524"/>
      <w:bookmarkStart w:id="400" w:name="_Toc12895480"/>
      <w:bookmarkStart w:id="401" w:name="_Toc12894525"/>
      <w:bookmarkStart w:id="402" w:name="_Toc12895481"/>
      <w:bookmarkStart w:id="403" w:name="_Toc12894526"/>
      <w:bookmarkStart w:id="404" w:name="_Toc12895482"/>
      <w:bookmarkStart w:id="405" w:name="_Toc12894527"/>
      <w:bookmarkStart w:id="406" w:name="_Toc12895483"/>
      <w:bookmarkStart w:id="407" w:name="_Toc12894528"/>
      <w:bookmarkStart w:id="408" w:name="_Toc12895484"/>
      <w:bookmarkStart w:id="409" w:name="_Toc12894529"/>
      <w:bookmarkStart w:id="410" w:name="_Toc12895485"/>
      <w:bookmarkStart w:id="411" w:name="_Toc12894530"/>
      <w:bookmarkStart w:id="412" w:name="_Toc12895486"/>
      <w:bookmarkStart w:id="413" w:name="_Toc12894531"/>
      <w:bookmarkStart w:id="414" w:name="_Toc12895487"/>
      <w:bookmarkStart w:id="415" w:name="_Toc12894532"/>
      <w:bookmarkStart w:id="416" w:name="_Toc12895488"/>
      <w:bookmarkStart w:id="417" w:name="_Toc12894533"/>
      <w:bookmarkStart w:id="418" w:name="_Toc12895489"/>
      <w:bookmarkStart w:id="419" w:name="_Toc12894534"/>
      <w:bookmarkStart w:id="420" w:name="_Toc12895490"/>
      <w:bookmarkStart w:id="421" w:name="_Toc12894535"/>
      <w:bookmarkStart w:id="422" w:name="_Toc12895491"/>
      <w:bookmarkStart w:id="423" w:name="_Toc12894536"/>
      <w:bookmarkStart w:id="424" w:name="_Toc12895492"/>
      <w:bookmarkStart w:id="425" w:name="_Toc12894537"/>
      <w:bookmarkStart w:id="426" w:name="_Toc12895493"/>
      <w:bookmarkStart w:id="427" w:name="_Toc12894538"/>
      <w:bookmarkStart w:id="428" w:name="_Toc12895494"/>
      <w:bookmarkStart w:id="429" w:name="_Toc12894539"/>
      <w:bookmarkStart w:id="430" w:name="_Toc12895495"/>
      <w:bookmarkStart w:id="431" w:name="_Toc12894540"/>
      <w:bookmarkStart w:id="432" w:name="_Toc12895496"/>
      <w:bookmarkStart w:id="433" w:name="_Toc12894541"/>
      <w:bookmarkStart w:id="434" w:name="_Toc12895497"/>
      <w:bookmarkStart w:id="435" w:name="_Toc12894542"/>
      <w:bookmarkStart w:id="436" w:name="_Toc12895498"/>
      <w:bookmarkStart w:id="437" w:name="_Toc12894543"/>
      <w:bookmarkStart w:id="438" w:name="_Toc12895499"/>
      <w:bookmarkStart w:id="439" w:name="_Toc12894544"/>
      <w:bookmarkStart w:id="440" w:name="_Toc12895500"/>
      <w:bookmarkStart w:id="441" w:name="_Toc12894545"/>
      <w:bookmarkStart w:id="442" w:name="_Toc12895501"/>
      <w:bookmarkStart w:id="443" w:name="_Toc12894546"/>
      <w:bookmarkStart w:id="444" w:name="_Toc12895502"/>
      <w:bookmarkStart w:id="445" w:name="_Toc12894547"/>
      <w:bookmarkStart w:id="446" w:name="_Toc12895503"/>
      <w:bookmarkStart w:id="447" w:name="_Toc12894548"/>
      <w:bookmarkStart w:id="448" w:name="_Toc12895504"/>
      <w:bookmarkStart w:id="449" w:name="_Toc12894549"/>
      <w:bookmarkStart w:id="450" w:name="_Toc12895505"/>
      <w:bookmarkStart w:id="451" w:name="_Toc12894550"/>
      <w:bookmarkStart w:id="452" w:name="_Toc12895506"/>
      <w:bookmarkStart w:id="453" w:name="_Toc12894551"/>
      <w:bookmarkStart w:id="454" w:name="_Toc12895507"/>
      <w:bookmarkStart w:id="455" w:name="_Toc12894552"/>
      <w:bookmarkStart w:id="456" w:name="_Toc12895508"/>
      <w:bookmarkStart w:id="457" w:name="_Toc12894553"/>
      <w:bookmarkStart w:id="458" w:name="_Toc12895509"/>
      <w:bookmarkStart w:id="459" w:name="_Toc12894554"/>
      <w:bookmarkStart w:id="460" w:name="_Toc12895510"/>
      <w:bookmarkStart w:id="461" w:name="_Toc12894555"/>
      <w:bookmarkStart w:id="462" w:name="_Toc12895511"/>
      <w:bookmarkStart w:id="463" w:name="_Toc12894556"/>
      <w:bookmarkStart w:id="464" w:name="_Toc12895512"/>
      <w:bookmarkStart w:id="465" w:name="_Toc12894557"/>
      <w:bookmarkStart w:id="466" w:name="_Toc12895513"/>
      <w:bookmarkStart w:id="467" w:name="_Toc12894558"/>
      <w:bookmarkStart w:id="468" w:name="_Toc12895514"/>
      <w:bookmarkStart w:id="469" w:name="_Toc12894559"/>
      <w:bookmarkStart w:id="470" w:name="_Toc12895515"/>
      <w:bookmarkStart w:id="471" w:name="_Toc12894560"/>
      <w:bookmarkStart w:id="472" w:name="_Toc12895516"/>
      <w:bookmarkStart w:id="473" w:name="_Toc12894561"/>
      <w:bookmarkStart w:id="474" w:name="_Toc12895517"/>
      <w:bookmarkStart w:id="475" w:name="_Toc12894562"/>
      <w:bookmarkStart w:id="476" w:name="_Toc12895518"/>
      <w:bookmarkStart w:id="477" w:name="_Toc452726694"/>
      <w:bookmarkStart w:id="478" w:name="_Toc452726765"/>
      <w:bookmarkStart w:id="479" w:name="_Toc452726700"/>
      <w:bookmarkStart w:id="480" w:name="_Toc452726771"/>
      <w:bookmarkStart w:id="481" w:name="_Toc452726701"/>
      <w:bookmarkStart w:id="482" w:name="_Toc452726772"/>
      <w:bookmarkStart w:id="483" w:name="_Toc12894563"/>
      <w:bookmarkStart w:id="484" w:name="_Toc12895519"/>
      <w:bookmarkStart w:id="485" w:name="_Toc12894564"/>
      <w:bookmarkStart w:id="486" w:name="_Toc12895520"/>
      <w:bookmarkStart w:id="487" w:name="_Toc12894565"/>
      <w:bookmarkStart w:id="488" w:name="_Toc12895521"/>
      <w:bookmarkStart w:id="489" w:name="_Toc12894566"/>
      <w:bookmarkStart w:id="490" w:name="_Toc12895522"/>
      <w:bookmarkStart w:id="491" w:name="_Toc12894567"/>
      <w:bookmarkStart w:id="492" w:name="_Toc12895523"/>
      <w:bookmarkStart w:id="493" w:name="_Toc12894568"/>
      <w:bookmarkStart w:id="494" w:name="_Toc12895524"/>
      <w:bookmarkStart w:id="495" w:name="_Toc12894569"/>
      <w:bookmarkStart w:id="496" w:name="_Toc12895525"/>
      <w:bookmarkStart w:id="497" w:name="_Toc12894570"/>
      <w:bookmarkStart w:id="498" w:name="_Toc12895526"/>
      <w:bookmarkStart w:id="499" w:name="_Toc12894571"/>
      <w:bookmarkStart w:id="500" w:name="_Toc12895527"/>
      <w:bookmarkStart w:id="501" w:name="_Toc12894572"/>
      <w:bookmarkStart w:id="502" w:name="_Toc12895528"/>
      <w:bookmarkStart w:id="503" w:name="_Toc12894573"/>
      <w:bookmarkStart w:id="504" w:name="_Toc12895529"/>
      <w:bookmarkStart w:id="505" w:name="_Toc12894574"/>
      <w:bookmarkStart w:id="506" w:name="_Toc12895530"/>
      <w:bookmarkStart w:id="507" w:name="_Toc12894575"/>
      <w:bookmarkStart w:id="508" w:name="_Toc12895531"/>
      <w:bookmarkStart w:id="509" w:name="_Toc12894576"/>
      <w:bookmarkStart w:id="510" w:name="_Toc12895532"/>
      <w:bookmarkStart w:id="511" w:name="_Toc12894577"/>
      <w:bookmarkStart w:id="512" w:name="_Toc12895533"/>
      <w:bookmarkStart w:id="513" w:name="_Toc12894578"/>
      <w:bookmarkStart w:id="514" w:name="_Toc12895534"/>
      <w:bookmarkStart w:id="515" w:name="_Toc12894579"/>
      <w:bookmarkStart w:id="516" w:name="_Toc12895535"/>
      <w:bookmarkStart w:id="517" w:name="_Toc12894580"/>
      <w:bookmarkStart w:id="518" w:name="_Toc12895536"/>
      <w:bookmarkStart w:id="519" w:name="_Toc12894581"/>
      <w:bookmarkStart w:id="520" w:name="_Toc12895537"/>
      <w:bookmarkStart w:id="521" w:name="_Toc12894582"/>
      <w:bookmarkStart w:id="522" w:name="_Toc12895538"/>
      <w:bookmarkStart w:id="523" w:name="_Toc12894583"/>
      <w:bookmarkStart w:id="524" w:name="_Toc12895539"/>
      <w:bookmarkStart w:id="525" w:name="_Toc12894584"/>
      <w:bookmarkStart w:id="526" w:name="_Toc12895540"/>
      <w:bookmarkStart w:id="527" w:name="_Toc12894585"/>
      <w:bookmarkStart w:id="528" w:name="_Toc12895541"/>
      <w:bookmarkStart w:id="529" w:name="_Toc12894586"/>
      <w:bookmarkStart w:id="530" w:name="_Toc12895542"/>
      <w:bookmarkStart w:id="531" w:name="_Toc12894587"/>
      <w:bookmarkStart w:id="532" w:name="_Toc12895543"/>
      <w:bookmarkStart w:id="533" w:name="_Toc12894588"/>
      <w:bookmarkStart w:id="534" w:name="_Toc12895544"/>
      <w:bookmarkStart w:id="535" w:name="_Toc452726706"/>
      <w:bookmarkStart w:id="536" w:name="_Toc452726777"/>
      <w:bookmarkStart w:id="537" w:name="_Toc12894589"/>
      <w:bookmarkStart w:id="538" w:name="_Toc12895545"/>
      <w:bookmarkStart w:id="539" w:name="_Toc12894590"/>
      <w:bookmarkStart w:id="540" w:name="_Toc12895546"/>
      <w:bookmarkStart w:id="541" w:name="_Toc12894591"/>
      <w:bookmarkStart w:id="542" w:name="_Toc12895547"/>
      <w:bookmarkStart w:id="543" w:name="_Toc12894592"/>
      <w:bookmarkStart w:id="544" w:name="_Toc12895548"/>
      <w:bookmarkStart w:id="545" w:name="_Toc12894593"/>
      <w:bookmarkStart w:id="546" w:name="_Toc12895549"/>
      <w:bookmarkStart w:id="547" w:name="_Toc12894594"/>
      <w:bookmarkStart w:id="548" w:name="_Toc12895550"/>
      <w:bookmarkStart w:id="549" w:name="_Toc12894595"/>
      <w:bookmarkStart w:id="550" w:name="_Toc12895551"/>
      <w:bookmarkStart w:id="551" w:name="_Toc12894596"/>
      <w:bookmarkStart w:id="552" w:name="_Toc12895552"/>
      <w:bookmarkStart w:id="553" w:name="_Toc12894597"/>
      <w:bookmarkStart w:id="554" w:name="_Toc12895553"/>
      <w:bookmarkStart w:id="555" w:name="_Toc12894598"/>
      <w:bookmarkStart w:id="556" w:name="_Toc12895554"/>
      <w:bookmarkStart w:id="557" w:name="_Toc12894599"/>
      <w:bookmarkStart w:id="558" w:name="_Toc12895555"/>
      <w:bookmarkStart w:id="559" w:name="_Toc12894600"/>
      <w:bookmarkStart w:id="560" w:name="_Toc12895556"/>
      <w:bookmarkStart w:id="561" w:name="_Toc12894601"/>
      <w:bookmarkStart w:id="562" w:name="_Toc12895557"/>
      <w:bookmarkStart w:id="563" w:name="_Toc12894602"/>
      <w:bookmarkStart w:id="564" w:name="_Toc12895558"/>
      <w:bookmarkStart w:id="565" w:name="_Toc12894603"/>
      <w:bookmarkStart w:id="566" w:name="_Toc12895559"/>
      <w:bookmarkStart w:id="567" w:name="_Toc12894604"/>
      <w:bookmarkStart w:id="568" w:name="_Toc12895560"/>
      <w:bookmarkStart w:id="569" w:name="_Toc12894605"/>
      <w:bookmarkStart w:id="570" w:name="_Toc12895561"/>
      <w:bookmarkStart w:id="571" w:name="_Toc12894606"/>
      <w:bookmarkStart w:id="572" w:name="_Toc12895562"/>
      <w:bookmarkStart w:id="573" w:name="_Toc12894607"/>
      <w:bookmarkStart w:id="574" w:name="_Toc12895563"/>
      <w:bookmarkStart w:id="575" w:name="_Toc12894608"/>
      <w:bookmarkStart w:id="576" w:name="_Toc12895564"/>
      <w:bookmarkStart w:id="577" w:name="_Toc12894609"/>
      <w:bookmarkStart w:id="578" w:name="_Toc12895565"/>
      <w:bookmarkStart w:id="579" w:name="_Toc12894610"/>
      <w:bookmarkStart w:id="580" w:name="_Toc12895566"/>
      <w:bookmarkStart w:id="581" w:name="_Toc12894611"/>
      <w:bookmarkStart w:id="582" w:name="_Toc12895567"/>
      <w:bookmarkStart w:id="583" w:name="_Toc12894612"/>
      <w:bookmarkStart w:id="584" w:name="_Toc12895568"/>
      <w:bookmarkStart w:id="585" w:name="_Toc12894613"/>
      <w:bookmarkStart w:id="586" w:name="_Toc12895569"/>
      <w:bookmarkStart w:id="587" w:name="_Toc12894614"/>
      <w:bookmarkStart w:id="588" w:name="_Toc12895570"/>
      <w:bookmarkStart w:id="589" w:name="_Toc12894615"/>
      <w:bookmarkStart w:id="590" w:name="_Toc12895571"/>
      <w:bookmarkStart w:id="591" w:name="_Toc12894616"/>
      <w:bookmarkStart w:id="592" w:name="_Toc12895572"/>
      <w:bookmarkStart w:id="593" w:name="_Toc12894617"/>
      <w:bookmarkStart w:id="594" w:name="_Toc12895573"/>
      <w:bookmarkStart w:id="595" w:name="_Toc12894618"/>
      <w:bookmarkStart w:id="596" w:name="_Toc12895574"/>
      <w:bookmarkStart w:id="597" w:name="_Toc12894619"/>
      <w:bookmarkStart w:id="598" w:name="_Toc12895575"/>
      <w:bookmarkStart w:id="599" w:name="_Toc12894620"/>
      <w:bookmarkStart w:id="600" w:name="_Toc12895576"/>
      <w:bookmarkStart w:id="601" w:name="_Toc12894621"/>
      <w:bookmarkStart w:id="602" w:name="_Toc12895577"/>
      <w:bookmarkStart w:id="603" w:name="_Toc12894622"/>
      <w:bookmarkStart w:id="604" w:name="_Toc12895578"/>
      <w:bookmarkStart w:id="605" w:name="_Toc12894623"/>
      <w:bookmarkStart w:id="606" w:name="_Toc12895579"/>
      <w:bookmarkStart w:id="607" w:name="_Toc12894624"/>
      <w:bookmarkStart w:id="608" w:name="_Toc12895580"/>
      <w:bookmarkStart w:id="609" w:name="_Toc12894625"/>
      <w:bookmarkStart w:id="610" w:name="_Toc12895581"/>
      <w:bookmarkStart w:id="611" w:name="_Toc12894626"/>
      <w:bookmarkStart w:id="612" w:name="_Toc12895582"/>
      <w:bookmarkStart w:id="613" w:name="_Toc12894627"/>
      <w:bookmarkStart w:id="614" w:name="_Toc12895583"/>
      <w:bookmarkStart w:id="615" w:name="_Toc12894628"/>
      <w:bookmarkStart w:id="616" w:name="_Toc12895584"/>
      <w:bookmarkStart w:id="617" w:name="_Toc12894629"/>
      <w:bookmarkStart w:id="618" w:name="_Toc12895585"/>
      <w:bookmarkStart w:id="619" w:name="_Toc12894630"/>
      <w:bookmarkStart w:id="620" w:name="_Toc12895586"/>
      <w:bookmarkStart w:id="621" w:name="_Toc12894631"/>
      <w:bookmarkStart w:id="622" w:name="_Toc12895587"/>
      <w:bookmarkStart w:id="623" w:name="_Toc12894632"/>
      <w:bookmarkStart w:id="624" w:name="_Toc12895588"/>
      <w:bookmarkStart w:id="625" w:name="_Toc12894633"/>
      <w:bookmarkStart w:id="626" w:name="_Toc12895589"/>
      <w:bookmarkStart w:id="627" w:name="_Toc12894634"/>
      <w:bookmarkStart w:id="628" w:name="_Toc12895590"/>
      <w:bookmarkStart w:id="629" w:name="_Toc12894635"/>
      <w:bookmarkStart w:id="630" w:name="_Toc12895591"/>
      <w:bookmarkStart w:id="631" w:name="_Toc12894636"/>
      <w:bookmarkStart w:id="632" w:name="_Toc12895592"/>
      <w:bookmarkStart w:id="633" w:name="_Toc12894637"/>
      <w:bookmarkStart w:id="634" w:name="_Toc12895593"/>
      <w:bookmarkStart w:id="635" w:name="_Toc12894638"/>
      <w:bookmarkStart w:id="636" w:name="_Toc12895594"/>
      <w:bookmarkStart w:id="637" w:name="_Toc12894639"/>
      <w:bookmarkStart w:id="638" w:name="_Toc12895595"/>
      <w:bookmarkStart w:id="639" w:name="_Toc12894640"/>
      <w:bookmarkStart w:id="640" w:name="_Toc12895596"/>
      <w:bookmarkStart w:id="641" w:name="_Toc12894641"/>
      <w:bookmarkStart w:id="642" w:name="_Toc12895597"/>
      <w:bookmarkStart w:id="643" w:name="_Toc12894642"/>
      <w:bookmarkStart w:id="644" w:name="_Toc12895598"/>
      <w:bookmarkStart w:id="645" w:name="_Toc12894643"/>
      <w:bookmarkStart w:id="646" w:name="_Toc12895599"/>
      <w:bookmarkStart w:id="647" w:name="_Toc12894644"/>
      <w:bookmarkStart w:id="648" w:name="_Toc12895600"/>
      <w:bookmarkStart w:id="649" w:name="_Toc12894645"/>
      <w:bookmarkStart w:id="650" w:name="_Toc12895601"/>
      <w:bookmarkStart w:id="651" w:name="_Toc12894646"/>
      <w:bookmarkStart w:id="652" w:name="_Toc12895602"/>
      <w:bookmarkStart w:id="653" w:name="_Toc12894647"/>
      <w:bookmarkStart w:id="654" w:name="_Toc12895603"/>
      <w:bookmarkStart w:id="655" w:name="_Toc12894648"/>
      <w:bookmarkStart w:id="656" w:name="_Toc12895604"/>
      <w:bookmarkStart w:id="657" w:name="_Toc12894649"/>
      <w:bookmarkStart w:id="658" w:name="_Toc12895605"/>
      <w:bookmarkStart w:id="659" w:name="_Toc12894650"/>
      <w:bookmarkStart w:id="660" w:name="_Toc12895606"/>
      <w:bookmarkStart w:id="661" w:name="_Toc12894651"/>
      <w:bookmarkStart w:id="662" w:name="_Toc12895607"/>
      <w:bookmarkStart w:id="663" w:name="_Toc12894652"/>
      <w:bookmarkStart w:id="664" w:name="_Toc12895608"/>
      <w:bookmarkStart w:id="665" w:name="_Toc12894653"/>
      <w:bookmarkStart w:id="666" w:name="_Toc12895609"/>
      <w:bookmarkStart w:id="667" w:name="_Toc12894654"/>
      <w:bookmarkStart w:id="668" w:name="_Toc12895610"/>
      <w:bookmarkStart w:id="669" w:name="_Toc12894655"/>
      <w:bookmarkStart w:id="670" w:name="_Toc12895611"/>
      <w:bookmarkStart w:id="671" w:name="_Toc12894656"/>
      <w:bookmarkStart w:id="672" w:name="_Toc12895612"/>
      <w:bookmarkStart w:id="673" w:name="_Hlk1655213"/>
      <w:bookmarkStart w:id="674" w:name="_Toc486516956"/>
      <w:bookmarkStart w:id="675" w:name="_Toc486516957"/>
      <w:bookmarkStart w:id="676" w:name="_Toc486516958"/>
      <w:bookmarkStart w:id="677" w:name="_Toc486516959"/>
      <w:bookmarkStart w:id="678" w:name="_Toc486516960"/>
      <w:bookmarkStart w:id="679" w:name="_Toc486516961"/>
      <w:bookmarkStart w:id="680" w:name="_Toc486516962"/>
      <w:bookmarkStart w:id="681" w:name="_Toc486516963"/>
      <w:bookmarkStart w:id="682" w:name="_Toc486516964"/>
      <w:bookmarkStart w:id="683" w:name="_Toc486516965"/>
      <w:bookmarkStart w:id="684" w:name="_Toc486516966"/>
      <w:bookmarkStart w:id="685" w:name="_Toc486516967"/>
      <w:bookmarkStart w:id="686" w:name="_Toc486516968"/>
      <w:bookmarkStart w:id="687" w:name="_Toc486516969"/>
      <w:bookmarkStart w:id="688" w:name="_Toc452726713"/>
      <w:bookmarkStart w:id="689" w:name="_Toc452726784"/>
      <w:bookmarkStart w:id="690" w:name="_Toc452726714"/>
      <w:bookmarkStart w:id="691" w:name="_Toc452726785"/>
      <w:bookmarkStart w:id="692" w:name="_Toc12894657"/>
      <w:bookmarkStart w:id="693" w:name="_Toc12895613"/>
      <w:bookmarkStart w:id="694" w:name="_Health_service_performance"/>
      <w:bookmarkStart w:id="695" w:name="_Toc12894658"/>
      <w:bookmarkStart w:id="696" w:name="_Toc12895614"/>
      <w:bookmarkStart w:id="697" w:name="_Toc12894659"/>
      <w:bookmarkStart w:id="698" w:name="_Toc12895615"/>
      <w:bookmarkStart w:id="699" w:name="_Toc12894660"/>
      <w:bookmarkStart w:id="700" w:name="_Toc12895616"/>
      <w:bookmarkStart w:id="701" w:name="_Toc12894661"/>
      <w:bookmarkStart w:id="702" w:name="_Toc12895617"/>
      <w:bookmarkStart w:id="703" w:name="_Toc12894662"/>
      <w:bookmarkStart w:id="704" w:name="_Toc12895618"/>
      <w:bookmarkStart w:id="705" w:name="_Toc12894663"/>
      <w:bookmarkStart w:id="706" w:name="_Toc12895619"/>
      <w:bookmarkStart w:id="707" w:name="_Toc12894664"/>
      <w:bookmarkStart w:id="708" w:name="_Toc12895620"/>
      <w:bookmarkStart w:id="709" w:name="_Toc12894665"/>
      <w:bookmarkStart w:id="710" w:name="_Toc12895621"/>
      <w:bookmarkStart w:id="711" w:name="_Toc12894666"/>
      <w:bookmarkStart w:id="712" w:name="_Toc12895622"/>
      <w:bookmarkStart w:id="713" w:name="_Toc10144476"/>
      <w:bookmarkStart w:id="714" w:name="_Toc10144746"/>
      <w:bookmarkStart w:id="715" w:name="_Toc10145016"/>
      <w:bookmarkStart w:id="716" w:name="_Toc10199034"/>
      <w:bookmarkStart w:id="717" w:name="_Toc10199572"/>
      <w:bookmarkStart w:id="718" w:name="_Toc10459827"/>
      <w:bookmarkStart w:id="719" w:name="_Toc10144477"/>
      <w:bookmarkStart w:id="720" w:name="_Toc10144747"/>
      <w:bookmarkStart w:id="721" w:name="_Toc10145017"/>
      <w:bookmarkStart w:id="722" w:name="_Toc10199035"/>
      <w:bookmarkStart w:id="723" w:name="_Toc10199304"/>
      <w:bookmarkStart w:id="724" w:name="_Toc10199573"/>
      <w:bookmarkStart w:id="725" w:name="_Toc10459828"/>
      <w:bookmarkStart w:id="726" w:name="_Toc10144478"/>
      <w:bookmarkStart w:id="727" w:name="_Toc10144748"/>
      <w:bookmarkStart w:id="728" w:name="_Toc10145018"/>
      <w:bookmarkStart w:id="729" w:name="_Toc10199036"/>
      <w:bookmarkStart w:id="730" w:name="_Toc10199305"/>
      <w:bookmarkStart w:id="731" w:name="_Toc10199574"/>
      <w:bookmarkStart w:id="732" w:name="_Toc10459829"/>
      <w:bookmarkStart w:id="733" w:name="_Toc10144479"/>
      <w:bookmarkStart w:id="734" w:name="_Toc10144749"/>
      <w:bookmarkStart w:id="735" w:name="_Toc10145019"/>
      <w:bookmarkStart w:id="736" w:name="_Toc10199037"/>
      <w:bookmarkStart w:id="737" w:name="_Toc10199306"/>
      <w:bookmarkStart w:id="738" w:name="_Toc10199575"/>
      <w:bookmarkStart w:id="739" w:name="_Toc10459830"/>
      <w:bookmarkStart w:id="740" w:name="_Toc12894667"/>
      <w:bookmarkStart w:id="741" w:name="_Toc12895623"/>
      <w:bookmarkStart w:id="742" w:name="_Toc12894668"/>
      <w:bookmarkStart w:id="743" w:name="_Toc12895624"/>
      <w:bookmarkStart w:id="744" w:name="_Toc12894669"/>
      <w:bookmarkStart w:id="745" w:name="_Toc12895625"/>
      <w:bookmarkStart w:id="746" w:name="_Toc12894670"/>
      <w:bookmarkStart w:id="747" w:name="_Toc12895626"/>
      <w:bookmarkStart w:id="748" w:name="_Toc12894671"/>
      <w:bookmarkStart w:id="749" w:name="_Toc12895627"/>
      <w:bookmarkStart w:id="750" w:name="_Toc12894672"/>
      <w:bookmarkStart w:id="751" w:name="_Toc12895628"/>
      <w:bookmarkStart w:id="752" w:name="_Toc12894673"/>
      <w:bookmarkStart w:id="753" w:name="_Toc12895629"/>
      <w:bookmarkStart w:id="754" w:name="_Toc12894674"/>
      <w:bookmarkStart w:id="755" w:name="_Toc12895630"/>
      <w:bookmarkStart w:id="756" w:name="_Toc12894675"/>
      <w:bookmarkStart w:id="757" w:name="_Toc12895631"/>
      <w:bookmarkStart w:id="758" w:name="_Toc12894676"/>
      <w:bookmarkStart w:id="759" w:name="_Toc12895632"/>
      <w:bookmarkStart w:id="760" w:name="_Toc12894677"/>
      <w:bookmarkStart w:id="761" w:name="_Toc12895633"/>
      <w:bookmarkStart w:id="762" w:name="_Toc12894678"/>
      <w:bookmarkStart w:id="763" w:name="_Toc12895634"/>
      <w:bookmarkStart w:id="764" w:name="_Toc12894679"/>
      <w:bookmarkStart w:id="765" w:name="_Toc12895635"/>
      <w:bookmarkStart w:id="766" w:name="_Toc12894680"/>
      <w:bookmarkStart w:id="767" w:name="_Toc12895636"/>
      <w:bookmarkStart w:id="768" w:name="_Toc12894681"/>
      <w:bookmarkStart w:id="769" w:name="_Toc12895637"/>
      <w:bookmarkStart w:id="770" w:name="_Toc12894682"/>
      <w:bookmarkStart w:id="771" w:name="_Toc12895638"/>
      <w:bookmarkStart w:id="772" w:name="_Toc12894683"/>
      <w:bookmarkStart w:id="773" w:name="_Toc12895639"/>
      <w:bookmarkStart w:id="774" w:name="_Toc12894684"/>
      <w:bookmarkStart w:id="775" w:name="_Toc12895640"/>
      <w:bookmarkStart w:id="776" w:name="_Toc12894685"/>
      <w:bookmarkStart w:id="777" w:name="_Toc12895641"/>
      <w:bookmarkStart w:id="778" w:name="_Toc12894686"/>
      <w:bookmarkStart w:id="779" w:name="_Toc12895642"/>
      <w:bookmarkStart w:id="780" w:name="_Toc12894687"/>
      <w:bookmarkStart w:id="781" w:name="_Toc12895643"/>
      <w:bookmarkStart w:id="782" w:name="_Toc12894688"/>
      <w:bookmarkStart w:id="783" w:name="_Toc12895644"/>
      <w:bookmarkStart w:id="784" w:name="_Toc12894689"/>
      <w:bookmarkStart w:id="785" w:name="_Toc12895645"/>
      <w:bookmarkStart w:id="786" w:name="_Toc12894690"/>
      <w:bookmarkStart w:id="787" w:name="_Toc12895646"/>
      <w:bookmarkStart w:id="788" w:name="_Toc12894691"/>
      <w:bookmarkStart w:id="789" w:name="_Toc12895647"/>
      <w:bookmarkStart w:id="790" w:name="_Toc12894692"/>
      <w:bookmarkStart w:id="791" w:name="_Toc12895648"/>
      <w:bookmarkStart w:id="792" w:name="_Toc12894693"/>
      <w:bookmarkStart w:id="793" w:name="_Toc12895649"/>
      <w:bookmarkStart w:id="794" w:name="_Toc12894694"/>
      <w:bookmarkStart w:id="795" w:name="_Toc12895650"/>
      <w:bookmarkStart w:id="796" w:name="_Toc12894695"/>
      <w:bookmarkStart w:id="797" w:name="_Toc12895651"/>
      <w:bookmarkStart w:id="798" w:name="_Toc12894696"/>
      <w:bookmarkStart w:id="799" w:name="_Toc12895652"/>
      <w:bookmarkStart w:id="800" w:name="_Toc12894697"/>
      <w:bookmarkStart w:id="801" w:name="_Toc12895653"/>
      <w:bookmarkStart w:id="802" w:name="_Toc12894698"/>
      <w:bookmarkStart w:id="803" w:name="_Toc12895654"/>
      <w:bookmarkStart w:id="804" w:name="_Toc12894699"/>
      <w:bookmarkStart w:id="805" w:name="_Toc12895655"/>
      <w:bookmarkStart w:id="806" w:name="_Toc12894700"/>
      <w:bookmarkStart w:id="807" w:name="_Toc12895656"/>
      <w:bookmarkStart w:id="808" w:name="_Toc12894701"/>
      <w:bookmarkStart w:id="809" w:name="_Toc12895657"/>
      <w:bookmarkStart w:id="810" w:name="_Toc12894702"/>
      <w:bookmarkStart w:id="811" w:name="_Toc12895658"/>
      <w:bookmarkStart w:id="812" w:name="_Toc12894703"/>
      <w:bookmarkStart w:id="813" w:name="_Toc12895659"/>
      <w:bookmarkStart w:id="814" w:name="_Toc12894704"/>
      <w:bookmarkStart w:id="815" w:name="_Toc12895660"/>
      <w:bookmarkStart w:id="816" w:name="_Toc12894705"/>
      <w:bookmarkStart w:id="817" w:name="_Toc12895661"/>
      <w:bookmarkStart w:id="818" w:name="_Toc12894706"/>
      <w:bookmarkStart w:id="819" w:name="_Toc12895662"/>
      <w:bookmarkStart w:id="820" w:name="_Toc12894707"/>
      <w:bookmarkStart w:id="821" w:name="_Toc12895663"/>
      <w:bookmarkStart w:id="822" w:name="_Toc12894708"/>
      <w:bookmarkStart w:id="823" w:name="_Toc12895664"/>
      <w:bookmarkStart w:id="824" w:name="_Toc12894709"/>
      <w:bookmarkStart w:id="825" w:name="_Toc12895665"/>
      <w:bookmarkStart w:id="826" w:name="_Toc12894710"/>
      <w:bookmarkStart w:id="827" w:name="_Toc12895666"/>
      <w:bookmarkStart w:id="828" w:name="_Toc12894711"/>
      <w:bookmarkStart w:id="829" w:name="_Toc12895667"/>
      <w:bookmarkStart w:id="830" w:name="_Toc12894712"/>
      <w:bookmarkStart w:id="831" w:name="_Toc12895668"/>
      <w:bookmarkStart w:id="832" w:name="_Toc12894713"/>
      <w:bookmarkStart w:id="833" w:name="_Toc12895669"/>
      <w:bookmarkStart w:id="834" w:name="_Toc12894714"/>
      <w:bookmarkStart w:id="835" w:name="_Toc12895670"/>
      <w:bookmarkStart w:id="836" w:name="_Toc12894715"/>
      <w:bookmarkStart w:id="837" w:name="_Toc12895671"/>
      <w:bookmarkStart w:id="838" w:name="_Toc12894716"/>
      <w:bookmarkStart w:id="839" w:name="_Toc12895672"/>
      <w:bookmarkStart w:id="840" w:name="_Toc12894717"/>
      <w:bookmarkStart w:id="841" w:name="_Toc12895673"/>
      <w:bookmarkStart w:id="842" w:name="_Toc12894718"/>
      <w:bookmarkStart w:id="843" w:name="_Toc12895674"/>
      <w:bookmarkStart w:id="844" w:name="_Toc12894719"/>
      <w:bookmarkStart w:id="845" w:name="_Toc12895675"/>
      <w:bookmarkStart w:id="846" w:name="_Toc12894720"/>
      <w:bookmarkStart w:id="847" w:name="_Toc12895676"/>
      <w:bookmarkStart w:id="848" w:name="_Toc12894721"/>
      <w:bookmarkStart w:id="849" w:name="_Toc12895677"/>
      <w:bookmarkStart w:id="850" w:name="_Toc12894722"/>
      <w:bookmarkStart w:id="851" w:name="_Toc12895678"/>
      <w:bookmarkStart w:id="852" w:name="_Toc12894723"/>
      <w:bookmarkStart w:id="853" w:name="_Toc12895679"/>
      <w:bookmarkStart w:id="854" w:name="_Toc12894724"/>
      <w:bookmarkStart w:id="855" w:name="_Toc12895680"/>
      <w:bookmarkStart w:id="856" w:name="_Toc12894725"/>
      <w:bookmarkStart w:id="857" w:name="_Toc12895681"/>
      <w:bookmarkStart w:id="858" w:name="_Toc12894726"/>
      <w:bookmarkStart w:id="859" w:name="_Toc12895682"/>
      <w:bookmarkStart w:id="860" w:name="_Toc12894727"/>
      <w:bookmarkStart w:id="861" w:name="_Toc12895683"/>
      <w:bookmarkStart w:id="862" w:name="_Toc12894728"/>
      <w:bookmarkStart w:id="863" w:name="_Toc12895684"/>
      <w:bookmarkStart w:id="864" w:name="_Toc12894729"/>
      <w:bookmarkStart w:id="865" w:name="_Toc12895685"/>
      <w:bookmarkStart w:id="866" w:name="_Toc12894730"/>
      <w:bookmarkStart w:id="867" w:name="_Toc12895686"/>
      <w:bookmarkStart w:id="868" w:name="_Toc12894731"/>
      <w:bookmarkStart w:id="869" w:name="_Toc12895687"/>
      <w:bookmarkStart w:id="870" w:name="_Toc12894732"/>
      <w:bookmarkStart w:id="871" w:name="_Toc12895688"/>
      <w:bookmarkStart w:id="872" w:name="_Toc12894733"/>
      <w:bookmarkStart w:id="873" w:name="_Toc12895689"/>
      <w:bookmarkStart w:id="874" w:name="_Toc12894734"/>
      <w:bookmarkStart w:id="875" w:name="_Toc12895690"/>
      <w:bookmarkStart w:id="876" w:name="_Toc12894735"/>
      <w:bookmarkStart w:id="877" w:name="_Toc12895691"/>
      <w:bookmarkStart w:id="878" w:name="_Toc12894736"/>
      <w:bookmarkStart w:id="879" w:name="_Toc12895692"/>
      <w:bookmarkStart w:id="880" w:name="_Toc12894737"/>
      <w:bookmarkStart w:id="881" w:name="_Toc12895693"/>
      <w:bookmarkStart w:id="882" w:name="_Toc12894738"/>
      <w:bookmarkStart w:id="883" w:name="_Toc12895694"/>
      <w:bookmarkStart w:id="884" w:name="_Toc12894739"/>
      <w:bookmarkStart w:id="885" w:name="_Toc12895695"/>
      <w:bookmarkStart w:id="886" w:name="_Toc12894740"/>
      <w:bookmarkStart w:id="887" w:name="_Toc12895696"/>
      <w:bookmarkStart w:id="888" w:name="_Toc12894741"/>
      <w:bookmarkStart w:id="889" w:name="_Toc12895697"/>
      <w:bookmarkStart w:id="890" w:name="_Toc12894742"/>
      <w:bookmarkStart w:id="891" w:name="_Toc12895698"/>
      <w:bookmarkStart w:id="892" w:name="_Toc12894743"/>
      <w:bookmarkStart w:id="893" w:name="_Toc12895699"/>
      <w:bookmarkStart w:id="894" w:name="_Toc12894744"/>
      <w:bookmarkStart w:id="895" w:name="_Toc12895700"/>
      <w:bookmarkStart w:id="896" w:name="_Toc12894745"/>
      <w:bookmarkStart w:id="897" w:name="_Toc12895701"/>
      <w:bookmarkStart w:id="898" w:name="_Toc12894746"/>
      <w:bookmarkStart w:id="899" w:name="_Toc12895702"/>
      <w:bookmarkStart w:id="900" w:name="_Toc12894747"/>
      <w:bookmarkStart w:id="901" w:name="_Toc12895703"/>
      <w:bookmarkStart w:id="902" w:name="_Toc12894748"/>
      <w:bookmarkStart w:id="903" w:name="_Toc12895704"/>
      <w:bookmarkStart w:id="904" w:name="_Toc12894749"/>
      <w:bookmarkStart w:id="905" w:name="_Toc12895705"/>
      <w:bookmarkStart w:id="906" w:name="_Toc12894750"/>
      <w:bookmarkStart w:id="907" w:name="_Toc12895706"/>
      <w:bookmarkStart w:id="908" w:name="_Toc12894751"/>
      <w:bookmarkStart w:id="909" w:name="_Toc12895707"/>
      <w:bookmarkStart w:id="910" w:name="_Toc12894752"/>
      <w:bookmarkStart w:id="911" w:name="_Toc12895708"/>
      <w:bookmarkStart w:id="912" w:name="_Toc12894753"/>
      <w:bookmarkStart w:id="913" w:name="_Toc12895709"/>
      <w:bookmarkStart w:id="914" w:name="_Toc12894754"/>
      <w:bookmarkStart w:id="915" w:name="_Toc12895710"/>
      <w:bookmarkStart w:id="916" w:name="_Toc12894755"/>
      <w:bookmarkStart w:id="917" w:name="_Toc12895711"/>
      <w:bookmarkStart w:id="918" w:name="_Toc12894756"/>
      <w:bookmarkStart w:id="919" w:name="_Toc12895712"/>
      <w:bookmarkStart w:id="920" w:name="_Toc12894757"/>
      <w:bookmarkStart w:id="921" w:name="_Toc12895713"/>
      <w:bookmarkStart w:id="922" w:name="_Toc12894758"/>
      <w:bookmarkStart w:id="923" w:name="_Toc12895714"/>
      <w:bookmarkStart w:id="924" w:name="_Toc12894759"/>
      <w:bookmarkStart w:id="925" w:name="_Toc12895715"/>
      <w:bookmarkStart w:id="926" w:name="_Toc12894760"/>
      <w:bookmarkStart w:id="927" w:name="_Toc12895716"/>
      <w:bookmarkStart w:id="928" w:name="_Toc12894761"/>
      <w:bookmarkStart w:id="929" w:name="_Toc12895717"/>
      <w:bookmarkStart w:id="930" w:name="_Toc12894762"/>
      <w:bookmarkStart w:id="931" w:name="_Toc12895718"/>
      <w:bookmarkStart w:id="932" w:name="_Toc12894763"/>
      <w:bookmarkStart w:id="933" w:name="_Toc12895719"/>
      <w:bookmarkStart w:id="934" w:name="_Toc12894764"/>
      <w:bookmarkStart w:id="935" w:name="_Toc12895720"/>
      <w:bookmarkStart w:id="936" w:name="_Toc12894765"/>
      <w:bookmarkStart w:id="937" w:name="_Toc12895721"/>
      <w:bookmarkStart w:id="938" w:name="_Toc12894766"/>
      <w:bookmarkStart w:id="939" w:name="_Toc12895722"/>
      <w:bookmarkStart w:id="940" w:name="_Toc12894767"/>
      <w:bookmarkStart w:id="941" w:name="_Toc12895723"/>
      <w:bookmarkStart w:id="942" w:name="_Toc12894768"/>
      <w:bookmarkStart w:id="943" w:name="_Toc12895724"/>
      <w:bookmarkStart w:id="944" w:name="_Toc12894769"/>
      <w:bookmarkStart w:id="945" w:name="_Toc12895725"/>
      <w:bookmarkStart w:id="946" w:name="_Toc12894770"/>
      <w:bookmarkStart w:id="947" w:name="_Toc12895726"/>
      <w:bookmarkStart w:id="948" w:name="_Toc12894771"/>
      <w:bookmarkStart w:id="949" w:name="_Toc12895727"/>
      <w:bookmarkStart w:id="950" w:name="_Toc12894772"/>
      <w:bookmarkStart w:id="951" w:name="_Toc12895728"/>
      <w:bookmarkStart w:id="952" w:name="_Toc12894773"/>
      <w:bookmarkStart w:id="953" w:name="_Toc12895729"/>
      <w:bookmarkStart w:id="954" w:name="_Toc12894774"/>
      <w:bookmarkStart w:id="955" w:name="_Toc12895730"/>
      <w:bookmarkStart w:id="956" w:name="_Toc12894775"/>
      <w:bookmarkStart w:id="957" w:name="_Toc12895731"/>
      <w:bookmarkStart w:id="958" w:name="_Toc12894776"/>
      <w:bookmarkStart w:id="959" w:name="_Toc12895732"/>
      <w:bookmarkStart w:id="960" w:name="_Toc12894777"/>
      <w:bookmarkStart w:id="961" w:name="_Toc12895733"/>
      <w:bookmarkStart w:id="962" w:name="_Toc12894778"/>
      <w:bookmarkStart w:id="963" w:name="_Toc12895734"/>
      <w:bookmarkStart w:id="964" w:name="_Toc12894779"/>
      <w:bookmarkStart w:id="965" w:name="_Toc12895735"/>
      <w:bookmarkStart w:id="966" w:name="_Toc12894780"/>
      <w:bookmarkStart w:id="967" w:name="_Toc12895736"/>
      <w:bookmarkStart w:id="968" w:name="_Toc12894781"/>
      <w:bookmarkStart w:id="969" w:name="_Toc12895737"/>
      <w:bookmarkStart w:id="970" w:name="_Toc12894782"/>
      <w:bookmarkStart w:id="971" w:name="_Toc12895738"/>
      <w:bookmarkStart w:id="972" w:name="_Toc12894783"/>
      <w:bookmarkStart w:id="973" w:name="_Toc12895739"/>
      <w:bookmarkStart w:id="974" w:name="_Toc12894784"/>
      <w:bookmarkStart w:id="975" w:name="_Toc12895740"/>
      <w:bookmarkStart w:id="976" w:name="_Toc12894785"/>
      <w:bookmarkStart w:id="977" w:name="_Toc12895741"/>
      <w:bookmarkStart w:id="978" w:name="_Toc12894786"/>
      <w:bookmarkStart w:id="979" w:name="_Toc12895742"/>
      <w:bookmarkStart w:id="980" w:name="_Toc12894787"/>
      <w:bookmarkStart w:id="981" w:name="_Toc12895743"/>
      <w:bookmarkStart w:id="982" w:name="_Toc12894788"/>
      <w:bookmarkStart w:id="983" w:name="_Toc12895744"/>
      <w:bookmarkStart w:id="984" w:name="_Toc12894789"/>
      <w:bookmarkStart w:id="985" w:name="_Toc12895745"/>
      <w:bookmarkStart w:id="986" w:name="_Toc12894790"/>
      <w:bookmarkStart w:id="987" w:name="_Toc12895746"/>
      <w:bookmarkStart w:id="988" w:name="_Toc12894791"/>
      <w:bookmarkStart w:id="989" w:name="_Toc12895747"/>
      <w:bookmarkStart w:id="990" w:name="_Toc12894792"/>
      <w:bookmarkStart w:id="991" w:name="_Toc12895748"/>
      <w:bookmarkStart w:id="992" w:name="_Toc12894793"/>
      <w:bookmarkStart w:id="993" w:name="_Toc12895749"/>
      <w:bookmarkStart w:id="994" w:name="_Toc12894794"/>
      <w:bookmarkStart w:id="995" w:name="_Toc12895750"/>
      <w:bookmarkStart w:id="996" w:name="_Toc12894795"/>
      <w:bookmarkStart w:id="997" w:name="_Toc12895751"/>
      <w:bookmarkStart w:id="998" w:name="_Toc12894796"/>
      <w:bookmarkStart w:id="999" w:name="_Toc12895752"/>
      <w:bookmarkStart w:id="1000" w:name="_Toc12894797"/>
      <w:bookmarkStart w:id="1001" w:name="_Toc12895753"/>
      <w:bookmarkStart w:id="1002" w:name="_Toc12894798"/>
      <w:bookmarkStart w:id="1003" w:name="_Toc12895754"/>
      <w:bookmarkStart w:id="1004" w:name="_Toc12894799"/>
      <w:bookmarkStart w:id="1005" w:name="_Toc12895755"/>
      <w:bookmarkStart w:id="1006" w:name="_Toc12894800"/>
      <w:bookmarkStart w:id="1007" w:name="_Toc12895756"/>
      <w:bookmarkStart w:id="1008" w:name="_Toc12894801"/>
      <w:bookmarkStart w:id="1009" w:name="_Toc12895757"/>
      <w:bookmarkStart w:id="1010" w:name="_Toc12894802"/>
      <w:bookmarkStart w:id="1011" w:name="_Toc12895758"/>
      <w:bookmarkStart w:id="1012" w:name="_Toc12894803"/>
      <w:bookmarkStart w:id="1013" w:name="_Toc12895759"/>
      <w:bookmarkStart w:id="1014" w:name="_Toc12894804"/>
      <w:bookmarkStart w:id="1015" w:name="_Toc12895760"/>
      <w:bookmarkStart w:id="1016" w:name="_Toc12894805"/>
      <w:bookmarkStart w:id="1017" w:name="_Toc12895761"/>
      <w:bookmarkStart w:id="1018" w:name="_Toc12894806"/>
      <w:bookmarkStart w:id="1019" w:name="_Toc12895762"/>
      <w:bookmarkStart w:id="1020" w:name="_Toc12894807"/>
      <w:bookmarkStart w:id="1021" w:name="_Toc12895763"/>
      <w:bookmarkStart w:id="1022" w:name="_Toc12894808"/>
      <w:bookmarkStart w:id="1023" w:name="_Toc12895764"/>
      <w:bookmarkStart w:id="1024" w:name="_Toc12894809"/>
      <w:bookmarkStart w:id="1025" w:name="_Toc12895765"/>
      <w:bookmarkStart w:id="1026" w:name="_Toc12894810"/>
      <w:bookmarkStart w:id="1027" w:name="_Toc12895766"/>
      <w:bookmarkStart w:id="1028" w:name="_Toc12894811"/>
      <w:bookmarkStart w:id="1029" w:name="_Toc12895767"/>
      <w:bookmarkStart w:id="1030" w:name="_Toc12894812"/>
      <w:bookmarkStart w:id="1031" w:name="_Toc12895768"/>
      <w:bookmarkStart w:id="1032" w:name="_Toc12894813"/>
      <w:bookmarkStart w:id="1033" w:name="_Toc12895769"/>
      <w:bookmarkStart w:id="1034" w:name="_Toc12894814"/>
      <w:bookmarkStart w:id="1035" w:name="_Toc12895770"/>
      <w:bookmarkStart w:id="1036" w:name="_Toc12894815"/>
      <w:bookmarkStart w:id="1037" w:name="_Toc12895771"/>
      <w:bookmarkStart w:id="1038" w:name="_Toc12894816"/>
      <w:bookmarkStart w:id="1039" w:name="_Toc12895772"/>
      <w:bookmarkStart w:id="1040" w:name="_Toc12894817"/>
      <w:bookmarkStart w:id="1041" w:name="_Toc12895773"/>
      <w:bookmarkStart w:id="1042" w:name="_Toc12894818"/>
      <w:bookmarkStart w:id="1043" w:name="_Toc12895774"/>
      <w:bookmarkStart w:id="1044" w:name="_Toc12894819"/>
      <w:bookmarkStart w:id="1045" w:name="_Toc12895775"/>
      <w:bookmarkStart w:id="1046" w:name="_Toc12894820"/>
      <w:bookmarkStart w:id="1047" w:name="_Toc12895776"/>
      <w:bookmarkStart w:id="1048" w:name="_Toc12894821"/>
      <w:bookmarkStart w:id="1049" w:name="_Toc12895777"/>
      <w:bookmarkStart w:id="1050" w:name="_Toc12894822"/>
      <w:bookmarkStart w:id="1051" w:name="_Toc12895778"/>
      <w:bookmarkStart w:id="1052" w:name="_Toc12894823"/>
      <w:bookmarkStart w:id="1053" w:name="_Toc12895779"/>
      <w:bookmarkStart w:id="1054" w:name="_Toc12894824"/>
      <w:bookmarkStart w:id="1055" w:name="_Toc12895780"/>
      <w:bookmarkStart w:id="1056" w:name="_Toc12894825"/>
      <w:bookmarkStart w:id="1057" w:name="_Toc12895781"/>
      <w:bookmarkStart w:id="1058" w:name="_Toc12894826"/>
      <w:bookmarkStart w:id="1059" w:name="_Toc12895782"/>
      <w:bookmarkStart w:id="1060" w:name="_Toc12894827"/>
      <w:bookmarkStart w:id="1061" w:name="_Toc12895783"/>
      <w:bookmarkStart w:id="1062" w:name="_Toc12894828"/>
      <w:bookmarkStart w:id="1063" w:name="_Toc12895784"/>
      <w:bookmarkStart w:id="1064" w:name="_Toc12894829"/>
      <w:bookmarkStart w:id="1065" w:name="_Toc12895785"/>
      <w:bookmarkStart w:id="1066" w:name="_Toc12894830"/>
      <w:bookmarkStart w:id="1067" w:name="_Toc12895786"/>
      <w:bookmarkStart w:id="1068" w:name="_Toc12894903"/>
      <w:bookmarkStart w:id="1069" w:name="_Toc12895859"/>
      <w:bookmarkStart w:id="1070" w:name="_Toc12894904"/>
      <w:bookmarkStart w:id="1071" w:name="_Toc12895860"/>
      <w:bookmarkStart w:id="1072" w:name="_Toc12894905"/>
      <w:bookmarkStart w:id="1073" w:name="_Toc12895861"/>
      <w:bookmarkStart w:id="1074" w:name="_Toc12894906"/>
      <w:bookmarkStart w:id="1075" w:name="_Toc12895862"/>
      <w:bookmarkStart w:id="1076" w:name="_Toc12894907"/>
      <w:bookmarkStart w:id="1077" w:name="_Toc12895863"/>
      <w:bookmarkStart w:id="1078" w:name="_Toc12894908"/>
      <w:bookmarkStart w:id="1079" w:name="_Toc12895864"/>
      <w:bookmarkStart w:id="1080" w:name="_Toc12894909"/>
      <w:bookmarkStart w:id="1081" w:name="_Toc12895865"/>
      <w:bookmarkStart w:id="1082" w:name="_Toc12894910"/>
      <w:bookmarkStart w:id="1083" w:name="_Toc12895866"/>
      <w:bookmarkStart w:id="1084" w:name="_Toc12894911"/>
      <w:bookmarkStart w:id="1085" w:name="_Toc12895867"/>
      <w:bookmarkStart w:id="1086" w:name="_Toc12894912"/>
      <w:bookmarkStart w:id="1087" w:name="_Toc12895868"/>
      <w:bookmarkStart w:id="1088" w:name="_Toc12894913"/>
      <w:bookmarkStart w:id="1089" w:name="_Toc12895869"/>
      <w:bookmarkStart w:id="1090" w:name="_Toc12894914"/>
      <w:bookmarkStart w:id="1091" w:name="_Toc12895870"/>
      <w:bookmarkStart w:id="1092" w:name="_Toc12894915"/>
      <w:bookmarkStart w:id="1093" w:name="_Toc12895871"/>
      <w:bookmarkStart w:id="1094" w:name="_Toc12894916"/>
      <w:bookmarkStart w:id="1095" w:name="_Toc12895872"/>
      <w:bookmarkStart w:id="1096" w:name="_Toc12894917"/>
      <w:bookmarkStart w:id="1097" w:name="_Toc12895873"/>
      <w:bookmarkStart w:id="1098" w:name="_Toc12894918"/>
      <w:bookmarkStart w:id="1099" w:name="_Toc12895874"/>
      <w:bookmarkStart w:id="1100" w:name="_Toc12894919"/>
      <w:bookmarkStart w:id="1101" w:name="_Toc12895875"/>
      <w:bookmarkStart w:id="1102" w:name="_Toc12894920"/>
      <w:bookmarkStart w:id="1103" w:name="_Toc12895876"/>
      <w:bookmarkStart w:id="1104" w:name="_Toc12894921"/>
      <w:bookmarkStart w:id="1105" w:name="_Toc12895877"/>
      <w:bookmarkStart w:id="1106" w:name="_Toc12894922"/>
      <w:bookmarkStart w:id="1107" w:name="_Toc12895878"/>
      <w:bookmarkStart w:id="1108" w:name="_Toc12894923"/>
      <w:bookmarkStart w:id="1109" w:name="_Toc12895879"/>
      <w:bookmarkStart w:id="1110" w:name="_Toc12894924"/>
      <w:bookmarkStart w:id="1111" w:name="_Toc12895880"/>
      <w:bookmarkStart w:id="1112" w:name="_Toc12894925"/>
      <w:bookmarkStart w:id="1113" w:name="_Toc12895881"/>
      <w:bookmarkStart w:id="1114" w:name="_Toc12894926"/>
      <w:bookmarkStart w:id="1115" w:name="_Toc12895882"/>
      <w:bookmarkStart w:id="1116" w:name="_Toc12894927"/>
      <w:bookmarkStart w:id="1117" w:name="_Toc12895883"/>
      <w:bookmarkStart w:id="1118" w:name="_Toc12894928"/>
      <w:bookmarkStart w:id="1119" w:name="_Toc12895884"/>
      <w:bookmarkStart w:id="1120" w:name="_Toc12894929"/>
      <w:bookmarkStart w:id="1121" w:name="_Toc12895885"/>
      <w:bookmarkStart w:id="1122" w:name="_Toc12894930"/>
      <w:bookmarkStart w:id="1123" w:name="_Toc12895886"/>
      <w:bookmarkStart w:id="1124" w:name="_Toc12894931"/>
      <w:bookmarkStart w:id="1125" w:name="_Toc12895887"/>
      <w:bookmarkStart w:id="1126" w:name="_Toc12894932"/>
      <w:bookmarkStart w:id="1127" w:name="_Toc12895888"/>
      <w:bookmarkStart w:id="1128" w:name="_Toc12894933"/>
      <w:bookmarkStart w:id="1129" w:name="_Toc12895889"/>
      <w:bookmarkStart w:id="1130" w:name="_Toc12894934"/>
      <w:bookmarkStart w:id="1131" w:name="_Toc12895890"/>
      <w:bookmarkStart w:id="1132" w:name="_Toc12894935"/>
      <w:bookmarkStart w:id="1133" w:name="_Toc12895891"/>
      <w:bookmarkStart w:id="1134" w:name="_Toc12894936"/>
      <w:bookmarkStart w:id="1135" w:name="_Toc12895892"/>
      <w:bookmarkStart w:id="1136" w:name="_Toc12894937"/>
      <w:bookmarkStart w:id="1137" w:name="_Toc12895893"/>
      <w:bookmarkStart w:id="1138" w:name="_Toc12894938"/>
      <w:bookmarkStart w:id="1139" w:name="_Toc12895894"/>
      <w:bookmarkStart w:id="1140" w:name="_Toc12894939"/>
      <w:bookmarkStart w:id="1141" w:name="_Toc12895895"/>
      <w:bookmarkStart w:id="1142" w:name="_Toc12894940"/>
      <w:bookmarkStart w:id="1143" w:name="_Toc12895896"/>
      <w:bookmarkStart w:id="1144" w:name="_Toc12894941"/>
      <w:bookmarkStart w:id="1145" w:name="_Toc12895897"/>
      <w:bookmarkStart w:id="1146" w:name="_Toc12894942"/>
      <w:bookmarkStart w:id="1147" w:name="_Toc12895898"/>
      <w:bookmarkStart w:id="1148" w:name="_Toc12894943"/>
      <w:bookmarkStart w:id="1149" w:name="_Toc12895899"/>
      <w:bookmarkStart w:id="1150" w:name="_Toc12894944"/>
      <w:bookmarkStart w:id="1151" w:name="_Toc12895900"/>
      <w:bookmarkStart w:id="1152" w:name="_Toc12894945"/>
      <w:bookmarkStart w:id="1153" w:name="_Toc12895901"/>
      <w:bookmarkStart w:id="1154" w:name="_Toc12894946"/>
      <w:bookmarkStart w:id="1155" w:name="_Toc12895902"/>
      <w:bookmarkStart w:id="1156" w:name="_Toc12894947"/>
      <w:bookmarkStart w:id="1157" w:name="_Toc12895903"/>
      <w:bookmarkStart w:id="1158" w:name="_Toc12894948"/>
      <w:bookmarkStart w:id="1159" w:name="_Toc12895904"/>
      <w:bookmarkStart w:id="1160" w:name="_Toc12894949"/>
      <w:bookmarkStart w:id="1161" w:name="_Toc12895905"/>
      <w:bookmarkStart w:id="1162" w:name="_Toc12894950"/>
      <w:bookmarkStart w:id="1163" w:name="_Toc12895906"/>
      <w:bookmarkStart w:id="1164" w:name="_Toc12894951"/>
      <w:bookmarkStart w:id="1165" w:name="_Toc12895907"/>
      <w:bookmarkStart w:id="1166" w:name="_Toc452726733"/>
      <w:bookmarkStart w:id="1167" w:name="_Toc452726804"/>
      <w:bookmarkStart w:id="1168" w:name="_Toc12894952"/>
      <w:bookmarkStart w:id="1169" w:name="_Toc12895908"/>
      <w:bookmarkStart w:id="1170" w:name="_Toc12894953"/>
      <w:bookmarkStart w:id="1171" w:name="_Toc12895909"/>
      <w:bookmarkStart w:id="1172" w:name="_Toc12894954"/>
      <w:bookmarkStart w:id="1173" w:name="_Toc12895910"/>
      <w:bookmarkStart w:id="1174" w:name="_Toc12894955"/>
      <w:bookmarkStart w:id="1175" w:name="_Toc12895911"/>
      <w:bookmarkStart w:id="1176" w:name="_Toc12894956"/>
      <w:bookmarkStart w:id="1177" w:name="_Toc12895912"/>
      <w:bookmarkStart w:id="1178" w:name="_Toc12894957"/>
      <w:bookmarkStart w:id="1179" w:name="_Toc12895913"/>
      <w:bookmarkStart w:id="1180" w:name="_Toc12894958"/>
      <w:bookmarkStart w:id="1181" w:name="_Toc12895914"/>
      <w:bookmarkStart w:id="1182" w:name="_Toc12894959"/>
      <w:bookmarkStart w:id="1183" w:name="_Toc12895915"/>
      <w:bookmarkStart w:id="1184" w:name="_Toc12894960"/>
      <w:bookmarkStart w:id="1185" w:name="_Toc12895916"/>
      <w:bookmarkStart w:id="1186" w:name="_Toc12894961"/>
      <w:bookmarkStart w:id="1187" w:name="_Toc12895917"/>
      <w:bookmarkStart w:id="1188" w:name="_Toc12894962"/>
      <w:bookmarkStart w:id="1189" w:name="_Toc12895918"/>
      <w:bookmarkStart w:id="1190" w:name="_Toc12894963"/>
      <w:bookmarkStart w:id="1191" w:name="_Toc12895919"/>
      <w:bookmarkStart w:id="1192" w:name="_Toc12894964"/>
      <w:bookmarkStart w:id="1193" w:name="_Toc12895920"/>
      <w:bookmarkStart w:id="1194" w:name="_Toc12894965"/>
      <w:bookmarkStart w:id="1195" w:name="_Toc12895921"/>
      <w:bookmarkStart w:id="1196" w:name="_Toc12894966"/>
      <w:bookmarkStart w:id="1197" w:name="_Toc12895922"/>
      <w:bookmarkStart w:id="1198" w:name="_Toc12894967"/>
      <w:bookmarkStart w:id="1199" w:name="_Toc12895923"/>
      <w:bookmarkStart w:id="1200" w:name="_Toc12894968"/>
      <w:bookmarkStart w:id="1201" w:name="_Toc12895924"/>
      <w:bookmarkStart w:id="1202" w:name="_Toc12894969"/>
      <w:bookmarkStart w:id="1203" w:name="_Toc12895925"/>
      <w:bookmarkStart w:id="1204" w:name="_Toc12894970"/>
      <w:bookmarkStart w:id="1205" w:name="_Toc12895926"/>
      <w:bookmarkStart w:id="1206" w:name="_Toc12894971"/>
      <w:bookmarkStart w:id="1207" w:name="_Toc12895927"/>
      <w:bookmarkStart w:id="1208" w:name="_Toc12894972"/>
      <w:bookmarkStart w:id="1209" w:name="_Toc12895928"/>
      <w:bookmarkStart w:id="1210" w:name="_Toc12894973"/>
      <w:bookmarkStart w:id="1211" w:name="_Toc12895929"/>
      <w:bookmarkStart w:id="1212" w:name="_Toc12894974"/>
      <w:bookmarkStart w:id="1213" w:name="_Toc12895930"/>
      <w:bookmarkStart w:id="1214" w:name="_Toc12894975"/>
      <w:bookmarkStart w:id="1215" w:name="_Toc12895931"/>
      <w:bookmarkStart w:id="1216" w:name="_Toc12894976"/>
      <w:bookmarkStart w:id="1217" w:name="_Toc12895932"/>
      <w:bookmarkStart w:id="1218" w:name="_Toc12894977"/>
      <w:bookmarkStart w:id="1219" w:name="_Toc12895933"/>
      <w:bookmarkStart w:id="1220" w:name="_Toc12894978"/>
      <w:bookmarkStart w:id="1221" w:name="_Toc12895934"/>
      <w:bookmarkStart w:id="1222" w:name="_Toc12894979"/>
      <w:bookmarkStart w:id="1223" w:name="_Toc12895935"/>
      <w:bookmarkStart w:id="1224" w:name="_Toc12894980"/>
      <w:bookmarkStart w:id="1225" w:name="_Toc12895936"/>
      <w:bookmarkStart w:id="1226" w:name="_Toc12894981"/>
      <w:bookmarkStart w:id="1227" w:name="_Toc12895937"/>
      <w:bookmarkStart w:id="1228" w:name="_Toc12894982"/>
      <w:bookmarkStart w:id="1229" w:name="_Toc12895938"/>
      <w:bookmarkStart w:id="1230" w:name="_Toc12894983"/>
      <w:bookmarkStart w:id="1231" w:name="_Toc12895939"/>
      <w:bookmarkStart w:id="1232" w:name="_Toc12894984"/>
      <w:bookmarkStart w:id="1233" w:name="_Toc12895940"/>
      <w:bookmarkStart w:id="1234" w:name="_Toc12894985"/>
      <w:bookmarkStart w:id="1235" w:name="_Toc12895941"/>
      <w:bookmarkStart w:id="1236" w:name="_Toc12894986"/>
      <w:bookmarkStart w:id="1237" w:name="_Toc12895942"/>
      <w:bookmarkStart w:id="1238" w:name="_Toc12894987"/>
      <w:bookmarkStart w:id="1239" w:name="_Toc12895943"/>
      <w:bookmarkStart w:id="1240" w:name="_Toc12894988"/>
      <w:bookmarkStart w:id="1241" w:name="_Toc12895944"/>
      <w:bookmarkStart w:id="1242" w:name="_Toc12894989"/>
      <w:bookmarkStart w:id="1243" w:name="_Toc12895945"/>
      <w:bookmarkStart w:id="1244" w:name="_Toc12894990"/>
      <w:bookmarkStart w:id="1245" w:name="_Toc12895946"/>
      <w:bookmarkStart w:id="1246" w:name="_Toc12894991"/>
      <w:bookmarkStart w:id="1247" w:name="_Toc12895947"/>
      <w:bookmarkStart w:id="1248" w:name="_Toc12894992"/>
      <w:bookmarkStart w:id="1249" w:name="_Toc12895948"/>
      <w:bookmarkStart w:id="1250" w:name="_Toc12894993"/>
      <w:bookmarkStart w:id="1251" w:name="_Toc12895949"/>
      <w:bookmarkStart w:id="1252" w:name="_Toc12894994"/>
      <w:bookmarkStart w:id="1253" w:name="_Toc12895950"/>
      <w:bookmarkStart w:id="1254" w:name="_Toc12894995"/>
      <w:bookmarkStart w:id="1255" w:name="_Toc12895951"/>
      <w:bookmarkStart w:id="1256" w:name="_Toc12894996"/>
      <w:bookmarkStart w:id="1257" w:name="_Toc12895952"/>
      <w:bookmarkStart w:id="1258" w:name="_Toc12894997"/>
      <w:bookmarkStart w:id="1259" w:name="_Toc12895953"/>
      <w:bookmarkStart w:id="1260" w:name="_Toc12894998"/>
      <w:bookmarkStart w:id="1261" w:name="_Toc12895954"/>
      <w:bookmarkStart w:id="1262" w:name="_Toc12894999"/>
      <w:bookmarkStart w:id="1263" w:name="_Toc12895955"/>
      <w:bookmarkStart w:id="1264" w:name="_Toc12895000"/>
      <w:bookmarkStart w:id="1265" w:name="_Toc12895956"/>
      <w:bookmarkStart w:id="1266" w:name="_Toc12895001"/>
      <w:bookmarkStart w:id="1267" w:name="_Toc12895957"/>
      <w:bookmarkStart w:id="1268" w:name="_Toc12895002"/>
      <w:bookmarkStart w:id="1269" w:name="_Toc12895958"/>
      <w:bookmarkStart w:id="1270" w:name="_Toc12895003"/>
      <w:bookmarkStart w:id="1271" w:name="_Toc12895959"/>
      <w:bookmarkStart w:id="1272" w:name="_Toc12895004"/>
      <w:bookmarkStart w:id="1273" w:name="_Toc12895960"/>
      <w:bookmarkStart w:id="1274" w:name="_Toc12895005"/>
      <w:bookmarkStart w:id="1275" w:name="_Toc12895961"/>
      <w:bookmarkStart w:id="1276" w:name="_Toc12895006"/>
      <w:bookmarkStart w:id="1277" w:name="_Toc12895962"/>
      <w:bookmarkStart w:id="1278" w:name="_Toc12895007"/>
      <w:bookmarkStart w:id="1279" w:name="_Toc12895963"/>
      <w:bookmarkStart w:id="1280" w:name="_Toc12895008"/>
      <w:bookmarkStart w:id="1281" w:name="_Toc12895964"/>
      <w:bookmarkStart w:id="1282" w:name="_Toc12895009"/>
      <w:bookmarkStart w:id="1283" w:name="_Toc12895965"/>
      <w:bookmarkStart w:id="1284" w:name="_Toc12895010"/>
      <w:bookmarkStart w:id="1285" w:name="_Toc12895966"/>
      <w:bookmarkStart w:id="1286" w:name="_Toc12895011"/>
      <w:bookmarkStart w:id="1287" w:name="_Toc12895967"/>
      <w:bookmarkStart w:id="1288" w:name="_Toc12895012"/>
      <w:bookmarkStart w:id="1289" w:name="_Toc12895968"/>
      <w:bookmarkStart w:id="1290" w:name="_Toc12895013"/>
      <w:bookmarkStart w:id="1291" w:name="_Toc12895969"/>
      <w:bookmarkStart w:id="1292" w:name="_Toc12895014"/>
      <w:bookmarkStart w:id="1293" w:name="_Toc12895970"/>
      <w:bookmarkStart w:id="1294" w:name="_Toc12895015"/>
      <w:bookmarkStart w:id="1295" w:name="_Toc12895971"/>
      <w:bookmarkStart w:id="1296" w:name="_Toc12895016"/>
      <w:bookmarkStart w:id="1297" w:name="_Toc12895972"/>
      <w:bookmarkStart w:id="1298" w:name="_Toc12895017"/>
      <w:bookmarkStart w:id="1299" w:name="_Toc12895973"/>
      <w:bookmarkStart w:id="1300" w:name="_Toc12895018"/>
      <w:bookmarkStart w:id="1301" w:name="_Toc12895974"/>
      <w:bookmarkStart w:id="1302" w:name="_Toc12895019"/>
      <w:bookmarkStart w:id="1303" w:name="_Toc12895975"/>
      <w:bookmarkStart w:id="1304" w:name="_Toc12895020"/>
      <w:bookmarkStart w:id="1305" w:name="_Toc12895976"/>
      <w:bookmarkStart w:id="1306" w:name="_Toc12895021"/>
      <w:bookmarkStart w:id="1307" w:name="_Toc12895977"/>
      <w:bookmarkStart w:id="1308" w:name="_Toc12895022"/>
      <w:bookmarkStart w:id="1309" w:name="_Toc12895978"/>
      <w:bookmarkStart w:id="1310" w:name="_Toc12895023"/>
      <w:bookmarkStart w:id="1311" w:name="_Toc12895979"/>
      <w:bookmarkStart w:id="1312" w:name="_Toc12895024"/>
      <w:bookmarkStart w:id="1313" w:name="_Toc12895980"/>
      <w:bookmarkStart w:id="1314" w:name="_Toc12895025"/>
      <w:bookmarkStart w:id="1315" w:name="_Toc12895981"/>
      <w:bookmarkStart w:id="1316" w:name="_Toc12895026"/>
      <w:bookmarkStart w:id="1317" w:name="_Toc12895982"/>
      <w:bookmarkStart w:id="1318" w:name="_Toc12895027"/>
      <w:bookmarkStart w:id="1319" w:name="_Toc12895983"/>
      <w:bookmarkStart w:id="1320" w:name="_Toc12895028"/>
      <w:bookmarkStart w:id="1321" w:name="_Toc12895984"/>
      <w:bookmarkStart w:id="1322" w:name="_Toc12895029"/>
      <w:bookmarkStart w:id="1323" w:name="_Toc12895985"/>
      <w:bookmarkStart w:id="1324" w:name="_Toc12895030"/>
      <w:bookmarkStart w:id="1325" w:name="_Toc12895986"/>
      <w:bookmarkStart w:id="1326" w:name="_Toc12895031"/>
      <w:bookmarkStart w:id="1327" w:name="_Toc12895987"/>
      <w:bookmarkStart w:id="1328" w:name="_Toc12895032"/>
      <w:bookmarkStart w:id="1329" w:name="_Toc12895988"/>
      <w:bookmarkStart w:id="1330" w:name="_Toc12895033"/>
      <w:bookmarkStart w:id="1331" w:name="_Toc12895989"/>
      <w:bookmarkStart w:id="1332" w:name="_Toc12895034"/>
      <w:bookmarkStart w:id="1333" w:name="_Toc12895990"/>
      <w:bookmarkStart w:id="1334" w:name="_Toc12895035"/>
      <w:bookmarkStart w:id="1335" w:name="_Toc12895991"/>
      <w:bookmarkStart w:id="1336" w:name="_Toc12895036"/>
      <w:bookmarkStart w:id="1337" w:name="_Toc12895992"/>
      <w:bookmarkStart w:id="1338" w:name="_Toc12895037"/>
      <w:bookmarkStart w:id="1339" w:name="_Toc12895993"/>
      <w:bookmarkStart w:id="1340" w:name="_Toc12895038"/>
      <w:bookmarkStart w:id="1341" w:name="_Toc12895994"/>
      <w:bookmarkStart w:id="1342" w:name="_Toc12895039"/>
      <w:bookmarkStart w:id="1343" w:name="_Toc12895995"/>
      <w:bookmarkStart w:id="1344" w:name="_Toc12895040"/>
      <w:bookmarkStart w:id="1345" w:name="_Toc12895996"/>
      <w:bookmarkStart w:id="1346" w:name="_Toc12895041"/>
      <w:bookmarkStart w:id="1347" w:name="_Toc12895997"/>
      <w:bookmarkStart w:id="1348" w:name="_Toc12895042"/>
      <w:bookmarkStart w:id="1349" w:name="_Toc12895998"/>
      <w:bookmarkStart w:id="1350" w:name="_Toc12895043"/>
      <w:bookmarkStart w:id="1351" w:name="_Toc12895999"/>
      <w:bookmarkStart w:id="1352" w:name="_Toc12895044"/>
      <w:bookmarkStart w:id="1353" w:name="_Toc12896000"/>
      <w:bookmarkStart w:id="1354" w:name="_Toc12895045"/>
      <w:bookmarkStart w:id="1355" w:name="_Toc12896001"/>
      <w:bookmarkStart w:id="1356" w:name="_Toc12895046"/>
      <w:bookmarkStart w:id="1357" w:name="_Toc12896002"/>
      <w:bookmarkStart w:id="1358" w:name="_Toc12895047"/>
      <w:bookmarkStart w:id="1359" w:name="_Toc12896003"/>
      <w:bookmarkStart w:id="1360" w:name="_Toc12895048"/>
      <w:bookmarkStart w:id="1361" w:name="_Toc12896004"/>
      <w:bookmarkStart w:id="1362" w:name="_Toc12895049"/>
      <w:bookmarkStart w:id="1363" w:name="_Toc12896005"/>
      <w:bookmarkStart w:id="1364" w:name="_Toc12895050"/>
      <w:bookmarkStart w:id="1365" w:name="_Toc12896006"/>
      <w:bookmarkStart w:id="1366" w:name="_Toc12895051"/>
      <w:bookmarkStart w:id="1367" w:name="_Toc12896007"/>
      <w:bookmarkStart w:id="1368" w:name="_Toc12895052"/>
      <w:bookmarkStart w:id="1369" w:name="_Toc12896008"/>
      <w:bookmarkStart w:id="1370" w:name="_Toc12895053"/>
      <w:bookmarkStart w:id="1371" w:name="_Toc12896009"/>
      <w:bookmarkStart w:id="1372" w:name="_Toc12895054"/>
      <w:bookmarkStart w:id="1373" w:name="_Toc12896010"/>
      <w:bookmarkStart w:id="1374" w:name="_Toc12895055"/>
      <w:bookmarkStart w:id="1375" w:name="_Toc12896011"/>
      <w:bookmarkStart w:id="1376" w:name="_Toc12895056"/>
      <w:bookmarkStart w:id="1377" w:name="_Toc12896012"/>
      <w:bookmarkStart w:id="1378" w:name="_Toc12895057"/>
      <w:bookmarkStart w:id="1379" w:name="_Toc12896013"/>
      <w:bookmarkStart w:id="1380" w:name="_Toc12895058"/>
      <w:bookmarkStart w:id="1381" w:name="_Toc12896014"/>
      <w:bookmarkStart w:id="1382" w:name="_Toc12895059"/>
      <w:bookmarkStart w:id="1383" w:name="_Toc12896015"/>
      <w:bookmarkStart w:id="1384" w:name="_Toc12895060"/>
      <w:bookmarkStart w:id="1385" w:name="_Toc12896016"/>
      <w:bookmarkStart w:id="1386" w:name="_Toc12895061"/>
      <w:bookmarkStart w:id="1387" w:name="_Toc12896017"/>
      <w:bookmarkStart w:id="1388" w:name="_Toc12895062"/>
      <w:bookmarkStart w:id="1389" w:name="_Toc12896018"/>
      <w:bookmarkStart w:id="1390" w:name="_Toc12895063"/>
      <w:bookmarkStart w:id="1391" w:name="_Toc12896019"/>
      <w:bookmarkStart w:id="1392" w:name="_Toc12895064"/>
      <w:bookmarkStart w:id="1393" w:name="_Toc12896020"/>
      <w:bookmarkStart w:id="1394" w:name="_Toc12895065"/>
      <w:bookmarkStart w:id="1395" w:name="_Toc12896021"/>
      <w:bookmarkStart w:id="1396" w:name="_Toc12895066"/>
      <w:bookmarkStart w:id="1397" w:name="_Toc12896022"/>
      <w:bookmarkStart w:id="1398" w:name="_Toc12895067"/>
      <w:bookmarkStart w:id="1399" w:name="_Toc12896023"/>
      <w:bookmarkStart w:id="1400" w:name="_Toc12895068"/>
      <w:bookmarkStart w:id="1401" w:name="_Toc12896024"/>
      <w:bookmarkStart w:id="1402" w:name="_Toc12895069"/>
      <w:bookmarkStart w:id="1403" w:name="_Toc12896025"/>
      <w:bookmarkStart w:id="1404" w:name="_Toc12895070"/>
      <w:bookmarkStart w:id="1405" w:name="_Toc12896026"/>
      <w:bookmarkStart w:id="1406" w:name="_Toc12895071"/>
      <w:bookmarkStart w:id="1407" w:name="_Toc12896027"/>
      <w:bookmarkStart w:id="1408" w:name="_Toc12895072"/>
      <w:bookmarkStart w:id="1409" w:name="_Toc12896028"/>
      <w:bookmarkStart w:id="1410" w:name="_Toc12895073"/>
      <w:bookmarkStart w:id="1411" w:name="_Toc12896029"/>
      <w:bookmarkStart w:id="1412" w:name="_Toc12895074"/>
      <w:bookmarkStart w:id="1413" w:name="_Toc12896030"/>
      <w:bookmarkStart w:id="1414" w:name="_Toc12895075"/>
      <w:bookmarkStart w:id="1415" w:name="_Toc12896031"/>
      <w:bookmarkStart w:id="1416" w:name="_Toc12895076"/>
      <w:bookmarkStart w:id="1417" w:name="_Toc12896032"/>
      <w:bookmarkStart w:id="1418" w:name="_Toc12895077"/>
      <w:bookmarkStart w:id="1419" w:name="_Toc12896033"/>
      <w:bookmarkStart w:id="1420" w:name="_Toc12895078"/>
      <w:bookmarkStart w:id="1421" w:name="_Toc12896034"/>
      <w:bookmarkStart w:id="1422" w:name="_Toc12895079"/>
      <w:bookmarkStart w:id="1423" w:name="_Toc12896035"/>
      <w:bookmarkStart w:id="1424" w:name="_Toc12895080"/>
      <w:bookmarkStart w:id="1425" w:name="_Toc12896036"/>
      <w:bookmarkStart w:id="1426" w:name="_Toc12895081"/>
      <w:bookmarkStart w:id="1427" w:name="_Toc12896037"/>
      <w:bookmarkStart w:id="1428" w:name="_Toc12895082"/>
      <w:bookmarkStart w:id="1429" w:name="_Toc12896038"/>
      <w:bookmarkStart w:id="1430" w:name="_Toc12895083"/>
      <w:bookmarkStart w:id="1431" w:name="_Toc12896039"/>
      <w:bookmarkStart w:id="1432" w:name="_Toc12895084"/>
      <w:bookmarkStart w:id="1433" w:name="_Toc12896040"/>
      <w:bookmarkStart w:id="1434" w:name="_Toc12895085"/>
      <w:bookmarkStart w:id="1435" w:name="_Toc12896041"/>
      <w:bookmarkStart w:id="1436" w:name="_Toc12895086"/>
      <w:bookmarkStart w:id="1437" w:name="_Toc12896042"/>
      <w:bookmarkStart w:id="1438" w:name="_Toc12895087"/>
      <w:bookmarkStart w:id="1439" w:name="_Toc12896043"/>
      <w:bookmarkStart w:id="1440" w:name="_Toc12895088"/>
      <w:bookmarkStart w:id="1441" w:name="_Toc12896044"/>
      <w:bookmarkStart w:id="1442" w:name="_Toc12895089"/>
      <w:bookmarkStart w:id="1443" w:name="_Toc12896045"/>
      <w:bookmarkStart w:id="1444" w:name="_Toc12895090"/>
      <w:bookmarkStart w:id="1445" w:name="_Toc12896046"/>
      <w:bookmarkStart w:id="1446" w:name="_Toc12895091"/>
      <w:bookmarkStart w:id="1447" w:name="_Toc12896047"/>
      <w:bookmarkStart w:id="1448" w:name="_Toc12895092"/>
      <w:bookmarkStart w:id="1449" w:name="_Toc12896048"/>
      <w:bookmarkStart w:id="1450" w:name="_Toc12895093"/>
      <w:bookmarkStart w:id="1451" w:name="_Toc12896049"/>
      <w:bookmarkStart w:id="1452" w:name="_Toc12895094"/>
      <w:bookmarkStart w:id="1453" w:name="_Toc12896050"/>
      <w:bookmarkStart w:id="1454" w:name="_Toc10144498"/>
      <w:bookmarkStart w:id="1455" w:name="_Toc10144768"/>
      <w:bookmarkStart w:id="1456" w:name="_Toc10145038"/>
      <w:bookmarkStart w:id="1457" w:name="_Toc10199061"/>
      <w:bookmarkStart w:id="1458" w:name="_Toc10199330"/>
      <w:bookmarkStart w:id="1459" w:name="_Toc10199599"/>
      <w:bookmarkStart w:id="1460" w:name="_Toc10459854"/>
      <w:bookmarkStart w:id="1461" w:name="_Toc10144499"/>
      <w:bookmarkStart w:id="1462" w:name="_Toc10144769"/>
      <w:bookmarkStart w:id="1463" w:name="_Toc10145039"/>
      <w:bookmarkStart w:id="1464" w:name="_Toc10199062"/>
      <w:bookmarkStart w:id="1465" w:name="_Toc10199331"/>
      <w:bookmarkStart w:id="1466" w:name="_Toc10199600"/>
      <w:bookmarkStart w:id="1467" w:name="_Toc10459855"/>
      <w:bookmarkStart w:id="1468" w:name="_Toc10144500"/>
      <w:bookmarkStart w:id="1469" w:name="_Toc10144770"/>
      <w:bookmarkStart w:id="1470" w:name="_Toc10145040"/>
      <w:bookmarkStart w:id="1471" w:name="_Toc10199063"/>
      <w:bookmarkStart w:id="1472" w:name="_Toc10199332"/>
      <w:bookmarkStart w:id="1473" w:name="_Toc10199601"/>
      <w:bookmarkStart w:id="1474" w:name="_Toc10459856"/>
      <w:bookmarkStart w:id="1475" w:name="_Toc12895095"/>
      <w:bookmarkStart w:id="1476" w:name="_Toc12896051"/>
      <w:bookmarkStart w:id="1477" w:name="_Toc12895096"/>
      <w:bookmarkStart w:id="1478" w:name="_Toc12896052"/>
      <w:bookmarkStart w:id="1479" w:name="_Toc12895097"/>
      <w:bookmarkStart w:id="1480" w:name="_Toc12896053"/>
      <w:bookmarkStart w:id="1481" w:name="_Toc12895098"/>
      <w:bookmarkStart w:id="1482" w:name="_Toc12896054"/>
      <w:bookmarkStart w:id="1483" w:name="_Toc12895099"/>
      <w:bookmarkStart w:id="1484" w:name="_Toc12896055"/>
      <w:bookmarkStart w:id="1485" w:name="_Toc12895100"/>
      <w:bookmarkStart w:id="1486" w:name="_Toc12896056"/>
      <w:bookmarkStart w:id="1487" w:name="_Toc12895101"/>
      <w:bookmarkStart w:id="1488" w:name="_Toc12896057"/>
      <w:bookmarkStart w:id="1489" w:name="_Toc12895102"/>
      <w:bookmarkStart w:id="1490" w:name="_Toc12896058"/>
      <w:bookmarkStart w:id="1491" w:name="_Toc12895103"/>
      <w:bookmarkStart w:id="1492" w:name="_Toc12896059"/>
      <w:bookmarkStart w:id="1493" w:name="_Toc12895104"/>
      <w:bookmarkStart w:id="1494" w:name="_Toc12896060"/>
      <w:bookmarkStart w:id="1495" w:name="_Toc12895105"/>
      <w:bookmarkStart w:id="1496" w:name="_Toc12896061"/>
      <w:bookmarkStart w:id="1497" w:name="_Toc12895106"/>
      <w:bookmarkStart w:id="1498" w:name="_Toc12896062"/>
      <w:bookmarkStart w:id="1499" w:name="_Toc12895107"/>
      <w:bookmarkStart w:id="1500" w:name="_Toc12896063"/>
      <w:bookmarkStart w:id="1501" w:name="_Toc12895108"/>
      <w:bookmarkStart w:id="1502" w:name="_Toc12896064"/>
      <w:bookmarkStart w:id="1503" w:name="_Toc106868007"/>
      <w:bookmarkStart w:id="1504" w:name="_Toc106869758"/>
      <w:bookmarkStart w:id="1505" w:name="_Toc106870092"/>
      <w:bookmarkStart w:id="1506" w:name="_Toc106870258"/>
      <w:bookmarkStart w:id="1507" w:name="_Toc106870430"/>
      <w:bookmarkStart w:id="1508" w:name="_Toc165964627"/>
      <w:bookmarkStart w:id="1509" w:name="_Toc167174489"/>
      <w:bookmarkStart w:id="1510" w:name="_Toc167226003"/>
      <w:bookmarkStart w:id="1511" w:name="_Toc178963571"/>
      <w:bookmarkEnd w:id="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r>
        <w:t>Terminology</w:t>
      </w:r>
      <w:bookmarkEnd w:id="1503"/>
      <w:bookmarkEnd w:id="1504"/>
      <w:bookmarkEnd w:id="1505"/>
      <w:bookmarkEnd w:id="1506"/>
      <w:bookmarkEnd w:id="1507"/>
      <w:bookmarkEnd w:id="1508"/>
      <w:bookmarkEnd w:id="1509"/>
      <w:bookmarkEnd w:id="1510"/>
      <w:bookmarkEnd w:id="1511"/>
    </w:p>
    <w:p w14:paraId="433366A6" w14:textId="77777777" w:rsidR="005B699B" w:rsidRDefault="005B699B" w:rsidP="005B699B">
      <w:pPr>
        <w:pStyle w:val="Body"/>
      </w:pPr>
      <w:r>
        <w:t>The term ‘funded organisations’ relates to all entities that receive departmental funding to deliver services, unless specified otherwise.</w:t>
      </w:r>
    </w:p>
    <w:p w14:paraId="25F5D748" w14:textId="5AF73817" w:rsidR="005B699B" w:rsidRDefault="005B699B" w:rsidP="005B699B">
      <w:pPr>
        <w:pStyle w:val="Body"/>
      </w:pPr>
      <w:r>
        <w:t xml:space="preserve">For the purposes of the </w:t>
      </w:r>
      <w:r w:rsidRPr="00AC1491">
        <w:rPr>
          <w:i/>
          <w:iCs/>
        </w:rPr>
        <w:t xml:space="preserve">Policy </w:t>
      </w:r>
      <w:r>
        <w:rPr>
          <w:i/>
          <w:iCs/>
        </w:rPr>
        <w:t>g</w:t>
      </w:r>
      <w:r w:rsidRPr="00AC1491">
        <w:rPr>
          <w:i/>
          <w:iCs/>
        </w:rPr>
        <w:t>uide</w:t>
      </w:r>
      <w:r>
        <w:t>, the term ‘health services’ relates to public health services, denominational hospitals, public hospitals and multipurpose services, as defined by the</w:t>
      </w:r>
      <w:r w:rsidRPr="0670E279">
        <w:rPr>
          <w:i/>
          <w:iCs/>
        </w:rPr>
        <w:t xml:space="preserve"> Health Services Act 1988</w:t>
      </w:r>
      <w:r>
        <w:t>, regarding services provided within a hospital or a hospital-equivalent setting, unless otherwise specified.</w:t>
      </w:r>
    </w:p>
    <w:p w14:paraId="6350AAFD" w14:textId="77777777" w:rsidR="005B699B" w:rsidRDefault="005B699B" w:rsidP="005B699B">
      <w:pPr>
        <w:pStyle w:val="Body"/>
      </w:pPr>
      <w:r>
        <w:t>The term ‘community service organisations’ refers to registered community health centres, local government authorities and non-government organisations that are not health services.</w:t>
      </w:r>
    </w:p>
    <w:p w14:paraId="28BC90D7" w14:textId="1464E5C8" w:rsidR="005B699B" w:rsidRDefault="005B699B" w:rsidP="005B699B">
      <w:pPr>
        <w:pStyle w:val="Body"/>
      </w:pPr>
      <w:r>
        <w:t xml:space="preserve">The </w:t>
      </w:r>
      <w:r w:rsidRPr="0670E279">
        <w:rPr>
          <w:i/>
          <w:iCs/>
        </w:rPr>
        <w:t xml:space="preserve">Policy </w:t>
      </w:r>
      <w:r>
        <w:rPr>
          <w:i/>
          <w:iCs/>
        </w:rPr>
        <w:t>g</w:t>
      </w:r>
      <w:r w:rsidRPr="0670E279">
        <w:rPr>
          <w:i/>
          <w:iCs/>
        </w:rPr>
        <w:t>uide</w:t>
      </w:r>
      <w:r>
        <w:t xml:space="preserve"> is also relevant for Ambulance Victoria, Health Purchasing Victoria trading as HealthShare Victoria (HealthShare), the Victorian Institute of Forensic Mental Health (known as Forensicare) and the Youth Mental Health and Wellbeing Victoria</w:t>
      </w:r>
      <w:r w:rsidR="00481585">
        <w:t xml:space="preserve"> </w:t>
      </w:r>
      <w:r>
        <w:t>(</w:t>
      </w:r>
      <w:r w:rsidRPr="00481585">
        <w:t>when it is operational).</w:t>
      </w:r>
      <w:r>
        <w:t xml:space="preserve"> The </w:t>
      </w:r>
      <w:r w:rsidRPr="00AC1491">
        <w:rPr>
          <w:i/>
          <w:iCs/>
        </w:rPr>
        <w:t xml:space="preserve">Policy </w:t>
      </w:r>
      <w:r>
        <w:rPr>
          <w:i/>
          <w:iCs/>
        </w:rPr>
        <w:t>g</w:t>
      </w:r>
      <w:r w:rsidRPr="00AC1491">
        <w:rPr>
          <w:i/>
          <w:iCs/>
        </w:rPr>
        <w:t>uide</w:t>
      </w:r>
      <w:r>
        <w:t xml:space="preserve"> specifies where aspects are relevant for these organisations.</w:t>
      </w:r>
    </w:p>
    <w:p w14:paraId="4B8D8871" w14:textId="1D2E61F6" w:rsidR="005B699B" w:rsidRDefault="005B699B" w:rsidP="005B699B">
      <w:pPr>
        <w:pStyle w:val="Body"/>
        <w:sectPr w:rsidR="005B699B" w:rsidSect="005B699B">
          <w:headerReference w:type="first" r:id="rId21"/>
          <w:pgSz w:w="11906" w:h="16838" w:code="9"/>
          <w:pgMar w:top="1135" w:right="1304" w:bottom="993" w:left="1304" w:header="680" w:footer="567" w:gutter="0"/>
          <w:pgNumType w:start="1"/>
          <w:cols w:space="340"/>
          <w:titlePg/>
          <w:docGrid w:linePitch="360"/>
        </w:sectPr>
      </w:pPr>
      <w:r>
        <w:t>Where the term ‘department’ is used, it refers to the Department of Health, unless otherwise specified.</w:t>
      </w:r>
    </w:p>
    <w:p w14:paraId="0FB8365D" w14:textId="77777777" w:rsidR="005B699B" w:rsidRPr="0026034E" w:rsidRDefault="005B699B" w:rsidP="002929BD">
      <w:pPr>
        <w:pStyle w:val="Heading1partopener"/>
        <w:ind w:left="0"/>
      </w:pPr>
      <w:bookmarkStart w:id="1512" w:name="_Toc165961788"/>
      <w:bookmarkStart w:id="1513" w:name="_Toc178963572"/>
      <w:bookmarkEnd w:id="8"/>
      <w:bookmarkEnd w:id="9"/>
      <w:r>
        <w:lastRenderedPageBreak/>
        <w:t>Part 1: Funding and p</w:t>
      </w:r>
      <w:r w:rsidRPr="0026034E">
        <w:t xml:space="preserve">ricing </w:t>
      </w:r>
      <w:r>
        <w:t>arrangements</w:t>
      </w:r>
      <w:bookmarkEnd w:id="1512"/>
      <w:bookmarkEnd w:id="1513"/>
    </w:p>
    <w:p w14:paraId="290A4310" w14:textId="77777777" w:rsidR="005B699B" w:rsidRDefault="005B699B" w:rsidP="005B699B">
      <w:pPr>
        <w:pStyle w:val="Body"/>
      </w:pPr>
      <w:bookmarkStart w:id="1514" w:name="_Toc52892548"/>
      <w:bookmarkStart w:id="1515" w:name="_Ref54258664"/>
      <w:bookmarkStart w:id="1516" w:name="_Ref54258668"/>
      <w:bookmarkStart w:id="1517" w:name="_Ref54258679"/>
      <w:bookmarkStart w:id="1518" w:name="_Toc418694901"/>
      <w:bookmarkStart w:id="1519" w:name="_Toc6215538"/>
      <w:bookmarkStart w:id="1520" w:name="_Toc10199614"/>
      <w:bookmarkStart w:id="1521" w:name="_Toc418694900"/>
      <w:bookmarkStart w:id="1522" w:name="_Toc487742004"/>
      <w:bookmarkStart w:id="1523" w:name="_Toc14172233"/>
    </w:p>
    <w:p w14:paraId="09BB75E9" w14:textId="77777777" w:rsidR="005B699B" w:rsidRDefault="005B699B" w:rsidP="005B699B">
      <w:pPr>
        <w:pStyle w:val="Body"/>
        <w:sectPr w:rsidR="005B699B" w:rsidSect="005B699B">
          <w:headerReference w:type="first" r:id="rId22"/>
          <w:pgSz w:w="11906" w:h="16838" w:code="9"/>
          <w:pgMar w:top="4253" w:right="1304" w:bottom="993" w:left="1304" w:header="680" w:footer="567" w:gutter="0"/>
          <w:cols w:space="340"/>
          <w:titlePg/>
          <w:docGrid w:linePitch="360"/>
        </w:sectPr>
      </w:pPr>
    </w:p>
    <w:p w14:paraId="77A72EDA" w14:textId="77777777" w:rsidR="005B699B" w:rsidRDefault="005B699B" w:rsidP="00CE12D2">
      <w:pPr>
        <w:pStyle w:val="Heading1"/>
        <w:numPr>
          <w:ilvl w:val="0"/>
          <w:numId w:val="47"/>
        </w:numPr>
        <w:ind w:left="1134" w:hanging="1134"/>
      </w:pPr>
      <w:bookmarkStart w:id="1524" w:name="_Toc165961789"/>
      <w:bookmarkStart w:id="1525" w:name="_Toc178963573"/>
      <w:bookmarkEnd w:id="1514"/>
      <w:bookmarkEnd w:id="1515"/>
      <w:bookmarkEnd w:id="1516"/>
      <w:bookmarkEnd w:id="1517"/>
      <w:r w:rsidRPr="00354BBB">
        <w:lastRenderedPageBreak/>
        <w:t>Pricing</w:t>
      </w:r>
      <w:r>
        <w:t xml:space="preserve"> </w:t>
      </w:r>
      <w:r w:rsidRPr="00AF18F3">
        <w:t>framework</w:t>
      </w:r>
      <w:r>
        <w:t xml:space="preserve"> for activity-based funded health services</w:t>
      </w:r>
      <w:bookmarkEnd w:id="1524"/>
      <w:bookmarkEnd w:id="1525"/>
    </w:p>
    <w:p w14:paraId="61084E3E" w14:textId="13899C5D" w:rsidR="00191679" w:rsidRDefault="005B699B" w:rsidP="005B699B">
      <w:pPr>
        <w:pStyle w:val="Body"/>
      </w:pPr>
      <w:r w:rsidRPr="00A52705">
        <w:t xml:space="preserve">The </w:t>
      </w:r>
      <w:r w:rsidRPr="0013154B">
        <w:t>Pricing framework for activity-based funded health services</w:t>
      </w:r>
      <w:r>
        <w:t xml:space="preserve"> (the </w:t>
      </w:r>
      <w:r w:rsidR="00194EBB">
        <w:t>Victorian</w:t>
      </w:r>
      <w:r>
        <w:t xml:space="preserve"> </w:t>
      </w:r>
      <w:r w:rsidR="00041716">
        <w:t xml:space="preserve">ABF </w:t>
      </w:r>
      <w:r w:rsidR="00191679">
        <w:t>p</w:t>
      </w:r>
      <w:r>
        <w:t xml:space="preserve">ricing </w:t>
      </w:r>
      <w:r w:rsidR="00191679">
        <w:t>f</w:t>
      </w:r>
      <w:r>
        <w:t xml:space="preserve">ramework) governs the annual process for </w:t>
      </w:r>
      <w:r w:rsidRPr="00A52705">
        <w:t>determin</w:t>
      </w:r>
      <w:r>
        <w:t>ing</w:t>
      </w:r>
      <w:r w:rsidRPr="00A52705">
        <w:t xml:space="preserve"> how public hospital services that are in-scope for </w:t>
      </w:r>
      <w:r>
        <w:t>activity-based funding</w:t>
      </w:r>
      <w:r w:rsidR="00E2119F">
        <w:t>,</w:t>
      </w:r>
      <w:r w:rsidRPr="00A52705">
        <w:t xml:space="preserve"> as defined by the National Health Reform Agreement (NHRA)</w:t>
      </w:r>
      <w:r w:rsidR="00E2119F">
        <w:t>,</w:t>
      </w:r>
      <w:r>
        <w:t xml:space="preserve"> will be priced in Victoria. </w:t>
      </w:r>
    </w:p>
    <w:p w14:paraId="63BD5EC6" w14:textId="24EB60FA" w:rsidR="005B699B" w:rsidRPr="00A52705" w:rsidRDefault="005B699B" w:rsidP="005B699B">
      <w:pPr>
        <w:pStyle w:val="Body"/>
      </w:pPr>
      <w:r w:rsidRPr="00A52705">
        <w:t xml:space="preserve">This includes setting the Victorian </w:t>
      </w:r>
      <w:r w:rsidR="00191679">
        <w:t>e</w:t>
      </w:r>
      <w:r w:rsidR="00191679" w:rsidRPr="00A52705">
        <w:t xml:space="preserve">fficient </w:t>
      </w:r>
      <w:r w:rsidR="00191679">
        <w:t>p</w:t>
      </w:r>
      <w:r w:rsidR="00191679" w:rsidRPr="00A52705">
        <w:t xml:space="preserve">rice </w:t>
      </w:r>
      <w:r w:rsidRPr="00A52705">
        <w:t xml:space="preserve">(VEP) and the parameters for </w:t>
      </w:r>
      <w:r>
        <w:t xml:space="preserve">pricing </w:t>
      </w:r>
      <w:r w:rsidRPr="00A52705">
        <w:t>adjustments.</w:t>
      </w:r>
    </w:p>
    <w:p w14:paraId="0C39972B" w14:textId="2D177CBE" w:rsidR="00E2119F" w:rsidRDefault="005B699B" w:rsidP="005B699B">
      <w:pPr>
        <w:pStyle w:val="Body"/>
      </w:pPr>
      <w:r w:rsidRPr="00A52705">
        <w:t xml:space="preserve">The </w:t>
      </w:r>
      <w:r w:rsidR="00194EBB">
        <w:t>Victorian</w:t>
      </w:r>
      <w:r w:rsidRPr="00A52705">
        <w:t xml:space="preserve"> </w:t>
      </w:r>
      <w:r w:rsidR="004A40BC">
        <w:t xml:space="preserve">ABF </w:t>
      </w:r>
      <w:r w:rsidR="00191679">
        <w:t>p</w:t>
      </w:r>
      <w:r w:rsidR="00191679" w:rsidRPr="00A52705">
        <w:t xml:space="preserve">ricing </w:t>
      </w:r>
      <w:r w:rsidR="00191679">
        <w:t>f</w:t>
      </w:r>
      <w:r w:rsidR="00191679" w:rsidRPr="00A52705">
        <w:t xml:space="preserve">ramework </w:t>
      </w:r>
      <w:r w:rsidRPr="00A52705">
        <w:t>outline</w:t>
      </w:r>
      <w:r>
        <w:t>s</w:t>
      </w:r>
      <w:r w:rsidRPr="00A52705">
        <w:t xml:space="preserve"> the policy settings for achieving efficient and sustainable hospital care</w:t>
      </w:r>
      <w:r w:rsidR="00191679">
        <w:t>. It</w:t>
      </w:r>
      <w:r w:rsidR="00191679" w:rsidRPr="00A52705">
        <w:t xml:space="preserve"> </w:t>
      </w:r>
      <w:r w:rsidRPr="00A52705">
        <w:t>promot</w:t>
      </w:r>
      <w:r w:rsidR="00191679">
        <w:t>es</w:t>
      </w:r>
      <w:r w:rsidRPr="00A52705">
        <w:t xml:space="preserve"> </w:t>
      </w:r>
      <w:r w:rsidR="00191679">
        <w:t xml:space="preserve">simplicity, transparency and </w:t>
      </w:r>
      <w:r w:rsidRPr="00A52705">
        <w:t>cost neutrality for the state wherever</w:t>
      </w:r>
      <w:r w:rsidR="00191679">
        <w:t xml:space="preserve"> possible</w:t>
      </w:r>
      <w:r w:rsidRPr="00A52705">
        <w:t xml:space="preserve">. </w:t>
      </w:r>
    </w:p>
    <w:p w14:paraId="4D4CFECC" w14:textId="0D0E04D9" w:rsidR="00191679" w:rsidRDefault="00191679" w:rsidP="005B699B">
      <w:pPr>
        <w:pStyle w:val="Body"/>
      </w:pPr>
      <w:r>
        <w:t>It</w:t>
      </w:r>
      <w:r w:rsidRPr="00A52705">
        <w:t xml:space="preserve"> </w:t>
      </w:r>
      <w:r w:rsidR="00E2119F">
        <w:t xml:space="preserve">also </w:t>
      </w:r>
      <w:r>
        <w:t>provides</w:t>
      </w:r>
      <w:r w:rsidR="005B699B" w:rsidRPr="00A52705">
        <w:t xml:space="preserve"> a strong price signal</w:t>
      </w:r>
      <w:r>
        <w:t xml:space="preserve"> that</w:t>
      </w:r>
      <w:r w:rsidR="005B699B" w:rsidRPr="00A52705">
        <w:t xml:space="preserve"> </w:t>
      </w:r>
      <w:r w:rsidR="00E2119F">
        <w:t xml:space="preserve">allows </w:t>
      </w:r>
      <w:r w:rsidR="005B699B" w:rsidRPr="00A52705">
        <w:t xml:space="preserve">health services to align their activities with the efficient cost per </w:t>
      </w:r>
      <w:r>
        <w:t>national</w:t>
      </w:r>
      <w:r w:rsidRPr="00A52705">
        <w:t xml:space="preserve"> </w:t>
      </w:r>
      <w:r>
        <w:t>w</w:t>
      </w:r>
      <w:r w:rsidRPr="00A52705">
        <w:t xml:space="preserve">eighted </w:t>
      </w:r>
      <w:r>
        <w:t>a</w:t>
      </w:r>
      <w:r w:rsidRPr="00A52705">
        <w:t xml:space="preserve">ctivity </w:t>
      </w:r>
      <w:r>
        <w:t>u</w:t>
      </w:r>
      <w:r w:rsidRPr="00A52705">
        <w:t xml:space="preserve">nit </w:t>
      </w:r>
      <w:r w:rsidR="005B699B" w:rsidRPr="00A52705">
        <w:t xml:space="preserve">(NWAU) as standard practice. </w:t>
      </w:r>
    </w:p>
    <w:p w14:paraId="72E9BC40" w14:textId="533B6080" w:rsidR="005B699B" w:rsidRPr="00A52705" w:rsidRDefault="005B699B" w:rsidP="005B699B">
      <w:pPr>
        <w:pStyle w:val="Body"/>
      </w:pPr>
      <w:r w:rsidRPr="00A52705">
        <w:t xml:space="preserve">The </w:t>
      </w:r>
      <w:r w:rsidR="00194EBB">
        <w:t>Victorian</w:t>
      </w:r>
      <w:r w:rsidRPr="00A52705">
        <w:t xml:space="preserve"> </w:t>
      </w:r>
      <w:r w:rsidR="00074D5D">
        <w:t xml:space="preserve">ABF </w:t>
      </w:r>
      <w:r w:rsidR="00191679">
        <w:t>p</w:t>
      </w:r>
      <w:r w:rsidR="00191679" w:rsidRPr="00A52705">
        <w:t xml:space="preserve">ricing </w:t>
      </w:r>
      <w:r w:rsidR="00191679">
        <w:t>f</w:t>
      </w:r>
      <w:r w:rsidR="00191679" w:rsidRPr="00A52705">
        <w:t xml:space="preserve">ramework </w:t>
      </w:r>
      <w:r w:rsidRPr="00A52705">
        <w:t>support</w:t>
      </w:r>
      <w:r w:rsidR="00191679">
        <w:t>s</w:t>
      </w:r>
      <w:r w:rsidRPr="00A52705">
        <w:t xml:space="preserve"> </w:t>
      </w:r>
      <w:r w:rsidRPr="00A52705" w:rsidDel="00191679">
        <w:t xml:space="preserve">the setting of </w:t>
      </w:r>
      <w:r w:rsidRPr="00A52705">
        <w:t xml:space="preserve">achievable activity targets, as well as setting out policy expectations and norms around cost recovery for health care services. </w:t>
      </w:r>
    </w:p>
    <w:p w14:paraId="0BE7D9CA" w14:textId="3F050CF2" w:rsidR="005B699B" w:rsidRPr="000D7507" w:rsidRDefault="00194EBB" w:rsidP="00CE12D2">
      <w:pPr>
        <w:pStyle w:val="Heading2"/>
        <w:numPr>
          <w:ilvl w:val="1"/>
          <w:numId w:val="13"/>
        </w:numPr>
        <w:ind w:left="1134" w:hanging="1134"/>
      </w:pPr>
      <w:bookmarkStart w:id="1526" w:name="_Toc165961790"/>
      <w:bookmarkStart w:id="1527" w:name="_Toc178963574"/>
      <w:r>
        <w:t xml:space="preserve">Victorian </w:t>
      </w:r>
      <w:r w:rsidR="009766B2">
        <w:t>ABF p</w:t>
      </w:r>
      <w:r w:rsidR="005B699B" w:rsidRPr="00481585">
        <w:t>ricing</w:t>
      </w:r>
      <w:r w:rsidR="005B699B" w:rsidRPr="000D7507">
        <w:t xml:space="preserve"> </w:t>
      </w:r>
      <w:r w:rsidR="00191679">
        <w:t>f</w:t>
      </w:r>
      <w:r w:rsidR="00191679" w:rsidRPr="00191679">
        <w:t>ramework</w:t>
      </w:r>
      <w:r w:rsidR="00191679" w:rsidRPr="000D7507">
        <w:t xml:space="preserve"> </w:t>
      </w:r>
      <w:r w:rsidR="005B699B" w:rsidRPr="00586155">
        <w:t>principles</w:t>
      </w:r>
      <w:bookmarkEnd w:id="1526"/>
      <w:bookmarkEnd w:id="1527"/>
    </w:p>
    <w:p w14:paraId="589ADB7F" w14:textId="77777777" w:rsidR="005B699B" w:rsidRPr="00A52705" w:rsidRDefault="005B699B" w:rsidP="005B699B">
      <w:pPr>
        <w:pStyle w:val="Body"/>
      </w:pPr>
      <w:r w:rsidRPr="00A52705">
        <w:t>The principles to determine the setting of the VEP are to:</w:t>
      </w:r>
    </w:p>
    <w:p w14:paraId="47E36B0E" w14:textId="35F13449" w:rsidR="005B699B" w:rsidRPr="00A52705" w:rsidRDefault="00481585" w:rsidP="00CE12D2">
      <w:pPr>
        <w:pStyle w:val="Bullet1"/>
        <w:numPr>
          <w:ilvl w:val="0"/>
          <w:numId w:val="18"/>
        </w:numPr>
      </w:pPr>
      <w:r>
        <w:t>s</w:t>
      </w:r>
      <w:r w:rsidR="005B699B" w:rsidRPr="00A52705">
        <w:t>end a meaningful price signal to health services by ensuring:</w:t>
      </w:r>
    </w:p>
    <w:p w14:paraId="7A8EE2B5" w14:textId="77777777" w:rsidR="005B699B" w:rsidRPr="00A52705" w:rsidRDefault="005B699B" w:rsidP="00481585">
      <w:pPr>
        <w:pStyle w:val="Bullet2"/>
      </w:pPr>
      <w:r>
        <w:t>a</w:t>
      </w:r>
      <w:r w:rsidRPr="00A52705">
        <w:t>ll health services within a peer group are funded at the same price</w:t>
      </w:r>
    </w:p>
    <w:p w14:paraId="569C25CD" w14:textId="77777777" w:rsidR="005B699B" w:rsidRPr="00A52705" w:rsidRDefault="005B699B" w:rsidP="00481585">
      <w:pPr>
        <w:pStyle w:val="Bullet2"/>
      </w:pPr>
      <w:r>
        <w:t>a</w:t>
      </w:r>
      <w:r w:rsidRPr="00A52705">
        <w:t>ll activity within a health service is funded at the same price</w:t>
      </w:r>
    </w:p>
    <w:p w14:paraId="3F630077" w14:textId="71FAB8E6" w:rsidR="005B699B" w:rsidRPr="00A52705" w:rsidRDefault="005B699B" w:rsidP="00481585">
      <w:pPr>
        <w:pStyle w:val="Bullet2"/>
      </w:pPr>
      <w:r>
        <w:t>p</w:t>
      </w:r>
      <w:r w:rsidRPr="00A52705">
        <w:t>rice reflects a reasonable cost for service delivery</w:t>
      </w:r>
    </w:p>
    <w:p w14:paraId="5415AAA6" w14:textId="2693F3C6" w:rsidR="005B699B" w:rsidRPr="00A52705" w:rsidRDefault="005B699B" w:rsidP="00481585">
      <w:pPr>
        <w:pStyle w:val="Bullet2"/>
      </w:pPr>
      <w:r w:rsidRPr="00A52705">
        <w:t>price takes into account health services’ capacity to raise own-source revenue</w:t>
      </w:r>
    </w:p>
    <w:p w14:paraId="5E407ED7" w14:textId="067198FE" w:rsidR="005B699B" w:rsidRPr="00A52705" w:rsidRDefault="00481585" w:rsidP="00CE12D2">
      <w:pPr>
        <w:pStyle w:val="Bullet1"/>
        <w:numPr>
          <w:ilvl w:val="0"/>
          <w:numId w:val="19"/>
        </w:numPr>
      </w:pPr>
      <w:r>
        <w:t>s</w:t>
      </w:r>
      <w:r w:rsidR="005B699B" w:rsidRPr="00A52705">
        <w:t>upport activity targets that are achievable and affordable by setting:</w:t>
      </w:r>
    </w:p>
    <w:p w14:paraId="6B4EE475" w14:textId="77777777" w:rsidR="005B699B" w:rsidRPr="00A52705" w:rsidRDefault="005B699B" w:rsidP="00481585">
      <w:pPr>
        <w:pStyle w:val="Bullet2"/>
      </w:pPr>
      <w:r>
        <w:t>a</w:t>
      </w:r>
      <w:r w:rsidRPr="00A52705">
        <w:t>ctivity targets that reflect an entity’s total funding, capacity to deliver and mix of service levels</w:t>
      </w:r>
    </w:p>
    <w:p w14:paraId="4C9F3AFD" w14:textId="1AE273FA" w:rsidR="005B699B" w:rsidRPr="00A52705" w:rsidRDefault="005B699B" w:rsidP="00481585">
      <w:pPr>
        <w:pStyle w:val="Bullet2"/>
      </w:pPr>
      <w:r>
        <w:t>p</w:t>
      </w:r>
      <w:r w:rsidRPr="00A52705">
        <w:t xml:space="preserve">rovide health services with greater certainty around the VEP, by providing a clear process for annual </w:t>
      </w:r>
      <w:r>
        <w:t>change</w:t>
      </w:r>
    </w:p>
    <w:p w14:paraId="13A6D7B3" w14:textId="35257675" w:rsidR="005B699B" w:rsidRPr="00A52705" w:rsidRDefault="00481585" w:rsidP="00CE12D2">
      <w:pPr>
        <w:pStyle w:val="Bullet1"/>
        <w:numPr>
          <w:ilvl w:val="0"/>
          <w:numId w:val="19"/>
        </w:numPr>
      </w:pPr>
      <w:r>
        <w:t>e</w:t>
      </w:r>
      <w:r w:rsidR="005B699B" w:rsidRPr="00A52705">
        <w:t>nsure transparency and administrative ease by making:</w:t>
      </w:r>
    </w:p>
    <w:p w14:paraId="02ADB510" w14:textId="77777777" w:rsidR="005B699B" w:rsidRPr="00A52705" w:rsidRDefault="005B699B" w:rsidP="00481585">
      <w:pPr>
        <w:pStyle w:val="Bullet2"/>
      </w:pPr>
      <w:r>
        <w:t>p</w:t>
      </w:r>
      <w:r w:rsidRPr="00A52705">
        <w:t>rice setting transparent and easy to understand</w:t>
      </w:r>
    </w:p>
    <w:p w14:paraId="5D07E1C8" w14:textId="77777777" w:rsidR="005B699B" w:rsidRPr="00A52705" w:rsidRDefault="005B699B" w:rsidP="00481585">
      <w:pPr>
        <w:pStyle w:val="Bullet2"/>
      </w:pPr>
      <w:r>
        <w:t>price a</w:t>
      </w:r>
      <w:r w:rsidRPr="00A52705">
        <w:t>djustments simple to understand and administer.</w:t>
      </w:r>
    </w:p>
    <w:p w14:paraId="126D8DA1" w14:textId="6BC35995" w:rsidR="005B699B" w:rsidRPr="00A52705" w:rsidRDefault="005B699B" w:rsidP="00481585">
      <w:pPr>
        <w:pStyle w:val="Bodyafterbullets"/>
      </w:pPr>
      <w:r>
        <w:t xml:space="preserve">Localised price </w:t>
      </w:r>
      <w:r w:rsidRPr="00481585">
        <w:t>adjustments</w:t>
      </w:r>
      <w:r>
        <w:t xml:space="preserve"> will </w:t>
      </w:r>
      <w:r w:rsidR="00E2119F">
        <w:t xml:space="preserve">complement </w:t>
      </w:r>
      <w:r w:rsidR="006C0CF5">
        <w:t>ABF</w:t>
      </w:r>
      <w:r>
        <w:t xml:space="preserve"> where necessary</w:t>
      </w:r>
      <w:r w:rsidR="00E2119F">
        <w:t>. This</w:t>
      </w:r>
      <w:r w:rsidRPr="00A52705">
        <w:t xml:space="preserve"> </w:t>
      </w:r>
      <w:r>
        <w:t>e</w:t>
      </w:r>
      <w:r w:rsidRPr="00A52705">
        <w:t>nsure</w:t>
      </w:r>
      <w:r w:rsidR="00E2119F">
        <w:t>s</w:t>
      </w:r>
      <w:r w:rsidRPr="00A52705">
        <w:t xml:space="preserve"> the viability of health services</w:t>
      </w:r>
      <w:r w:rsidR="00E2119F">
        <w:t>’</w:t>
      </w:r>
      <w:r w:rsidRPr="00A52705">
        <w:t xml:space="preserve"> </w:t>
      </w:r>
      <w:r w:rsidR="00E2119F">
        <w:t>care delivery,</w:t>
      </w:r>
      <w:r w:rsidRPr="00A52705">
        <w:t xml:space="preserve"> in line with the policies of </w:t>
      </w:r>
      <w:r w:rsidR="00586155">
        <w:t>the g</w:t>
      </w:r>
      <w:r w:rsidR="00586155" w:rsidRPr="00A52705">
        <w:t xml:space="preserve">overnment </w:t>
      </w:r>
      <w:r w:rsidRPr="00A52705">
        <w:t>and the department. In doing this, consideration will be given to the:</w:t>
      </w:r>
    </w:p>
    <w:p w14:paraId="0FDF070C" w14:textId="77777777" w:rsidR="005B699B" w:rsidRPr="00A52705" w:rsidRDefault="005B699B" w:rsidP="00CE12D2">
      <w:pPr>
        <w:pStyle w:val="Bullet1"/>
        <w:numPr>
          <w:ilvl w:val="0"/>
          <w:numId w:val="20"/>
        </w:numPr>
      </w:pPr>
      <w:r>
        <w:t>c</w:t>
      </w:r>
      <w:r w:rsidRPr="00A52705">
        <w:t xml:space="preserve">riteria used to determine </w:t>
      </w:r>
      <w:r>
        <w:t xml:space="preserve">price </w:t>
      </w:r>
      <w:r w:rsidRPr="00A52705">
        <w:t>adjustments, ensuring that they reflect the design of the Victorian health system</w:t>
      </w:r>
    </w:p>
    <w:p w14:paraId="7A1E1B9E" w14:textId="77777777" w:rsidR="005B699B" w:rsidRPr="00A52705" w:rsidRDefault="005B699B" w:rsidP="00CE12D2">
      <w:pPr>
        <w:pStyle w:val="Bullet1"/>
        <w:numPr>
          <w:ilvl w:val="0"/>
          <w:numId w:val="20"/>
        </w:numPr>
      </w:pPr>
      <w:r>
        <w:t>f</w:t>
      </w:r>
      <w:r w:rsidRPr="00A52705">
        <w:t>lexibility needed to provide appropriate incentives for health services to commission new services and respond to strategic priorities</w:t>
      </w:r>
    </w:p>
    <w:p w14:paraId="70166871" w14:textId="6CF9679D" w:rsidR="005B699B" w:rsidRPr="00A52705" w:rsidRDefault="005B699B" w:rsidP="00CE12D2">
      <w:pPr>
        <w:pStyle w:val="Bullet1"/>
        <w:numPr>
          <w:ilvl w:val="0"/>
          <w:numId w:val="20"/>
        </w:numPr>
      </w:pPr>
      <w:r w:rsidRPr="00A52705">
        <w:t xml:space="preserve">objective of driving health services towards an efficient cost of </w:t>
      </w:r>
      <w:r>
        <w:t xml:space="preserve">service </w:t>
      </w:r>
      <w:r w:rsidRPr="00A52705">
        <w:t>delivery.</w:t>
      </w:r>
    </w:p>
    <w:p w14:paraId="26B1B468" w14:textId="3708D970" w:rsidR="005B699B" w:rsidRPr="00586155" w:rsidRDefault="00194EBB" w:rsidP="00E62048">
      <w:pPr>
        <w:pStyle w:val="Heading2"/>
        <w:numPr>
          <w:ilvl w:val="1"/>
          <w:numId w:val="13"/>
        </w:numPr>
        <w:ind w:left="1134" w:hanging="1134"/>
      </w:pPr>
      <w:bookmarkStart w:id="1528" w:name="_Toc165961791"/>
      <w:bookmarkStart w:id="1529" w:name="_Toc178963575"/>
      <w:r>
        <w:lastRenderedPageBreak/>
        <w:t xml:space="preserve">Victorian </w:t>
      </w:r>
      <w:r w:rsidR="00A20630">
        <w:t>ABF p</w:t>
      </w:r>
      <w:r w:rsidR="005B699B" w:rsidRPr="000D7507">
        <w:t xml:space="preserve">ricing </w:t>
      </w:r>
      <w:r w:rsidR="00773E5A">
        <w:t>f</w:t>
      </w:r>
      <w:r w:rsidR="00773E5A" w:rsidRPr="000D7507">
        <w:t xml:space="preserve">ramework </w:t>
      </w:r>
      <w:r w:rsidR="005B699B" w:rsidRPr="00586155">
        <w:t>scope</w:t>
      </w:r>
      <w:bookmarkEnd w:id="1528"/>
      <w:bookmarkEnd w:id="1529"/>
    </w:p>
    <w:p w14:paraId="0A62CF47" w14:textId="2B234756" w:rsidR="005B699B" w:rsidRPr="00A52705" w:rsidRDefault="005B699B" w:rsidP="005B699B">
      <w:pPr>
        <w:pStyle w:val="Body"/>
      </w:pPr>
      <w:r w:rsidRPr="00A52705">
        <w:t xml:space="preserve">The </w:t>
      </w:r>
      <w:r w:rsidR="00194EBB">
        <w:t>Victorian</w:t>
      </w:r>
      <w:r w:rsidRPr="00A52705">
        <w:t xml:space="preserve"> </w:t>
      </w:r>
      <w:r w:rsidR="00A20630">
        <w:t xml:space="preserve">ABF </w:t>
      </w:r>
      <w:r w:rsidR="00773E5A">
        <w:t>p</w:t>
      </w:r>
      <w:r w:rsidR="00773E5A" w:rsidRPr="00A52705">
        <w:t xml:space="preserve">ricing </w:t>
      </w:r>
      <w:r w:rsidR="00773E5A">
        <w:t>f</w:t>
      </w:r>
      <w:r w:rsidR="00773E5A" w:rsidRPr="00A52705">
        <w:t xml:space="preserve">ramework </w:t>
      </w:r>
      <w:r w:rsidR="00773E5A">
        <w:t>governs</w:t>
      </w:r>
      <w:r w:rsidRPr="00A52705">
        <w:t xml:space="preserve"> the following elements of the Victorian funding model for public hospital services that are in-scope for </w:t>
      </w:r>
      <w:r>
        <w:t>activity-based funding</w:t>
      </w:r>
      <w:r w:rsidRPr="00A52705">
        <w:t xml:space="preserve"> as defined by the NHRA:</w:t>
      </w:r>
    </w:p>
    <w:p w14:paraId="0BB693F0" w14:textId="7E29DDF5" w:rsidR="005B699B" w:rsidRPr="00A52705" w:rsidRDefault="005B699B" w:rsidP="00CE12D2">
      <w:pPr>
        <w:pStyle w:val="Bullet1"/>
        <w:numPr>
          <w:ilvl w:val="0"/>
          <w:numId w:val="21"/>
        </w:numPr>
      </w:pPr>
      <w:r w:rsidRPr="00A52705">
        <w:t>price setting for the VEP (the price paid per NWAU by Victoria)</w:t>
      </w:r>
    </w:p>
    <w:p w14:paraId="76561A0D" w14:textId="77777777" w:rsidR="005B699B" w:rsidRPr="00A52705" w:rsidRDefault="005B699B" w:rsidP="00CE12D2">
      <w:pPr>
        <w:pStyle w:val="Bullet1"/>
        <w:numPr>
          <w:ilvl w:val="0"/>
          <w:numId w:val="21"/>
        </w:numPr>
      </w:pPr>
      <w:r>
        <w:t>localised price a</w:t>
      </w:r>
      <w:r w:rsidRPr="00A52705">
        <w:t xml:space="preserve">djustments to adjunct the </w:t>
      </w:r>
      <w:r>
        <w:t>activity-based funding</w:t>
      </w:r>
      <w:r w:rsidRPr="00A52705">
        <w:t xml:space="preserve"> model.</w:t>
      </w:r>
    </w:p>
    <w:p w14:paraId="603269F2" w14:textId="2CC5C73E" w:rsidR="005B699B" w:rsidRPr="00A52705" w:rsidRDefault="005B699B" w:rsidP="006F2DFB">
      <w:pPr>
        <w:pStyle w:val="Bodyafterbullets"/>
      </w:pPr>
      <w:r w:rsidRPr="00A52705">
        <w:t xml:space="preserve">The following elements of </w:t>
      </w:r>
      <w:r w:rsidRPr="00773E5A">
        <w:t>the</w:t>
      </w:r>
      <w:r w:rsidRPr="00A52705">
        <w:t xml:space="preserve"> funding model are out</w:t>
      </w:r>
      <w:r w:rsidR="00773E5A">
        <w:t xml:space="preserve"> </w:t>
      </w:r>
      <w:r w:rsidRPr="00A52705">
        <w:t>of-</w:t>
      </w:r>
      <w:r w:rsidR="00773E5A">
        <w:t xml:space="preserve"> </w:t>
      </w:r>
      <w:r w:rsidRPr="00A52705">
        <w:t xml:space="preserve">scope of the </w:t>
      </w:r>
      <w:r w:rsidR="00194EBB">
        <w:t xml:space="preserve">Victorian </w:t>
      </w:r>
      <w:r w:rsidR="00DB7DF2">
        <w:t xml:space="preserve">ABF </w:t>
      </w:r>
      <w:r w:rsidR="00773E5A">
        <w:t>p</w:t>
      </w:r>
      <w:r w:rsidR="00773E5A" w:rsidRPr="00A52705">
        <w:t xml:space="preserve">ricing </w:t>
      </w:r>
      <w:r w:rsidR="00773E5A">
        <w:t>f</w:t>
      </w:r>
      <w:r w:rsidR="00773E5A" w:rsidRPr="00A52705">
        <w:t>ramework</w:t>
      </w:r>
      <w:r w:rsidRPr="00A52705">
        <w:t>:</w:t>
      </w:r>
    </w:p>
    <w:p w14:paraId="470B8CD7" w14:textId="2734EBAD" w:rsidR="00773E5A" w:rsidRDefault="00773E5A" w:rsidP="00CE12D2">
      <w:pPr>
        <w:pStyle w:val="Bullet1"/>
        <w:numPr>
          <w:ilvl w:val="0"/>
          <w:numId w:val="21"/>
        </w:numPr>
      </w:pPr>
      <w:r>
        <w:t>p</w:t>
      </w:r>
      <w:r w:rsidRPr="00A52705">
        <w:t xml:space="preserve">rice </w:t>
      </w:r>
      <w:r w:rsidR="005B699B" w:rsidRPr="00A52705">
        <w:t>weights – price weights are set annually by Independent Health and Aged Care Pricing Authority (IHACPA) based on national data</w:t>
      </w:r>
      <w:r w:rsidR="005B699B">
        <w:t>.</w:t>
      </w:r>
      <w:r w:rsidR="005B699B" w:rsidRPr="00311753">
        <w:t xml:space="preserve"> </w:t>
      </w:r>
      <w:r>
        <w:t>Refer to</w:t>
      </w:r>
      <w:r w:rsidRPr="00311753">
        <w:t xml:space="preserve"> </w:t>
      </w:r>
      <w:r>
        <w:t>‘</w:t>
      </w:r>
      <w:r w:rsidR="005B699B">
        <w:fldChar w:fldCharType="begin"/>
      </w:r>
      <w:r w:rsidR="005B699B">
        <w:instrText xml:space="preserve"> REF _Ref165634770 \h </w:instrText>
      </w:r>
      <w:r w:rsidR="005B699B">
        <w:fldChar w:fldCharType="separate"/>
      </w:r>
      <w:r w:rsidR="00543255" w:rsidRPr="00EC1D86">
        <w:t>National price weight</w:t>
      </w:r>
      <w:r w:rsidR="005B699B">
        <w:fldChar w:fldCharType="end"/>
      </w:r>
      <w:r>
        <w:t xml:space="preserve">’ in </w:t>
      </w:r>
      <w:r w:rsidR="00977307">
        <w:fldChar w:fldCharType="begin"/>
      </w:r>
      <w:r w:rsidR="00977307">
        <w:instrText xml:space="preserve"> REF _Ref165634918 \h </w:instrText>
      </w:r>
      <w:r w:rsidR="00977307">
        <w:fldChar w:fldCharType="separate"/>
      </w:r>
      <w:r w:rsidR="00543255" w:rsidRPr="00D02EC2">
        <w:t xml:space="preserve">National Funding </w:t>
      </w:r>
      <w:r w:rsidR="00543255" w:rsidRPr="00773FB4">
        <w:t>Model</w:t>
      </w:r>
      <w:r w:rsidR="00977307">
        <w:fldChar w:fldCharType="end"/>
      </w:r>
      <w:r w:rsidR="00977307">
        <w:t xml:space="preserve"> section </w:t>
      </w:r>
      <w:r w:rsidR="00977307">
        <w:fldChar w:fldCharType="begin"/>
      </w:r>
      <w:r w:rsidR="00977307">
        <w:instrText xml:space="preserve"> REF _Ref165634918 \w \h </w:instrText>
      </w:r>
      <w:r w:rsidR="00977307">
        <w:fldChar w:fldCharType="separate"/>
      </w:r>
      <w:r w:rsidR="00543255">
        <w:t>11.1</w:t>
      </w:r>
      <w:r w:rsidR="00977307">
        <w:fldChar w:fldCharType="end"/>
      </w:r>
    </w:p>
    <w:p w14:paraId="5C297AA1" w14:textId="34422670" w:rsidR="005B699B" w:rsidRPr="00A52705" w:rsidRDefault="00773E5A" w:rsidP="00CE12D2">
      <w:pPr>
        <w:pStyle w:val="Bullet1"/>
        <w:numPr>
          <w:ilvl w:val="0"/>
          <w:numId w:val="21"/>
        </w:numPr>
      </w:pPr>
      <w:r>
        <w:t>t</w:t>
      </w:r>
      <w:r w:rsidRPr="00A52705">
        <w:t xml:space="preserve">otal </w:t>
      </w:r>
      <w:r w:rsidR="005B699B" w:rsidRPr="00A52705">
        <w:t>budget allocation – the overall budget envelope is set through the state appropriations and annual model budget</w:t>
      </w:r>
      <w:r w:rsidR="005B699B">
        <w:t xml:space="preserve"> and Statement of Priorities</w:t>
      </w:r>
      <w:r w:rsidR="005B699B" w:rsidRPr="00A52705">
        <w:t xml:space="preserve"> process</w:t>
      </w:r>
    </w:p>
    <w:p w14:paraId="3E5259D1" w14:textId="10A736F9" w:rsidR="005B699B" w:rsidRPr="00311753" w:rsidRDefault="00773E5A" w:rsidP="00CE12D2">
      <w:pPr>
        <w:pStyle w:val="Bullet1"/>
        <w:numPr>
          <w:ilvl w:val="0"/>
          <w:numId w:val="21"/>
        </w:numPr>
      </w:pPr>
      <w:r>
        <w:t>b</w:t>
      </w:r>
      <w:r w:rsidRPr="00A52705">
        <w:t xml:space="preserve">lock </w:t>
      </w:r>
      <w:r w:rsidR="005B699B" w:rsidRPr="00A52705">
        <w:t xml:space="preserve">funding – services funded purely through block funding arrangements under the NHRA are out-of-scope for the </w:t>
      </w:r>
      <w:r w:rsidR="00194EBB">
        <w:t xml:space="preserve">Victorian </w:t>
      </w:r>
      <w:r w:rsidR="00D84F52">
        <w:t>ABF</w:t>
      </w:r>
      <w:r w:rsidR="005B699B" w:rsidRPr="00A52705">
        <w:t xml:space="preserve"> </w:t>
      </w:r>
      <w:r w:rsidR="00527444">
        <w:t>p</w:t>
      </w:r>
      <w:r w:rsidR="005B699B" w:rsidRPr="00A52705">
        <w:t xml:space="preserve">ricing </w:t>
      </w:r>
      <w:r w:rsidR="00527444">
        <w:t>f</w:t>
      </w:r>
      <w:r w:rsidR="005B699B" w:rsidRPr="00A52705">
        <w:t>ramework.</w:t>
      </w:r>
      <w:r w:rsidR="005B699B">
        <w:t xml:space="preserve"> </w:t>
      </w:r>
      <w:r>
        <w:t>Refer to</w:t>
      </w:r>
      <w:r w:rsidRPr="00311753">
        <w:t xml:space="preserve"> </w:t>
      </w:r>
      <w:r>
        <w:t xml:space="preserve">‘Block funding’ </w:t>
      </w:r>
      <w:r w:rsidR="005B699B" w:rsidRPr="00311753">
        <w:t>section</w:t>
      </w:r>
      <w:r>
        <w:t xml:space="preserve"> </w:t>
      </w:r>
      <w:r w:rsidR="00977307">
        <w:fldChar w:fldCharType="begin"/>
      </w:r>
      <w:r w:rsidR="00977307">
        <w:instrText xml:space="preserve"> REF _Ref165634918 \w \h </w:instrText>
      </w:r>
      <w:r w:rsidR="00977307">
        <w:fldChar w:fldCharType="separate"/>
      </w:r>
      <w:r w:rsidR="00543255">
        <w:t>11.1</w:t>
      </w:r>
      <w:r w:rsidR="00977307">
        <w:fldChar w:fldCharType="end"/>
      </w:r>
      <w:r>
        <w:t xml:space="preserve"> </w:t>
      </w:r>
    </w:p>
    <w:p w14:paraId="784C6CE8" w14:textId="2E4A040B" w:rsidR="005B699B" w:rsidRPr="00311753" w:rsidRDefault="00773E5A" w:rsidP="00CE12D2">
      <w:pPr>
        <w:pStyle w:val="Bullet1"/>
        <w:numPr>
          <w:ilvl w:val="0"/>
          <w:numId w:val="21"/>
        </w:numPr>
      </w:pPr>
      <w:r>
        <w:t>a</w:t>
      </w:r>
      <w:r w:rsidRPr="00A52705">
        <w:t xml:space="preserve">ny </w:t>
      </w:r>
      <w:r w:rsidR="005B699B" w:rsidRPr="00A52705">
        <w:t xml:space="preserve">activity </w:t>
      </w:r>
      <w:r>
        <w:t xml:space="preserve">that is </w:t>
      </w:r>
      <w:r w:rsidR="005B699B" w:rsidRPr="00A52705">
        <w:t>out</w:t>
      </w:r>
      <w:r>
        <w:t xml:space="preserve"> </w:t>
      </w:r>
      <w:r w:rsidR="005B699B" w:rsidRPr="00A52705">
        <w:t>of</w:t>
      </w:r>
      <w:r>
        <w:t xml:space="preserve"> </w:t>
      </w:r>
      <w:r w:rsidR="005B699B" w:rsidRPr="00A52705">
        <w:t xml:space="preserve">scope for </w:t>
      </w:r>
      <w:r w:rsidR="005B699B">
        <w:t>activity-based</w:t>
      </w:r>
      <w:r w:rsidR="005B699B" w:rsidRPr="00A52705">
        <w:t xml:space="preserve"> funding under the NHRA regardless of the funding arrangement in Victoria. </w:t>
      </w:r>
      <w:r>
        <w:t xml:space="preserve">Refer to section </w:t>
      </w:r>
      <w:r w:rsidR="00977307">
        <w:fldChar w:fldCharType="begin"/>
      </w:r>
      <w:r w:rsidR="00977307">
        <w:instrText xml:space="preserve"> REF _Ref165634918 \w \h </w:instrText>
      </w:r>
      <w:r w:rsidR="00977307">
        <w:fldChar w:fldCharType="separate"/>
      </w:r>
      <w:r w:rsidR="00543255">
        <w:t>11.1</w:t>
      </w:r>
      <w:r w:rsidR="00977307">
        <w:fldChar w:fldCharType="end"/>
      </w:r>
    </w:p>
    <w:p w14:paraId="26FAF326" w14:textId="6A74A301" w:rsidR="005B699B" w:rsidRPr="00A52705" w:rsidRDefault="00773E5A" w:rsidP="00CE12D2">
      <w:pPr>
        <w:pStyle w:val="Bullet1"/>
        <w:numPr>
          <w:ilvl w:val="0"/>
          <w:numId w:val="21"/>
        </w:numPr>
      </w:pPr>
      <w:r>
        <w:t>a</w:t>
      </w:r>
      <w:r w:rsidRPr="00A52705">
        <w:t xml:space="preserve">ccountability </w:t>
      </w:r>
      <w:r w:rsidR="005B699B" w:rsidRPr="00A52705">
        <w:t>and performance mechanisms.</w:t>
      </w:r>
    </w:p>
    <w:p w14:paraId="044EBDD1" w14:textId="7768249A" w:rsidR="005B699B" w:rsidRPr="00DD3464" w:rsidRDefault="005B699B" w:rsidP="00E62048">
      <w:pPr>
        <w:pStyle w:val="Heading2"/>
        <w:numPr>
          <w:ilvl w:val="1"/>
          <w:numId w:val="13"/>
        </w:numPr>
        <w:ind w:left="1134" w:hanging="1134"/>
      </w:pPr>
      <w:bookmarkStart w:id="1530" w:name="_Toc165961792"/>
      <w:bookmarkStart w:id="1531" w:name="_Toc178963576"/>
      <w:r w:rsidRPr="00755AE2">
        <w:t xml:space="preserve">Victorian </w:t>
      </w:r>
      <w:r w:rsidR="00773E5A" w:rsidRPr="00DD3464">
        <w:t>efficient</w:t>
      </w:r>
      <w:r w:rsidR="00773E5A" w:rsidRPr="00755AE2">
        <w:t xml:space="preserve"> </w:t>
      </w:r>
      <w:bookmarkEnd w:id="1530"/>
      <w:r w:rsidR="00773E5A">
        <w:t>p</w:t>
      </w:r>
      <w:r w:rsidR="00773E5A" w:rsidRPr="00755AE2">
        <w:t>rice</w:t>
      </w:r>
      <w:bookmarkEnd w:id="1531"/>
    </w:p>
    <w:p w14:paraId="5BD4B991" w14:textId="0199562E" w:rsidR="005B699B" w:rsidRPr="00A52705" w:rsidRDefault="005B699B" w:rsidP="005B699B">
      <w:pPr>
        <w:pStyle w:val="Body"/>
      </w:pPr>
      <w:r w:rsidRPr="00A52705">
        <w:t xml:space="preserve">The VEP </w:t>
      </w:r>
      <w:r w:rsidR="00773E5A">
        <w:t>is</w:t>
      </w:r>
      <w:r w:rsidR="00773E5A" w:rsidRPr="00A52705">
        <w:t xml:space="preserve"> </w:t>
      </w:r>
      <w:r w:rsidRPr="00A52705">
        <w:t>the efficient price of providing public hospital services in Victoria. In determining the VEP</w:t>
      </w:r>
      <w:r w:rsidR="00773E5A">
        <w:t>,</w:t>
      </w:r>
      <w:r w:rsidRPr="00A52705">
        <w:t xml:space="preserve"> the department </w:t>
      </w:r>
      <w:r w:rsidRPr="00A52705" w:rsidDel="00773E5A">
        <w:t>will determine</w:t>
      </w:r>
      <w:r w:rsidRPr="00A52705">
        <w:t xml:space="preserve"> a cost</w:t>
      </w:r>
      <w:r w:rsidR="00773E5A">
        <w:t>-</w:t>
      </w:r>
      <w:r w:rsidRPr="00A52705">
        <w:t xml:space="preserve">recovery rate </w:t>
      </w:r>
      <w:r w:rsidR="00773E5A">
        <w:t>in line with</w:t>
      </w:r>
      <w:r w:rsidRPr="00A52705">
        <w:t>:</w:t>
      </w:r>
    </w:p>
    <w:p w14:paraId="0ADFC3D3" w14:textId="77777777" w:rsidR="005B699B" w:rsidRPr="00A52705" w:rsidRDefault="005B699B" w:rsidP="00CE12D2">
      <w:pPr>
        <w:pStyle w:val="Bullet1"/>
        <w:numPr>
          <w:ilvl w:val="0"/>
          <w:numId w:val="22"/>
        </w:numPr>
      </w:pPr>
      <w:r w:rsidRPr="00A52705">
        <w:t>reasonable costs in the delivery of care</w:t>
      </w:r>
    </w:p>
    <w:p w14:paraId="45682874" w14:textId="77777777" w:rsidR="005B699B" w:rsidRPr="00A52705" w:rsidRDefault="005B699B" w:rsidP="00CE12D2">
      <w:pPr>
        <w:pStyle w:val="Bullet1"/>
        <w:numPr>
          <w:ilvl w:val="0"/>
          <w:numId w:val="22"/>
        </w:numPr>
      </w:pPr>
      <w:r w:rsidRPr="00A52705">
        <w:t xml:space="preserve">unavoidable variation in the costs resulting from </w:t>
      </w:r>
      <w:r>
        <w:t>health service</w:t>
      </w:r>
      <w:r w:rsidRPr="00A52705">
        <w:t xml:space="preserve"> size, location and service mix</w:t>
      </w:r>
    </w:p>
    <w:p w14:paraId="47E4C9D3" w14:textId="78581BA9" w:rsidR="005B699B" w:rsidRPr="00A52705" w:rsidRDefault="005B699B" w:rsidP="00CE12D2">
      <w:pPr>
        <w:pStyle w:val="Bullet1"/>
        <w:numPr>
          <w:ilvl w:val="0"/>
          <w:numId w:val="22"/>
        </w:numPr>
      </w:pPr>
      <w:r w:rsidRPr="00A52705">
        <w:t>alternat</w:t>
      </w:r>
      <w:r w:rsidR="00773E5A">
        <w:t>iv</w:t>
      </w:r>
      <w:r w:rsidRPr="00A52705">
        <w:t xml:space="preserve">e sources of revenue that health services </w:t>
      </w:r>
      <w:r w:rsidR="00773E5A">
        <w:t>can</w:t>
      </w:r>
      <w:r w:rsidRPr="00A52705">
        <w:t xml:space="preserve"> generate.</w:t>
      </w:r>
    </w:p>
    <w:p w14:paraId="0FD95430" w14:textId="73E4B614" w:rsidR="00773E5A" w:rsidRDefault="005B699B" w:rsidP="005B699B">
      <w:pPr>
        <w:pStyle w:val="Bodyafterbullets"/>
      </w:pPr>
      <w:r w:rsidRPr="00A52705">
        <w:t>Noting current significant variation in costs across health service</w:t>
      </w:r>
      <w:r>
        <w:t>s</w:t>
      </w:r>
      <w:r w:rsidRPr="00A52705">
        <w:t xml:space="preserve"> and health service types, </w:t>
      </w:r>
      <w:r>
        <w:t xml:space="preserve">there will be three VEPs </w:t>
      </w:r>
      <w:r w:rsidRPr="00A52705">
        <w:t xml:space="preserve">in </w:t>
      </w:r>
      <w:r w:rsidR="00F61040">
        <w:t>202</w:t>
      </w:r>
      <w:r w:rsidR="001F296C">
        <w:t>4</w:t>
      </w:r>
      <w:r w:rsidR="00527444">
        <w:t>–</w:t>
      </w:r>
      <w:r w:rsidR="001F296C">
        <w:t>25</w:t>
      </w:r>
      <w:r>
        <w:t xml:space="preserve">. </w:t>
      </w:r>
    </w:p>
    <w:p w14:paraId="2F1F7BC5" w14:textId="76737479" w:rsidR="005B699B" w:rsidRPr="00A52705" w:rsidRDefault="005B699B" w:rsidP="00101C92">
      <w:pPr>
        <w:pStyle w:val="Body"/>
      </w:pPr>
      <w:r>
        <w:t>The three VEPs are</w:t>
      </w:r>
      <w:r w:rsidRPr="00A52705">
        <w:t xml:space="preserve"> based on the cost recovery for health services’ peer group</w:t>
      </w:r>
      <w:r w:rsidR="00DD3464">
        <w:t>,</w:t>
      </w:r>
      <w:r w:rsidRPr="00A52705">
        <w:t xml:space="preserve"> as determined by their governance arrangements under the </w:t>
      </w:r>
      <w:r w:rsidRPr="00BA1E68">
        <w:rPr>
          <w:i/>
          <w:iCs/>
        </w:rPr>
        <w:t>Health Services Act 1988</w:t>
      </w:r>
      <w:r w:rsidRPr="00A52705">
        <w:t xml:space="preserve"> (Vic.). All health services receive the same price for all in-scope activity within their peer group (metropolitan, regional, and subregional and local). </w:t>
      </w:r>
    </w:p>
    <w:p w14:paraId="65DBFF6B" w14:textId="50D0DB85" w:rsidR="005B699B" w:rsidRPr="00A52705" w:rsidRDefault="00773E5A" w:rsidP="005B699B">
      <w:pPr>
        <w:pStyle w:val="Body"/>
      </w:pPr>
      <w:r>
        <w:t>The</w:t>
      </w:r>
      <w:r w:rsidR="005B699B" w:rsidRPr="00A52705">
        <w:t xml:space="preserve"> national funding model</w:t>
      </w:r>
      <w:r w:rsidR="005B699B">
        <w:t xml:space="preserve"> approach </w:t>
      </w:r>
      <w:r w:rsidR="005B699B" w:rsidRPr="00A52705">
        <w:t xml:space="preserve">bases price weights </w:t>
      </w:r>
      <w:r w:rsidR="005B699B">
        <w:t>on</w:t>
      </w:r>
      <w:r w:rsidR="005B699B" w:rsidRPr="00A52705">
        <w:t xml:space="preserve"> service delivery cost relative to the cost of an average admitted acute episode</w:t>
      </w:r>
      <w:r>
        <w:t xml:space="preserve">. In line with this, </w:t>
      </w:r>
      <w:r w:rsidR="005B699B" w:rsidRPr="00A52705">
        <w:t xml:space="preserve">the </w:t>
      </w:r>
      <w:r w:rsidR="00923A3C">
        <w:t xml:space="preserve">Victorian </w:t>
      </w:r>
      <w:r w:rsidR="0004284B">
        <w:t xml:space="preserve">ABF </w:t>
      </w:r>
      <w:r>
        <w:t>p</w:t>
      </w:r>
      <w:r w:rsidRPr="00A52705">
        <w:t xml:space="preserve">ricing </w:t>
      </w:r>
      <w:r>
        <w:t>f</w:t>
      </w:r>
      <w:r w:rsidRPr="00A52705">
        <w:t xml:space="preserve">ramework </w:t>
      </w:r>
      <w:r w:rsidR="005B699B" w:rsidRPr="00A52705">
        <w:t>u</w:t>
      </w:r>
      <w:r w:rsidR="005B699B">
        <w:t>se</w:t>
      </w:r>
      <w:r>
        <w:t>s</w:t>
      </w:r>
      <w:r w:rsidR="005B699B" w:rsidRPr="00A52705">
        <w:t xml:space="preserve"> admitted acute activity and related cost data to set price. Given the stability and sophistication of this dataset, it is an appropriate subset of information from which to base price.</w:t>
      </w:r>
    </w:p>
    <w:p w14:paraId="66D3EA65" w14:textId="3EE212D1" w:rsidR="005B699B" w:rsidRPr="00A52705" w:rsidRDefault="005B699B" w:rsidP="005B699B">
      <w:pPr>
        <w:pStyle w:val="Body"/>
      </w:pPr>
      <w:r w:rsidRPr="00A52705" w:rsidDel="0040535D">
        <w:t xml:space="preserve">In </w:t>
      </w:r>
      <w:r w:rsidR="003C7262">
        <w:t>2024</w:t>
      </w:r>
      <w:r w:rsidR="00C801EB">
        <w:t>–</w:t>
      </w:r>
      <w:r w:rsidR="003C7262">
        <w:t>25</w:t>
      </w:r>
      <w:r w:rsidRPr="00A52705">
        <w:t xml:space="preserve"> the department </w:t>
      </w:r>
      <w:r w:rsidR="003C7262">
        <w:t>has</w:t>
      </w:r>
      <w:r w:rsidR="003C7262" w:rsidRPr="00A52705">
        <w:t xml:space="preserve"> </w:t>
      </w:r>
      <w:r w:rsidRPr="00A52705">
        <w:t>set the VEP based on a cost</w:t>
      </w:r>
      <w:r w:rsidR="00DD3464">
        <w:t>-</w:t>
      </w:r>
      <w:r w:rsidRPr="00A52705">
        <w:t>recovery rate at 85</w:t>
      </w:r>
      <w:r>
        <w:t>%</w:t>
      </w:r>
      <w:r w:rsidRPr="00A52705">
        <w:t xml:space="preserve"> of the average cost reported for admitted acute activity in 2022</w:t>
      </w:r>
      <w:r>
        <w:t>–</w:t>
      </w:r>
      <w:r w:rsidRPr="00A52705">
        <w:t xml:space="preserve">23 as the most recent year of </w:t>
      </w:r>
      <w:r>
        <w:t xml:space="preserve">available </w:t>
      </w:r>
      <w:r w:rsidRPr="00A52705">
        <w:t xml:space="preserve">cost data. </w:t>
      </w:r>
    </w:p>
    <w:p w14:paraId="6AD41B13" w14:textId="0A122EED" w:rsidR="005B699B" w:rsidRPr="00F42CF0" w:rsidRDefault="005B699B" w:rsidP="00E62048">
      <w:pPr>
        <w:pStyle w:val="Heading2"/>
        <w:numPr>
          <w:ilvl w:val="1"/>
          <w:numId w:val="13"/>
        </w:numPr>
        <w:ind w:left="1134" w:hanging="1134"/>
      </w:pPr>
      <w:bookmarkStart w:id="1532" w:name="_Toc165961793"/>
      <w:bookmarkStart w:id="1533" w:name="_Toc178963577"/>
      <w:r w:rsidRPr="0000233B">
        <w:t xml:space="preserve">Localised </w:t>
      </w:r>
      <w:r w:rsidRPr="00361A32">
        <w:t>pricing</w:t>
      </w:r>
      <w:r>
        <w:t xml:space="preserve"> </w:t>
      </w:r>
      <w:r w:rsidRPr="00DD3464">
        <w:t>adjustments</w:t>
      </w:r>
      <w:bookmarkEnd w:id="1532"/>
      <w:bookmarkEnd w:id="1533"/>
    </w:p>
    <w:p w14:paraId="08EDC159" w14:textId="0A7CA28C" w:rsidR="00DD3464" w:rsidRDefault="005B699B" w:rsidP="005B699B">
      <w:pPr>
        <w:pStyle w:val="Body"/>
      </w:pPr>
      <w:r w:rsidRPr="00A52705">
        <w:t xml:space="preserve">The </w:t>
      </w:r>
      <w:r>
        <w:t>national funding model (</w:t>
      </w:r>
      <w:r w:rsidR="00DD3464">
        <w:t xml:space="preserve">refer to </w:t>
      </w:r>
      <w:r>
        <w:t xml:space="preserve">section </w:t>
      </w:r>
      <w:r>
        <w:fldChar w:fldCharType="begin"/>
      </w:r>
      <w:r>
        <w:instrText xml:space="preserve"> REF _Ref165634980 \r \h </w:instrText>
      </w:r>
      <w:r>
        <w:fldChar w:fldCharType="separate"/>
      </w:r>
      <w:r w:rsidR="00543255">
        <w:t>11.1</w:t>
      </w:r>
      <w:r>
        <w:fldChar w:fldCharType="end"/>
      </w:r>
      <w:r>
        <w:t>)</w:t>
      </w:r>
      <w:r w:rsidRPr="00A52705">
        <w:t xml:space="preserve"> is premised on the efficient cost of a service nationally, based on a pre-determined service classification system. </w:t>
      </w:r>
    </w:p>
    <w:p w14:paraId="661FA7CE" w14:textId="525AF708" w:rsidR="005B699B" w:rsidRPr="00A52705" w:rsidRDefault="005B699B" w:rsidP="005B699B">
      <w:pPr>
        <w:pStyle w:val="Body"/>
      </w:pPr>
      <w:r w:rsidRPr="00A52705">
        <w:lastRenderedPageBreak/>
        <w:t>There are many reasons why a health service may have costs above or below this average</w:t>
      </w:r>
      <w:r>
        <w:t>.</w:t>
      </w:r>
      <w:r w:rsidRPr="00A52705">
        <w:t xml:space="preserve"> </w:t>
      </w:r>
      <w:r>
        <w:t>I</w:t>
      </w:r>
      <w:r w:rsidRPr="00A52705">
        <w:t xml:space="preserve">t is </w:t>
      </w:r>
      <w:r>
        <w:t>expected</w:t>
      </w:r>
      <w:r w:rsidRPr="00A52705">
        <w:t xml:space="preserve"> that </w:t>
      </w:r>
      <w:r>
        <w:t>health services</w:t>
      </w:r>
      <w:r w:rsidRPr="00A52705">
        <w:t xml:space="preserve"> can manage </w:t>
      </w:r>
      <w:r>
        <w:t>this variation</w:t>
      </w:r>
      <w:r w:rsidRPr="00A52705">
        <w:t xml:space="preserve"> across their entire service mix. Where this is not the case due to specific local circumstances, Victoria may seek to </w:t>
      </w:r>
      <w:r w:rsidR="0047254D">
        <w:t>complement</w:t>
      </w:r>
      <w:r w:rsidR="0047254D" w:rsidRPr="00A52705">
        <w:t xml:space="preserve"> </w:t>
      </w:r>
      <w:r>
        <w:t xml:space="preserve">activity-based funding </w:t>
      </w:r>
      <w:r w:rsidRPr="00A52705">
        <w:t xml:space="preserve">with localised </w:t>
      </w:r>
      <w:r>
        <w:t>price</w:t>
      </w:r>
      <w:r w:rsidRPr="00A52705">
        <w:t xml:space="preserve"> adjustments in the following categories:</w:t>
      </w:r>
    </w:p>
    <w:p w14:paraId="67756612" w14:textId="77777777" w:rsidR="005B699B" w:rsidRPr="00A52705" w:rsidRDefault="005B699B" w:rsidP="00CE12D2">
      <w:pPr>
        <w:pStyle w:val="Bullet1"/>
        <w:numPr>
          <w:ilvl w:val="0"/>
          <w:numId w:val="23"/>
        </w:numPr>
      </w:pPr>
      <w:r>
        <w:t>c</w:t>
      </w:r>
      <w:r w:rsidRPr="00A52705">
        <w:t>ommissioning of new services</w:t>
      </w:r>
    </w:p>
    <w:p w14:paraId="1DD9B162" w14:textId="77777777" w:rsidR="005B699B" w:rsidRPr="00A52705" w:rsidRDefault="005B699B" w:rsidP="00CE12D2">
      <w:pPr>
        <w:pStyle w:val="Bullet1"/>
        <w:numPr>
          <w:ilvl w:val="0"/>
          <w:numId w:val="23"/>
        </w:numPr>
      </w:pPr>
      <w:r w:rsidRPr="00A52705">
        <w:t>classification</w:t>
      </w:r>
    </w:p>
    <w:p w14:paraId="4376C535" w14:textId="77777777" w:rsidR="005B699B" w:rsidRPr="00A52705" w:rsidRDefault="005B699B" w:rsidP="00CE12D2">
      <w:pPr>
        <w:pStyle w:val="Bullet1"/>
        <w:numPr>
          <w:ilvl w:val="0"/>
          <w:numId w:val="23"/>
        </w:numPr>
      </w:pPr>
      <w:r w:rsidRPr="00A52705">
        <w:t>statewide services</w:t>
      </w:r>
    </w:p>
    <w:p w14:paraId="3E785C78" w14:textId="77777777" w:rsidR="005B699B" w:rsidRPr="00A52705" w:rsidRDefault="005B699B" w:rsidP="00CE12D2">
      <w:pPr>
        <w:pStyle w:val="Bullet1"/>
        <w:numPr>
          <w:ilvl w:val="0"/>
          <w:numId w:val="23"/>
        </w:numPr>
      </w:pPr>
      <w:r w:rsidRPr="00A52705">
        <w:t>entity</w:t>
      </w:r>
      <w:r>
        <w:t>.</w:t>
      </w:r>
    </w:p>
    <w:p w14:paraId="2A8035BF" w14:textId="77777777" w:rsidR="005B699B" w:rsidRPr="00A52705" w:rsidRDefault="005B699B" w:rsidP="006C44D1">
      <w:pPr>
        <w:pStyle w:val="Bodyafterbullets"/>
      </w:pPr>
      <w:r w:rsidRPr="00A52705">
        <w:t xml:space="preserve">The following </w:t>
      </w:r>
      <w:r>
        <w:t xml:space="preserve">price </w:t>
      </w:r>
      <w:r w:rsidRPr="00A52705">
        <w:t xml:space="preserve">adjustments are </w:t>
      </w:r>
      <w:r w:rsidRPr="00354BBB">
        <w:t>mutually</w:t>
      </w:r>
      <w:r w:rsidRPr="00A52705">
        <w:t xml:space="preserve"> exclusive: </w:t>
      </w:r>
    </w:p>
    <w:p w14:paraId="139AA52D" w14:textId="77777777" w:rsidR="005B699B" w:rsidRPr="00A52705" w:rsidRDefault="005B699B" w:rsidP="00CE12D2">
      <w:pPr>
        <w:pStyle w:val="Bullet1"/>
        <w:numPr>
          <w:ilvl w:val="0"/>
          <w:numId w:val="24"/>
        </w:numPr>
      </w:pPr>
      <w:r w:rsidRPr="00A52705">
        <w:t>commissioning of new services</w:t>
      </w:r>
    </w:p>
    <w:p w14:paraId="2EBF5916" w14:textId="77777777" w:rsidR="005B699B" w:rsidRPr="00A52705" w:rsidRDefault="005B699B" w:rsidP="00CE12D2">
      <w:pPr>
        <w:pStyle w:val="Bullet1"/>
        <w:numPr>
          <w:ilvl w:val="0"/>
          <w:numId w:val="24"/>
        </w:numPr>
      </w:pPr>
      <w:r w:rsidRPr="00A52705">
        <w:t>classification.</w:t>
      </w:r>
    </w:p>
    <w:p w14:paraId="7DC95B22" w14:textId="740AE56B" w:rsidR="005B699B" w:rsidRPr="00A52705" w:rsidRDefault="005B699B" w:rsidP="00E4052B">
      <w:pPr>
        <w:pStyle w:val="Bodyafterbullets"/>
      </w:pPr>
      <w:r>
        <w:t>Price a</w:t>
      </w:r>
      <w:r w:rsidRPr="00A52705">
        <w:t xml:space="preserve">djustments </w:t>
      </w:r>
      <w:r w:rsidRPr="00354BBB">
        <w:t>for</w:t>
      </w:r>
      <w:r w:rsidRPr="00A52705">
        <w:t xml:space="preserve"> entities </w:t>
      </w:r>
      <w:r w:rsidR="0047254D">
        <w:t>are</w:t>
      </w:r>
      <w:r w:rsidR="0047254D" w:rsidRPr="00A52705">
        <w:t xml:space="preserve"> </w:t>
      </w:r>
      <w:r w:rsidRPr="00A52705">
        <w:t>not exclusive of other types</w:t>
      </w:r>
      <w:r w:rsidR="0047254D">
        <w:t>. They</w:t>
      </w:r>
      <w:r w:rsidRPr="00A52705">
        <w:t xml:space="preserve"> may capture other types of adjustments on a case-by-case basis. </w:t>
      </w:r>
    </w:p>
    <w:p w14:paraId="30BA25C2" w14:textId="77777777" w:rsidR="005B699B" w:rsidRPr="00A52705" w:rsidRDefault="005B699B" w:rsidP="005B699B">
      <w:pPr>
        <w:pStyle w:val="Body"/>
      </w:pPr>
      <w:r w:rsidRPr="00A52705">
        <w:t xml:space="preserve">Localised </w:t>
      </w:r>
      <w:r>
        <w:t xml:space="preserve">pricing </w:t>
      </w:r>
      <w:r w:rsidRPr="00A52705">
        <w:t>adjustments can take the following forms:</w:t>
      </w:r>
    </w:p>
    <w:p w14:paraId="7047476F" w14:textId="77777777" w:rsidR="005B699B" w:rsidRPr="00A52705" w:rsidRDefault="005B699B" w:rsidP="00CE12D2">
      <w:pPr>
        <w:pStyle w:val="Bullet1"/>
        <w:numPr>
          <w:ilvl w:val="0"/>
          <w:numId w:val="25"/>
        </w:numPr>
      </w:pPr>
      <w:r>
        <w:t>l</w:t>
      </w:r>
      <w:r w:rsidRPr="00A52705">
        <w:t>oadings, where a fixed dollar amount or percentage of the VEP is applied per unit of activity</w:t>
      </w:r>
    </w:p>
    <w:p w14:paraId="798C63DC" w14:textId="77777777" w:rsidR="005B699B" w:rsidRPr="00A52705" w:rsidRDefault="005B699B" w:rsidP="00CE12D2">
      <w:pPr>
        <w:pStyle w:val="Bullet1"/>
        <w:numPr>
          <w:ilvl w:val="0"/>
          <w:numId w:val="25"/>
        </w:numPr>
      </w:pPr>
      <w:r>
        <w:t>f</w:t>
      </w:r>
      <w:r w:rsidRPr="00A52705">
        <w:t>ixed funding, where a dollar amount is determined regardless of the volume of activity delivered.</w:t>
      </w:r>
    </w:p>
    <w:p w14:paraId="19DFD667" w14:textId="77777777" w:rsidR="005B699B" w:rsidRPr="00A52705" w:rsidRDefault="005B699B" w:rsidP="00E4052B">
      <w:pPr>
        <w:pStyle w:val="Bodyafterbullets"/>
      </w:pPr>
      <w:r>
        <w:t>Price a</w:t>
      </w:r>
      <w:r w:rsidRPr="00A52705">
        <w:t xml:space="preserve">djustments will be </w:t>
      </w:r>
      <w:r>
        <w:t xml:space="preserve">determined </w:t>
      </w:r>
      <w:r w:rsidRPr="00A52705">
        <w:t xml:space="preserve">on a needs basis as assessed by the department. </w:t>
      </w:r>
    </w:p>
    <w:p w14:paraId="33447C24" w14:textId="01F8A762" w:rsidR="00A874CA" w:rsidRDefault="00A874CA" w:rsidP="005B699B">
      <w:pPr>
        <w:pStyle w:val="Body"/>
      </w:pPr>
      <w:r>
        <w:t xml:space="preserve">Transitional grants will be </w:t>
      </w:r>
      <w:r w:rsidR="00F73C72">
        <w:t>implemented</w:t>
      </w:r>
      <w:r>
        <w:t xml:space="preserve"> in 2024</w:t>
      </w:r>
      <w:r w:rsidR="00F908E9">
        <w:t>–</w:t>
      </w:r>
      <w:r>
        <w:t>25</w:t>
      </w:r>
      <w:r w:rsidR="00292D95">
        <w:t>, taking</w:t>
      </w:r>
      <w:r>
        <w:t xml:space="preserve"> into </w:t>
      </w:r>
      <w:r w:rsidR="004F2ECA">
        <w:t>consideration</w:t>
      </w:r>
      <w:r>
        <w:t xml:space="preserve"> </w:t>
      </w:r>
      <w:r w:rsidR="004517F3">
        <w:t xml:space="preserve">health services’ </w:t>
      </w:r>
      <w:r>
        <w:t>fin</w:t>
      </w:r>
      <w:r w:rsidR="00580BD3">
        <w:t>ancial and service delivery needs.</w:t>
      </w:r>
      <w:r w:rsidR="00A76BAC">
        <w:t xml:space="preserve"> Transition grants have been determined with consideration to a health service’s entire budget and expenditure profile.</w:t>
      </w:r>
    </w:p>
    <w:p w14:paraId="606685CF" w14:textId="190E06EC" w:rsidR="00E62048" w:rsidRPr="007E29B0" w:rsidRDefault="005B699B" w:rsidP="007E29B0">
      <w:pPr>
        <w:pStyle w:val="Body"/>
      </w:pPr>
      <w:r w:rsidRPr="00A52705">
        <w:t xml:space="preserve">Where appropriate, health services </w:t>
      </w:r>
      <w:r>
        <w:t>are</w:t>
      </w:r>
      <w:r w:rsidRPr="00A52705">
        <w:t xml:space="preserve"> expected to align their costs with the determined efficient price. </w:t>
      </w:r>
      <w:r w:rsidR="0047254D">
        <w:t>If</w:t>
      </w:r>
      <w:r w:rsidR="0047254D" w:rsidRPr="00A52705">
        <w:t xml:space="preserve"> </w:t>
      </w:r>
      <w:r w:rsidRPr="00A52705">
        <w:t xml:space="preserve">this is not possible, </w:t>
      </w:r>
      <w:r>
        <w:t xml:space="preserve">alternative service delivery </w:t>
      </w:r>
      <w:r w:rsidRPr="00A52705">
        <w:t>options</w:t>
      </w:r>
      <w:r>
        <w:t xml:space="preserve"> should be considered</w:t>
      </w:r>
      <w:r w:rsidR="0047254D">
        <w:t>,</w:t>
      </w:r>
      <w:r w:rsidRPr="002E3CB1">
        <w:t xml:space="preserve"> in keeping with service and capability planning frameworks. </w:t>
      </w:r>
      <w:r>
        <w:t>A</w:t>
      </w:r>
      <w:r w:rsidRPr="00A52705">
        <w:t>djustments will only be made where all other viable options have been explored and tested.</w:t>
      </w:r>
    </w:p>
    <w:p w14:paraId="5C504CF3" w14:textId="3329A9DE" w:rsidR="005B699B" w:rsidRPr="00C67272" w:rsidRDefault="005B699B" w:rsidP="003609AD">
      <w:pPr>
        <w:pStyle w:val="Heading3"/>
        <w:ind w:left="1134" w:hanging="1134"/>
      </w:pPr>
      <w:r w:rsidRPr="00E62048">
        <w:t>Adjustments</w:t>
      </w:r>
      <w:r w:rsidRPr="00755AE2">
        <w:t xml:space="preserve"> for commissioning </w:t>
      </w:r>
      <w:r w:rsidRPr="00361A32">
        <w:t>new</w:t>
      </w:r>
      <w:r w:rsidRPr="00755AE2">
        <w:t xml:space="preserve"> services</w:t>
      </w:r>
    </w:p>
    <w:p w14:paraId="0FA4EE35" w14:textId="0EEBD577" w:rsidR="005B699B" w:rsidRPr="00A52705" w:rsidRDefault="0047254D" w:rsidP="005B699B">
      <w:pPr>
        <w:pStyle w:val="Body"/>
      </w:pPr>
      <w:r>
        <w:t>Co</w:t>
      </w:r>
      <w:r w:rsidR="005B699B">
        <w:t>mmissioning</w:t>
      </w:r>
      <w:r w:rsidR="005B699B" w:rsidRPr="00A52705">
        <w:t xml:space="preserve"> new services typically involves the gradual introduction of additional capacity. </w:t>
      </w:r>
    </w:p>
    <w:p w14:paraId="45531842" w14:textId="3984ED49" w:rsidR="005B699B" w:rsidRPr="008345C0" w:rsidRDefault="005B699B" w:rsidP="005B699B">
      <w:pPr>
        <w:pStyle w:val="Body"/>
      </w:pPr>
      <w:r w:rsidRPr="00A52705">
        <w:t xml:space="preserve">During phased opening of additional capacity, health services may be unable to generate adequate </w:t>
      </w:r>
      <w:r>
        <w:t>activity-based funded</w:t>
      </w:r>
      <w:r w:rsidRPr="00A52705">
        <w:t xml:space="preserve"> activity to cover the </w:t>
      </w:r>
      <w:r w:rsidRPr="008345C0">
        <w:t>fixed costs associated with operating the new service</w:t>
      </w:r>
      <w:r w:rsidR="0047254D">
        <w:t>.</w:t>
      </w:r>
      <w:r w:rsidRPr="008345C0">
        <w:t xml:space="preserve"> </w:t>
      </w:r>
      <w:r w:rsidR="0047254D">
        <w:t>They</w:t>
      </w:r>
      <w:r w:rsidR="0047254D" w:rsidRPr="008345C0">
        <w:t xml:space="preserve"> </w:t>
      </w:r>
      <w:r w:rsidRPr="008345C0">
        <w:t xml:space="preserve">may also be unable to generate own-source revenue. </w:t>
      </w:r>
    </w:p>
    <w:p w14:paraId="1FD66DE0" w14:textId="320E141C" w:rsidR="005B699B" w:rsidRPr="00A52705" w:rsidRDefault="005B699B" w:rsidP="005B699B">
      <w:pPr>
        <w:pStyle w:val="Body"/>
      </w:pPr>
      <w:r w:rsidRPr="008345C0">
        <w:t>Additionally, health services may incur short-term fixed costs that</w:t>
      </w:r>
      <w:r w:rsidRPr="00A52705">
        <w:t xml:space="preserve"> the </w:t>
      </w:r>
      <w:r>
        <w:t>activity-based funding</w:t>
      </w:r>
      <w:r w:rsidRPr="00A52705">
        <w:t xml:space="preserve"> model is not designed to cover</w:t>
      </w:r>
      <w:r w:rsidR="0047254D">
        <w:t>.</w:t>
      </w:r>
      <w:r w:rsidRPr="00A52705">
        <w:t xml:space="preserve"> </w:t>
      </w:r>
      <w:r w:rsidR="0047254D">
        <w:t>This includes, for example,</w:t>
      </w:r>
      <w:r w:rsidRPr="00A52705">
        <w:t xml:space="preserve"> substantial recruitment expenses and initial procurement of start-up consumables. </w:t>
      </w:r>
    </w:p>
    <w:p w14:paraId="0041F24F" w14:textId="2DD1C2DE" w:rsidR="005B699B" w:rsidRDefault="005B699B" w:rsidP="005B699B">
      <w:pPr>
        <w:pStyle w:val="Body"/>
      </w:pPr>
      <w:r w:rsidRPr="00A52705">
        <w:t xml:space="preserve">The department may allocate additional funding to facilitate the </w:t>
      </w:r>
      <w:r>
        <w:t>commissioning</w:t>
      </w:r>
      <w:r w:rsidRPr="00A52705">
        <w:t xml:space="preserve"> of new services where the price is not sufficient to fund additional </w:t>
      </w:r>
      <w:r w:rsidR="0047254D">
        <w:t xml:space="preserve">start-up </w:t>
      </w:r>
      <w:r w:rsidRPr="00A52705">
        <w:t>costs.</w:t>
      </w:r>
    </w:p>
    <w:p w14:paraId="7CF9828F" w14:textId="77777777" w:rsidR="005B699B" w:rsidRPr="0047254D" w:rsidRDefault="005B699B" w:rsidP="005538D2">
      <w:pPr>
        <w:pStyle w:val="Heading4"/>
      </w:pPr>
      <w:r w:rsidRPr="00B61A38">
        <w:t xml:space="preserve">Assessment </w:t>
      </w:r>
      <w:r>
        <w:t>c</w:t>
      </w:r>
      <w:r w:rsidRPr="00B61A38">
        <w:t>riteria</w:t>
      </w:r>
    </w:p>
    <w:p w14:paraId="0B129B32" w14:textId="63342024" w:rsidR="005B699B" w:rsidRPr="00A52705" w:rsidRDefault="0047254D" w:rsidP="00EA18DD">
      <w:pPr>
        <w:pStyle w:val="Bullet1"/>
      </w:pPr>
      <w:r>
        <w:t>Eligible s</w:t>
      </w:r>
      <w:r w:rsidRPr="00A52705">
        <w:t xml:space="preserve">ervices </w:t>
      </w:r>
      <w:r>
        <w:t xml:space="preserve">are those </w:t>
      </w:r>
      <w:r w:rsidR="005B699B" w:rsidRPr="00A52705">
        <w:t>that have been established with new funding as a result of a decision of government</w:t>
      </w:r>
      <w:r>
        <w:t>,</w:t>
      </w:r>
      <w:r w:rsidR="005B699B" w:rsidRPr="00A52705">
        <w:t xml:space="preserve"> and where the department has determined that a</w:t>
      </w:r>
      <w:r w:rsidR="005B699B">
        <w:t>n</w:t>
      </w:r>
      <w:r w:rsidR="005B699B" w:rsidRPr="00A52705">
        <w:t xml:space="preserve"> adjustment is required. </w:t>
      </w:r>
    </w:p>
    <w:p w14:paraId="63D87699" w14:textId="2425E776" w:rsidR="005B699B" w:rsidRPr="00A52705" w:rsidRDefault="005B699B" w:rsidP="00EA18DD">
      <w:pPr>
        <w:pStyle w:val="Bullet1"/>
      </w:pPr>
      <w:r w:rsidRPr="00FD7E2A">
        <w:lastRenderedPageBreak/>
        <w:t xml:space="preserve">Adjustments will not be provided for minor expansions to existing services (such as new beds in an operational ward), </w:t>
      </w:r>
      <w:r w:rsidR="0047254D">
        <w:t>n</w:t>
      </w:r>
      <w:r w:rsidRPr="00FD7E2A">
        <w:t>or for new services established with existing funding unless otherwise determined by the department.</w:t>
      </w:r>
    </w:p>
    <w:p w14:paraId="024AB695" w14:textId="77777777" w:rsidR="005B699B" w:rsidRPr="00755AE2" w:rsidRDefault="005B699B" w:rsidP="00140430">
      <w:pPr>
        <w:pStyle w:val="Heading3"/>
        <w:ind w:left="1134" w:hanging="1134"/>
      </w:pPr>
      <w:r w:rsidRPr="00755AE2">
        <w:t>Adjustments for classification</w:t>
      </w:r>
    </w:p>
    <w:p w14:paraId="074B344B" w14:textId="108EFE86" w:rsidR="005B699B" w:rsidRPr="00A52705" w:rsidRDefault="005B699B" w:rsidP="005B699B">
      <w:pPr>
        <w:pStyle w:val="Body"/>
      </w:pPr>
      <w:r w:rsidRPr="00A52705">
        <w:t xml:space="preserve">In certain scenarios, the national price weight for a classification may not reflect the actual or efficient cost of delivering those services in Victoria. In order to assist Victorian health services </w:t>
      </w:r>
      <w:r w:rsidR="0047254D">
        <w:t xml:space="preserve">to </w:t>
      </w:r>
      <w:r w:rsidR="00447E1C">
        <w:t xml:space="preserve">provide </w:t>
      </w:r>
      <w:r w:rsidR="00447E1C" w:rsidRPr="00A52705">
        <w:t>equitable</w:t>
      </w:r>
      <w:r w:rsidRPr="00A52705">
        <w:t xml:space="preserve"> services, the department may allocate funds for the delivery of services that would otherwise not be sustainable.</w:t>
      </w:r>
    </w:p>
    <w:p w14:paraId="6B21E3A2" w14:textId="77777777" w:rsidR="005B699B" w:rsidRPr="00312F5F" w:rsidRDefault="005B699B" w:rsidP="0093188D">
      <w:pPr>
        <w:pStyle w:val="Heading4"/>
      </w:pPr>
      <w:r w:rsidRPr="0047254D">
        <w:t>Assessment</w:t>
      </w:r>
      <w:r w:rsidRPr="00312F5F">
        <w:t xml:space="preserve"> </w:t>
      </w:r>
      <w:r w:rsidRPr="00354BBB">
        <w:t>criteria</w:t>
      </w:r>
    </w:p>
    <w:p w14:paraId="0E26AC24" w14:textId="77777777" w:rsidR="005B699B" w:rsidRPr="00A52705" w:rsidRDefault="005B699B" w:rsidP="005B699B">
      <w:pPr>
        <w:pStyle w:val="Body"/>
      </w:pPr>
      <w:r w:rsidRPr="00A52705">
        <w:t>If, at the state level, Victoria is not able to achieve a sufficient cost recovery threshold for a specific classification using the national price weight, the classification becomes eligible for consideration for a</w:t>
      </w:r>
      <w:r>
        <w:t xml:space="preserve"> price</w:t>
      </w:r>
      <w:r w:rsidRPr="00A52705">
        <w:t xml:space="preserve"> adjustment. Adjustments for classifications will </w:t>
      </w:r>
      <w:r>
        <w:t>be</w:t>
      </w:r>
      <w:r w:rsidRPr="00A52705">
        <w:t xml:space="preserve"> assess</w:t>
      </w:r>
      <w:r>
        <w:t>ed</w:t>
      </w:r>
      <w:r w:rsidRPr="00A52705">
        <w:t xml:space="preserve"> based on the following criteria:</w:t>
      </w:r>
    </w:p>
    <w:p w14:paraId="7CA693A7" w14:textId="14861E1F" w:rsidR="005B699B" w:rsidRPr="00A52705" w:rsidRDefault="005B699B" w:rsidP="00CE12D2">
      <w:pPr>
        <w:pStyle w:val="Bullet1"/>
        <w:numPr>
          <w:ilvl w:val="0"/>
          <w:numId w:val="26"/>
        </w:numPr>
      </w:pPr>
      <w:r>
        <w:t>c</w:t>
      </w:r>
      <w:r w:rsidRPr="00A52705">
        <w:t xml:space="preserve">lassifications already receiving </w:t>
      </w:r>
      <w:r>
        <w:t xml:space="preserve">an </w:t>
      </w:r>
      <w:r w:rsidRPr="00A52705">
        <w:t>adjustment for classification funding</w:t>
      </w:r>
    </w:p>
    <w:p w14:paraId="1D7B5ED0" w14:textId="3B3A0AB5" w:rsidR="005B699B" w:rsidRPr="00A52705" w:rsidRDefault="005B699B" w:rsidP="00CE12D2">
      <w:pPr>
        <w:pStyle w:val="Bullet1"/>
        <w:numPr>
          <w:ilvl w:val="0"/>
          <w:numId w:val="26"/>
        </w:numPr>
      </w:pPr>
      <w:r>
        <w:t>c</w:t>
      </w:r>
      <w:r w:rsidRPr="00A52705">
        <w:t xml:space="preserve">lassifications where the national price weight has </w:t>
      </w:r>
      <w:r w:rsidRPr="00037B0E">
        <w:t>decreased</w:t>
      </w:r>
      <w:r>
        <w:t xml:space="preserve"> by more than</w:t>
      </w:r>
      <w:r w:rsidRPr="00A52705">
        <w:t xml:space="preserve"> 20</w:t>
      </w:r>
      <w:r>
        <w:t xml:space="preserve">% between two consecutive </w:t>
      </w:r>
      <w:r w:rsidDel="0047254D">
        <w:t>National Efficient Price</w:t>
      </w:r>
      <w:r w:rsidR="004D2BFD">
        <w:t xml:space="preserve"> (</w:t>
      </w:r>
      <w:r w:rsidR="0047254D">
        <w:t>NEP</w:t>
      </w:r>
      <w:r w:rsidR="004D2BFD">
        <w:t>)</w:t>
      </w:r>
      <w:r>
        <w:t xml:space="preserve"> </w:t>
      </w:r>
      <w:r w:rsidR="00F32A5C">
        <w:t>D</w:t>
      </w:r>
      <w:r>
        <w:t>eterminations</w:t>
      </w:r>
    </w:p>
    <w:p w14:paraId="20F10FAE" w14:textId="77777777" w:rsidR="005B699B" w:rsidRPr="00A52705" w:rsidRDefault="005B699B" w:rsidP="00CE12D2">
      <w:pPr>
        <w:pStyle w:val="Bullet1"/>
        <w:numPr>
          <w:ilvl w:val="0"/>
          <w:numId w:val="26"/>
        </w:numPr>
      </w:pPr>
      <w:r>
        <w:t>u</w:t>
      </w:r>
      <w:r w:rsidRPr="00A52705">
        <w:t>pdates to the national pricing framework impacting classification, such as changes to the classification system</w:t>
      </w:r>
    </w:p>
    <w:p w14:paraId="5AF34FF0" w14:textId="77777777" w:rsidR="005B699B" w:rsidRPr="00A52705" w:rsidRDefault="005B699B" w:rsidP="00CE12D2">
      <w:pPr>
        <w:pStyle w:val="Bullet1"/>
        <w:numPr>
          <w:ilvl w:val="0"/>
          <w:numId w:val="26"/>
        </w:numPr>
      </w:pPr>
      <w:r>
        <w:t>o</w:t>
      </w:r>
      <w:r w:rsidRPr="00A52705">
        <w:t>ther classifications as determined by the department.</w:t>
      </w:r>
    </w:p>
    <w:p w14:paraId="434EA033" w14:textId="77777777" w:rsidR="005B699B" w:rsidRPr="00755AE2" w:rsidRDefault="005B699B" w:rsidP="00B41A21">
      <w:pPr>
        <w:pStyle w:val="Heading3"/>
        <w:ind w:left="1134" w:hanging="1134"/>
      </w:pPr>
      <w:r w:rsidRPr="00755AE2">
        <w:t xml:space="preserve">Adjustments for statewide </w:t>
      </w:r>
      <w:r w:rsidRPr="00361A32">
        <w:t>services</w:t>
      </w:r>
    </w:p>
    <w:p w14:paraId="3A64A197" w14:textId="4A2CAF57" w:rsidR="005B699B" w:rsidRPr="00A52705" w:rsidRDefault="005B699B" w:rsidP="005B699B">
      <w:pPr>
        <w:pStyle w:val="Body"/>
      </w:pPr>
      <w:r>
        <w:t>Statewide services require a highly skilled or specialised workforce</w:t>
      </w:r>
      <w:r w:rsidR="0047254D">
        <w:t>.</w:t>
      </w:r>
      <w:r>
        <w:t xml:space="preserve"> </w:t>
      </w:r>
      <w:r w:rsidR="0047254D">
        <w:t xml:space="preserve">These services </w:t>
      </w:r>
      <w:r>
        <w:t>are provided at a limited, if not single, number of sites to support a sufficient volume of activity to ensure quality and safety. Purchase of statewide services is informed by analysis of Victorian demand for the specified services, including future service requirements and the annual departmental budget.</w:t>
      </w:r>
    </w:p>
    <w:p w14:paraId="4197E842" w14:textId="77777777" w:rsidR="005B699B" w:rsidRPr="00312F5F" w:rsidRDefault="005B699B" w:rsidP="00DD3D58">
      <w:pPr>
        <w:pStyle w:val="Heading4"/>
      </w:pPr>
      <w:r w:rsidRPr="00312F5F">
        <w:t xml:space="preserve">Assessment </w:t>
      </w:r>
      <w:r w:rsidRPr="0047254D">
        <w:t>criteria</w:t>
      </w:r>
    </w:p>
    <w:p w14:paraId="7BB613F9" w14:textId="77777777" w:rsidR="005B699B" w:rsidRPr="00A52705" w:rsidRDefault="005B699B" w:rsidP="005B699B">
      <w:pPr>
        <w:pStyle w:val="Body"/>
      </w:pPr>
      <w:r w:rsidRPr="00A52705">
        <w:t>The department will determine the list of designated statewide services. These services have some combination of the following characteristics:</w:t>
      </w:r>
    </w:p>
    <w:p w14:paraId="13293C28" w14:textId="3BA9CD46" w:rsidR="005B699B" w:rsidRPr="00A52705" w:rsidRDefault="005B699B" w:rsidP="00CE12D2">
      <w:pPr>
        <w:pStyle w:val="Bullet1"/>
        <w:numPr>
          <w:ilvl w:val="0"/>
          <w:numId w:val="27"/>
        </w:numPr>
      </w:pPr>
      <w:r w:rsidRPr="00A52705">
        <w:t>high</w:t>
      </w:r>
      <w:r w:rsidR="0047254D">
        <w:t xml:space="preserve"> </w:t>
      </w:r>
      <w:r w:rsidRPr="00A52705">
        <w:t xml:space="preserve">cost </w:t>
      </w:r>
      <w:r w:rsidR="0047254D">
        <w:t>and</w:t>
      </w:r>
      <w:r w:rsidR="0047254D" w:rsidRPr="00A52705">
        <w:t xml:space="preserve"> </w:t>
      </w:r>
      <w:r w:rsidRPr="00A52705">
        <w:t>low volume</w:t>
      </w:r>
    </w:p>
    <w:p w14:paraId="2FF59862" w14:textId="77777777" w:rsidR="005B699B" w:rsidRPr="00A52705" w:rsidRDefault="005B699B" w:rsidP="00CE12D2">
      <w:pPr>
        <w:pStyle w:val="Bullet1"/>
        <w:numPr>
          <w:ilvl w:val="0"/>
          <w:numId w:val="27"/>
        </w:numPr>
      </w:pPr>
      <w:r w:rsidRPr="00A52705">
        <w:t>highly specialised</w:t>
      </w:r>
    </w:p>
    <w:p w14:paraId="7BE3B6DF" w14:textId="77777777" w:rsidR="005B699B" w:rsidRPr="00A52705" w:rsidRDefault="005B699B" w:rsidP="00CE12D2">
      <w:pPr>
        <w:pStyle w:val="Bullet1"/>
        <w:numPr>
          <w:ilvl w:val="0"/>
          <w:numId w:val="27"/>
        </w:numPr>
      </w:pPr>
      <w:r w:rsidRPr="00A52705">
        <w:t>dependent on specialised equipment</w:t>
      </w:r>
    </w:p>
    <w:p w14:paraId="69EB8FF5" w14:textId="77777777" w:rsidR="005B699B" w:rsidRPr="00A52705" w:rsidRDefault="005B699B" w:rsidP="00CE12D2">
      <w:pPr>
        <w:pStyle w:val="Bullet1"/>
        <w:numPr>
          <w:ilvl w:val="0"/>
          <w:numId w:val="27"/>
        </w:numPr>
      </w:pPr>
      <w:r w:rsidRPr="0013154B">
        <w:t>significant proportion of clients are outside of the health service’s ‘catchment’</w:t>
      </w:r>
      <w:r w:rsidRPr="00A52705">
        <w:t>.</w:t>
      </w:r>
    </w:p>
    <w:p w14:paraId="0CFE8917" w14:textId="77777777" w:rsidR="005B699B" w:rsidRPr="00294321" w:rsidRDefault="005B699B" w:rsidP="00722DA5">
      <w:pPr>
        <w:pStyle w:val="Heading3"/>
        <w:ind w:left="1134" w:hanging="1134"/>
      </w:pPr>
      <w:r w:rsidRPr="00294321">
        <w:t>Adjustments for entities</w:t>
      </w:r>
    </w:p>
    <w:p w14:paraId="1BDDFE17" w14:textId="0A7B6B41" w:rsidR="005B699B" w:rsidRPr="00A52705" w:rsidRDefault="005B699B" w:rsidP="005B699B">
      <w:pPr>
        <w:pStyle w:val="Body"/>
      </w:pPr>
      <w:r w:rsidRPr="00A52705">
        <w:t>Where the entity type (as a result of size</w:t>
      </w:r>
      <w:r>
        <w:t>, location and service mix</w:t>
      </w:r>
      <w:r w:rsidRPr="00A52705">
        <w:t xml:space="preserve">) is the driving factor of variance in cost profile when compared </w:t>
      </w:r>
      <w:r w:rsidR="00AF18F3">
        <w:t>with</w:t>
      </w:r>
      <w:r w:rsidR="00AF18F3" w:rsidRPr="00A52705">
        <w:t xml:space="preserve"> </w:t>
      </w:r>
      <w:r w:rsidRPr="00A52705">
        <w:t>national profiles, Victoria will provide additional funding to support a cost-recovery rate aligned with the agreed rate used to set the VEP.</w:t>
      </w:r>
    </w:p>
    <w:p w14:paraId="2E697DD1" w14:textId="77777777" w:rsidR="005B699B" w:rsidRPr="00A52705" w:rsidRDefault="005B699B" w:rsidP="005B699B">
      <w:pPr>
        <w:pStyle w:val="Body"/>
      </w:pPr>
      <w:r w:rsidRPr="00A52705">
        <w:t>Examples of this may include</w:t>
      </w:r>
      <w:r>
        <w:t xml:space="preserve"> health services</w:t>
      </w:r>
      <w:r w:rsidRPr="00A52705">
        <w:t>:</w:t>
      </w:r>
    </w:p>
    <w:p w14:paraId="200C7D04" w14:textId="77777777" w:rsidR="005B699B" w:rsidRPr="00A52705" w:rsidRDefault="005B699B" w:rsidP="00CE12D2">
      <w:pPr>
        <w:pStyle w:val="Bullet1"/>
        <w:numPr>
          <w:ilvl w:val="0"/>
          <w:numId w:val="28"/>
        </w:numPr>
      </w:pPr>
      <w:r>
        <w:t>with</w:t>
      </w:r>
      <w:r w:rsidRPr="00A52705">
        <w:t xml:space="preserve"> a complex cost structure due to location and/or services provided</w:t>
      </w:r>
    </w:p>
    <w:p w14:paraId="1A24BDE0" w14:textId="3D34869A" w:rsidR="005B699B" w:rsidRPr="00A52705" w:rsidRDefault="00AF18F3" w:rsidP="00CE12D2">
      <w:pPr>
        <w:pStyle w:val="Bullet1"/>
        <w:numPr>
          <w:ilvl w:val="0"/>
          <w:numId w:val="28"/>
        </w:numPr>
      </w:pPr>
      <w:r>
        <w:t>affected</w:t>
      </w:r>
      <w:r w:rsidRPr="00A52705">
        <w:t xml:space="preserve"> </w:t>
      </w:r>
      <w:r w:rsidR="005B699B" w:rsidRPr="00A52705">
        <w:t>by an unprecedented event (for example natural disaster)</w:t>
      </w:r>
    </w:p>
    <w:p w14:paraId="0E94EF6D" w14:textId="669E8C5C" w:rsidR="005B699B" w:rsidRPr="00A52705" w:rsidRDefault="00AF18F3" w:rsidP="00CE12D2">
      <w:pPr>
        <w:pStyle w:val="Bullet1"/>
        <w:numPr>
          <w:ilvl w:val="0"/>
          <w:numId w:val="28"/>
        </w:numPr>
      </w:pPr>
      <w:r>
        <w:lastRenderedPageBreak/>
        <w:t>that cannot</w:t>
      </w:r>
      <w:r w:rsidR="005B699B" w:rsidRPr="00A52705">
        <w:t xml:space="preserve"> generate own source revenue at the same rate as other services due to factors outside </w:t>
      </w:r>
      <w:r w:rsidR="005B699B">
        <w:t>the health service’s</w:t>
      </w:r>
      <w:r w:rsidR="005B699B" w:rsidRPr="00A52705" w:rsidDel="000379CD">
        <w:t xml:space="preserve"> </w:t>
      </w:r>
      <w:r w:rsidR="005B699B" w:rsidRPr="00A52705">
        <w:t>control</w:t>
      </w:r>
    </w:p>
    <w:p w14:paraId="02B1F328" w14:textId="278C12CD" w:rsidR="005B699B" w:rsidRPr="00A52705" w:rsidRDefault="00AF18F3" w:rsidP="00CE12D2">
      <w:pPr>
        <w:pStyle w:val="Bullet1"/>
        <w:numPr>
          <w:ilvl w:val="0"/>
          <w:numId w:val="28"/>
        </w:numPr>
      </w:pPr>
      <w:r>
        <w:t>o</w:t>
      </w:r>
      <w:r w:rsidRPr="00A52705">
        <w:t xml:space="preserve">ther </w:t>
      </w:r>
      <w:r w:rsidR="005B699B" w:rsidRPr="00A52705">
        <w:t>operational requirements of the health service as needed.</w:t>
      </w:r>
    </w:p>
    <w:p w14:paraId="7FC9EEBD" w14:textId="452B9460" w:rsidR="005B699B" w:rsidRDefault="005B699B" w:rsidP="005B699B">
      <w:pPr>
        <w:pStyle w:val="Body"/>
        <w:spacing w:before="120"/>
      </w:pPr>
      <w:r w:rsidRPr="00A52705">
        <w:t xml:space="preserve">Where a health service </w:t>
      </w:r>
      <w:r w:rsidR="00AF18F3">
        <w:t>receives</w:t>
      </w:r>
      <w:r w:rsidRPr="00A52705">
        <w:t xml:space="preserve"> a </w:t>
      </w:r>
      <w:r w:rsidRPr="005C49F4">
        <w:rPr>
          <w:rFonts w:eastAsia="Times New Roman"/>
        </w:rPr>
        <w:t xml:space="preserve">pricing </w:t>
      </w:r>
      <w:r w:rsidRPr="00A52705">
        <w:t xml:space="preserve">adjustment for entity, the department will work closely with the service to improve their financial position, reconfigure their service mix and improve performance against funding metrics. </w:t>
      </w:r>
    </w:p>
    <w:p w14:paraId="00D8C51F" w14:textId="77777777" w:rsidR="005B699B" w:rsidRPr="00312F5F" w:rsidRDefault="005B699B" w:rsidP="00143913">
      <w:pPr>
        <w:pStyle w:val="Heading4"/>
      </w:pPr>
      <w:r w:rsidRPr="00AF18F3">
        <w:t>Assessment</w:t>
      </w:r>
      <w:r w:rsidRPr="00312F5F">
        <w:t xml:space="preserve"> </w:t>
      </w:r>
      <w:r>
        <w:t>c</w:t>
      </w:r>
      <w:r w:rsidRPr="00312F5F">
        <w:t>riteria</w:t>
      </w:r>
    </w:p>
    <w:p w14:paraId="170EF56E" w14:textId="59BC8E7E" w:rsidR="005B699B" w:rsidRPr="00A52705" w:rsidRDefault="00AF18F3" w:rsidP="00CE12D2">
      <w:pPr>
        <w:pStyle w:val="Bullet1"/>
        <w:numPr>
          <w:ilvl w:val="0"/>
          <w:numId w:val="15"/>
        </w:numPr>
      </w:pPr>
      <w:r>
        <w:t>O</w:t>
      </w:r>
      <w:r w:rsidRPr="00A52705">
        <w:t xml:space="preserve">verall </w:t>
      </w:r>
      <w:r w:rsidR="005B699B" w:rsidRPr="00A52705">
        <w:t>cost recovery for an entity is below 85</w:t>
      </w:r>
      <w:r w:rsidR="005B699B">
        <w:t>%</w:t>
      </w:r>
      <w:r>
        <w:t>,</w:t>
      </w:r>
      <w:r w:rsidR="005B699B" w:rsidRPr="00A52705">
        <w:t xml:space="preserve"> and costs are deemed to be reasonable based on the characteristics of the health service and patient population</w:t>
      </w:r>
      <w:r>
        <w:t>,</w:t>
      </w:r>
      <w:r w:rsidRPr="00A52705">
        <w:t xml:space="preserve"> </w:t>
      </w:r>
      <w:r w:rsidR="005B699B" w:rsidRPr="00A52705">
        <w:t>or</w:t>
      </w:r>
    </w:p>
    <w:p w14:paraId="33EA3529" w14:textId="61A74037" w:rsidR="005B699B" w:rsidRPr="00A52705" w:rsidRDefault="00AF18F3" w:rsidP="00CE12D2">
      <w:pPr>
        <w:pStyle w:val="Bullet1"/>
        <w:numPr>
          <w:ilvl w:val="0"/>
          <w:numId w:val="15"/>
        </w:numPr>
      </w:pPr>
      <w:r>
        <w:t>The h</w:t>
      </w:r>
      <w:r w:rsidRPr="00A52705">
        <w:t xml:space="preserve">ealth </w:t>
      </w:r>
      <w:r w:rsidR="005B699B" w:rsidRPr="00A52705">
        <w:t>service is restricted in its ability to generate own source revenue</w:t>
      </w:r>
      <w:r>
        <w:t>,</w:t>
      </w:r>
      <w:r w:rsidRPr="00A52705">
        <w:t xml:space="preserve"> </w:t>
      </w:r>
      <w:r w:rsidR="005B699B" w:rsidRPr="00A52705">
        <w:t xml:space="preserve">and </w:t>
      </w:r>
    </w:p>
    <w:p w14:paraId="3B062DB7" w14:textId="3CB98CC3" w:rsidR="005B699B" w:rsidRPr="00A52705" w:rsidRDefault="00ED3A18" w:rsidP="008108F2">
      <w:pPr>
        <w:pStyle w:val="Bullet1"/>
        <w:numPr>
          <w:ilvl w:val="0"/>
          <w:numId w:val="15"/>
        </w:numPr>
        <w:spacing w:after="120"/>
        <w:ind w:left="357" w:hanging="357"/>
      </w:pPr>
      <w:r>
        <w:t>T</w:t>
      </w:r>
      <w:r w:rsidR="005B699B" w:rsidRPr="00A52705">
        <w:t>hese factors pose a risk to health service viability</w:t>
      </w:r>
      <w:r w:rsidR="005B699B">
        <w:t>,</w:t>
      </w:r>
      <w:r w:rsidR="005B699B" w:rsidRPr="00A52705">
        <w:t xml:space="preserve"> as determined by department. </w:t>
      </w:r>
    </w:p>
    <w:p w14:paraId="6AE7E8D0" w14:textId="3E13DB91" w:rsidR="005B699B" w:rsidRDefault="005B699B" w:rsidP="005B699B">
      <w:pPr>
        <w:pStyle w:val="Body"/>
      </w:pPr>
      <w:r>
        <w:t xml:space="preserve">Where a health service does not meet one of the first two assessment criteria, but </w:t>
      </w:r>
      <w:r w:rsidR="00AF18F3">
        <w:t>its cost-</w:t>
      </w:r>
      <w:r>
        <w:t>recovery rate poses a risk to the health service’s financial sustainability, the department may determine it appropriate to apply an adjustment for entity.</w:t>
      </w:r>
    </w:p>
    <w:p w14:paraId="5DDB7184" w14:textId="77777777" w:rsidR="005B699B" w:rsidRDefault="005B699B" w:rsidP="001469FF">
      <w:pPr>
        <w:pStyle w:val="Heading3"/>
        <w:ind w:left="1134" w:hanging="1134"/>
      </w:pPr>
      <w:r>
        <w:t>Legacy grants</w:t>
      </w:r>
    </w:p>
    <w:p w14:paraId="469EBBD4" w14:textId="5AACDF16" w:rsidR="005B699B" w:rsidRDefault="005B699B" w:rsidP="005B699B">
      <w:pPr>
        <w:pStyle w:val="Body"/>
      </w:pPr>
      <w:r>
        <w:t xml:space="preserve">Some historical grants retained under the </w:t>
      </w:r>
      <w:r w:rsidR="00923A3C">
        <w:t>Victorian</w:t>
      </w:r>
      <w:r>
        <w:t xml:space="preserve"> </w:t>
      </w:r>
      <w:r w:rsidR="003A4C46">
        <w:t xml:space="preserve">ABF </w:t>
      </w:r>
      <w:r w:rsidR="00AF18F3">
        <w:t>pricing framework</w:t>
      </w:r>
      <w:r>
        <w:t xml:space="preserve"> have not been recalculated for the purposes of the health services 2024–25 budget allocations. These grants have been classified based on their type as outlined above</w:t>
      </w:r>
      <w:r w:rsidR="00AF18F3">
        <w:t xml:space="preserve">. They </w:t>
      </w:r>
      <w:r>
        <w:t xml:space="preserve">are listed in </w:t>
      </w:r>
      <w:r>
        <w:fldChar w:fldCharType="begin"/>
      </w:r>
      <w:r>
        <w:instrText xml:space="preserve"> REF _Ref165635076 \h </w:instrText>
      </w:r>
      <w:r>
        <w:fldChar w:fldCharType="separate"/>
      </w:r>
      <w:r w:rsidR="00E544C9">
        <w:t>Table</w:t>
      </w:r>
      <w:r w:rsidR="00F30C16">
        <w:t xml:space="preserve"> 2.</w:t>
      </w:r>
      <w:r w:rsidR="00F30C16">
        <w:rPr>
          <w:noProof/>
        </w:rPr>
        <w:t>22</w:t>
      </w:r>
      <w:r w:rsidR="00E544C9">
        <w:t>:</w:t>
      </w:r>
      <w:r w:rsidR="00543255">
        <w:t xml:space="preserve"> Victorian pricing adjustments </w:t>
      </w:r>
      <w:r w:rsidR="00543255" w:rsidRPr="00D31096">
        <w:t>202</w:t>
      </w:r>
      <w:r w:rsidR="00543255">
        <w:t>4–</w:t>
      </w:r>
      <w:r w:rsidR="00543255" w:rsidRPr="00D31096">
        <w:t>2</w:t>
      </w:r>
      <w:r w:rsidR="00543255">
        <w:t>5</w:t>
      </w:r>
      <w:r>
        <w:fldChar w:fldCharType="end"/>
      </w:r>
      <w:r>
        <w:t>.</w:t>
      </w:r>
    </w:p>
    <w:p w14:paraId="52989CEA" w14:textId="77777777" w:rsidR="005B699B" w:rsidRDefault="005B699B" w:rsidP="005B699B">
      <w:pPr>
        <w:pStyle w:val="Body"/>
        <w:rPr>
          <w:b/>
          <w:bCs/>
        </w:rPr>
      </w:pPr>
      <w:r>
        <w:t>These grants will be reviewed to inform future budget allocations, including aligning their calculation to ensure equitable funding allocation.</w:t>
      </w:r>
    </w:p>
    <w:p w14:paraId="43C8A23C" w14:textId="08E4A969" w:rsidR="005B699B" w:rsidRPr="00F26A1A" w:rsidRDefault="001E4292" w:rsidP="001E4292">
      <w:pPr>
        <w:pStyle w:val="Heading2"/>
        <w:numPr>
          <w:ilvl w:val="1"/>
          <w:numId w:val="13"/>
        </w:numPr>
      </w:pPr>
      <w:bookmarkStart w:id="1534" w:name="_Toc165961794"/>
      <w:r>
        <w:t xml:space="preserve">      </w:t>
      </w:r>
      <w:bookmarkStart w:id="1535" w:name="_Toc178963578"/>
      <w:r w:rsidR="005B699B" w:rsidRPr="00AF18F3">
        <w:t>Funding</w:t>
      </w:r>
      <w:r w:rsidR="005B699B" w:rsidRPr="008C1B3C">
        <w:t xml:space="preserve"> reforms 2024</w:t>
      </w:r>
      <w:r w:rsidR="005B699B">
        <w:t>–</w:t>
      </w:r>
      <w:r w:rsidR="005B699B" w:rsidRPr="008C1B3C">
        <w:t>25</w:t>
      </w:r>
      <w:bookmarkEnd w:id="1534"/>
      <w:bookmarkEnd w:id="1535"/>
    </w:p>
    <w:p w14:paraId="0209A865" w14:textId="144F624D" w:rsidR="005B699B" w:rsidRDefault="005B699B" w:rsidP="00751EC9">
      <w:pPr>
        <w:pStyle w:val="Body"/>
      </w:pPr>
      <w:r w:rsidRPr="00FF0D8A">
        <w:t>In 2024–25,</w:t>
      </w:r>
      <w:r>
        <w:t xml:space="preserve"> the department aligned </w:t>
      </w:r>
      <w:r w:rsidR="00192C8B">
        <w:t>admitted mental health</w:t>
      </w:r>
      <w:r>
        <w:t xml:space="preserve"> with the national funding model</w:t>
      </w:r>
      <w:r w:rsidR="008B1122">
        <w:t>.</w:t>
      </w:r>
      <w:r w:rsidR="003C53A9">
        <w:t xml:space="preserve"> T</w:t>
      </w:r>
      <w:r w:rsidR="008D5D0A">
        <w:t>his</w:t>
      </w:r>
      <w:r>
        <w:t xml:space="preserve"> activity</w:t>
      </w:r>
      <w:r w:rsidR="008D5D0A">
        <w:t xml:space="preserve"> </w:t>
      </w:r>
      <w:r w:rsidR="003C53A9">
        <w:t>will</w:t>
      </w:r>
      <w:r w:rsidR="003E01EE">
        <w:t xml:space="preserve"> be</w:t>
      </w:r>
      <w:r>
        <w:t xml:space="preserve"> funded based on the </w:t>
      </w:r>
      <w:r w:rsidR="00CE19B9">
        <w:t xml:space="preserve">NWAU and </w:t>
      </w:r>
      <w:r>
        <w:t>VEP.</w:t>
      </w:r>
    </w:p>
    <w:p w14:paraId="03445EC6" w14:textId="7E9B081B" w:rsidR="005B699B" w:rsidRPr="009D4152" w:rsidRDefault="00F22689" w:rsidP="00751EC9">
      <w:pPr>
        <w:pStyle w:val="Body"/>
      </w:pPr>
      <w:r>
        <w:t>Home enteral nutrition, total parenteral nutrit</w:t>
      </w:r>
      <w:r w:rsidR="003B0AB4">
        <w:t>ion, National Bowel Cancer Screening Program and home</w:t>
      </w:r>
      <w:r w:rsidR="00BD2D97">
        <w:t>-based</w:t>
      </w:r>
      <w:r w:rsidR="003B0AB4">
        <w:t xml:space="preserve"> renal dialysis </w:t>
      </w:r>
      <w:r w:rsidR="00A158B3">
        <w:t>have</w:t>
      </w:r>
      <w:r w:rsidR="00565E25">
        <w:t xml:space="preserve"> </w:t>
      </w:r>
      <w:r w:rsidR="00A158B3">
        <w:t>b</w:t>
      </w:r>
      <w:r w:rsidR="003057AE">
        <w:t xml:space="preserve">een </w:t>
      </w:r>
      <w:r w:rsidR="005B699B">
        <w:t xml:space="preserve">consolidated </w:t>
      </w:r>
      <w:r w:rsidR="00917DF6">
        <w:t xml:space="preserve">into the </w:t>
      </w:r>
      <w:r w:rsidR="005B699B">
        <w:t>NWAU pool</w:t>
      </w:r>
      <w:r w:rsidR="00917DF6">
        <w:t xml:space="preserve">, and no longer have </w:t>
      </w:r>
      <w:r w:rsidR="004050F1">
        <w:t xml:space="preserve">separate </w:t>
      </w:r>
      <w:r w:rsidR="00D46338">
        <w:t>NWAU targets</w:t>
      </w:r>
      <w:r w:rsidR="005B699B">
        <w:t xml:space="preserve">. </w:t>
      </w:r>
      <w:r w:rsidR="005B699B">
        <w:br w:type="page"/>
      </w:r>
    </w:p>
    <w:p w14:paraId="70F47272" w14:textId="6C3A7210" w:rsidR="005B699B" w:rsidRPr="00D120B4" w:rsidRDefault="005B699B" w:rsidP="001E4292">
      <w:pPr>
        <w:pStyle w:val="Heading1"/>
        <w:numPr>
          <w:ilvl w:val="0"/>
          <w:numId w:val="13"/>
        </w:numPr>
        <w:ind w:left="1134" w:hanging="1134"/>
      </w:pPr>
      <w:bookmarkStart w:id="1536" w:name="_Toc165961795"/>
      <w:bookmarkStart w:id="1537" w:name="_Toc178963579"/>
      <w:r w:rsidRPr="00AF18F3">
        <w:lastRenderedPageBreak/>
        <w:t>Services</w:t>
      </w:r>
      <w:r>
        <w:t xml:space="preserve"> funded outside the </w:t>
      </w:r>
      <w:r w:rsidDel="00FA1CF2">
        <w:t xml:space="preserve">Victorian </w:t>
      </w:r>
      <w:r w:rsidR="00FA1CF2">
        <w:t xml:space="preserve">ABF </w:t>
      </w:r>
      <w:bookmarkEnd w:id="1536"/>
      <w:r w:rsidR="00FA1CF2">
        <w:t>p</w:t>
      </w:r>
      <w:r>
        <w:t xml:space="preserve">ricing </w:t>
      </w:r>
      <w:r w:rsidR="00FA1CF2">
        <w:t>f</w:t>
      </w:r>
      <w:r w:rsidRPr="00361A32">
        <w:t>ramework</w:t>
      </w:r>
      <w:bookmarkEnd w:id="1537"/>
    </w:p>
    <w:p w14:paraId="6CD7792C" w14:textId="6F889B4A" w:rsidR="005B699B" w:rsidRDefault="005B699B" w:rsidP="005B699B">
      <w:pPr>
        <w:pStyle w:val="Body"/>
      </w:pPr>
      <w:r w:rsidRPr="00B43010">
        <w:t xml:space="preserve">The following services have funding arrangements </w:t>
      </w:r>
      <w:r w:rsidR="00AF18F3">
        <w:t>that</w:t>
      </w:r>
      <w:r w:rsidR="00AF18F3" w:rsidRPr="00B43010">
        <w:t xml:space="preserve"> </w:t>
      </w:r>
      <w:r w:rsidRPr="00B43010">
        <w:t xml:space="preserve">sit outside the </w:t>
      </w:r>
      <w:r w:rsidRPr="00B43010" w:rsidDel="00E93890">
        <w:t xml:space="preserve">Victorian </w:t>
      </w:r>
      <w:r w:rsidR="00E93890">
        <w:t>ABF</w:t>
      </w:r>
      <w:r w:rsidR="00E93890" w:rsidRPr="00B43010">
        <w:t xml:space="preserve"> </w:t>
      </w:r>
      <w:r w:rsidR="00AF18F3">
        <w:t>p</w:t>
      </w:r>
      <w:r w:rsidR="00AF18F3" w:rsidRPr="00B43010">
        <w:t xml:space="preserve">ricing </w:t>
      </w:r>
      <w:r w:rsidR="00AF18F3">
        <w:t>f</w:t>
      </w:r>
      <w:r w:rsidR="00AF18F3" w:rsidRPr="00B43010">
        <w:t>ramework</w:t>
      </w:r>
      <w:r w:rsidR="00AF18F3">
        <w:t>. These arrangements</w:t>
      </w:r>
      <w:r w:rsidRPr="00B43010">
        <w:t xml:space="preserve"> complement </w:t>
      </w:r>
      <w:r>
        <w:t>activity-based funding</w:t>
      </w:r>
      <w:r w:rsidRPr="00B43010">
        <w:t xml:space="preserve"> or adapt elements of the national approach to suit the Victorian context.</w:t>
      </w:r>
      <w:bookmarkStart w:id="1538" w:name="_Toc164262463"/>
      <w:bookmarkStart w:id="1539" w:name="_Toc164262798"/>
      <w:bookmarkStart w:id="1540" w:name="_Toc164262464"/>
      <w:bookmarkStart w:id="1541" w:name="_Toc164262799"/>
      <w:bookmarkStart w:id="1542" w:name="_Toc164262465"/>
      <w:bookmarkStart w:id="1543" w:name="_Toc164262800"/>
      <w:bookmarkStart w:id="1544" w:name="_Toc164262466"/>
      <w:bookmarkStart w:id="1545" w:name="_Toc164262801"/>
      <w:bookmarkEnd w:id="1538"/>
      <w:bookmarkEnd w:id="1539"/>
      <w:bookmarkEnd w:id="1540"/>
      <w:bookmarkEnd w:id="1541"/>
      <w:bookmarkEnd w:id="1542"/>
      <w:bookmarkEnd w:id="1543"/>
      <w:bookmarkEnd w:id="1544"/>
      <w:bookmarkEnd w:id="1545"/>
    </w:p>
    <w:p w14:paraId="21508433" w14:textId="77777777" w:rsidR="005B699B" w:rsidRPr="00593888" w:rsidRDefault="005B699B" w:rsidP="001E4292">
      <w:pPr>
        <w:pStyle w:val="Heading2"/>
        <w:numPr>
          <w:ilvl w:val="1"/>
          <w:numId w:val="13"/>
        </w:numPr>
        <w:ind w:left="1134" w:hanging="1134"/>
      </w:pPr>
      <w:bookmarkStart w:id="1546" w:name="_Toc164262473"/>
      <w:bookmarkStart w:id="1547" w:name="_Toc164262808"/>
      <w:bookmarkStart w:id="1548" w:name="_Toc164262474"/>
      <w:bookmarkStart w:id="1549" w:name="_Toc164262809"/>
      <w:bookmarkStart w:id="1550" w:name="_Toc164262475"/>
      <w:bookmarkStart w:id="1551" w:name="_Toc164262810"/>
      <w:bookmarkStart w:id="1552" w:name="_Toc164262476"/>
      <w:bookmarkStart w:id="1553" w:name="_Toc164262811"/>
      <w:bookmarkStart w:id="1554" w:name="_Toc165961796"/>
      <w:bookmarkStart w:id="1555" w:name="_Toc178963580"/>
      <w:bookmarkEnd w:id="1546"/>
      <w:bookmarkEnd w:id="1547"/>
      <w:bookmarkEnd w:id="1548"/>
      <w:bookmarkEnd w:id="1549"/>
      <w:bookmarkEnd w:id="1550"/>
      <w:bookmarkEnd w:id="1551"/>
      <w:bookmarkEnd w:id="1552"/>
      <w:bookmarkEnd w:id="1553"/>
      <w:r w:rsidRPr="00593888">
        <w:t xml:space="preserve">Community </w:t>
      </w:r>
      <w:r w:rsidRPr="00AF18F3">
        <w:t>health</w:t>
      </w:r>
      <w:r w:rsidRPr="00593888">
        <w:t xml:space="preserve"> pricing</w:t>
      </w:r>
      <w:bookmarkEnd w:id="1554"/>
      <w:bookmarkEnd w:id="1555"/>
    </w:p>
    <w:p w14:paraId="28EC4BB5" w14:textId="27058F19" w:rsidR="005B699B" w:rsidRDefault="005B699B" w:rsidP="005B699B">
      <w:pPr>
        <w:pStyle w:val="Body"/>
      </w:pPr>
      <w:r>
        <w:t xml:space="preserve">The Victorian Auditor-General’s report </w:t>
      </w:r>
      <w:r w:rsidRPr="00CB46B6">
        <w:rPr>
          <w:i/>
          <w:iCs/>
        </w:rPr>
        <w:t xml:space="preserve">Community </w:t>
      </w:r>
      <w:r w:rsidR="00AF18F3">
        <w:rPr>
          <w:i/>
          <w:iCs/>
        </w:rPr>
        <w:t>h</w:t>
      </w:r>
      <w:r w:rsidR="00AF18F3" w:rsidRPr="00CB46B6">
        <w:rPr>
          <w:i/>
          <w:iCs/>
        </w:rPr>
        <w:t xml:space="preserve">ealth </w:t>
      </w:r>
      <w:r w:rsidR="00AF18F3">
        <w:rPr>
          <w:i/>
          <w:iCs/>
        </w:rPr>
        <w:t>p</w:t>
      </w:r>
      <w:r w:rsidR="00AF18F3" w:rsidRPr="00CB46B6">
        <w:rPr>
          <w:i/>
          <w:iCs/>
        </w:rPr>
        <w:t>rogram</w:t>
      </w:r>
      <w:r w:rsidR="00AF18F3">
        <w:rPr>
          <w:i/>
        </w:rPr>
        <w:t xml:space="preserve"> </w:t>
      </w:r>
      <w:r w:rsidR="00845560">
        <w:t xml:space="preserve">(2018) </w:t>
      </w:r>
      <w:r>
        <w:t xml:space="preserve">recommended </w:t>
      </w:r>
      <w:r w:rsidR="00AF18F3">
        <w:t>developing</w:t>
      </w:r>
      <w:r>
        <w:t xml:space="preserve"> a more sophisticated funding model to allow flexibility for services to adapt to changing community and client needs. </w:t>
      </w:r>
    </w:p>
    <w:p w14:paraId="64704BE7" w14:textId="77777777" w:rsidR="00AF18F3" w:rsidRDefault="005B699B" w:rsidP="005B699B">
      <w:pPr>
        <w:pStyle w:val="Body"/>
      </w:pPr>
      <w:r>
        <w:t>In January 2024</w:t>
      </w:r>
      <w:r w:rsidR="00AF18F3">
        <w:t>,</w:t>
      </w:r>
      <w:r>
        <w:t xml:space="preserve"> the department introduced a single unit price for three community health activities: </w:t>
      </w:r>
    </w:p>
    <w:p w14:paraId="6737885B" w14:textId="7CBDAD6A" w:rsidR="00AF18F3" w:rsidRPr="00AF18F3" w:rsidRDefault="005B699B" w:rsidP="00EA18DD">
      <w:pPr>
        <w:pStyle w:val="Bullet1"/>
      </w:pPr>
      <w:r w:rsidRPr="00AF18F3">
        <w:t>community health</w:t>
      </w:r>
    </w:p>
    <w:p w14:paraId="4D36FD30" w14:textId="70D05EFD" w:rsidR="00AF18F3" w:rsidRPr="00AF18F3" w:rsidRDefault="005B699B" w:rsidP="00EA18DD">
      <w:pPr>
        <w:pStyle w:val="Bullet1"/>
      </w:pPr>
      <w:r w:rsidRPr="00AF18F3">
        <w:t>small rural primary health – flexible services</w:t>
      </w:r>
    </w:p>
    <w:p w14:paraId="0C21148E" w14:textId="74D93E46" w:rsidR="005B699B" w:rsidRPr="00AF18F3" w:rsidRDefault="005B699B" w:rsidP="00EA18DD">
      <w:pPr>
        <w:pStyle w:val="Bullet1"/>
      </w:pPr>
      <w:r w:rsidRPr="00AF18F3">
        <w:t xml:space="preserve">integrated chronic disease management. </w:t>
      </w:r>
    </w:p>
    <w:p w14:paraId="6C1E4F18" w14:textId="3F2D6251" w:rsidR="005B699B" w:rsidRDefault="005B699B" w:rsidP="00CB46B6">
      <w:pPr>
        <w:pStyle w:val="Bodyafterbullets"/>
      </w:pPr>
      <w:r>
        <w:t xml:space="preserve">Each community health service continues to receive the same total funding under a single unit price and will be able to use the funding flexibly. </w:t>
      </w:r>
      <w:r w:rsidRPr="00523C69">
        <w:t xml:space="preserve">The introduction of a single unit price raises the </w:t>
      </w:r>
      <w:r w:rsidR="00AF18F3" w:rsidRPr="00523C69">
        <w:t>costed-</w:t>
      </w:r>
      <w:r w:rsidRPr="00523C69">
        <w:t>nursing unit price to be equivalent with the allied health unit price, with hours adjusted.</w:t>
      </w:r>
    </w:p>
    <w:p w14:paraId="61CD3ECF" w14:textId="77777777" w:rsidR="005B699B" w:rsidRDefault="005B699B" w:rsidP="005B699B">
      <w:pPr>
        <w:pStyle w:val="Body"/>
      </w:pPr>
      <w:r>
        <w:t xml:space="preserve">The department continues to work with community health services to determine the broader application of a single unit price to other community health activities. </w:t>
      </w:r>
    </w:p>
    <w:p w14:paraId="19EF650A" w14:textId="79B76C2E" w:rsidR="005B699B" w:rsidRDefault="005B699B" w:rsidP="001E4292">
      <w:pPr>
        <w:pStyle w:val="Heading2"/>
        <w:numPr>
          <w:ilvl w:val="1"/>
          <w:numId w:val="13"/>
        </w:numPr>
        <w:ind w:left="1134" w:hanging="1134"/>
      </w:pPr>
      <w:bookmarkStart w:id="1556" w:name="_Toc165961797"/>
      <w:bookmarkStart w:id="1557" w:name="_Toc178963581"/>
      <w:r w:rsidRPr="00AF18F3">
        <w:t>Nationally</w:t>
      </w:r>
      <w:r w:rsidRPr="00254AAE">
        <w:t xml:space="preserve"> </w:t>
      </w:r>
      <w:r w:rsidR="00AF18F3">
        <w:t>f</w:t>
      </w:r>
      <w:r w:rsidR="00AF18F3" w:rsidRPr="00361A32">
        <w:t>unded</w:t>
      </w:r>
      <w:r w:rsidR="00AF18F3" w:rsidRPr="00254AAE">
        <w:t xml:space="preserve"> </w:t>
      </w:r>
      <w:r w:rsidR="00AF18F3">
        <w:t>c</w:t>
      </w:r>
      <w:r w:rsidR="00AF18F3" w:rsidRPr="00254AAE">
        <w:t>entres</w:t>
      </w:r>
      <w:bookmarkEnd w:id="1556"/>
      <w:bookmarkEnd w:id="1557"/>
    </w:p>
    <w:p w14:paraId="1004024F" w14:textId="2F558857" w:rsidR="005B699B" w:rsidRDefault="005B699B" w:rsidP="005B699B">
      <w:pPr>
        <w:pStyle w:val="Body"/>
      </w:pPr>
      <w:r>
        <w:t xml:space="preserve">Nationally </w:t>
      </w:r>
      <w:r w:rsidR="00AF18F3">
        <w:t>f</w:t>
      </w:r>
      <w:r>
        <w:t xml:space="preserve">unded </w:t>
      </w:r>
      <w:r w:rsidR="00AF18F3">
        <w:t xml:space="preserve">centres </w:t>
      </w:r>
      <w:r>
        <w:t>(NFC) programs are funded from a pool, with contributions from all states and territories according to a population-based formula. The current NFC programs and Victorian hosting agencies are:</w:t>
      </w:r>
    </w:p>
    <w:p w14:paraId="04D943BB" w14:textId="77777777" w:rsidR="005B699B" w:rsidRPr="00AF18F3" w:rsidRDefault="005B699B" w:rsidP="00EA18DD">
      <w:pPr>
        <w:pStyle w:val="Bullet1"/>
      </w:pPr>
      <w:r w:rsidRPr="00AF18F3">
        <w:t>paediatric heart transplantation – The Royal Children’s Hospital</w:t>
      </w:r>
    </w:p>
    <w:p w14:paraId="1E0804CC" w14:textId="77777777" w:rsidR="005B699B" w:rsidRPr="00AF18F3" w:rsidRDefault="005B699B" w:rsidP="00EA18DD">
      <w:pPr>
        <w:pStyle w:val="Bullet1"/>
      </w:pPr>
      <w:r w:rsidRPr="00AF18F3">
        <w:t>paediatric liver transplantation – The Royal Children’s Hospital (supported by Austin Hospital)</w:t>
      </w:r>
    </w:p>
    <w:p w14:paraId="34ACD1DD" w14:textId="244B0D86" w:rsidR="005B699B" w:rsidRPr="00AF18F3" w:rsidRDefault="005B699B" w:rsidP="00EA18DD">
      <w:pPr>
        <w:pStyle w:val="Bullet1"/>
      </w:pPr>
      <w:r w:rsidRPr="00AF18F3">
        <w:t>paediatric lung and heart</w:t>
      </w:r>
      <w:r w:rsidR="00AF18F3">
        <w:t>–</w:t>
      </w:r>
      <w:r w:rsidRPr="00AF18F3">
        <w:t xml:space="preserve">lung transplantation – </w:t>
      </w:r>
      <w:r w:rsidR="00B239CB">
        <w:t xml:space="preserve">The </w:t>
      </w:r>
      <w:r w:rsidRPr="00AF18F3">
        <w:t>Alfred</w:t>
      </w:r>
      <w:r w:rsidR="00AF18F3">
        <w:t xml:space="preserve"> </w:t>
      </w:r>
      <w:r w:rsidRPr="00AF18F3">
        <w:t>(supported by The Royal Children’s Hospital)</w:t>
      </w:r>
    </w:p>
    <w:p w14:paraId="64FBD743" w14:textId="77777777" w:rsidR="005B699B" w:rsidRPr="00AF18F3" w:rsidRDefault="005B699B" w:rsidP="00EA18DD">
      <w:pPr>
        <w:pStyle w:val="Bullet1"/>
      </w:pPr>
      <w:r w:rsidRPr="00AF18F3">
        <w:t>adult pancreas transplantation – Monash Medial Centre Clayton</w:t>
      </w:r>
    </w:p>
    <w:p w14:paraId="2C7E0639" w14:textId="184B98B4" w:rsidR="005B699B" w:rsidRPr="00AF18F3" w:rsidRDefault="005B699B" w:rsidP="00EA18DD">
      <w:pPr>
        <w:pStyle w:val="Bullet1"/>
      </w:pPr>
      <w:r w:rsidRPr="00AF18F3">
        <w:t>adult islet cell transplantation – St Vincent’s Hospital (supported by St Vincent’s Institute).</w:t>
      </w:r>
    </w:p>
    <w:p w14:paraId="79C18D39" w14:textId="1F14F056" w:rsidR="005B699B" w:rsidRDefault="005B699B" w:rsidP="00315567">
      <w:pPr>
        <w:pStyle w:val="Bodyafterbullets"/>
      </w:pPr>
      <w:r>
        <w:t xml:space="preserve">Further </w:t>
      </w:r>
      <w:r w:rsidRPr="00AF18F3">
        <w:t>information</w:t>
      </w:r>
      <w:r>
        <w:t xml:space="preserve"> on NFC is available at the </w:t>
      </w:r>
      <w:hyperlink r:id="rId23" w:history="1">
        <w:r w:rsidR="001D001A">
          <w:rPr>
            <w:rStyle w:val="Hyperlink"/>
          </w:rPr>
          <w:t>Nationally funded centres</w:t>
        </w:r>
      </w:hyperlink>
      <w:r w:rsidR="00005C9A">
        <w:t xml:space="preserve"> </w:t>
      </w:r>
      <w:r>
        <w:t>&lt;</w:t>
      </w:r>
      <w:r w:rsidRPr="003578E9">
        <w:t>https://www.health.vic.gov.au/patient-care/nationally-funded-centres</w:t>
      </w:r>
      <w:r>
        <w:t>&gt;.</w:t>
      </w:r>
    </w:p>
    <w:p w14:paraId="1153BFB7" w14:textId="77777777" w:rsidR="005B699B" w:rsidRPr="00E804C3" w:rsidRDefault="005B699B" w:rsidP="001E4292">
      <w:pPr>
        <w:pStyle w:val="Heading2"/>
        <w:numPr>
          <w:ilvl w:val="1"/>
          <w:numId w:val="13"/>
        </w:numPr>
        <w:ind w:left="1134" w:hanging="1134"/>
      </w:pPr>
      <w:bookmarkStart w:id="1558" w:name="_Toc165961798"/>
      <w:bookmarkStart w:id="1559" w:name="_Toc178963582"/>
      <w:r w:rsidRPr="00E804C3">
        <w:t>Mental health and wellbeing</w:t>
      </w:r>
      <w:bookmarkEnd w:id="1558"/>
      <w:bookmarkEnd w:id="1559"/>
    </w:p>
    <w:p w14:paraId="54EE9AA2" w14:textId="1EDBE958" w:rsidR="005B699B" w:rsidRDefault="005B699B" w:rsidP="005B699B">
      <w:pPr>
        <w:pStyle w:val="Body"/>
      </w:pPr>
      <w:r>
        <w:t xml:space="preserve">In 2024–25, funding for acute admitted care provided by Area Mental Health and Wellbeing Services will transition to the national activity-based funding model. Health services will be </w:t>
      </w:r>
      <w:r w:rsidRPr="007A00FC">
        <w:t>allocated a NWAU target</w:t>
      </w:r>
      <w:r>
        <w:t xml:space="preserve"> consistent with their admitted budgets for 2023</w:t>
      </w:r>
      <w:r w:rsidR="00AF18F3">
        <w:t>–</w:t>
      </w:r>
      <w:r>
        <w:t xml:space="preserve">24. Health services </w:t>
      </w:r>
      <w:r w:rsidR="395D28B2">
        <w:t>are</w:t>
      </w:r>
      <w:r>
        <w:t xml:space="preserve"> required to continue to maintain existing bed capacity and occupancy rates during the transition phase.</w:t>
      </w:r>
    </w:p>
    <w:p w14:paraId="60AF19CF" w14:textId="31932F49" w:rsidR="005B699B" w:rsidRDefault="005B699B" w:rsidP="005B699B">
      <w:pPr>
        <w:pStyle w:val="Body"/>
      </w:pPr>
      <w:r>
        <w:lastRenderedPageBreak/>
        <w:t>Admitted extended care and non-admitted mental healthcare (such as ambulatory, subacute, and residential mental health services) will continue to be funded in 2024–25 via a mixture of input (per day or service hour) and block grants.</w:t>
      </w:r>
    </w:p>
    <w:p w14:paraId="387DF5B0" w14:textId="7A934D55" w:rsidR="005B699B" w:rsidRDefault="00AF18F3" w:rsidP="005B699B">
      <w:pPr>
        <w:pStyle w:val="Body"/>
      </w:pPr>
      <w:r>
        <w:t>The</w:t>
      </w:r>
      <w:r w:rsidR="005B699B">
        <w:t xml:space="preserve"> Australian Mental Health Care Classification </w:t>
      </w:r>
      <w:r w:rsidR="00207A1B">
        <w:t>(AMHCC)</w:t>
      </w:r>
      <w:r w:rsidR="005B699B">
        <w:t xml:space="preserve"> will be used to </w:t>
      </w:r>
      <w:r>
        <w:t>shadow-</w:t>
      </w:r>
      <w:r w:rsidR="005B699B">
        <w:t>fund community mental health services according to an activity-based funding model in 2024–25.</w:t>
      </w:r>
    </w:p>
    <w:p w14:paraId="6D67A451" w14:textId="196C3A8A" w:rsidR="005B699B" w:rsidRDefault="00A06E03" w:rsidP="005B699B">
      <w:pPr>
        <w:pStyle w:val="Body"/>
      </w:pPr>
      <w:r>
        <w:t xml:space="preserve">Non-admitted </w:t>
      </w:r>
      <w:r w:rsidR="00D30B97">
        <w:t xml:space="preserve">ambulatory </w:t>
      </w:r>
      <w:r>
        <w:t>community</w:t>
      </w:r>
      <w:r w:rsidR="00D30B97">
        <w:t xml:space="preserve"> mental health services will continue to be funded</w:t>
      </w:r>
      <w:r w:rsidR="00AA46B5">
        <w:t xml:space="preserve"> using community service hours as the funded unit in 2024-25.</w:t>
      </w:r>
      <w:r w:rsidR="004B5348">
        <w:t xml:space="preserve"> </w:t>
      </w:r>
      <w:r w:rsidR="005B699B">
        <w:t xml:space="preserve">Targets for the number of service hours to be provided are set per health service. The funding rate per service hour </w:t>
      </w:r>
      <w:r w:rsidR="00AF18F3">
        <w:t>was used to set</w:t>
      </w:r>
      <w:r w:rsidR="005B699B">
        <w:t xml:space="preserve"> ambulatory targets.</w:t>
      </w:r>
    </w:p>
    <w:p w14:paraId="3C17B442" w14:textId="0FC5E620" w:rsidR="005B699B" w:rsidRDefault="005B699B" w:rsidP="005B699B">
      <w:pPr>
        <w:pStyle w:val="Body"/>
      </w:pPr>
      <w:r>
        <w:t xml:space="preserve">Further information on the 2024–25 prices is available in section </w:t>
      </w:r>
      <w:r w:rsidRPr="00AD54C1">
        <w:fldChar w:fldCharType="begin"/>
      </w:r>
      <w:r w:rsidRPr="00AD54C1">
        <w:instrText xml:space="preserve"> REF _Ref165637299 \r \h </w:instrText>
      </w:r>
      <w:r w:rsidR="00AD54C1">
        <w:instrText xml:space="preserve"> \* MERGEFORMAT </w:instrText>
      </w:r>
      <w:r w:rsidRPr="00AD54C1">
        <w:fldChar w:fldCharType="separate"/>
      </w:r>
      <w:r w:rsidR="00F30C16">
        <w:t>15</w:t>
      </w:r>
      <w:r w:rsidRPr="00AD54C1">
        <w:fldChar w:fldCharType="end"/>
      </w:r>
      <w:r w:rsidRPr="00AD54C1">
        <w:t xml:space="preserve"> </w:t>
      </w:r>
      <w:r w:rsidRPr="00AD54C1">
        <w:fldChar w:fldCharType="begin"/>
      </w:r>
      <w:r w:rsidRPr="00AD54C1">
        <w:instrText xml:space="preserve"> REF _Ref165637299 \h </w:instrText>
      </w:r>
      <w:r w:rsidR="00A142DD" w:rsidRPr="00AD54C1">
        <w:instrText xml:space="preserve"> \* MERGEFORMAT </w:instrText>
      </w:r>
      <w:r w:rsidRPr="00AD54C1">
        <w:fldChar w:fldCharType="separate"/>
      </w:r>
      <w:r w:rsidR="00543255">
        <w:t>Price tables</w:t>
      </w:r>
      <w:r w:rsidRPr="00AD54C1">
        <w:fldChar w:fldCharType="end"/>
      </w:r>
    </w:p>
    <w:p w14:paraId="746B12FA" w14:textId="14278021" w:rsidR="005B699B" w:rsidRDefault="005B699B" w:rsidP="005B699B">
      <w:pPr>
        <w:pStyle w:val="Body"/>
      </w:pPr>
      <w:r>
        <w:t xml:space="preserve">Funding for </w:t>
      </w:r>
      <w:r w:rsidR="00B47229">
        <w:t>M</w:t>
      </w:r>
      <w:r>
        <w:t xml:space="preserve">ental </w:t>
      </w:r>
      <w:r w:rsidR="00B47229">
        <w:t>H</w:t>
      </w:r>
      <w:r>
        <w:t xml:space="preserve">ealth </w:t>
      </w:r>
      <w:r w:rsidR="00B47229">
        <w:t>C</w:t>
      </w:r>
      <w:r>
        <w:t xml:space="preserve">ommunity </w:t>
      </w:r>
      <w:r w:rsidR="00B47229">
        <w:t>S</w:t>
      </w:r>
      <w:r>
        <w:t xml:space="preserve">upport </w:t>
      </w:r>
      <w:r w:rsidR="00B47229">
        <w:t>S</w:t>
      </w:r>
      <w:r>
        <w:t xml:space="preserve">ervices (MHCSS) activities is output based. Statewide targets are set out in </w:t>
      </w:r>
      <w:r w:rsidRPr="00FE4922">
        <w:rPr>
          <w:i/>
          <w:iCs/>
        </w:rPr>
        <w:t>Victorian State Budget Paper No. 3</w:t>
      </w:r>
      <w:r w:rsidR="007E65EC">
        <w:rPr>
          <w:i/>
          <w:iCs/>
        </w:rPr>
        <w:t xml:space="preserve"> </w:t>
      </w:r>
      <w:r w:rsidR="007E65EC" w:rsidRPr="0013154B">
        <w:t>(2024)</w:t>
      </w:r>
      <w:r w:rsidR="00AF18F3">
        <w:t>. F</w:t>
      </w:r>
      <w:r>
        <w:t>or MHCSS activities</w:t>
      </w:r>
      <w:r w:rsidR="00AF18F3">
        <w:t>,</w:t>
      </w:r>
      <w:r>
        <w:t xml:space="preserve"> these are listed in the Funding and Service Agreement and represent the minimum deliverables expected for the funding provided. Refer to</w:t>
      </w:r>
      <w:r w:rsidR="00AF18F3">
        <w:t xml:space="preserve"> the</w:t>
      </w:r>
      <w:r>
        <w:t xml:space="preserve"> </w:t>
      </w:r>
      <w:r w:rsidRPr="00FE4922">
        <w:rPr>
          <w:i/>
          <w:iCs/>
        </w:rPr>
        <w:t xml:space="preserve">Policy guide </w:t>
      </w:r>
      <w:r>
        <w:t>for more information.</w:t>
      </w:r>
    </w:p>
    <w:p w14:paraId="5B62809E" w14:textId="77777777" w:rsidR="005B699B" w:rsidRPr="007F03EF" w:rsidRDefault="005B699B" w:rsidP="001E4292">
      <w:pPr>
        <w:pStyle w:val="Heading2"/>
        <w:numPr>
          <w:ilvl w:val="1"/>
          <w:numId w:val="13"/>
        </w:numPr>
        <w:ind w:left="1134" w:hanging="1134"/>
      </w:pPr>
      <w:bookmarkStart w:id="1560" w:name="_Toc165961799"/>
      <w:bookmarkStart w:id="1561" w:name="_Toc178963583"/>
      <w:r w:rsidRPr="007F03EF">
        <w:t xml:space="preserve">Community </w:t>
      </w:r>
      <w:r w:rsidRPr="00AF18F3">
        <w:t>palliative</w:t>
      </w:r>
      <w:r w:rsidRPr="007F03EF">
        <w:t xml:space="preserve"> </w:t>
      </w:r>
      <w:r>
        <w:t>c</w:t>
      </w:r>
      <w:r w:rsidRPr="007F03EF">
        <w:t>are</w:t>
      </w:r>
      <w:bookmarkEnd w:id="1560"/>
      <w:bookmarkEnd w:id="1561"/>
    </w:p>
    <w:p w14:paraId="6CED2488" w14:textId="4A6B2B88" w:rsidR="005B699B" w:rsidRPr="007F03EF" w:rsidRDefault="005B699B" w:rsidP="005B699B">
      <w:pPr>
        <w:pStyle w:val="Body"/>
      </w:pPr>
      <w:r w:rsidRPr="007F03EF">
        <w:t xml:space="preserve">Designated community palliative care services </w:t>
      </w:r>
      <w:r>
        <w:t>further</w:t>
      </w:r>
      <w:r w:rsidRPr="007F03EF">
        <w:t xml:space="preserve"> the goals of </w:t>
      </w:r>
      <w:r w:rsidRPr="007F03EF">
        <w:rPr>
          <w:i/>
          <w:iCs/>
        </w:rPr>
        <w:t>Victoria’s end</w:t>
      </w:r>
      <w:r>
        <w:rPr>
          <w:i/>
          <w:iCs/>
        </w:rPr>
        <w:t>-</w:t>
      </w:r>
      <w:r w:rsidRPr="007F03EF">
        <w:rPr>
          <w:i/>
          <w:iCs/>
        </w:rPr>
        <w:t>of</w:t>
      </w:r>
      <w:r>
        <w:rPr>
          <w:i/>
          <w:iCs/>
        </w:rPr>
        <w:t>-</w:t>
      </w:r>
      <w:r w:rsidRPr="007F03EF">
        <w:rPr>
          <w:i/>
          <w:iCs/>
        </w:rPr>
        <w:t xml:space="preserve">life and palliative care framework </w:t>
      </w:r>
      <w:r w:rsidRPr="007F03EF">
        <w:t xml:space="preserve">(2016). Designated community palliative care services must provide care in line with the department’s </w:t>
      </w:r>
      <w:r>
        <w:t>c</w:t>
      </w:r>
      <w:r w:rsidRPr="007F03EF">
        <w:t xml:space="preserve">onditions of </w:t>
      </w:r>
      <w:r>
        <w:t>f</w:t>
      </w:r>
      <w:r w:rsidRPr="007F03EF">
        <w:t xml:space="preserve">unding for palliative care published on the </w:t>
      </w:r>
      <w:hyperlink r:id="rId24">
        <w:r w:rsidRPr="007F03EF">
          <w:rPr>
            <w:rStyle w:val="Hyperlink"/>
          </w:rPr>
          <w:t>Palliative care webpage</w:t>
        </w:r>
      </w:hyperlink>
      <w:r w:rsidRPr="007F03EF">
        <w:t xml:space="preserve"> &lt;https://www.health.vic.gov.au/patient-care/conditions-of-funding-for-palliative-care&gt;.</w:t>
      </w:r>
    </w:p>
    <w:p w14:paraId="609F6E44" w14:textId="77777777" w:rsidR="005B699B" w:rsidRPr="007F03EF" w:rsidRDefault="005B699B" w:rsidP="005B699B">
      <w:pPr>
        <w:pStyle w:val="Body"/>
      </w:pPr>
      <w:r>
        <w:t>E</w:t>
      </w:r>
      <w:r w:rsidRPr="007F03EF">
        <w:t xml:space="preserve">ach Victorian local government area </w:t>
      </w:r>
      <w:r>
        <w:t>has a</w:t>
      </w:r>
      <w:r w:rsidRPr="007F03EF">
        <w:t xml:space="preserve"> designated community palliative care service. Each service has a prescribed catchment area. Designated services are required to provide a service to clients in residential aged care facilities and disability group homes</w:t>
      </w:r>
      <w:r>
        <w:t>,</w:t>
      </w:r>
      <w:r w:rsidRPr="007F03EF">
        <w:t xml:space="preserve"> as these facilities are the client’s home.</w:t>
      </w:r>
    </w:p>
    <w:p w14:paraId="5F560017" w14:textId="77777777" w:rsidR="005B699B" w:rsidRPr="007F03EF" w:rsidRDefault="005B699B" w:rsidP="005B699B">
      <w:pPr>
        <w:pStyle w:val="Body"/>
      </w:pPr>
      <w:r w:rsidRPr="007F03EF">
        <w:t>All community palliative care services have access to flexible funds to care for clients at home. These funds are incorporated in each service’s non-admitted (community) palliative care funding allocation.</w:t>
      </w:r>
    </w:p>
    <w:p w14:paraId="014E66F3" w14:textId="2D5FC3B6" w:rsidR="005B699B" w:rsidRPr="007F03EF" w:rsidRDefault="001D2D8B" w:rsidP="005B699B">
      <w:pPr>
        <w:pStyle w:val="Body"/>
      </w:pPr>
      <w:r>
        <w:t>Reporting will be based on the</w:t>
      </w:r>
      <w:r w:rsidRPr="007F03EF">
        <w:t xml:space="preserve"> </w:t>
      </w:r>
      <w:r w:rsidR="005B699B">
        <w:t>Victorian Integrated Non-Admitted Health (</w:t>
      </w:r>
      <w:r w:rsidR="005B699B" w:rsidRPr="007F03EF">
        <w:t>VINAH</w:t>
      </w:r>
      <w:r w:rsidR="005B699B">
        <w:t>)</w:t>
      </w:r>
      <w:r w:rsidR="005B699B" w:rsidRPr="007F03EF">
        <w:t xml:space="preserve"> minimum dataset</w:t>
      </w:r>
      <w:r>
        <w:t>.</w:t>
      </w:r>
    </w:p>
    <w:p w14:paraId="37D01DAB" w14:textId="769EE3C1" w:rsidR="005B699B" w:rsidRPr="007F03EF" w:rsidRDefault="005B699B" w:rsidP="001E4292">
      <w:pPr>
        <w:pStyle w:val="Heading3"/>
        <w:numPr>
          <w:ilvl w:val="2"/>
          <w:numId w:val="13"/>
        </w:numPr>
      </w:pPr>
      <w:r w:rsidRPr="007F03EF">
        <w:t xml:space="preserve">Business </w:t>
      </w:r>
      <w:r>
        <w:t>r</w:t>
      </w:r>
      <w:r w:rsidRPr="007F03EF">
        <w:t>ules</w:t>
      </w:r>
    </w:p>
    <w:p w14:paraId="460EF519" w14:textId="2D7C0C65" w:rsidR="005B699B" w:rsidRPr="007F03EF" w:rsidRDefault="005B699B" w:rsidP="005B699B">
      <w:pPr>
        <w:pStyle w:val="Body"/>
      </w:pPr>
      <w:r w:rsidRPr="007F03EF">
        <w:t xml:space="preserve">Activity delivered through the Community Palliative Care </w:t>
      </w:r>
      <w:r w:rsidR="001D2D8B">
        <w:t>P</w:t>
      </w:r>
      <w:r w:rsidR="001D2D8B" w:rsidRPr="007F03EF">
        <w:t xml:space="preserve">rogram </w:t>
      </w:r>
      <w:r w:rsidRPr="007F03EF">
        <w:t xml:space="preserve">should be classified using the </w:t>
      </w:r>
      <w:r w:rsidRPr="007F03EF" w:rsidDel="001D2D8B">
        <w:t xml:space="preserve">Tier </w:t>
      </w:r>
      <w:r w:rsidR="0082266F" w:rsidRPr="007F03EF">
        <w:t>2 non-admitted services classification (Tier 2)</w:t>
      </w:r>
      <w:r w:rsidRPr="007F03EF">
        <w:t xml:space="preserve"> non-admitted services classification. </w:t>
      </w:r>
      <w:r w:rsidR="001D2D8B">
        <w:t>Refer to ‘Patient classification’ in s</w:t>
      </w:r>
      <w:r>
        <w:t xml:space="preserve">ection </w:t>
      </w:r>
      <w:r w:rsidRPr="00E75F26">
        <w:fldChar w:fldCharType="begin"/>
      </w:r>
      <w:r w:rsidRPr="00E75F26">
        <w:instrText xml:space="preserve"> REF _Ref142548853 \r \h </w:instrText>
      </w:r>
      <w:r w:rsidR="00E75F26">
        <w:instrText xml:space="preserve"> \* MERGEFORMAT </w:instrText>
      </w:r>
      <w:r w:rsidRPr="00E75F26">
        <w:fldChar w:fldCharType="separate"/>
      </w:r>
      <w:r w:rsidR="00543255" w:rsidRPr="00E75F26">
        <w:t>10.1.3</w:t>
      </w:r>
      <w:r w:rsidRPr="00E75F26">
        <w:fldChar w:fldCharType="end"/>
      </w:r>
      <w:r w:rsidR="001D2D8B">
        <w:t xml:space="preserve"> for further information on the </w:t>
      </w:r>
      <w:r w:rsidR="0082266F">
        <w:t>T</w:t>
      </w:r>
      <w:r w:rsidR="001D2D8B">
        <w:t xml:space="preserve">ier 2 classification. </w:t>
      </w:r>
    </w:p>
    <w:p w14:paraId="46DDAC6E" w14:textId="084E3399" w:rsidR="005B699B" w:rsidRPr="007F03EF" w:rsidRDefault="005B699B" w:rsidP="005B699B">
      <w:pPr>
        <w:pStyle w:val="Body"/>
      </w:pPr>
      <w:r>
        <w:t xml:space="preserve">Designated community palliative care services </w:t>
      </w:r>
      <w:r w:rsidR="00DD3B8A">
        <w:t xml:space="preserve">have been required to </w:t>
      </w:r>
      <w:r>
        <w:t xml:space="preserve">report patient-level cost data to the </w:t>
      </w:r>
      <w:r w:rsidRPr="00E75F26">
        <w:t>Victorian Cost Data Collection</w:t>
      </w:r>
      <w:r>
        <w:t xml:space="preserve"> </w:t>
      </w:r>
      <w:r w:rsidR="00D622DA">
        <w:t>(VCDC)</w:t>
      </w:r>
      <w:r>
        <w:t xml:space="preserve">. </w:t>
      </w:r>
      <w:r w:rsidRPr="00FB7ACB">
        <w:t>The department will continue to engage with non-government providers and community health services in 202</w:t>
      </w:r>
      <w:r>
        <w:t>4</w:t>
      </w:r>
      <w:r w:rsidRPr="00FB7ACB">
        <w:t>–2</w:t>
      </w:r>
      <w:r>
        <w:t>5</w:t>
      </w:r>
      <w:r w:rsidRPr="00FB7ACB">
        <w:rPr>
          <w:lang w:val="en-US"/>
        </w:rPr>
        <w:t xml:space="preserve"> </w:t>
      </w:r>
      <w:r w:rsidRPr="00FB7ACB">
        <w:t>to work towards this requirement throughout the financial year.</w:t>
      </w:r>
      <w:r>
        <w:t xml:space="preserve"> </w:t>
      </w:r>
    </w:p>
    <w:p w14:paraId="412CC477" w14:textId="77777777" w:rsidR="005B699B" w:rsidRPr="007F03EF" w:rsidRDefault="005B699B" w:rsidP="001E4292">
      <w:pPr>
        <w:pStyle w:val="Heading2"/>
        <w:numPr>
          <w:ilvl w:val="1"/>
          <w:numId w:val="13"/>
        </w:numPr>
        <w:ind w:left="1134" w:hanging="1134"/>
      </w:pPr>
      <w:bookmarkStart w:id="1562" w:name="_Toc165961800"/>
      <w:bookmarkStart w:id="1563" w:name="_Toc178963584"/>
      <w:r w:rsidRPr="007F03EF">
        <w:t xml:space="preserve">Palliative </w:t>
      </w:r>
      <w:r>
        <w:t>c</w:t>
      </w:r>
      <w:r w:rsidRPr="007F03EF">
        <w:t xml:space="preserve">are </w:t>
      </w:r>
      <w:r w:rsidRPr="001D2D8B">
        <w:t>consultancy</w:t>
      </w:r>
      <w:r w:rsidRPr="007F03EF">
        <w:t xml:space="preserve"> </w:t>
      </w:r>
      <w:r>
        <w:t>s</w:t>
      </w:r>
      <w:r w:rsidRPr="007F03EF">
        <w:t>ervices</w:t>
      </w:r>
      <w:bookmarkEnd w:id="1562"/>
      <w:bookmarkEnd w:id="1563"/>
    </w:p>
    <w:p w14:paraId="6D79CE29" w14:textId="77777777" w:rsidR="005B699B" w:rsidRDefault="005B699B" w:rsidP="005B699B">
      <w:pPr>
        <w:pStyle w:val="Body"/>
      </w:pPr>
      <w:r>
        <w:t>The department funds p</w:t>
      </w:r>
      <w:r w:rsidRPr="007F03EF">
        <w:t>alliativ</w:t>
      </w:r>
      <w:r>
        <w:t>e care consultancy services in 12 metropolitan health services and in the five rural regions.</w:t>
      </w:r>
    </w:p>
    <w:p w14:paraId="74E6FF4A" w14:textId="77777777" w:rsidR="005B699B" w:rsidRPr="00084C04" w:rsidRDefault="005B699B" w:rsidP="005B699B">
      <w:pPr>
        <w:pStyle w:val="Body"/>
      </w:pPr>
      <w:r>
        <w:lastRenderedPageBreak/>
        <w:t>Consultancy services work across all healthcare settings. They provide specialist advice and support to clinical services within hospitals and in the community, including to community palliative care services, residential facilities and general practitioners. They address complex issues that would otherwise require admission to hospital or the transfer of care under the palliative care team from other specialities. They provide education and training about palliative care to other clinicians and provide palliative care input for cancer streams and at chronic disease management meetings.</w:t>
      </w:r>
    </w:p>
    <w:p w14:paraId="5CDCB896" w14:textId="77777777" w:rsidR="005B699B" w:rsidRPr="00084C04" w:rsidRDefault="005B699B" w:rsidP="005B699B">
      <w:pPr>
        <w:pStyle w:val="Body"/>
      </w:pPr>
      <w:r w:rsidRPr="00084C04">
        <w:t xml:space="preserve">Palliative care consultancy services are required to report contacts in the Palliative Care Consultancy Program form in </w:t>
      </w:r>
      <w:r>
        <w:t xml:space="preserve">Agency Information Management </w:t>
      </w:r>
      <w:r w:rsidRPr="0041540C">
        <w:t>System</w:t>
      </w:r>
      <w:r w:rsidRPr="00440F34">
        <w:t xml:space="preserve"> (</w:t>
      </w:r>
      <w:r w:rsidRPr="0041540C">
        <w:t>AIMS) and report patient-level contacts through the VINAH minimum dataset.</w:t>
      </w:r>
    </w:p>
    <w:p w14:paraId="1AA23254" w14:textId="77777777" w:rsidR="005B699B" w:rsidRPr="00084C04" w:rsidRDefault="005B699B" w:rsidP="001E4292">
      <w:pPr>
        <w:pStyle w:val="Heading3"/>
        <w:numPr>
          <w:ilvl w:val="2"/>
          <w:numId w:val="13"/>
        </w:numPr>
      </w:pPr>
      <w:r w:rsidRPr="00084C04">
        <w:t xml:space="preserve">Regional </w:t>
      </w:r>
      <w:r>
        <w:t>p</w:t>
      </w:r>
      <w:r w:rsidRPr="00084C04">
        <w:t xml:space="preserve">alliative </w:t>
      </w:r>
      <w:r w:rsidRPr="00361A32">
        <w:t>care</w:t>
      </w:r>
      <w:r w:rsidRPr="00084C04">
        <w:t xml:space="preserve"> </w:t>
      </w:r>
      <w:r>
        <w:t>c</w:t>
      </w:r>
      <w:r w:rsidRPr="00084C04">
        <w:t>onsultancy</w:t>
      </w:r>
    </w:p>
    <w:p w14:paraId="5B718034" w14:textId="77777777" w:rsidR="005B699B" w:rsidRPr="00084C04" w:rsidRDefault="005B699B" w:rsidP="005B699B">
      <w:pPr>
        <w:pStyle w:val="Body"/>
      </w:pPr>
      <w:r w:rsidRPr="00084C04">
        <w:t xml:space="preserve">Regional consultancies provide regular primary and secondary consultation to generalist health </w:t>
      </w:r>
      <w:r>
        <w:t xml:space="preserve">services </w:t>
      </w:r>
      <w:r w:rsidRPr="00084C04">
        <w:t>(including general practitioners, acute and subacute services) and community services (including aged care and disability services) on a regionwide basis. All generalist health and community services are expected to be able to care for people who are at the end of life</w:t>
      </w:r>
      <w:r>
        <w:t>.</w:t>
      </w:r>
      <w:r w:rsidRPr="00084C04">
        <w:t xml:space="preserve"> </w:t>
      </w:r>
      <w:r>
        <w:t>T</w:t>
      </w:r>
      <w:r w:rsidRPr="00084C04">
        <w:t>he consultancy teams provide specialist expertise and skill to support these services to provide good end-of-life care.</w:t>
      </w:r>
    </w:p>
    <w:p w14:paraId="2C5033DE" w14:textId="0FBFAFF1" w:rsidR="005B699B" w:rsidRPr="00084C04" w:rsidRDefault="005B699B" w:rsidP="005B699B">
      <w:pPr>
        <w:pStyle w:val="Body"/>
      </w:pPr>
      <w:r>
        <w:t>Funding for regional palliative care consultancy teams is provided as a block grant in 2024</w:t>
      </w:r>
      <w:r w:rsidRPr="00AF1071">
        <w:t>–2</w:t>
      </w:r>
      <w:r>
        <w:t>5</w:t>
      </w:r>
      <w:r w:rsidRPr="00AF1071">
        <w:t>.</w:t>
      </w:r>
      <w:r w:rsidRPr="7586326A">
        <w:rPr>
          <w:lang w:val="en-US"/>
        </w:rPr>
        <w:t xml:space="preserve"> </w:t>
      </w:r>
      <w:r>
        <w:t>In the majority o</w:t>
      </w:r>
      <w:r w:rsidR="00A53FED">
        <w:t>f</w:t>
      </w:r>
      <w:r>
        <w:t xml:space="preserve"> regions, this funding includes aged and disability link nurses. This funding is recurrent</w:t>
      </w:r>
      <w:r w:rsidRPr="00495156">
        <w:t xml:space="preserve">. </w:t>
      </w:r>
    </w:p>
    <w:p w14:paraId="1BE2917C" w14:textId="77777777" w:rsidR="005B699B" w:rsidRPr="00084C04" w:rsidRDefault="005B699B" w:rsidP="001E4292">
      <w:pPr>
        <w:pStyle w:val="Heading3"/>
        <w:numPr>
          <w:ilvl w:val="2"/>
          <w:numId w:val="13"/>
        </w:numPr>
      </w:pPr>
      <w:r w:rsidRPr="00084C04">
        <w:t xml:space="preserve">Statewide </w:t>
      </w:r>
      <w:r>
        <w:t>p</w:t>
      </w:r>
      <w:r w:rsidRPr="00084C04">
        <w:t xml:space="preserve">alliative </w:t>
      </w:r>
      <w:r>
        <w:t>c</w:t>
      </w:r>
      <w:r w:rsidRPr="00084C04">
        <w:t xml:space="preserve">are </w:t>
      </w:r>
      <w:r w:rsidRPr="00361A32">
        <w:t>consultancy</w:t>
      </w:r>
    </w:p>
    <w:p w14:paraId="5DF4009C" w14:textId="2F96FA4A" w:rsidR="005B699B" w:rsidRPr="000A0DAE" w:rsidRDefault="005B699B" w:rsidP="005B699B">
      <w:pPr>
        <w:pStyle w:val="Body"/>
      </w:pPr>
      <w:r>
        <w:t xml:space="preserve">Funding for statewide palliative care consultancy teams is provided as a block grant in 2024–25. Statewide consultancy services include the Victorian Paediatric Palliative Care Program, Very Special Kids, Motor Neurone Disease Association (Vic.) and Grief Australia (previously The Australian Centre for Grief and Bereavement). This funding is </w:t>
      </w:r>
      <w:r w:rsidRPr="00495156">
        <w:t>recurrent.</w:t>
      </w:r>
    </w:p>
    <w:p w14:paraId="74C85435" w14:textId="77777777" w:rsidR="005B699B" w:rsidRPr="00084C04" w:rsidRDefault="005B699B" w:rsidP="001E4292">
      <w:pPr>
        <w:pStyle w:val="Heading3"/>
        <w:numPr>
          <w:ilvl w:val="2"/>
          <w:numId w:val="13"/>
        </w:numPr>
      </w:pPr>
      <w:r>
        <w:t>Business rules</w:t>
      </w:r>
    </w:p>
    <w:p w14:paraId="445378E7" w14:textId="6819A255" w:rsidR="005B699B" w:rsidRPr="00084C04" w:rsidRDefault="00593CD6" w:rsidP="005B699B">
      <w:pPr>
        <w:pStyle w:val="Body"/>
      </w:pPr>
      <w:r>
        <w:t>H</w:t>
      </w:r>
      <w:r w:rsidR="005B699B">
        <w:t>ealth services</w:t>
      </w:r>
      <w:r>
        <w:t xml:space="preserve"> should</w:t>
      </w:r>
      <w:r w:rsidR="005B699B">
        <w:t xml:space="preserve"> maintain and report patient-level activity for hospital-based palliative care consultancy and statewide services. The mode of activity reporting </w:t>
      </w:r>
      <w:r>
        <w:t>will be different depending on whether</w:t>
      </w:r>
      <w:r w:rsidR="005B699B">
        <w:t xml:space="preserve"> the </w:t>
      </w:r>
      <w:r>
        <w:t>service uses</w:t>
      </w:r>
      <w:r w:rsidR="005B699B">
        <w:t xml:space="preserve"> the </w:t>
      </w:r>
      <w:r w:rsidR="005B699B" w:rsidRPr="00440F34">
        <w:t>VINAH</w:t>
      </w:r>
      <w:r w:rsidR="005B699B">
        <w:t xml:space="preserve"> minimum dataset or the Non-Admitted Data Collection (NADC). </w:t>
      </w:r>
    </w:p>
    <w:p w14:paraId="5152154D" w14:textId="58DD6CAD" w:rsidR="005B699B" w:rsidRDefault="00593CD6" w:rsidP="005B699B">
      <w:pPr>
        <w:pStyle w:val="Body"/>
      </w:pPr>
      <w:r>
        <w:t>H</w:t>
      </w:r>
      <w:r w:rsidR="005B699B">
        <w:t xml:space="preserve">ealth services </w:t>
      </w:r>
      <w:r>
        <w:t xml:space="preserve">should also </w:t>
      </w:r>
      <w:r w:rsidR="005B699B">
        <w:t xml:space="preserve">maintain and include hospital-based palliative care consultancy as part of their reporting of patient-level costing data for to the </w:t>
      </w:r>
      <w:r>
        <w:t>VCDC</w:t>
      </w:r>
      <w:r w:rsidR="005B699B">
        <w:t xml:space="preserve">. </w:t>
      </w:r>
    </w:p>
    <w:p w14:paraId="55080D94" w14:textId="77777777" w:rsidR="005B699B" w:rsidRDefault="005B699B" w:rsidP="001E4292">
      <w:pPr>
        <w:pStyle w:val="Heading2"/>
        <w:numPr>
          <w:ilvl w:val="1"/>
          <w:numId w:val="13"/>
        </w:numPr>
        <w:ind w:left="1134" w:hanging="1134"/>
      </w:pPr>
      <w:bookmarkStart w:id="1564" w:name="_Toc165961801"/>
      <w:bookmarkStart w:id="1565" w:name="_Toc178963585"/>
      <w:r w:rsidRPr="00962783">
        <w:t xml:space="preserve">Local </w:t>
      </w:r>
      <w:r w:rsidRPr="009522D1">
        <w:t>public</w:t>
      </w:r>
      <w:r w:rsidRPr="00962783">
        <w:t xml:space="preserve"> </w:t>
      </w:r>
      <w:r w:rsidRPr="00361A32">
        <w:t>health</w:t>
      </w:r>
      <w:r w:rsidRPr="00962783">
        <w:t xml:space="preserve"> </w:t>
      </w:r>
      <w:r>
        <w:t>u</w:t>
      </w:r>
      <w:r w:rsidRPr="00962783">
        <w:t xml:space="preserve">nit </w:t>
      </w:r>
      <w:r>
        <w:t>b</w:t>
      </w:r>
      <w:r w:rsidRPr="00962783">
        <w:t>lock</w:t>
      </w:r>
      <w:r>
        <w:t>-</w:t>
      </w:r>
      <w:r w:rsidRPr="009522D1">
        <w:t>funded</w:t>
      </w:r>
      <w:r w:rsidRPr="00962783">
        <w:t xml:space="preserve"> </w:t>
      </w:r>
      <w:r w:rsidRPr="009522D1">
        <w:t>functions</w:t>
      </w:r>
      <w:bookmarkEnd w:id="1564"/>
      <w:bookmarkEnd w:id="1565"/>
    </w:p>
    <w:p w14:paraId="30FDC21B" w14:textId="2B02C6C7" w:rsidR="005B699B" w:rsidRDefault="005B699B" w:rsidP="005B699B">
      <w:pPr>
        <w:pStyle w:val="Body"/>
      </w:pPr>
      <w:r>
        <w:t xml:space="preserve">Local </w:t>
      </w:r>
      <w:r w:rsidR="00593CD6">
        <w:t xml:space="preserve">public health units </w:t>
      </w:r>
      <w:r>
        <w:t xml:space="preserve">(LPHUs) lead local health protection and public health efforts </w:t>
      </w:r>
      <w:r w:rsidR="00593CD6">
        <w:t>to keep</w:t>
      </w:r>
      <w:r>
        <w:t xml:space="preserve"> Victorians safe and well. </w:t>
      </w:r>
      <w:r w:rsidR="00593CD6">
        <w:t>They do this</w:t>
      </w:r>
      <w:r>
        <w:t xml:space="preserve"> by harnessing local connections, insights and priorities to </w:t>
      </w:r>
      <w:r w:rsidR="00593CD6">
        <w:t>tailor</w:t>
      </w:r>
      <w:r>
        <w:t xml:space="preserve"> health protection or public health response</w:t>
      </w:r>
      <w:r w:rsidR="00593CD6">
        <w:t>s</w:t>
      </w:r>
      <w:r>
        <w:t xml:space="preserve"> to the needs of </w:t>
      </w:r>
      <w:r w:rsidR="00593CD6">
        <w:t xml:space="preserve">their </w:t>
      </w:r>
      <w:r>
        <w:t xml:space="preserve">community. </w:t>
      </w:r>
    </w:p>
    <w:p w14:paraId="1778950C" w14:textId="1AB51F1C" w:rsidR="005B699B" w:rsidRPr="007B4C7B" w:rsidRDefault="6ED04190" w:rsidP="5DE0C124">
      <w:pPr>
        <w:pStyle w:val="Body"/>
        <w:rPr>
          <w:i/>
          <w:iCs/>
        </w:rPr>
      </w:pPr>
      <w:r>
        <w:t xml:space="preserve">All lead health services that maintain an LPHU receive funding for </w:t>
      </w:r>
      <w:r w:rsidRPr="0058543D">
        <w:rPr>
          <w:rStyle w:val="Emphasis"/>
        </w:rPr>
        <w:t>LPHU core operations</w:t>
      </w:r>
      <w:r>
        <w:t xml:space="preserve"> (health protection and public health incident and emergency response) and </w:t>
      </w:r>
      <w:r w:rsidRPr="0058543D">
        <w:rPr>
          <w:rStyle w:val="Emphasis"/>
        </w:rPr>
        <w:t>health advancement</w:t>
      </w:r>
      <w:r w:rsidRPr="5DE0C124">
        <w:rPr>
          <w:rStyle w:val="Emphasis"/>
        </w:rPr>
        <w:t xml:space="preserve"> </w:t>
      </w:r>
      <w:r w:rsidRPr="5DE0C124">
        <w:rPr>
          <w:rStyle w:val="Emphasis"/>
          <w:i w:val="0"/>
          <w:iCs w:val="0"/>
        </w:rPr>
        <w:t>(population health catchment plans)</w:t>
      </w:r>
      <w:r w:rsidRPr="5DE0C124">
        <w:rPr>
          <w:i/>
          <w:iCs/>
        </w:rPr>
        <w:t>.</w:t>
      </w:r>
      <w:r>
        <w:t xml:space="preserve"> </w:t>
      </w:r>
    </w:p>
    <w:p w14:paraId="120C4966" w14:textId="7A2CB01C" w:rsidR="005B699B" w:rsidRPr="007B4C7B" w:rsidRDefault="005B699B" w:rsidP="005B699B">
      <w:pPr>
        <w:pStyle w:val="Body"/>
      </w:pPr>
      <w:r w:rsidRPr="0082519D">
        <w:lastRenderedPageBreak/>
        <w:t xml:space="preserve">Funds </w:t>
      </w:r>
      <w:r w:rsidR="00C23CAD">
        <w:t xml:space="preserve">will be </w:t>
      </w:r>
      <w:r w:rsidR="70A9F4A7" w:rsidRPr="0082519D">
        <w:t xml:space="preserve">allocated </w:t>
      </w:r>
      <w:r w:rsidR="1D1AF850" w:rsidRPr="0082519D">
        <w:t>to deliver</w:t>
      </w:r>
      <w:r w:rsidRPr="0082519D">
        <w:t xml:space="preserve"> functions, duties and operations within the LPHU catchment, as defined by the department in the </w:t>
      </w:r>
      <w:r w:rsidR="0B2ACAD1" w:rsidRPr="0082519D">
        <w:t>funding letter,</w:t>
      </w:r>
      <w:r w:rsidRPr="0082519D">
        <w:t xml:space="preserve"> </w:t>
      </w:r>
      <w:hyperlink r:id="rId25" w:history="1">
        <w:r w:rsidR="32DD616B" w:rsidRPr="0082519D">
          <w:rPr>
            <w:rStyle w:val="Hyperlink"/>
          </w:rPr>
          <w:t>Statement of Priorities</w:t>
        </w:r>
      </w:hyperlink>
      <w:r w:rsidR="00F1479E">
        <w:rPr>
          <w:rStyle w:val="Hyperlink"/>
        </w:rPr>
        <w:t xml:space="preserve"> </w:t>
      </w:r>
      <w:r w:rsidRPr="0082519D">
        <w:t>&lt;</w:t>
      </w:r>
      <w:r w:rsidR="1D1AF850" w:rsidRPr="0082519D">
        <w:t>https://www.health.vic.gov.au/funding-performance-accountability/statements-of-priorities</w:t>
      </w:r>
      <w:r w:rsidR="21085582" w:rsidRPr="0082519D">
        <w:t>&gt;</w:t>
      </w:r>
      <w:r w:rsidR="594E4345" w:rsidRPr="0082519D">
        <w:t xml:space="preserve"> </w:t>
      </w:r>
      <w:r w:rsidR="65D99B18" w:rsidRPr="0082519D">
        <w:t xml:space="preserve">and </w:t>
      </w:r>
      <w:hyperlink r:id="rId26" w:history="1">
        <w:r w:rsidR="65D99B18" w:rsidRPr="0082519D">
          <w:rPr>
            <w:rStyle w:val="Hyperlink"/>
          </w:rPr>
          <w:t>Policy and Funding Guide</w:t>
        </w:r>
        <w:r w:rsidR="00E90823" w:rsidRPr="0082519D">
          <w:rPr>
            <w:rStyle w:val="Hyperlink"/>
          </w:rPr>
          <w:t>l</w:t>
        </w:r>
        <w:r w:rsidR="65D99B18" w:rsidRPr="0082519D">
          <w:rPr>
            <w:rStyle w:val="Hyperlink"/>
          </w:rPr>
          <w:t>ines</w:t>
        </w:r>
      </w:hyperlink>
      <w:r w:rsidR="00352499" w:rsidRPr="0082519D">
        <w:t xml:space="preserve"> </w:t>
      </w:r>
      <w:r w:rsidR="65D99B18" w:rsidRPr="0082519D">
        <w:t>&lt;https://www.health.vic.gov.au/policy-and-funding-guidelines-for-health-services&gt;</w:t>
      </w:r>
      <w:r w:rsidR="55B82D56" w:rsidRPr="0082519D">
        <w:t>.</w:t>
      </w:r>
    </w:p>
    <w:p w14:paraId="4F525AAF" w14:textId="77777777" w:rsidR="005B699B" w:rsidRDefault="005B699B" w:rsidP="001E4292">
      <w:pPr>
        <w:pStyle w:val="Heading3"/>
        <w:numPr>
          <w:ilvl w:val="2"/>
          <w:numId w:val="13"/>
        </w:numPr>
      </w:pPr>
      <w:r>
        <w:t>Business rules</w:t>
      </w:r>
    </w:p>
    <w:p w14:paraId="256DBD9F" w14:textId="79E22C82" w:rsidR="005B699B" w:rsidRDefault="005B699B" w:rsidP="005B699B">
      <w:pPr>
        <w:pStyle w:val="Body"/>
      </w:pPr>
      <w:r>
        <w:t xml:space="preserve">LPHU functions are funded by different grants allocated </w:t>
      </w:r>
      <w:r w:rsidRPr="00E75F26">
        <w:t xml:space="preserve">to a cost centre in </w:t>
      </w:r>
      <w:r w:rsidR="00593CD6" w:rsidRPr="00E75F26">
        <w:t xml:space="preserve">the </w:t>
      </w:r>
      <w:r w:rsidRPr="00E75F26">
        <w:t>Health Agencies Reporting Tool (HeART) for reporting purposes</w:t>
      </w:r>
      <w:r>
        <w:t xml:space="preserve">. Reporting and acquittals for these grants </w:t>
      </w:r>
      <w:r w:rsidR="0901117E">
        <w:t>are</w:t>
      </w:r>
      <w:r>
        <w:t xml:space="preserve"> done in accordance with the following table.</w:t>
      </w:r>
    </w:p>
    <w:p w14:paraId="71EE9D51" w14:textId="5AC2AEB5" w:rsidR="001E0EB3" w:rsidRPr="000E0ED2" w:rsidRDefault="000E0ED2" w:rsidP="000E0ED2">
      <w:pPr>
        <w:pStyle w:val="Tablecaption"/>
        <w:spacing w:line="250" w:lineRule="atLeast"/>
        <w:rPr>
          <w:rFonts w:eastAsia="Times"/>
        </w:rPr>
      </w:pPr>
      <w:bookmarkStart w:id="1566" w:name="_Toc176510392"/>
      <w:r>
        <w:t>Table 1.</w:t>
      </w:r>
      <w:r>
        <w:fldChar w:fldCharType="begin"/>
      </w:r>
      <w:r>
        <w:instrText>SEQ Table \* ARABIC \s 1</w:instrText>
      </w:r>
      <w:r>
        <w:fldChar w:fldCharType="separate"/>
      </w:r>
      <w:r w:rsidR="00F30C16">
        <w:rPr>
          <w:noProof/>
        </w:rPr>
        <w:t>1</w:t>
      </w:r>
      <w:r>
        <w:fldChar w:fldCharType="end"/>
      </w:r>
      <w:r w:rsidR="00E544C9">
        <w:rPr>
          <w:noProof/>
        </w:rPr>
        <w:t xml:space="preserve">: </w:t>
      </w:r>
      <w:r w:rsidR="001E0EB3">
        <w:t>LPHU</w:t>
      </w:r>
      <w:r w:rsidR="001E0EB3" w:rsidRPr="00A52FC8">
        <w:t xml:space="preserve"> cost centres</w:t>
      </w:r>
      <w:bookmarkEnd w:id="1566"/>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0"/>
        <w:gridCol w:w="1701"/>
        <w:gridCol w:w="6034"/>
      </w:tblGrid>
      <w:tr w:rsidR="005B699B" w14:paraId="3DBCCBC2" w14:textId="77777777" w:rsidTr="00C411D7">
        <w:trPr>
          <w:tblHeader/>
        </w:trPr>
        <w:tc>
          <w:tcPr>
            <w:tcW w:w="1550" w:type="dxa"/>
            <w:shd w:val="clear" w:color="auto" w:fill="auto"/>
          </w:tcPr>
          <w:p w14:paraId="533ECA78" w14:textId="77777777" w:rsidR="005B699B" w:rsidRPr="001D2232" w:rsidRDefault="005B699B" w:rsidP="00785BA1">
            <w:pPr>
              <w:pStyle w:val="Tablecolhead"/>
              <w:rPr>
                <w:rFonts w:eastAsia="Arial"/>
              </w:rPr>
            </w:pPr>
            <w:r w:rsidRPr="001D2232">
              <w:rPr>
                <w:rFonts w:eastAsia="Arial"/>
              </w:rPr>
              <w:t xml:space="preserve">HeART </w:t>
            </w:r>
            <w:r>
              <w:rPr>
                <w:rFonts w:eastAsia="Arial"/>
              </w:rPr>
              <w:t>c</w:t>
            </w:r>
            <w:r w:rsidRPr="001D2232">
              <w:rPr>
                <w:rFonts w:eastAsia="Arial"/>
              </w:rPr>
              <w:t xml:space="preserve">ost </w:t>
            </w:r>
            <w:r>
              <w:rPr>
                <w:rFonts w:eastAsia="Arial"/>
              </w:rPr>
              <w:t>c</w:t>
            </w:r>
            <w:r w:rsidRPr="001D2232">
              <w:rPr>
                <w:rFonts w:eastAsia="Arial"/>
              </w:rPr>
              <w:t xml:space="preserve">entre </w:t>
            </w:r>
            <w:r>
              <w:rPr>
                <w:rFonts w:eastAsia="Arial"/>
              </w:rPr>
              <w:t>c</w:t>
            </w:r>
            <w:r w:rsidRPr="001D2232">
              <w:rPr>
                <w:rFonts w:eastAsia="Arial"/>
              </w:rPr>
              <w:t>ode</w:t>
            </w:r>
          </w:p>
        </w:tc>
        <w:tc>
          <w:tcPr>
            <w:tcW w:w="1701" w:type="dxa"/>
            <w:shd w:val="clear" w:color="auto" w:fill="auto"/>
          </w:tcPr>
          <w:p w14:paraId="2AEA51A9" w14:textId="77777777" w:rsidR="005B699B" w:rsidRPr="001D2232" w:rsidRDefault="005B699B" w:rsidP="00785BA1">
            <w:pPr>
              <w:pStyle w:val="Tablecolhead"/>
              <w:rPr>
                <w:rFonts w:eastAsia="Arial"/>
              </w:rPr>
            </w:pPr>
            <w:r w:rsidRPr="001D2232">
              <w:rPr>
                <w:rFonts w:eastAsia="Arial"/>
              </w:rPr>
              <w:t xml:space="preserve">Name of </w:t>
            </w:r>
            <w:r>
              <w:rPr>
                <w:rFonts w:eastAsia="Arial"/>
              </w:rPr>
              <w:t>c</w:t>
            </w:r>
            <w:r w:rsidRPr="001D2232">
              <w:rPr>
                <w:rFonts w:eastAsia="Arial"/>
              </w:rPr>
              <w:t xml:space="preserve">ost </w:t>
            </w:r>
            <w:r>
              <w:rPr>
                <w:rFonts w:eastAsia="Arial"/>
              </w:rPr>
              <w:t>c</w:t>
            </w:r>
            <w:r w:rsidRPr="001D2232">
              <w:rPr>
                <w:rFonts w:eastAsia="Arial"/>
              </w:rPr>
              <w:t>entre</w:t>
            </w:r>
          </w:p>
        </w:tc>
        <w:tc>
          <w:tcPr>
            <w:tcW w:w="6034" w:type="dxa"/>
            <w:shd w:val="clear" w:color="auto" w:fill="auto"/>
          </w:tcPr>
          <w:p w14:paraId="7A4B81BB" w14:textId="77777777" w:rsidR="005B699B" w:rsidRPr="001D2232" w:rsidRDefault="005B699B" w:rsidP="00785BA1">
            <w:pPr>
              <w:pStyle w:val="Tablecolhead"/>
              <w:rPr>
                <w:rFonts w:eastAsia="Arial"/>
              </w:rPr>
            </w:pPr>
            <w:r w:rsidRPr="001D2232">
              <w:rPr>
                <w:rFonts w:eastAsia="Arial"/>
              </w:rPr>
              <w:t>Comments</w:t>
            </w:r>
          </w:p>
        </w:tc>
      </w:tr>
      <w:tr w:rsidR="005B699B" w14:paraId="3412A85A" w14:textId="77777777" w:rsidTr="00C411D7">
        <w:tc>
          <w:tcPr>
            <w:tcW w:w="1550" w:type="dxa"/>
          </w:tcPr>
          <w:p w14:paraId="0EE1AFD1" w14:textId="77777777" w:rsidR="005B699B" w:rsidRPr="001D2232" w:rsidRDefault="005B699B" w:rsidP="00785BA1">
            <w:pPr>
              <w:pStyle w:val="Tabletext"/>
              <w:rPr>
                <w:rFonts w:eastAsia="Arial"/>
              </w:rPr>
            </w:pPr>
            <w:r w:rsidRPr="001D2232">
              <w:rPr>
                <w:rFonts w:eastAsia="Arial"/>
              </w:rPr>
              <w:t>M1549</w:t>
            </w:r>
          </w:p>
        </w:tc>
        <w:tc>
          <w:tcPr>
            <w:tcW w:w="1701" w:type="dxa"/>
          </w:tcPr>
          <w:p w14:paraId="03228C58" w14:textId="77777777" w:rsidR="005B699B" w:rsidRPr="001D2232" w:rsidRDefault="005B699B" w:rsidP="00785BA1">
            <w:pPr>
              <w:pStyle w:val="Tabletext"/>
              <w:rPr>
                <w:rFonts w:eastAsia="Arial"/>
              </w:rPr>
            </w:pPr>
            <w:r w:rsidRPr="001D2232">
              <w:rPr>
                <w:rFonts w:eastAsia="Arial"/>
              </w:rPr>
              <w:t xml:space="preserve">LPHU </w:t>
            </w:r>
            <w:r>
              <w:rPr>
                <w:rFonts w:eastAsia="Arial"/>
              </w:rPr>
              <w:t>c</w:t>
            </w:r>
            <w:r w:rsidRPr="001D2232">
              <w:rPr>
                <w:rFonts w:eastAsia="Arial"/>
              </w:rPr>
              <w:t xml:space="preserve">ore </w:t>
            </w:r>
            <w:r>
              <w:rPr>
                <w:rFonts w:eastAsia="Arial"/>
              </w:rPr>
              <w:t>o</w:t>
            </w:r>
            <w:r w:rsidRPr="001D2232">
              <w:rPr>
                <w:rFonts w:eastAsia="Arial"/>
              </w:rPr>
              <w:t>perations</w:t>
            </w:r>
          </w:p>
        </w:tc>
        <w:tc>
          <w:tcPr>
            <w:tcW w:w="6034" w:type="dxa"/>
          </w:tcPr>
          <w:p w14:paraId="5F6EADE9" w14:textId="77777777" w:rsidR="005B699B" w:rsidRPr="00685B35" w:rsidRDefault="005B699B" w:rsidP="00785BA1">
            <w:pPr>
              <w:pStyle w:val="Tabletext"/>
              <w:rPr>
                <w:rFonts w:eastAsia="Arial"/>
              </w:rPr>
            </w:pPr>
            <w:r w:rsidRPr="00685B35">
              <w:rPr>
                <w:rFonts w:eastAsia="Arial"/>
              </w:rPr>
              <w:t>Core fixed-term (from July 2023</w:t>
            </w:r>
            <w:r>
              <w:rPr>
                <w:rFonts w:eastAsia="Arial"/>
              </w:rPr>
              <w:t xml:space="preserve"> to</w:t>
            </w:r>
            <w:r w:rsidRPr="00685B35">
              <w:rPr>
                <w:rFonts w:eastAsia="Arial"/>
              </w:rPr>
              <w:t xml:space="preserve"> June 2025) funding for LPHUs to deliver operational obligations. (Grant provided via MAPS ID 1437).</w:t>
            </w:r>
          </w:p>
        </w:tc>
      </w:tr>
      <w:tr w:rsidR="005B699B" w14:paraId="6401EFAF" w14:textId="77777777" w:rsidTr="00C411D7">
        <w:tc>
          <w:tcPr>
            <w:tcW w:w="1550" w:type="dxa"/>
          </w:tcPr>
          <w:p w14:paraId="4AD153F8" w14:textId="77777777" w:rsidR="005B699B" w:rsidRPr="001D2232" w:rsidRDefault="005B699B" w:rsidP="00785BA1">
            <w:pPr>
              <w:pStyle w:val="Tabletext"/>
              <w:rPr>
                <w:rFonts w:eastAsia="Arial"/>
              </w:rPr>
            </w:pPr>
            <w:r w:rsidRPr="001D2232">
              <w:rPr>
                <w:rFonts w:eastAsia="Arial"/>
              </w:rPr>
              <w:t>M1546</w:t>
            </w:r>
          </w:p>
        </w:tc>
        <w:tc>
          <w:tcPr>
            <w:tcW w:w="1701" w:type="dxa"/>
          </w:tcPr>
          <w:p w14:paraId="5B8F31AD" w14:textId="77777777" w:rsidR="005B699B" w:rsidRPr="001D2232" w:rsidRDefault="005B699B" w:rsidP="00785BA1">
            <w:pPr>
              <w:pStyle w:val="Tabletext"/>
              <w:rPr>
                <w:rFonts w:eastAsia="Arial"/>
              </w:rPr>
            </w:pPr>
            <w:r w:rsidRPr="001D2232">
              <w:rPr>
                <w:rFonts w:eastAsia="Arial"/>
              </w:rPr>
              <w:t xml:space="preserve">LPHU </w:t>
            </w:r>
            <w:r>
              <w:rPr>
                <w:rFonts w:eastAsia="Arial"/>
              </w:rPr>
              <w:t>p</w:t>
            </w:r>
            <w:r w:rsidRPr="001D2232">
              <w:rPr>
                <w:rFonts w:eastAsia="Arial"/>
              </w:rPr>
              <w:t>revention</w:t>
            </w:r>
          </w:p>
        </w:tc>
        <w:tc>
          <w:tcPr>
            <w:tcW w:w="6034" w:type="dxa"/>
          </w:tcPr>
          <w:p w14:paraId="1F7198DC" w14:textId="77777777" w:rsidR="005B699B" w:rsidRPr="00685B35" w:rsidRDefault="005B699B" w:rsidP="00785BA1">
            <w:pPr>
              <w:pStyle w:val="Tabletext"/>
              <w:rPr>
                <w:rFonts w:eastAsia="Arial"/>
              </w:rPr>
            </w:pPr>
            <w:r w:rsidRPr="00685B35">
              <w:rPr>
                <w:rFonts w:eastAsia="Arial"/>
              </w:rPr>
              <w:t>Ongoing LPHU prevention (i.e. health advancement) funding. (Grant provided via MAPS ID 1349).</w:t>
            </w:r>
          </w:p>
        </w:tc>
      </w:tr>
      <w:tr w:rsidR="005B699B" w14:paraId="7726F77C" w14:textId="77777777" w:rsidTr="00C411D7">
        <w:tc>
          <w:tcPr>
            <w:tcW w:w="1550" w:type="dxa"/>
          </w:tcPr>
          <w:p w14:paraId="3954FC85" w14:textId="77777777" w:rsidR="005B699B" w:rsidRPr="001D2232" w:rsidRDefault="005B699B" w:rsidP="00785BA1">
            <w:pPr>
              <w:pStyle w:val="Tabletext"/>
              <w:rPr>
                <w:rFonts w:eastAsia="Arial"/>
              </w:rPr>
            </w:pPr>
            <w:r w:rsidRPr="001D2232">
              <w:rPr>
                <w:rFonts w:eastAsia="Arial"/>
              </w:rPr>
              <w:t>M1588-98</w:t>
            </w:r>
          </w:p>
        </w:tc>
        <w:tc>
          <w:tcPr>
            <w:tcW w:w="1701" w:type="dxa"/>
          </w:tcPr>
          <w:p w14:paraId="0C683C08" w14:textId="77777777" w:rsidR="005B699B" w:rsidRPr="001D2232" w:rsidRDefault="005B699B" w:rsidP="00785BA1">
            <w:pPr>
              <w:pStyle w:val="Tabletext"/>
              <w:rPr>
                <w:rFonts w:eastAsia="Arial"/>
              </w:rPr>
            </w:pPr>
            <w:r w:rsidRPr="001D2232">
              <w:rPr>
                <w:rFonts w:eastAsia="Arial"/>
              </w:rPr>
              <w:t xml:space="preserve">LPHU </w:t>
            </w:r>
            <w:r>
              <w:rPr>
                <w:rFonts w:eastAsia="Arial"/>
              </w:rPr>
              <w:t>a</w:t>
            </w:r>
            <w:r w:rsidRPr="001D2232">
              <w:rPr>
                <w:rFonts w:eastAsia="Arial"/>
              </w:rPr>
              <w:t xml:space="preserve">dditional </w:t>
            </w:r>
            <w:r>
              <w:rPr>
                <w:rFonts w:eastAsia="Arial"/>
              </w:rPr>
              <w:t>g</w:t>
            </w:r>
            <w:r w:rsidRPr="001D2232">
              <w:rPr>
                <w:rFonts w:eastAsia="Arial"/>
              </w:rPr>
              <w:t>rants</w:t>
            </w:r>
          </w:p>
        </w:tc>
        <w:tc>
          <w:tcPr>
            <w:tcW w:w="6034" w:type="dxa"/>
          </w:tcPr>
          <w:p w14:paraId="15D3BDD9" w14:textId="0DC95982" w:rsidR="005B699B" w:rsidRPr="00685B35" w:rsidRDefault="005B699B" w:rsidP="00785BA1">
            <w:pPr>
              <w:pStyle w:val="Tabletext"/>
              <w:rPr>
                <w:rFonts w:eastAsia="Arial"/>
              </w:rPr>
            </w:pPr>
            <w:r w:rsidRPr="00685B35">
              <w:rPr>
                <w:rFonts w:eastAsia="Arial"/>
              </w:rPr>
              <w:t>This cost centre range is to be used for reporting on ad</w:t>
            </w:r>
            <w:r>
              <w:rPr>
                <w:rFonts w:eastAsia="Arial"/>
              </w:rPr>
              <w:t xml:space="preserve"> </w:t>
            </w:r>
            <w:r w:rsidRPr="00685B35">
              <w:rPr>
                <w:rFonts w:eastAsia="Arial"/>
              </w:rPr>
              <w:t>hoc grants. A single cost centre within the range will be assigned and communicated in grant funding letter</w:t>
            </w:r>
            <w:r w:rsidR="00D47931">
              <w:rPr>
                <w:rFonts w:eastAsia="Arial"/>
              </w:rPr>
              <w:t>s</w:t>
            </w:r>
            <w:r w:rsidRPr="00685B35">
              <w:rPr>
                <w:rFonts w:eastAsia="Arial"/>
              </w:rPr>
              <w:t>.</w:t>
            </w:r>
          </w:p>
        </w:tc>
      </w:tr>
    </w:tbl>
    <w:p w14:paraId="3E0E368A" w14:textId="77777777" w:rsidR="005B699B" w:rsidRPr="00593CD6" w:rsidRDefault="005B699B" w:rsidP="005476DC">
      <w:pPr>
        <w:pStyle w:val="Body"/>
        <w:spacing w:before="240"/>
      </w:pPr>
      <w:r w:rsidRPr="00593CD6">
        <w:t xml:space="preserve">For mutual visibility of performance in relation to health protection functions – and to comply with data collection requirements described in the </w:t>
      </w:r>
      <w:r w:rsidRPr="005476DC">
        <w:t>Policy Guide</w:t>
      </w:r>
      <w:r w:rsidRPr="00593CD6">
        <w:t xml:space="preserve"> – LPHUs will complete the minimum required fields on statewide systems. Minimum required fields related to the investigation of cases and outbreaks and the management of notifiable conditions are described in condition-specific protocols, outbreak-specific guidelines, system-specific agreements and quick-entry guide documents.</w:t>
      </w:r>
    </w:p>
    <w:p w14:paraId="424F162A" w14:textId="33ED3EE5" w:rsidR="005B699B" w:rsidRDefault="005B699B" w:rsidP="005B699B">
      <w:pPr>
        <w:pStyle w:val="Body"/>
      </w:pPr>
      <w:r w:rsidRPr="0029681D">
        <w:t xml:space="preserve">The </w:t>
      </w:r>
      <w:r>
        <w:t>operation</w:t>
      </w:r>
      <w:r w:rsidRPr="0029681D">
        <w:t xml:space="preserve"> of </w:t>
      </w:r>
      <w:r>
        <w:t>an LPHU is defined as</w:t>
      </w:r>
      <w:r w:rsidRPr="0029681D">
        <w:t xml:space="preserve"> a </w:t>
      </w:r>
      <w:r w:rsidRPr="00E75F26">
        <w:t>specially identified purpose</w:t>
      </w:r>
      <w:r>
        <w:t>. This means that health services may not redistribute these funds</w:t>
      </w:r>
      <w:r w:rsidR="00593CD6">
        <w:t>,</w:t>
      </w:r>
      <w:r>
        <w:t xml:space="preserve"> as </w:t>
      </w:r>
      <w:r w:rsidR="00593CD6">
        <w:t xml:space="preserve">set out in </w:t>
      </w:r>
      <w:r>
        <w:t xml:space="preserve">section </w:t>
      </w:r>
      <w:r w:rsidRPr="00E75F26">
        <w:fldChar w:fldCharType="begin"/>
      </w:r>
      <w:r w:rsidRPr="00E75F26">
        <w:instrText xml:space="preserve"> REF _Ref165635415 \w \h </w:instrText>
      </w:r>
      <w:r w:rsidR="00E75F26">
        <w:instrText xml:space="preserve"> \* MERGEFORMAT </w:instrText>
      </w:r>
      <w:r w:rsidRPr="00E75F26">
        <w:fldChar w:fldCharType="separate"/>
      </w:r>
      <w:r w:rsidR="00F30C16" w:rsidRPr="00E75F26">
        <w:t>14.</w:t>
      </w:r>
      <w:r w:rsidR="00543255" w:rsidRPr="00E75F26">
        <w:t>4</w:t>
      </w:r>
      <w:r w:rsidRPr="00E75F26">
        <w:fldChar w:fldCharType="end"/>
      </w:r>
      <w:r>
        <w:t xml:space="preserve"> </w:t>
      </w:r>
      <w:r w:rsidRPr="00E75F26">
        <w:fldChar w:fldCharType="begin"/>
      </w:r>
      <w:r w:rsidRPr="00E75F26">
        <w:instrText xml:space="preserve"> REF _Ref165637265 \h </w:instrText>
      </w:r>
      <w:r w:rsidR="00E75F26">
        <w:instrText xml:space="preserve"> \* MERGEFORMAT </w:instrText>
      </w:r>
      <w:r w:rsidRPr="00E75F26">
        <w:fldChar w:fldCharType="separate"/>
      </w:r>
      <w:r w:rsidR="00543255" w:rsidRPr="00E75F26">
        <w:t>Redirection of funds</w:t>
      </w:r>
      <w:r w:rsidRPr="00E75F26">
        <w:fldChar w:fldCharType="end"/>
      </w:r>
      <w:r>
        <w:t>.</w:t>
      </w:r>
    </w:p>
    <w:p w14:paraId="6F120E6A" w14:textId="77777777" w:rsidR="005B699B" w:rsidRPr="004368A6" w:rsidRDefault="005B699B" w:rsidP="005B699B">
      <w:pPr>
        <w:pStyle w:val="Body"/>
      </w:pPr>
      <w:r w:rsidRPr="00685B35">
        <w:t>Unexpended funding</w:t>
      </w:r>
      <w:r>
        <w:t xml:space="preserve"> provided to lead health services in connection with LPHU operations and LPHU prevention functions may not be used for any purpose beyond that for which it was granted, unless clearly defined and</w:t>
      </w:r>
      <w:r w:rsidRPr="00A472C6">
        <w:t xml:space="preserve"> approved by the department</w:t>
      </w:r>
      <w:r>
        <w:t>.</w:t>
      </w:r>
    </w:p>
    <w:p w14:paraId="22BFEB73" w14:textId="77777777" w:rsidR="005B699B" w:rsidRPr="00084C04" w:rsidRDefault="005B699B" w:rsidP="001E4292">
      <w:pPr>
        <w:pStyle w:val="Heading2"/>
        <w:numPr>
          <w:ilvl w:val="1"/>
          <w:numId w:val="13"/>
        </w:numPr>
        <w:ind w:left="1134" w:hanging="1134"/>
      </w:pPr>
      <w:bookmarkStart w:id="1567" w:name="_Toc165961802"/>
      <w:bookmarkStart w:id="1568" w:name="_Toc178963586"/>
      <w:r w:rsidRPr="00D3592D">
        <w:t>Radiotherapy</w:t>
      </w:r>
      <w:bookmarkEnd w:id="1567"/>
      <w:bookmarkEnd w:id="1568"/>
    </w:p>
    <w:p w14:paraId="6284E024" w14:textId="370D8822" w:rsidR="00A93407" w:rsidRPr="00084C04" w:rsidRDefault="005B699B" w:rsidP="005B699B">
      <w:pPr>
        <w:pStyle w:val="Body"/>
      </w:pPr>
      <w:r w:rsidRPr="00084C04">
        <w:t xml:space="preserve">Public radiotherapy services are provided at 12 </w:t>
      </w:r>
      <w:r w:rsidRPr="00E75F26">
        <w:t>hospitals</w:t>
      </w:r>
      <w:r w:rsidRPr="00084C04">
        <w:t xml:space="preserve"> in Victoria across metropolitan and regional campuses.</w:t>
      </w:r>
    </w:p>
    <w:p w14:paraId="3847FB20" w14:textId="77777777" w:rsidR="005B699B" w:rsidRPr="00084C04" w:rsidRDefault="005B699B" w:rsidP="001E4292">
      <w:pPr>
        <w:pStyle w:val="Heading3"/>
        <w:numPr>
          <w:ilvl w:val="2"/>
          <w:numId w:val="13"/>
        </w:numPr>
      </w:pPr>
      <w:r w:rsidRPr="00084C04">
        <w:t>Non-</w:t>
      </w:r>
      <w:r>
        <w:t>a</w:t>
      </w:r>
      <w:r w:rsidRPr="00084C04">
        <w:t xml:space="preserve">dmitted </w:t>
      </w:r>
      <w:r>
        <w:t>r</w:t>
      </w:r>
      <w:r w:rsidRPr="00084C04">
        <w:t xml:space="preserve">adiotherapy </w:t>
      </w:r>
      <w:r>
        <w:t>f</w:t>
      </w:r>
      <w:r w:rsidRPr="00084C04">
        <w:t xml:space="preserve">unding </w:t>
      </w:r>
      <w:r>
        <w:t>m</w:t>
      </w:r>
      <w:r w:rsidRPr="00084C04">
        <w:t>odel</w:t>
      </w:r>
    </w:p>
    <w:p w14:paraId="3C79D344" w14:textId="77777777" w:rsidR="005B699B" w:rsidRPr="00084C04" w:rsidRDefault="005B699B" w:rsidP="005B699B">
      <w:pPr>
        <w:pStyle w:val="Body"/>
      </w:pPr>
      <w:r w:rsidRPr="00084C04">
        <w:t>Radiotherapy is predominantly provided on an outpatient basis and funded under a specific complexity-based funding model. Under this model, the various components of a course of radiotherapy are weighted and aggregated for each course of care. Remaining activity is admitted and may be eligible for NWAU.</w:t>
      </w:r>
    </w:p>
    <w:p w14:paraId="28AAACF9" w14:textId="74DA354E" w:rsidR="005B699B" w:rsidRPr="00084C04" w:rsidRDefault="005B699B" w:rsidP="005B699B">
      <w:pPr>
        <w:pStyle w:val="Body"/>
      </w:pPr>
      <w:r w:rsidRPr="00084C04">
        <w:lastRenderedPageBreak/>
        <w:t>The health services</w:t>
      </w:r>
      <w:r w:rsidRPr="00084C04" w:rsidDel="00593CD6">
        <w:t xml:space="preserve"> </w:t>
      </w:r>
      <w:r w:rsidRPr="00084C04">
        <w:t xml:space="preserve">funded under the non-admitted radiotherapy funding model are Alfred Health, Austin Health, Barwon Health and the Peter MacCallum Cancer Centre. These four ‘hub’ services also receive funding for the </w:t>
      </w:r>
      <w:r w:rsidR="00437C63" w:rsidRPr="00437C63">
        <w:t>be</w:t>
      </w:r>
      <w:r w:rsidRPr="00437C63">
        <w:t>spoke</w:t>
      </w:r>
      <w:r w:rsidRPr="00084C04">
        <w:t xml:space="preserve"> services they operate across metropolitan Melbourne and regional Victoria. The remaining two public services are contracted services operated on behalf of the government by private providers.</w:t>
      </w:r>
    </w:p>
    <w:p w14:paraId="36BA9B0F" w14:textId="77777777" w:rsidR="005B699B" w:rsidRPr="00084C04" w:rsidRDefault="005B699B" w:rsidP="005B699B">
      <w:pPr>
        <w:pStyle w:val="Body"/>
      </w:pPr>
      <w:r w:rsidRPr="00084C04">
        <w:t xml:space="preserve">Refer to the website to </w:t>
      </w:r>
      <w:r>
        <w:t>f</w:t>
      </w:r>
      <w:r w:rsidRPr="00084C04">
        <w:t xml:space="preserve">ind </w:t>
      </w:r>
      <w:hyperlink r:id="rId27">
        <w:r w:rsidRPr="13D0FBE2">
          <w:rPr>
            <w:rStyle w:val="Hyperlink"/>
          </w:rPr>
          <w:t>radiotherapy locations</w:t>
        </w:r>
      </w:hyperlink>
      <w:r w:rsidRPr="00084C04">
        <w:t xml:space="preserve"> &lt;https://www.health.vic.gov.au/health-strategies/radiotherapy-service-locations&gt;.</w:t>
      </w:r>
    </w:p>
    <w:p w14:paraId="2FDB56AE" w14:textId="2D494A5C" w:rsidR="005B699B" w:rsidRDefault="005B699B" w:rsidP="005B699B">
      <w:pPr>
        <w:pStyle w:val="Body"/>
      </w:pPr>
      <w:r>
        <w:t xml:space="preserve">A new public Superficial X-Ray Therapy service </w:t>
      </w:r>
      <w:r w:rsidRPr="00AA3A83">
        <w:t>is expected to commence in early 2024–25 in</w:t>
      </w:r>
      <w:r>
        <w:t xml:space="preserve"> East Gippsland (Sale)</w:t>
      </w:r>
      <w:r w:rsidR="00593CD6">
        <w:t>,</w:t>
      </w:r>
      <w:r>
        <w:t xml:space="preserve"> which will also be funded under this model.</w:t>
      </w:r>
    </w:p>
    <w:p w14:paraId="0C992EF3" w14:textId="77777777" w:rsidR="005B699B" w:rsidRPr="00084C04" w:rsidRDefault="005B699B" w:rsidP="005B699B">
      <w:pPr>
        <w:pStyle w:val="Body"/>
      </w:pPr>
      <w:r>
        <w:t>I</w:t>
      </w:r>
      <w:r w:rsidRPr="00084C04">
        <w:t>n</w:t>
      </w:r>
      <w:r>
        <w:t xml:space="preserve"> 2024–25</w:t>
      </w:r>
      <w:r w:rsidRPr="13D0FBE2">
        <w:rPr>
          <w:lang w:val="en-US"/>
        </w:rPr>
        <w:t xml:space="preserve"> </w:t>
      </w:r>
      <w:r w:rsidRPr="00084C04">
        <w:t>funding for non-admitted radiotherapy services will continue to comprise:</w:t>
      </w:r>
    </w:p>
    <w:p w14:paraId="6BAADCAB" w14:textId="50455695" w:rsidR="005B699B" w:rsidRPr="00084C04" w:rsidRDefault="005B699B" w:rsidP="00CE12D2">
      <w:pPr>
        <w:pStyle w:val="Bullet1"/>
        <w:numPr>
          <w:ilvl w:val="0"/>
          <w:numId w:val="37"/>
        </w:numPr>
      </w:pPr>
      <w:r>
        <w:t>a variable payment per weighted activity unit (WAU) to set targets for public, the Department of Veterans’ Affairs and private patient categories (</w:t>
      </w:r>
      <w:r w:rsidR="00593CD6">
        <w:t>c</w:t>
      </w:r>
      <w:r>
        <w:t>osts for associated services are included in this payment and must be provided to all patients as required)</w:t>
      </w:r>
    </w:p>
    <w:p w14:paraId="14E07566" w14:textId="77777777" w:rsidR="005B699B" w:rsidRPr="00084C04" w:rsidRDefault="005B699B" w:rsidP="00CE12D2">
      <w:pPr>
        <w:pStyle w:val="Bullet1"/>
        <w:numPr>
          <w:ilvl w:val="0"/>
          <w:numId w:val="37"/>
        </w:numPr>
      </w:pPr>
      <w:r>
        <w:t>a Department of Veterans’ Affairs premium (where applicable) above the variable payment</w:t>
      </w:r>
    </w:p>
    <w:p w14:paraId="0204857A" w14:textId="77777777" w:rsidR="005B699B" w:rsidRPr="00084C04" w:rsidRDefault="005B699B" w:rsidP="00CE12D2">
      <w:pPr>
        <w:pStyle w:val="Bullet1"/>
        <w:numPr>
          <w:ilvl w:val="0"/>
          <w:numId w:val="37"/>
        </w:numPr>
      </w:pPr>
      <w:r>
        <w:t>a variable payment per WAU plus a fixed payment where it is a statewide radiotherapy service involving a specialist radiotherapy machine delivering the radiation therapy (Gamma Knife and MR-Linac).</w:t>
      </w:r>
    </w:p>
    <w:p w14:paraId="02814E60" w14:textId="7220D05D" w:rsidR="005B699B" w:rsidRPr="00084C04" w:rsidRDefault="005B699B" w:rsidP="005B699B">
      <w:pPr>
        <w:pStyle w:val="Bodyafterbullets"/>
      </w:pPr>
      <w:r w:rsidRPr="00084C04">
        <w:t>The WAU price can be found in section</w:t>
      </w:r>
      <w:r>
        <w:t xml:space="preserve"> </w:t>
      </w:r>
      <w:r>
        <w:fldChar w:fldCharType="begin"/>
      </w:r>
      <w:r>
        <w:instrText xml:space="preserve"> REF _Ref144043389 \r \h </w:instrText>
      </w:r>
      <w:r>
        <w:fldChar w:fldCharType="separate"/>
      </w:r>
      <w:r w:rsidR="00F30C16">
        <w:t>15</w:t>
      </w:r>
      <w:r>
        <w:fldChar w:fldCharType="end"/>
      </w:r>
      <w:r>
        <w:t xml:space="preserve"> </w:t>
      </w:r>
      <w:r w:rsidRPr="00AD54C1">
        <w:fldChar w:fldCharType="begin"/>
      </w:r>
      <w:r w:rsidRPr="00AD54C1">
        <w:instrText xml:space="preserve"> REF _Ref165637299 \h  \* MERGEFORMAT </w:instrText>
      </w:r>
      <w:r w:rsidRPr="00AD54C1">
        <w:fldChar w:fldCharType="separate"/>
      </w:r>
      <w:r w:rsidR="00543255">
        <w:t>Price tables</w:t>
      </w:r>
      <w:r w:rsidRPr="00AD54C1">
        <w:fldChar w:fldCharType="end"/>
      </w:r>
      <w:r w:rsidRPr="00AD54C1">
        <w:t>.</w:t>
      </w:r>
    </w:p>
    <w:p w14:paraId="35A85D12" w14:textId="7F657E19" w:rsidR="005B699B" w:rsidRPr="00084C04" w:rsidRDefault="005B699B" w:rsidP="005B699B">
      <w:pPr>
        <w:pStyle w:val="Body"/>
      </w:pPr>
      <w:r w:rsidRPr="00084C04">
        <w:t>Current</w:t>
      </w:r>
      <w:r w:rsidR="00452A6F">
        <w:t>-</w:t>
      </w:r>
      <w:r w:rsidRPr="00084C04">
        <w:t xml:space="preserve">year WAU targets and health service information are available on the </w:t>
      </w:r>
      <w:hyperlink r:id="rId28" w:history="1">
        <w:r w:rsidRPr="00282976">
          <w:rPr>
            <w:rStyle w:val="Hyperlink"/>
          </w:rPr>
          <w:t>Radiotherapy webpage</w:t>
        </w:r>
      </w:hyperlink>
      <w:r w:rsidRPr="00084C04">
        <w:t xml:space="preserve"> &lt;https://www.health.vic.gov.au/health-strategies/radiotherapy-services&gt;.</w:t>
      </w:r>
    </w:p>
    <w:p w14:paraId="17073BC0" w14:textId="77777777" w:rsidR="005B699B" w:rsidRDefault="005B699B" w:rsidP="005B699B">
      <w:pPr>
        <w:pStyle w:val="Body"/>
        <w:rPr>
          <w:lang w:eastAsia="en-AU"/>
        </w:rPr>
      </w:pPr>
      <w:r w:rsidRPr="00084C04">
        <w:rPr>
          <w:lang w:eastAsia="en-AU"/>
        </w:rPr>
        <w:t xml:space="preserve">In addition to the </w:t>
      </w:r>
      <w:r>
        <w:rPr>
          <w:lang w:eastAsia="en-AU"/>
        </w:rPr>
        <w:t>s</w:t>
      </w:r>
      <w:r w:rsidRPr="00084C04">
        <w:rPr>
          <w:lang w:eastAsia="en-AU"/>
        </w:rPr>
        <w:t>tate contribution for radiotherapy, health services will retain all third-party revenue. Changes to third-party revenue will be considered annually in determining WAU pricing.</w:t>
      </w:r>
    </w:p>
    <w:p w14:paraId="0B8BFA23" w14:textId="55018CC7" w:rsidR="005B699B" w:rsidRDefault="005B699B" w:rsidP="001E4292">
      <w:pPr>
        <w:pStyle w:val="Heading3"/>
        <w:numPr>
          <w:ilvl w:val="2"/>
          <w:numId w:val="13"/>
        </w:numPr>
        <w:rPr>
          <w:lang w:eastAsia="en-AU"/>
        </w:rPr>
      </w:pPr>
      <w:r w:rsidRPr="13D0FBE2">
        <w:rPr>
          <w:lang w:eastAsia="en-AU"/>
        </w:rPr>
        <w:t xml:space="preserve">Radiotherapy </w:t>
      </w:r>
      <w:r>
        <w:rPr>
          <w:lang w:eastAsia="en-AU"/>
        </w:rPr>
        <w:t>d</w:t>
      </w:r>
      <w:r w:rsidRPr="13D0FBE2">
        <w:rPr>
          <w:lang w:eastAsia="en-AU"/>
        </w:rPr>
        <w:t>ata</w:t>
      </w:r>
    </w:p>
    <w:p w14:paraId="1407CBD6" w14:textId="3D0B9D3E" w:rsidR="005B699B" w:rsidRDefault="005B699B" w:rsidP="005B699B">
      <w:pPr>
        <w:pStyle w:val="Body"/>
        <w:rPr>
          <w:lang w:eastAsia="en-AU"/>
        </w:rPr>
      </w:pPr>
      <w:r w:rsidRPr="3AA005A8">
        <w:rPr>
          <w:lang w:eastAsia="en-AU"/>
        </w:rPr>
        <w:t xml:space="preserve">The </w:t>
      </w:r>
      <w:r w:rsidRPr="00C13FCA">
        <w:rPr>
          <w:lang w:eastAsia="en-AU"/>
        </w:rPr>
        <w:t xml:space="preserve">Victorian Radiotherapy Minimum Data Set </w:t>
      </w:r>
      <w:r w:rsidRPr="3AA005A8">
        <w:rPr>
          <w:lang w:eastAsia="en-AU"/>
        </w:rPr>
        <w:t xml:space="preserve">is the key source of radiotherapy data for funding and service planning. Consultations, treatment and simulation are collected via the AIMS S8 </w:t>
      </w:r>
      <w:r>
        <w:rPr>
          <w:lang w:eastAsia="en-AU"/>
        </w:rPr>
        <w:t>f</w:t>
      </w:r>
      <w:r w:rsidRPr="3AA005A8">
        <w:rPr>
          <w:lang w:eastAsia="en-AU"/>
        </w:rPr>
        <w:t xml:space="preserve">orm and at patient level via the </w:t>
      </w:r>
      <w:r w:rsidR="00452A6F">
        <w:rPr>
          <w:lang w:eastAsia="en-AU"/>
        </w:rPr>
        <w:t>VINAH</w:t>
      </w:r>
      <w:r w:rsidRPr="3AA005A8">
        <w:rPr>
          <w:lang w:eastAsia="en-AU"/>
        </w:rPr>
        <w:t xml:space="preserve"> minimum dataset or the </w:t>
      </w:r>
      <w:r w:rsidR="00452A6F">
        <w:rPr>
          <w:lang w:eastAsia="en-AU"/>
        </w:rPr>
        <w:t>NADC</w:t>
      </w:r>
      <w:r w:rsidRPr="3AA005A8">
        <w:rPr>
          <w:lang w:eastAsia="en-AU"/>
        </w:rPr>
        <w:t xml:space="preserve">. In addition, it is expected that health services maintain and report radiotherapy patient-level costing data via the </w:t>
      </w:r>
      <w:r w:rsidR="00452A6F">
        <w:rPr>
          <w:lang w:eastAsia="en-AU"/>
        </w:rPr>
        <w:t>VCDC</w:t>
      </w:r>
      <w:r w:rsidRPr="3AA005A8">
        <w:rPr>
          <w:lang w:eastAsia="en-AU"/>
        </w:rPr>
        <w:t>.</w:t>
      </w:r>
    </w:p>
    <w:p w14:paraId="0A239049" w14:textId="77777777" w:rsidR="005B699B" w:rsidRPr="00084C04" w:rsidRDefault="005B699B" w:rsidP="001E4292">
      <w:pPr>
        <w:pStyle w:val="Heading3"/>
        <w:numPr>
          <w:ilvl w:val="2"/>
          <w:numId w:val="13"/>
        </w:numPr>
      </w:pPr>
      <w:r w:rsidRPr="00084C04">
        <w:t xml:space="preserve">Contracted </w:t>
      </w:r>
      <w:r>
        <w:t>s</w:t>
      </w:r>
      <w:r w:rsidRPr="00084C04">
        <w:t>ervices</w:t>
      </w:r>
    </w:p>
    <w:p w14:paraId="1162F533" w14:textId="77777777" w:rsidR="005B699B" w:rsidRDefault="005B699B" w:rsidP="005B699B">
      <w:pPr>
        <w:pStyle w:val="Body"/>
      </w:pPr>
      <w:r w:rsidRPr="00084C04">
        <w:t xml:space="preserve">The department funds contract arrangements with private sector radiotherapy operators to provide public radiotherapy services at South West Healthcare Warrnambool and at Albury Wodonga Health. </w:t>
      </w:r>
    </w:p>
    <w:p w14:paraId="1C654D3E" w14:textId="293272B1" w:rsidR="005B699B" w:rsidRDefault="005B699B" w:rsidP="005B699B">
      <w:pPr>
        <w:pStyle w:val="Body"/>
      </w:pPr>
      <w:r w:rsidRPr="00084C04">
        <w:t>Under these arrangements</w:t>
      </w:r>
      <w:r>
        <w:t>,</w:t>
      </w:r>
      <w:r w:rsidRPr="00084C04">
        <w:t xml:space="preserve"> all patients are treated with no out-of-pocket costs</w:t>
      </w:r>
      <w:r>
        <w:t>. T</w:t>
      </w:r>
      <w:r w:rsidRPr="00084C04">
        <w:t>he private operators actively participat</w:t>
      </w:r>
      <w:r>
        <w:t>e</w:t>
      </w:r>
      <w:r w:rsidRPr="00084C04">
        <w:t xml:space="preserve"> in public multidisciplinary cancer meetings and provid</w:t>
      </w:r>
      <w:r w:rsidR="00452A6F">
        <w:t>e</w:t>
      </w:r>
      <w:r w:rsidRPr="00084C04">
        <w:t xml:space="preserve"> specialist outreach services across their regions. </w:t>
      </w:r>
    </w:p>
    <w:p w14:paraId="75510156" w14:textId="77777777" w:rsidR="005B699B" w:rsidRPr="00084C04" w:rsidRDefault="005B699B" w:rsidP="005B699B">
      <w:pPr>
        <w:pStyle w:val="Body"/>
      </w:pPr>
      <w:r w:rsidRPr="00084C04">
        <w:t>The department also funds a contract arrangement between a private sector radiotherapy operator in Shepparton and Goulburn Valley Health. Under this arrangement</w:t>
      </w:r>
      <w:r>
        <w:t>,</w:t>
      </w:r>
      <w:r w:rsidRPr="00084C04">
        <w:t xml:space="preserve"> appropriate public patients at Goulburn Valley Health can receive radiotherapy with no out-of-pocket cost</w:t>
      </w:r>
      <w:r>
        <w:t>s</w:t>
      </w:r>
      <w:r w:rsidRPr="00084C04">
        <w:t xml:space="preserve">. </w:t>
      </w:r>
      <w:r>
        <w:t>A</w:t>
      </w:r>
      <w:r w:rsidRPr="00084C04">
        <w:t xml:space="preserve"> similar arrangement </w:t>
      </w:r>
      <w:r>
        <w:t>operates</w:t>
      </w:r>
      <w:r w:rsidRPr="00084C04">
        <w:t xml:space="preserve"> in Mildura so that appropriate public patients at Mildura Base Public Hospital can receive radiotherapy locally from a private sector radiotherapy operator with no out-of-pocket </w:t>
      </w:r>
      <w:r>
        <w:t>expenses.</w:t>
      </w:r>
    </w:p>
    <w:p w14:paraId="3FAD3AD3" w14:textId="77777777" w:rsidR="005B699B" w:rsidRPr="00084C04" w:rsidRDefault="005B699B" w:rsidP="001E4292">
      <w:pPr>
        <w:pStyle w:val="Heading3"/>
        <w:numPr>
          <w:ilvl w:val="2"/>
          <w:numId w:val="13"/>
        </w:numPr>
      </w:pPr>
      <w:r>
        <w:lastRenderedPageBreak/>
        <w:t>Non-admitted radiotherapy shared care</w:t>
      </w:r>
    </w:p>
    <w:p w14:paraId="73B690C8" w14:textId="77777777" w:rsidR="005B699B" w:rsidRDefault="005B699B" w:rsidP="005B699B">
      <w:pPr>
        <w:pStyle w:val="Body"/>
      </w:pPr>
      <w:r>
        <w:t xml:space="preserve">The department provides funding to eligible metropolitan public health services that have entered into shared care contracts with local private radiotherapy operators when there is no public service. </w:t>
      </w:r>
    </w:p>
    <w:p w14:paraId="3DDD4A95" w14:textId="77777777" w:rsidR="005B699B" w:rsidRDefault="005B699B" w:rsidP="005B699B">
      <w:pPr>
        <w:pStyle w:val="Body"/>
      </w:pPr>
      <w:r>
        <w:t xml:space="preserve">Under these arrangements, disadvantaged cancer patients with eligible concession cards can receive care as public patients. They can also access radiotherapy from a local private operator when this is closer than a public provider. Shared care is coordinated by the public hospital as part of the patient's cancer care at no cost to the patient. </w:t>
      </w:r>
    </w:p>
    <w:p w14:paraId="6D830E9E" w14:textId="77777777" w:rsidR="005B699B" w:rsidRPr="00084C04" w:rsidRDefault="005B699B" w:rsidP="005B699B">
      <w:pPr>
        <w:pStyle w:val="Body"/>
      </w:pPr>
      <w:r>
        <w:t>Health services that currently receive funding for radiotherapy shared care are: Northern Health (Northern Hospital), Peninsula Health (Frankston Hospital) and Monash Health (Casey Hospital). Targets for shared care (the number of patients for whom funding is provided) are set with health services prior to each financial year.</w:t>
      </w:r>
    </w:p>
    <w:p w14:paraId="57D4B118" w14:textId="77777777" w:rsidR="005B699B" w:rsidRPr="00C723A1" w:rsidRDefault="005B699B" w:rsidP="001E4292">
      <w:pPr>
        <w:pStyle w:val="Heading3"/>
        <w:numPr>
          <w:ilvl w:val="2"/>
          <w:numId w:val="13"/>
        </w:numPr>
      </w:pPr>
      <w:r>
        <w:t>Radiotherapy q</w:t>
      </w:r>
      <w:r w:rsidRPr="00C723A1">
        <w:t>uality</w:t>
      </w:r>
    </w:p>
    <w:p w14:paraId="159ABC90" w14:textId="77777777" w:rsidR="005B699B" w:rsidRPr="000853B4" w:rsidRDefault="005B699B" w:rsidP="00113034">
      <w:pPr>
        <w:pStyle w:val="Heading4"/>
      </w:pPr>
      <w:r w:rsidRPr="00452A6F">
        <w:t>Assessment</w:t>
      </w:r>
      <w:r w:rsidRPr="000853B4">
        <w:t xml:space="preserve"> </w:t>
      </w:r>
      <w:r w:rsidRPr="00452A6F">
        <w:t>against</w:t>
      </w:r>
      <w:r w:rsidRPr="000853B4">
        <w:t xml:space="preserve"> the national Radiation </w:t>
      </w:r>
      <w:r w:rsidRPr="00361A32">
        <w:t>Oncology</w:t>
      </w:r>
      <w:r w:rsidRPr="000853B4">
        <w:t xml:space="preserve"> Practice Standards</w:t>
      </w:r>
    </w:p>
    <w:p w14:paraId="6C40A7CB" w14:textId="77777777" w:rsidR="005B699B" w:rsidRPr="000853B4" w:rsidRDefault="005B699B" w:rsidP="005B699B">
      <w:pPr>
        <w:pStyle w:val="Body"/>
      </w:pPr>
      <w:r w:rsidRPr="000853B4">
        <w:t>Victorian public radiotherapy providers assess their services against the Radiation Oncology Practice Standards using the relevant self-audit tool. The tool is used as part of their internal quality management protocols. The results of these assessments are integrated into the annual radiotherapy performance discussions with the department</w:t>
      </w:r>
      <w:r>
        <w:t xml:space="preserve"> and are used to ensure Victorian public radiotherapy providers meet national standards</w:t>
      </w:r>
      <w:r w:rsidRPr="000853B4">
        <w:t>.</w:t>
      </w:r>
    </w:p>
    <w:p w14:paraId="0771FB87" w14:textId="77777777" w:rsidR="005B699B" w:rsidRPr="00DF5C3A" w:rsidRDefault="005B699B" w:rsidP="001E4292">
      <w:pPr>
        <w:pStyle w:val="Heading2"/>
        <w:numPr>
          <w:ilvl w:val="1"/>
          <w:numId w:val="13"/>
        </w:numPr>
        <w:ind w:left="1134" w:hanging="1134"/>
      </w:pPr>
      <w:bookmarkStart w:id="1569" w:name="_Toc164262514"/>
      <w:bookmarkStart w:id="1570" w:name="_Toc164262849"/>
      <w:bookmarkStart w:id="1571" w:name="_Toc164262515"/>
      <w:bookmarkStart w:id="1572" w:name="_Toc164262850"/>
      <w:bookmarkStart w:id="1573" w:name="_Toc164262516"/>
      <w:bookmarkStart w:id="1574" w:name="_Toc164262851"/>
      <w:bookmarkStart w:id="1575" w:name="_Toc164262517"/>
      <w:bookmarkStart w:id="1576" w:name="_Toc164262852"/>
      <w:bookmarkStart w:id="1577" w:name="_Toc164262518"/>
      <w:bookmarkStart w:id="1578" w:name="_Toc164262853"/>
      <w:bookmarkStart w:id="1579" w:name="_Toc164262519"/>
      <w:bookmarkStart w:id="1580" w:name="_Toc164262854"/>
      <w:bookmarkStart w:id="1581" w:name="_Toc165961803"/>
      <w:bookmarkStart w:id="1582" w:name="_Toc178963587"/>
      <w:bookmarkEnd w:id="1569"/>
      <w:bookmarkEnd w:id="1570"/>
      <w:bookmarkEnd w:id="1571"/>
      <w:bookmarkEnd w:id="1572"/>
      <w:bookmarkEnd w:id="1573"/>
      <w:bookmarkEnd w:id="1574"/>
      <w:bookmarkEnd w:id="1575"/>
      <w:bookmarkEnd w:id="1576"/>
      <w:bookmarkEnd w:id="1577"/>
      <w:bookmarkEnd w:id="1578"/>
      <w:bookmarkEnd w:id="1579"/>
      <w:bookmarkEnd w:id="1580"/>
      <w:r w:rsidRPr="00DF5C3A">
        <w:t>Subcutaneous immunoglobulin therapy</w:t>
      </w:r>
      <w:bookmarkEnd w:id="1581"/>
      <w:bookmarkEnd w:id="1582"/>
    </w:p>
    <w:p w14:paraId="3ACB295C" w14:textId="77777777" w:rsidR="005B699B" w:rsidRPr="00DF5C3A" w:rsidRDefault="005B699B" w:rsidP="005B699B">
      <w:pPr>
        <w:pStyle w:val="Body"/>
        <w:rPr>
          <w:lang w:eastAsia="en-AU"/>
        </w:rPr>
      </w:pPr>
      <w:r w:rsidRPr="00DF5C3A">
        <w:rPr>
          <w:rFonts w:cs="Calibri"/>
          <w:lang w:eastAsia="en-AU"/>
        </w:rPr>
        <w:t xml:space="preserve">Since 2013, </w:t>
      </w:r>
      <w:r w:rsidRPr="00130D0E">
        <w:rPr>
          <w:rFonts w:cs="Calibri"/>
          <w:lang w:eastAsia="en-AU"/>
        </w:rPr>
        <w:t>the National Blood Authority has</w:t>
      </w:r>
      <w:r w:rsidRPr="00DF5C3A">
        <w:rPr>
          <w:rFonts w:cs="Calibri"/>
          <w:lang w:eastAsia="en-AU"/>
        </w:rPr>
        <w:t xml:space="preserve"> made available immunoglobulin products that can be administered by the patient at home to treat:</w:t>
      </w:r>
    </w:p>
    <w:p w14:paraId="1EFE748F" w14:textId="77777777" w:rsidR="005B699B" w:rsidRPr="00DF5C3A" w:rsidRDefault="005B699B" w:rsidP="00CE12D2">
      <w:pPr>
        <w:pStyle w:val="Bullet1"/>
        <w:numPr>
          <w:ilvl w:val="0"/>
          <w:numId w:val="29"/>
        </w:numPr>
      </w:pPr>
      <w:r w:rsidRPr="00DF5C3A">
        <w:t>primary immunodeficiency with antibody deficiency</w:t>
      </w:r>
    </w:p>
    <w:p w14:paraId="22CA4607" w14:textId="77777777" w:rsidR="005B699B" w:rsidRPr="00DF5C3A" w:rsidRDefault="005B699B" w:rsidP="00CE12D2">
      <w:pPr>
        <w:pStyle w:val="Bullet1"/>
        <w:numPr>
          <w:ilvl w:val="0"/>
          <w:numId w:val="29"/>
        </w:numPr>
      </w:pPr>
      <w:r w:rsidRPr="00DF5C3A">
        <w:t>specific antibody deficiency</w:t>
      </w:r>
    </w:p>
    <w:p w14:paraId="44ED373C" w14:textId="77777777" w:rsidR="005B699B" w:rsidRPr="00DF5C3A" w:rsidRDefault="005B699B" w:rsidP="00CE12D2">
      <w:pPr>
        <w:pStyle w:val="Bullet1"/>
        <w:numPr>
          <w:ilvl w:val="0"/>
          <w:numId w:val="29"/>
        </w:numPr>
      </w:pPr>
      <w:r w:rsidRPr="00DF5C3A">
        <w:t>acquired hypogammaglobulinaemia secondary to haematological malignancy</w:t>
      </w:r>
    </w:p>
    <w:p w14:paraId="5B6CD794" w14:textId="77777777" w:rsidR="005B699B" w:rsidRPr="00DF5C3A" w:rsidRDefault="005B699B" w:rsidP="00CE12D2">
      <w:pPr>
        <w:pStyle w:val="Bullet1"/>
        <w:numPr>
          <w:ilvl w:val="0"/>
          <w:numId w:val="29"/>
        </w:numPr>
      </w:pPr>
      <w:r w:rsidRPr="00DF5C3A">
        <w:t>secondary hypogammaglobulinaemia (including iatrogenic immunodeficiency)</w:t>
      </w:r>
    </w:p>
    <w:p w14:paraId="522E141B" w14:textId="166AF621" w:rsidR="005B699B" w:rsidRPr="00DF5C3A" w:rsidRDefault="005B699B" w:rsidP="005B699B">
      <w:pPr>
        <w:pStyle w:val="Bullet1"/>
        <w:numPr>
          <w:ilvl w:val="0"/>
          <w:numId w:val="29"/>
        </w:numPr>
      </w:pPr>
      <w:r w:rsidRPr="00DF5C3A">
        <w:t>chronic inflammatory demyelinating polyneuropathy.</w:t>
      </w:r>
    </w:p>
    <w:p w14:paraId="3DE25E3E" w14:textId="48ED499E" w:rsidR="005B699B" w:rsidRPr="00DF5C3A" w:rsidRDefault="005B699B" w:rsidP="00930DA9">
      <w:pPr>
        <w:pStyle w:val="Bodyafterbullets"/>
      </w:pPr>
      <w:r w:rsidRPr="0024271F">
        <w:t>The department will provide hospitals with quarterly funding for each patient being treated with subcutaneous immunoglobulin at home in 2024–25. More</w:t>
      </w:r>
      <w:r w:rsidRPr="00DF5C3A">
        <w:t xml:space="preserve"> information can be found on the </w:t>
      </w:r>
      <w:hyperlink r:id="rId29">
        <w:r w:rsidRPr="00DF5C3A">
          <w:rPr>
            <w:rStyle w:val="Hyperlink"/>
          </w:rPr>
          <w:t>Subcutaneous Immunoglobulin (SCIg) access program webpage</w:t>
        </w:r>
      </w:hyperlink>
      <w:r w:rsidRPr="00DF5C3A">
        <w:t xml:space="preserve"> &lt;https://www.health.vic.gov.au/patient-care/subcutaneous-immunoglobulin-scig-access-program&gt;.</w:t>
      </w:r>
    </w:p>
    <w:p w14:paraId="304640FF" w14:textId="77777777" w:rsidR="005B699B" w:rsidRDefault="005B699B" w:rsidP="001E4292">
      <w:pPr>
        <w:pStyle w:val="Heading2"/>
        <w:numPr>
          <w:ilvl w:val="1"/>
          <w:numId w:val="13"/>
        </w:numPr>
        <w:ind w:left="1134" w:hanging="1134"/>
      </w:pPr>
      <w:bookmarkStart w:id="1583" w:name="_Toc418694932"/>
      <w:bookmarkStart w:id="1584" w:name="_Toc6215580"/>
      <w:bookmarkStart w:id="1585" w:name="_Toc10199653"/>
      <w:bookmarkStart w:id="1586" w:name="_Toc52892552"/>
      <w:bookmarkStart w:id="1587" w:name="_Toc100263271"/>
      <w:bookmarkStart w:id="1588" w:name="_Toc165961804"/>
      <w:bookmarkStart w:id="1589" w:name="_Toc178963588"/>
      <w:r>
        <w:t xml:space="preserve">Transition Care </w:t>
      </w:r>
      <w:r w:rsidRPr="00452A6F">
        <w:t>Program</w:t>
      </w:r>
      <w:bookmarkEnd w:id="1583"/>
      <w:bookmarkEnd w:id="1584"/>
      <w:bookmarkEnd w:id="1585"/>
      <w:bookmarkEnd w:id="1586"/>
      <w:bookmarkEnd w:id="1587"/>
      <w:bookmarkEnd w:id="1588"/>
      <w:bookmarkEnd w:id="1589"/>
    </w:p>
    <w:p w14:paraId="123853A0" w14:textId="65E17E4B" w:rsidR="005B699B" w:rsidRDefault="005B699B" w:rsidP="005B699B">
      <w:pPr>
        <w:pStyle w:val="Body"/>
      </w:pPr>
      <w:r>
        <w:t xml:space="preserve">The Transition Care </w:t>
      </w:r>
      <w:r w:rsidRPr="00B320DF">
        <w:t xml:space="preserve">Program </w:t>
      </w:r>
      <w:r>
        <w:t xml:space="preserve">(TCP) </w:t>
      </w:r>
      <w:r w:rsidRPr="00B320DF">
        <w:t>is a national program funded by</w:t>
      </w:r>
      <w:r>
        <w:t xml:space="preserve"> the Commonwealth</w:t>
      </w:r>
      <w:r w:rsidR="00452A6F">
        <w:t xml:space="preserve"> and </w:t>
      </w:r>
      <w:r>
        <w:t xml:space="preserve">state and territory governments through joint per diem contributions. The </w:t>
      </w:r>
      <w:r w:rsidR="00452A6F">
        <w:t xml:space="preserve">program’s </w:t>
      </w:r>
      <w:r>
        <w:t xml:space="preserve">flexible care places are legislated by the </w:t>
      </w:r>
      <w:r w:rsidRPr="003A6919">
        <w:rPr>
          <w:i/>
        </w:rPr>
        <w:t>Aged Care Act 1997</w:t>
      </w:r>
      <w:r>
        <w:t xml:space="preserve"> and the Aged Care Principles made under that Act. The </w:t>
      </w:r>
      <w:r w:rsidRPr="003A6919">
        <w:rPr>
          <w:i/>
        </w:rPr>
        <w:t xml:space="preserve">Transition Care Program </w:t>
      </w:r>
      <w:r>
        <w:rPr>
          <w:i/>
        </w:rPr>
        <w:t>g</w:t>
      </w:r>
      <w:r w:rsidRPr="003A6919">
        <w:rPr>
          <w:i/>
        </w:rPr>
        <w:t>uidelines</w:t>
      </w:r>
      <w:r>
        <w:t xml:space="preserve"> </w:t>
      </w:r>
      <w:r w:rsidRPr="614CCFA5">
        <w:rPr>
          <w:i/>
          <w:iCs/>
        </w:rPr>
        <w:t>2022</w:t>
      </w:r>
      <w:r>
        <w:t xml:space="preserve"> govern the program.</w:t>
      </w:r>
    </w:p>
    <w:p w14:paraId="15ECE490" w14:textId="17D1F9B2" w:rsidR="005B699B" w:rsidRDefault="005B699B" w:rsidP="005B699B">
      <w:pPr>
        <w:pStyle w:val="Body"/>
      </w:pPr>
      <w:r>
        <w:t>Commonwealth</w:t>
      </w:r>
      <w:r w:rsidDel="00452A6F">
        <w:t xml:space="preserve"> </w:t>
      </w:r>
      <w:r>
        <w:t>subsidies are provided directly to health services by Services Australia (Medicare). These are paid on a monthly advance and acquittal basis for occupied places. Health services are required to submit a monthly claim form directly to Medicare for payment.</w:t>
      </w:r>
    </w:p>
    <w:p w14:paraId="3C092E12" w14:textId="4DCCF1A3" w:rsidR="005B699B" w:rsidRDefault="005B699B" w:rsidP="005B699B">
      <w:pPr>
        <w:pStyle w:val="Body"/>
      </w:pPr>
      <w:r>
        <w:lastRenderedPageBreak/>
        <w:t>Commonwealth subsidies are paid for up to 12 weeks</w:t>
      </w:r>
      <w:r w:rsidR="00452A6F">
        <w:t>,</w:t>
      </w:r>
      <w:r>
        <w:t xml:space="preserve"> with an option for a single extension of up to six weeks where appropriate and with prior approval from the Aged Care Assessment Service (ACAS</w:t>
      </w:r>
      <w:r w:rsidDel="00452A6F">
        <w:t>)</w:t>
      </w:r>
      <w:r>
        <w:t xml:space="preserve"> for each client, up to the maximum number of approved TCP places at each health service.</w:t>
      </w:r>
    </w:p>
    <w:p w14:paraId="47394680" w14:textId="77777777" w:rsidR="005B699B" w:rsidRDefault="005B699B" w:rsidP="005B699B">
      <w:pPr>
        <w:pStyle w:val="Body"/>
      </w:pPr>
      <w:r>
        <w:t>The department no longer provides financial support to health services that support clients beyond their maximum permitted stay on the program (that is, 18 weeks where a six-week extension has been approved by ACAS). Any potential discharge challenges should be made known prior to this time. These should be worked through to achieve a safe discharge for the client.</w:t>
      </w:r>
    </w:p>
    <w:p w14:paraId="7B526DCB" w14:textId="77777777" w:rsidR="005B699B" w:rsidRDefault="005B699B" w:rsidP="005B699B">
      <w:pPr>
        <w:pStyle w:val="Body"/>
      </w:pPr>
      <w:r>
        <w:t xml:space="preserve">Daily care fees for TCP recipients are determined by the Commonwealth under the </w:t>
      </w:r>
      <w:r w:rsidRPr="00F91AB2">
        <w:rPr>
          <w:i/>
        </w:rPr>
        <w:t>Aged Care Act</w:t>
      </w:r>
      <w:r w:rsidRPr="00D6527A">
        <w:rPr>
          <w:i/>
        </w:rPr>
        <w:t xml:space="preserve"> 1997</w:t>
      </w:r>
      <w:r>
        <w:t>. Maximum care fee charges must not exceed 85% of the basic single age pension for care delivered in a bed-based setting and 17.5% of the basic single age pension for care delivered in a home-based setting. Such fees are adjusted twice yearly (March and September) in line with the consumer price index, which also affects the age pension payment.</w:t>
      </w:r>
    </w:p>
    <w:p w14:paraId="6D7F8AA5" w14:textId="7EEB075F" w:rsidR="005B699B" w:rsidRDefault="005B699B" w:rsidP="005B699B">
      <w:pPr>
        <w:pStyle w:val="Body"/>
      </w:pPr>
      <w:r>
        <w:t>The</w:t>
      </w:r>
      <w:r w:rsidDel="00CA77C4">
        <w:t xml:space="preserve"> </w:t>
      </w:r>
      <w:r w:rsidR="00CA77C4">
        <w:t xml:space="preserve">Australian </w:t>
      </w:r>
      <w:r>
        <w:t>Government continues to implement its aged care reforms. All TCP referrals are received via the My Aged Care provider portal. Program staff must ensure that clients have current approvals to avoid loss of the Commonwealth subsidy component for episodes of care. Approvals can be verified with ACAS or online with Medicare.</w:t>
      </w:r>
    </w:p>
    <w:p w14:paraId="50F6CC2F" w14:textId="77777777" w:rsidR="005B699B" w:rsidRPr="00E300EA" w:rsidRDefault="005B699B" w:rsidP="001E4292">
      <w:pPr>
        <w:pStyle w:val="Heading2"/>
        <w:numPr>
          <w:ilvl w:val="1"/>
          <w:numId w:val="13"/>
        </w:numPr>
        <w:ind w:left="1134" w:hanging="1134"/>
      </w:pPr>
      <w:bookmarkStart w:id="1590" w:name="_Toc164262523"/>
      <w:bookmarkStart w:id="1591" w:name="_Toc164262858"/>
      <w:bookmarkStart w:id="1592" w:name="_Toc164262524"/>
      <w:bookmarkStart w:id="1593" w:name="_Toc164262859"/>
      <w:bookmarkStart w:id="1594" w:name="_Toc164262525"/>
      <w:bookmarkStart w:id="1595" w:name="_Toc164262860"/>
      <w:bookmarkStart w:id="1596" w:name="_Toc164262526"/>
      <w:bookmarkStart w:id="1597" w:name="_Toc164262861"/>
      <w:bookmarkStart w:id="1598" w:name="_Toc164262527"/>
      <w:bookmarkStart w:id="1599" w:name="_Toc164262862"/>
      <w:bookmarkStart w:id="1600" w:name="_Toc164262528"/>
      <w:bookmarkStart w:id="1601" w:name="_Toc164262863"/>
      <w:bookmarkStart w:id="1602" w:name="_Toc164262529"/>
      <w:bookmarkStart w:id="1603" w:name="_Toc164262864"/>
      <w:bookmarkStart w:id="1604" w:name="_Toc164262531"/>
      <w:bookmarkStart w:id="1605" w:name="_Toc164262866"/>
      <w:bookmarkStart w:id="1606" w:name="_Toc164262532"/>
      <w:bookmarkStart w:id="1607" w:name="_Toc164262867"/>
      <w:bookmarkStart w:id="1608" w:name="_Toc164262533"/>
      <w:bookmarkStart w:id="1609" w:name="_Toc164262868"/>
      <w:bookmarkStart w:id="1610" w:name="_Toc164262534"/>
      <w:bookmarkStart w:id="1611" w:name="_Toc164262869"/>
      <w:bookmarkStart w:id="1612" w:name="_Toc164262535"/>
      <w:bookmarkStart w:id="1613" w:name="_Toc164262870"/>
      <w:bookmarkStart w:id="1614" w:name="_Toc165468267"/>
      <w:bookmarkStart w:id="1615" w:name="_Toc165474648"/>
      <w:bookmarkStart w:id="1616" w:name="_Toc165474779"/>
      <w:bookmarkStart w:id="1617" w:name="_Toc165475569"/>
      <w:bookmarkStart w:id="1618" w:name="_Toc165961805"/>
      <w:bookmarkStart w:id="1619" w:name="_Toc178963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r w:rsidRPr="00E300EA">
        <w:t>Victorian Virtual Emergency Department</w:t>
      </w:r>
      <w:bookmarkEnd w:id="1614"/>
      <w:bookmarkEnd w:id="1615"/>
      <w:bookmarkEnd w:id="1616"/>
      <w:bookmarkEnd w:id="1617"/>
      <w:bookmarkEnd w:id="1618"/>
      <w:bookmarkEnd w:id="1619"/>
    </w:p>
    <w:p w14:paraId="270404A9" w14:textId="77777777" w:rsidR="005B699B" w:rsidRDefault="005B699B" w:rsidP="005B699B">
      <w:pPr>
        <w:pStyle w:val="Body"/>
      </w:pPr>
      <w:r w:rsidRPr="00084C04">
        <w:t xml:space="preserve">Funding for the </w:t>
      </w:r>
      <w:r>
        <w:t>Victorian Virtual Emergency Department (VVED)</w:t>
      </w:r>
      <w:r w:rsidRPr="00084C04">
        <w:t xml:space="preserve"> will continue to be provided as a block grant to </w:t>
      </w:r>
      <w:r>
        <w:t>Northern</w:t>
      </w:r>
      <w:r w:rsidRPr="00084C04">
        <w:t xml:space="preserve"> Health</w:t>
      </w:r>
      <w:r>
        <w:t>.</w:t>
      </w:r>
    </w:p>
    <w:p w14:paraId="60339C36" w14:textId="1612632A" w:rsidR="005B699B" w:rsidRPr="001566B3" w:rsidRDefault="005B699B" w:rsidP="005B699B">
      <w:pPr>
        <w:pStyle w:val="Body"/>
        <w:rPr>
          <w:strike/>
        </w:rPr>
      </w:pPr>
      <w:r>
        <w:t>The VVED is a statewide program</w:t>
      </w:r>
      <w:r w:rsidRPr="003650CF">
        <w:t xml:space="preserve"> delivered by Northern Health</w:t>
      </w:r>
      <w:r w:rsidR="00CA77C4">
        <w:t>.</w:t>
      </w:r>
      <w:r w:rsidRPr="003650CF" w:rsidDel="00CA77C4">
        <w:t xml:space="preserve"> </w:t>
      </w:r>
      <w:r w:rsidR="00CA77C4">
        <w:t>It</w:t>
      </w:r>
      <w:r w:rsidR="00CA77C4" w:rsidRPr="003650CF">
        <w:t xml:space="preserve"> </w:t>
      </w:r>
      <w:r w:rsidRPr="003650CF">
        <w:t>allows select, non-urgent patients (adults and children) to receive virtual video assessments 24</w:t>
      </w:r>
      <w:r>
        <w:t xml:space="preserve"> hours a day, </w:t>
      </w:r>
      <w:r w:rsidRPr="003650CF">
        <w:t>7</w:t>
      </w:r>
      <w:r>
        <w:t xml:space="preserve"> days a week</w:t>
      </w:r>
      <w:r w:rsidRPr="003650CF">
        <w:t xml:space="preserve"> from emergency doctors and nurses. </w:t>
      </w:r>
    </w:p>
    <w:p w14:paraId="17BDBA50" w14:textId="7231F3C8" w:rsidR="005B699B" w:rsidRPr="00084C04" w:rsidRDefault="001E4292" w:rsidP="001E4292">
      <w:pPr>
        <w:pStyle w:val="Heading3"/>
        <w:numPr>
          <w:ilvl w:val="2"/>
          <w:numId w:val="69"/>
        </w:numPr>
      </w:pPr>
      <w:bookmarkStart w:id="1620" w:name="_Toc164352716"/>
      <w:bookmarkStart w:id="1621" w:name="_Toc164352926"/>
      <w:bookmarkStart w:id="1622" w:name="_Toc164353136"/>
      <w:bookmarkStart w:id="1623" w:name="_Toc164668480"/>
      <w:bookmarkStart w:id="1624" w:name="_Toc164684739"/>
      <w:bookmarkStart w:id="1625" w:name="_Toc164756135"/>
      <w:bookmarkStart w:id="1626" w:name="_Toc164756346"/>
      <w:bookmarkStart w:id="1627" w:name="_Toc164756559"/>
      <w:bookmarkStart w:id="1628" w:name="_Toc165281613"/>
      <w:r>
        <w:t xml:space="preserve"> </w:t>
      </w:r>
      <w:r w:rsidR="004F6495">
        <w:t xml:space="preserve">   </w:t>
      </w:r>
      <w:r w:rsidR="005B699B" w:rsidRPr="00084C04">
        <w:t xml:space="preserve">Business </w:t>
      </w:r>
      <w:r w:rsidR="005B699B">
        <w:t>r</w:t>
      </w:r>
      <w:r w:rsidR="005B699B" w:rsidRPr="00084C04">
        <w:t>ules</w:t>
      </w:r>
      <w:bookmarkEnd w:id="1620"/>
      <w:bookmarkEnd w:id="1621"/>
      <w:bookmarkEnd w:id="1622"/>
      <w:bookmarkEnd w:id="1623"/>
      <w:bookmarkEnd w:id="1624"/>
      <w:bookmarkEnd w:id="1625"/>
      <w:bookmarkEnd w:id="1626"/>
      <w:bookmarkEnd w:id="1627"/>
      <w:bookmarkEnd w:id="1628"/>
    </w:p>
    <w:p w14:paraId="06040725" w14:textId="7E9DA543" w:rsidR="005B699B" w:rsidRDefault="005B699B" w:rsidP="5CE4A599">
      <w:pPr>
        <w:pStyle w:val="Body"/>
        <w:spacing w:after="0" w:line="240" w:lineRule="auto"/>
      </w:pPr>
      <w:r>
        <w:t xml:space="preserve">The unit of count adopted for the virtual emergency department is a presentation. The Victorian Virtual Emergency Department is required to report through the </w:t>
      </w:r>
      <w:hyperlink r:id="rId30">
        <w:r w:rsidR="00F4644C" w:rsidRPr="5CE4A599">
          <w:rPr>
            <w:rStyle w:val="Hyperlink"/>
          </w:rPr>
          <w:t>Victorian Emergency Minimum Dataset</w:t>
        </w:r>
        <w:r w:rsidRPr="5CE4A599">
          <w:rPr>
            <w:rStyle w:val="Hyperlink"/>
          </w:rPr>
          <w:t xml:space="preserve"> </w:t>
        </w:r>
        <w:r w:rsidR="00F4644C" w:rsidRPr="5CE4A599">
          <w:rPr>
            <w:rStyle w:val="Hyperlink"/>
          </w:rPr>
          <w:t>(</w:t>
        </w:r>
        <w:r w:rsidR="00880F3B" w:rsidRPr="5CE4A599">
          <w:rPr>
            <w:rStyle w:val="Hyperlink"/>
          </w:rPr>
          <w:t>VEMD</w:t>
        </w:r>
        <w:r w:rsidR="00F4644C" w:rsidRPr="5CE4A599">
          <w:rPr>
            <w:rStyle w:val="Hyperlink"/>
          </w:rPr>
          <w:t>)</w:t>
        </w:r>
      </w:hyperlink>
      <w:r>
        <w:t xml:space="preserve"> &lt;www.health.vic.gov.au/data-reporting/victorian-emergency-minimum-dataset-vemd&gt;.</w:t>
      </w:r>
    </w:p>
    <w:p w14:paraId="09E79226" w14:textId="77777777" w:rsidR="00AC3BBF" w:rsidRPr="00556C90" w:rsidRDefault="006A584A" w:rsidP="001E4292">
      <w:pPr>
        <w:pStyle w:val="Heading2"/>
        <w:numPr>
          <w:ilvl w:val="1"/>
          <w:numId w:val="13"/>
        </w:numPr>
        <w:ind w:left="1134" w:hanging="1134"/>
        <w:rPr>
          <w:rFonts w:eastAsia="Times"/>
        </w:rPr>
      </w:pPr>
      <w:bookmarkStart w:id="1629" w:name="_Toc178963590"/>
      <w:r w:rsidRPr="00556C90">
        <w:t>High cost, highly specialised therapies</w:t>
      </w:r>
      <w:bookmarkEnd w:id="1629"/>
    </w:p>
    <w:p w14:paraId="3C992BC2" w14:textId="76082581" w:rsidR="00F732A8" w:rsidRPr="00556C90" w:rsidRDefault="00AC3BBF" w:rsidP="00AC3BBF">
      <w:pPr>
        <w:pStyle w:val="Body"/>
      </w:pPr>
      <w:r w:rsidRPr="00556C90">
        <w:t xml:space="preserve">High cost, highly specialised therapies (HSTs) are defined by </w:t>
      </w:r>
      <w:r w:rsidR="00464432" w:rsidRPr="00556C90">
        <w:t xml:space="preserve">the Independent Hospital and Aged Care Pricing Authority (IHACPA) in the annual National Efficient Cost Determination and will continue to be funded to actual expenditure in 2024-25. </w:t>
      </w:r>
      <w:r w:rsidR="00694C69" w:rsidRPr="00556C90">
        <w:t xml:space="preserve">HST grants are to be recognised by health services on the basis of actual costs incurred for delivering HSTs, including patient, product and program costs. </w:t>
      </w:r>
    </w:p>
    <w:p w14:paraId="5B309162" w14:textId="1D3985C4" w:rsidR="00F732A8" w:rsidRPr="00556C90" w:rsidRDefault="001E4292" w:rsidP="001E4292">
      <w:pPr>
        <w:pStyle w:val="Heading3"/>
        <w:numPr>
          <w:ilvl w:val="2"/>
          <w:numId w:val="70"/>
        </w:numPr>
      </w:pPr>
      <w:r>
        <w:t xml:space="preserve"> </w:t>
      </w:r>
      <w:r w:rsidR="004F6495">
        <w:t xml:space="preserve">   </w:t>
      </w:r>
      <w:r w:rsidR="00F732A8" w:rsidRPr="00556C90">
        <w:t>Business rules</w:t>
      </w:r>
    </w:p>
    <w:p w14:paraId="423B0A00" w14:textId="4ACF5A06" w:rsidR="00C6051B" w:rsidRPr="00556C90" w:rsidRDefault="00C6051B" w:rsidP="00C6051B">
      <w:pPr>
        <w:pStyle w:val="Body"/>
      </w:pPr>
      <w:r w:rsidRPr="00556C90">
        <w:t xml:space="preserve">An estimate of HST costs incurred must be submitted to the department in June of each financial year for the Prior Year Adjustment accrual process, with an annual acquittal of actual HST cost and patient data </w:t>
      </w:r>
      <w:r w:rsidR="0059590E" w:rsidRPr="00556C90">
        <w:t>s</w:t>
      </w:r>
      <w:r w:rsidRPr="00556C90">
        <w:t xml:space="preserve">ubmitted to the department 11 weeks following the end of the financial year. </w:t>
      </w:r>
    </w:p>
    <w:p w14:paraId="6DFB8940" w14:textId="55501F35" w:rsidR="00C6051B" w:rsidRPr="00556C90" w:rsidRDefault="0059590E" w:rsidP="00C6051B">
      <w:pPr>
        <w:pStyle w:val="Body"/>
      </w:pPr>
      <w:r w:rsidRPr="00556C90">
        <w:lastRenderedPageBreak/>
        <w:t>For all HSTs t</w:t>
      </w:r>
      <w:r w:rsidR="00C6051B" w:rsidRPr="00556C90">
        <w:t xml:space="preserve">he ‘highly specialised therapy’ flag must be applied in the Victorian Admitted Episodes Dataset (VAED) </w:t>
      </w:r>
      <w:r w:rsidRPr="00556C90">
        <w:t>to enable</w:t>
      </w:r>
      <w:r w:rsidR="00C6051B" w:rsidRPr="00556C90">
        <w:t xml:space="preserve"> National Health Reform Agreement quarterly activity reporting and for the annual reconciliation process. </w:t>
      </w:r>
    </w:p>
    <w:p w14:paraId="19C1B6F6" w14:textId="7DCA1BCD" w:rsidR="005B699B" w:rsidRDefault="00C6051B" w:rsidP="00AC3BBF">
      <w:pPr>
        <w:pStyle w:val="Body"/>
      </w:pPr>
      <w:r w:rsidRPr="00556C90">
        <w:t>Health services are required to provide monthly and quarterly activity data and fulfill any ad-hoc data requests from the department.</w:t>
      </w:r>
    </w:p>
    <w:p w14:paraId="3794C6D2" w14:textId="3193AF10" w:rsidR="005B699B" w:rsidRDefault="0059590E" w:rsidP="001E4292">
      <w:pPr>
        <w:pStyle w:val="Heading1"/>
        <w:numPr>
          <w:ilvl w:val="0"/>
          <w:numId w:val="13"/>
        </w:numPr>
        <w:ind w:left="1134" w:hanging="1134"/>
      </w:pPr>
      <w:bookmarkStart w:id="1630" w:name="_Toc165961806"/>
      <w:r>
        <w:br w:type="column"/>
      </w:r>
      <w:bookmarkStart w:id="1631" w:name="_Toc178963591"/>
      <w:r w:rsidR="005B699B">
        <w:lastRenderedPageBreak/>
        <w:t>Compensable and cross-border patients</w:t>
      </w:r>
      <w:bookmarkEnd w:id="1630"/>
      <w:bookmarkEnd w:id="1631"/>
    </w:p>
    <w:p w14:paraId="619C3CC1" w14:textId="77777777" w:rsidR="005B699B" w:rsidRDefault="005B699B" w:rsidP="001E4292">
      <w:pPr>
        <w:pStyle w:val="Heading2"/>
        <w:numPr>
          <w:ilvl w:val="1"/>
          <w:numId w:val="13"/>
        </w:numPr>
        <w:ind w:left="1134" w:hanging="1134"/>
      </w:pPr>
      <w:bookmarkStart w:id="1632" w:name="_Toc165961807"/>
      <w:bookmarkStart w:id="1633" w:name="_Toc178963592"/>
      <w:r>
        <w:t xml:space="preserve">Compensable </w:t>
      </w:r>
      <w:r w:rsidRPr="00CA77C4">
        <w:t>patients</w:t>
      </w:r>
      <w:bookmarkEnd w:id="1632"/>
      <w:bookmarkEnd w:id="1633"/>
    </w:p>
    <w:p w14:paraId="41D3A97B" w14:textId="77777777" w:rsidR="005B699B" w:rsidRDefault="005B699B" w:rsidP="001E4292">
      <w:pPr>
        <w:pStyle w:val="Heading3"/>
        <w:numPr>
          <w:ilvl w:val="2"/>
          <w:numId w:val="13"/>
        </w:numPr>
      </w:pPr>
      <w:r w:rsidRPr="00361A32">
        <w:t>Department</w:t>
      </w:r>
      <w:r w:rsidRPr="001E7F44">
        <w:t xml:space="preserve"> of Veterans’ </w:t>
      </w:r>
      <w:r>
        <w:t>Affairs</w:t>
      </w:r>
    </w:p>
    <w:p w14:paraId="7019A6B4" w14:textId="77777777" w:rsidR="005B699B" w:rsidRDefault="005B699B" w:rsidP="005B699B">
      <w:pPr>
        <w:pStyle w:val="Body"/>
      </w:pPr>
      <w:r>
        <w:t>In March 2017, the Secretary to the Department of Veterans’ Affairs, delegates from the Military Rehabilitation and Compensation Commission and Repatriation Commission, and the Victorian Minister for Health, signed the Hospital Services Arrangement between the Commonwealth of Australia, the Repatriation Commission and the Military Rehabilitation and compensation Commission, and the State of Victoria. The arrangement implemented a uniform national purchasing arrangement for public hospital services provided to eligible veterans.</w:t>
      </w:r>
    </w:p>
    <w:p w14:paraId="231D2B1F" w14:textId="44CF78B8" w:rsidR="005B699B" w:rsidRPr="00546F54" w:rsidRDefault="005B699B" w:rsidP="005B699B">
      <w:pPr>
        <w:pStyle w:val="Body"/>
      </w:pPr>
      <w:r w:rsidRPr="00E446BC">
        <w:t xml:space="preserve">The </w:t>
      </w:r>
      <w:r w:rsidRPr="00546F54">
        <w:t xml:space="preserve">arrangement </w:t>
      </w:r>
      <w:r>
        <w:t>sees</w:t>
      </w:r>
      <w:r w:rsidRPr="00546F54">
        <w:t xml:space="preserve"> the Department of Veterans’ Affairs pay Victoria according to </w:t>
      </w:r>
      <w:r>
        <w:t>IHACPA</w:t>
      </w:r>
      <w:r w:rsidRPr="00546F54">
        <w:t xml:space="preserve"> funding models, with modifications to reflect the contribution that the Department of Veterans’ Affairs makes separately to medical practitioners. As a result of th</w:t>
      </w:r>
      <w:r>
        <w:t>o</w:t>
      </w:r>
      <w:r w:rsidRPr="00546F54">
        <w:t xml:space="preserve">se new funding arrangements, the Department of Veterans’ Affairs </w:t>
      </w:r>
      <w:r>
        <w:t>now</w:t>
      </w:r>
      <w:r w:rsidRPr="00546F54">
        <w:t xml:space="preserve"> pay</w:t>
      </w:r>
      <w:r>
        <w:t>s</w:t>
      </w:r>
      <w:r w:rsidRPr="00546F54">
        <w:t xml:space="preserve"> the department </w:t>
      </w:r>
      <w:r>
        <w:t xml:space="preserve">based on </w:t>
      </w:r>
      <w:r w:rsidRPr="00546F54">
        <w:t xml:space="preserve">the </w:t>
      </w:r>
      <w:r w:rsidR="004D2BFD">
        <w:t>NEP</w:t>
      </w:r>
      <w:r>
        <w:t xml:space="preserve"> on an NWAU basis.</w:t>
      </w:r>
    </w:p>
    <w:p w14:paraId="310C151C" w14:textId="246DA314" w:rsidR="005B699B" w:rsidRDefault="005B699B" w:rsidP="005B699B">
      <w:pPr>
        <w:pStyle w:val="Body"/>
      </w:pPr>
      <w:r>
        <w:t xml:space="preserve">Funding for admitted acute and subacute services will continue to be paid to actuals, while the funding for emergency departments, acute non-admitted services and the Health Independence Program </w:t>
      </w:r>
      <w:r w:rsidR="00293888">
        <w:t xml:space="preserve">(HIP) </w:t>
      </w:r>
      <w:r w:rsidRPr="00B64A73">
        <w:t>will continue to be provided on a block basis</w:t>
      </w:r>
      <w:r>
        <w:t>, with the available revenue from</w:t>
      </w:r>
      <w:r w:rsidRPr="453891C7">
        <w:t xml:space="preserve"> </w:t>
      </w:r>
      <w:r>
        <w:t>Department of Veterans’ Affairs allocated based on a health service’s share of the total weighted activity.</w:t>
      </w:r>
    </w:p>
    <w:p w14:paraId="3792ACA3" w14:textId="77777777" w:rsidR="005B699B" w:rsidRPr="00AF169A" w:rsidRDefault="005B699B" w:rsidP="00DE0F89">
      <w:pPr>
        <w:pStyle w:val="Heading4"/>
      </w:pPr>
      <w:r>
        <w:t xml:space="preserve">Department of Veterans’ </w:t>
      </w:r>
      <w:r w:rsidRPr="00CA77C4">
        <w:t>Affairs</w:t>
      </w:r>
      <w:r>
        <w:t xml:space="preserve"> patients</w:t>
      </w:r>
    </w:p>
    <w:p w14:paraId="10F5BE69" w14:textId="7BB4CA5E" w:rsidR="005B699B" w:rsidRDefault="005B699B" w:rsidP="005B699B">
      <w:pPr>
        <w:pStyle w:val="Body"/>
      </w:pPr>
      <w:r>
        <w:t xml:space="preserve">The Department of Veterans’ Affairs Hospital Services Arrangements is an intergovernmental agreement between Victoria and the Commonwealth. The current agreement is in effect from 1 July 2019 to 30 June </w:t>
      </w:r>
      <w:r w:rsidRPr="00305FBD">
        <w:t>202</w:t>
      </w:r>
      <w:r w:rsidR="00305FBD" w:rsidRPr="00305FBD">
        <w:t>5</w:t>
      </w:r>
      <w:r w:rsidR="00CE1C83">
        <w:rPr>
          <w:rStyle w:val="FootnoteReference"/>
        </w:rPr>
        <w:footnoteReference w:id="2"/>
      </w:r>
      <w:r>
        <w:t xml:space="preserve"> and sets out arrangements for provision of hospital services to eligible patients who elect to be treated under their Department of Veterans’ Affairs entitlements.</w:t>
      </w:r>
    </w:p>
    <w:p w14:paraId="3E9689C7" w14:textId="77777777" w:rsidR="005B699B" w:rsidRPr="00CA77C4" w:rsidRDefault="005B699B" w:rsidP="00DE0F89">
      <w:pPr>
        <w:pStyle w:val="Heading4"/>
      </w:pPr>
      <w:r w:rsidRPr="00D17F68">
        <w:t>Eligibility</w:t>
      </w:r>
    </w:p>
    <w:p w14:paraId="303063A5" w14:textId="77777777" w:rsidR="005B699B" w:rsidRDefault="005B699B" w:rsidP="005B699B">
      <w:pPr>
        <w:pStyle w:val="Body"/>
      </w:pPr>
      <w:r>
        <w:t>Eligible veterans and war widows or widowers have access to a wide range of benefits and services through the Department of Veterans’ Affairs. These include hospital, medical and allied health services, respite and convalescent care, rehabilitation aids and appliances, and assistance with transport and accommodation.</w:t>
      </w:r>
    </w:p>
    <w:p w14:paraId="4B6B8E4D" w14:textId="77777777" w:rsidR="005B699B" w:rsidRDefault="005B699B" w:rsidP="005B699B">
      <w:pPr>
        <w:pStyle w:val="Body"/>
      </w:pPr>
      <w:r>
        <w:t>Organisations must ensure that patients formally elect to be treated as a veteran at each admission and that they collect and provide to the department the eligible veteran’s name, their Department of Veterans’ Affairs unique identifier, their date of birth and their sex. Final payment will only be authorised after the veteran’s eligibility has been confirmed by the Department of Veterans’ Affairs.</w:t>
      </w:r>
    </w:p>
    <w:p w14:paraId="783F063F" w14:textId="77777777" w:rsidR="005B699B" w:rsidRDefault="005B699B" w:rsidP="005B699B">
      <w:pPr>
        <w:pStyle w:val="Body"/>
      </w:pPr>
      <w:r>
        <w:t>Eligible veterans will not be covered under the Department of Veterans’ Affairs arrangement if they:</w:t>
      </w:r>
    </w:p>
    <w:p w14:paraId="24DF9CC5" w14:textId="77777777" w:rsidR="005B699B" w:rsidRPr="0074176B" w:rsidRDefault="005B699B" w:rsidP="00CE12D2">
      <w:pPr>
        <w:pStyle w:val="Bullet1"/>
        <w:numPr>
          <w:ilvl w:val="0"/>
          <w:numId w:val="38"/>
        </w:numPr>
      </w:pPr>
      <w:r>
        <w:t>do not elect to be treated as a Department of Veterans’ Affairs’ patient</w:t>
      </w:r>
    </w:p>
    <w:p w14:paraId="318DEB0A" w14:textId="77777777" w:rsidR="005B699B" w:rsidRPr="0074176B" w:rsidRDefault="005B699B" w:rsidP="00CE12D2">
      <w:pPr>
        <w:pStyle w:val="Bullet1"/>
        <w:numPr>
          <w:ilvl w:val="0"/>
          <w:numId w:val="38"/>
        </w:numPr>
      </w:pPr>
      <w:r>
        <w:lastRenderedPageBreak/>
        <w:t>elect to be treated as a public patient</w:t>
      </w:r>
    </w:p>
    <w:p w14:paraId="2C7E9E53" w14:textId="5DBF2BAB" w:rsidR="005B699B" w:rsidRPr="0074176B" w:rsidRDefault="005B699B" w:rsidP="00CE12D2">
      <w:pPr>
        <w:pStyle w:val="Bullet1"/>
        <w:numPr>
          <w:ilvl w:val="0"/>
          <w:numId w:val="38"/>
        </w:numPr>
      </w:pPr>
      <w:r>
        <w:t xml:space="preserve">are eligible under another category of compensable patient, such as a Transport Accident Commission </w:t>
      </w:r>
      <w:r w:rsidR="004F5FA5">
        <w:t>(TAC)</w:t>
      </w:r>
      <w:r>
        <w:t xml:space="preserve"> or WorkSafe Victoria </w:t>
      </w:r>
    </w:p>
    <w:p w14:paraId="108C98C4" w14:textId="77777777" w:rsidR="005B699B" w:rsidRPr="0074176B" w:rsidRDefault="005B699B" w:rsidP="00CE12D2">
      <w:pPr>
        <w:pStyle w:val="Bullet1"/>
        <w:numPr>
          <w:ilvl w:val="0"/>
          <w:numId w:val="38"/>
        </w:numPr>
      </w:pPr>
      <w:r>
        <w:t>elect to be treated as a private patient.</w:t>
      </w:r>
    </w:p>
    <w:p w14:paraId="7CCD5D08" w14:textId="77777777" w:rsidR="005B699B" w:rsidRDefault="005B699B" w:rsidP="005B699B">
      <w:pPr>
        <w:pStyle w:val="Bodyafterbullets"/>
      </w:pPr>
      <w:r>
        <w:t>Health services will need to retrospectively reclassify patients as public patients if Department of Veterans’ Affairs eligibility criteria are not met. They will then need to resubmit the rejected records to the department. The department will not accept any risk for assumed revenue lost because Department of Veterans’ Affairs eligibility requirements have not been met.</w:t>
      </w:r>
    </w:p>
    <w:p w14:paraId="6D770732" w14:textId="540DD1E9" w:rsidR="005B699B" w:rsidRDefault="005B699B" w:rsidP="005B699B">
      <w:pPr>
        <w:pStyle w:val="Body"/>
      </w:pPr>
      <w:r>
        <w:t>Experience shows that those health services that actively develop service quality and marketing plans and employ veteran or patient liaison officers are more likely to retain Department of Veterans’ Affairs patients.</w:t>
      </w:r>
    </w:p>
    <w:p w14:paraId="0A5BFCC8" w14:textId="77777777" w:rsidR="005B699B" w:rsidRPr="00CA77C4" w:rsidRDefault="005B699B" w:rsidP="00161623">
      <w:pPr>
        <w:pStyle w:val="Heading4"/>
      </w:pPr>
      <w:r>
        <w:t>Admission requirements</w:t>
      </w:r>
    </w:p>
    <w:p w14:paraId="05FD42A0" w14:textId="77777777" w:rsidR="005B699B" w:rsidRDefault="005B699B" w:rsidP="005B699B">
      <w:pPr>
        <w:pStyle w:val="Body"/>
      </w:pPr>
      <w:r w:rsidRPr="004B0AC8">
        <w:t xml:space="preserve">Within two days of admission to hospital, health services should complete a </w:t>
      </w:r>
      <w:r w:rsidRPr="00C956A4">
        <w:t>Department of Veterans’ Affairs</w:t>
      </w:r>
      <w:r w:rsidRPr="004B0AC8">
        <w:t xml:space="preserve"> Hospital Admission Voucher (or form </w:t>
      </w:r>
      <w:r>
        <w:t>that</w:t>
      </w:r>
      <w:r w:rsidRPr="004B0AC8">
        <w:t xml:space="preserve"> captures equivalent information) for each admitted </w:t>
      </w:r>
      <w:r>
        <w:t>eligible veteran</w:t>
      </w:r>
      <w:r w:rsidRPr="004B0AC8">
        <w:t xml:space="preserve">. Health services should ensure that the admission of </w:t>
      </w:r>
      <w:r>
        <w:t xml:space="preserve">eligible veterans </w:t>
      </w:r>
      <w:r w:rsidRPr="004B0AC8">
        <w:t>is in accordance with Victoria’s admission policy and other relevant policies and procedures.</w:t>
      </w:r>
    </w:p>
    <w:p w14:paraId="5FF1AFEB" w14:textId="77777777" w:rsidR="005B699B" w:rsidRDefault="005B699B" w:rsidP="005B699B">
      <w:pPr>
        <w:pStyle w:val="Body"/>
      </w:pPr>
      <w:r>
        <w:t>Eligible veterans will continue to be provided public health services on a private patient basis, which entitles them to a minimum of:</w:t>
      </w:r>
    </w:p>
    <w:p w14:paraId="55F6A243" w14:textId="77777777" w:rsidR="005B699B" w:rsidRDefault="005B699B" w:rsidP="00CE12D2">
      <w:pPr>
        <w:pStyle w:val="Bullet1"/>
        <w:numPr>
          <w:ilvl w:val="0"/>
          <w:numId w:val="39"/>
        </w:numPr>
      </w:pPr>
      <w:r>
        <w:t>choice of doctor (subject to the doctor having rights of private practice)</w:t>
      </w:r>
    </w:p>
    <w:p w14:paraId="71BBC0A6" w14:textId="77777777" w:rsidR="005B699B" w:rsidRDefault="005B699B" w:rsidP="00CE12D2">
      <w:pPr>
        <w:pStyle w:val="Bullet1"/>
        <w:numPr>
          <w:ilvl w:val="0"/>
          <w:numId w:val="39"/>
        </w:numPr>
      </w:pPr>
      <w:r>
        <w:t>shared accommodation</w:t>
      </w:r>
    </w:p>
    <w:p w14:paraId="4ADA981D" w14:textId="77777777" w:rsidR="005B699B" w:rsidRDefault="005B699B" w:rsidP="00CE12D2">
      <w:pPr>
        <w:pStyle w:val="Bullet1"/>
        <w:numPr>
          <w:ilvl w:val="0"/>
          <w:numId w:val="39"/>
        </w:numPr>
      </w:pPr>
      <w:r>
        <w:t>if medically necessary, private accommodation</w:t>
      </w:r>
    </w:p>
    <w:p w14:paraId="3F0A7B75" w14:textId="77777777" w:rsidR="005B699B" w:rsidRDefault="005B699B" w:rsidP="00CE12D2">
      <w:pPr>
        <w:pStyle w:val="Bullet1"/>
        <w:numPr>
          <w:ilvl w:val="0"/>
          <w:numId w:val="39"/>
        </w:numPr>
      </w:pPr>
      <w:r>
        <w:t>private accommodation, if available, where the patient or their private health insurer agrees to pay the difference between the shared and private accommodation.</w:t>
      </w:r>
    </w:p>
    <w:p w14:paraId="102F1910" w14:textId="77777777" w:rsidR="005B699B" w:rsidRPr="00CA47B9" w:rsidRDefault="005B699B" w:rsidP="005B699B">
      <w:pPr>
        <w:pStyle w:val="Bodyafterbullets"/>
      </w:pPr>
      <w:r>
        <w:t>Eligible veterans can access convalescent care or respite care in public health services following an acute or subacute stay without the need for financial authorisation from Department of Veterans’ Affairs.</w:t>
      </w:r>
    </w:p>
    <w:p w14:paraId="79E14151" w14:textId="77777777" w:rsidR="005B699B" w:rsidRDefault="005B699B" w:rsidP="00161623">
      <w:pPr>
        <w:pStyle w:val="Heading4"/>
      </w:pPr>
      <w:r w:rsidRPr="00CA77C4">
        <w:t>Pharmaceuticals</w:t>
      </w:r>
    </w:p>
    <w:p w14:paraId="5193BDB5" w14:textId="77777777" w:rsidR="005B699B" w:rsidRDefault="005B699B" w:rsidP="005B699B">
      <w:pPr>
        <w:pStyle w:val="Body"/>
      </w:pPr>
      <w:r>
        <w:t>Health services should ensure medication reviews (including self-management) are completed before discharge by the clinical pharmacist or doctor for patients:</w:t>
      </w:r>
    </w:p>
    <w:p w14:paraId="2BE19735" w14:textId="77777777" w:rsidR="005B699B" w:rsidRDefault="005B699B" w:rsidP="00CE12D2">
      <w:pPr>
        <w:pStyle w:val="Bullet1"/>
        <w:numPr>
          <w:ilvl w:val="0"/>
          <w:numId w:val="40"/>
        </w:numPr>
      </w:pPr>
      <w:r>
        <w:t>who require administration of four or more different medications or more than 12 doses of medication daily</w:t>
      </w:r>
    </w:p>
    <w:p w14:paraId="0872868D" w14:textId="77777777" w:rsidR="005B699B" w:rsidRDefault="005B699B" w:rsidP="00CE12D2">
      <w:pPr>
        <w:pStyle w:val="Bullet1"/>
        <w:numPr>
          <w:ilvl w:val="0"/>
          <w:numId w:val="40"/>
        </w:numPr>
      </w:pPr>
      <w:r>
        <w:t>where a change in medication has occurred during the admission</w:t>
      </w:r>
    </w:p>
    <w:p w14:paraId="2CA08ED7" w14:textId="77777777" w:rsidR="005B699B" w:rsidRDefault="005B699B" w:rsidP="00CE12D2">
      <w:pPr>
        <w:pStyle w:val="Bullet1"/>
        <w:numPr>
          <w:ilvl w:val="0"/>
          <w:numId w:val="40"/>
        </w:numPr>
      </w:pPr>
      <w:r>
        <w:t>where anticoagulant therapy has commenced during the admission.</w:t>
      </w:r>
    </w:p>
    <w:p w14:paraId="269489C0" w14:textId="66805EE8" w:rsidR="005B699B" w:rsidRDefault="005B699B" w:rsidP="005B699B">
      <w:pPr>
        <w:pStyle w:val="Bodyafterbullets"/>
      </w:pPr>
      <w:r>
        <w:t xml:space="preserve">Medication reviews </w:t>
      </w:r>
      <w:r w:rsidR="00CA77C4">
        <w:t>should</w:t>
      </w:r>
      <w:r>
        <w:t xml:space="preserve"> be documented on an appropriate approved form, be available to the patient and care providers on discharge</w:t>
      </w:r>
      <w:r w:rsidR="00CA77C4">
        <w:t>,</w:t>
      </w:r>
      <w:r>
        <w:t xml:space="preserve"> and involve education as a component.</w:t>
      </w:r>
    </w:p>
    <w:p w14:paraId="2B7554B5" w14:textId="77777777" w:rsidR="005B699B" w:rsidRDefault="005B699B" w:rsidP="005B699B">
      <w:pPr>
        <w:pStyle w:val="Body"/>
      </w:pPr>
      <w:r>
        <w:t>Contact the Veteran Affairs Pharmaceutical Advisory Centre on 1800 552 580.</w:t>
      </w:r>
    </w:p>
    <w:p w14:paraId="4F3F61F2" w14:textId="77777777" w:rsidR="005B699B" w:rsidRPr="00CA77C4" w:rsidRDefault="005B699B" w:rsidP="00161623">
      <w:pPr>
        <w:pStyle w:val="Heading4"/>
      </w:pPr>
      <w:r>
        <w:t>Long stay</w:t>
      </w:r>
    </w:p>
    <w:p w14:paraId="4D9D519D" w14:textId="77777777" w:rsidR="005B699B" w:rsidRDefault="005B699B" w:rsidP="005B699B">
      <w:pPr>
        <w:pStyle w:val="Body"/>
      </w:pPr>
      <w:r>
        <w:t>I</w:t>
      </w:r>
      <w:r w:rsidRPr="00C33741">
        <w:t>f the hospitalisation of an eligible veteran is likely to exceed a continuous period of 35 days in any care type other than nursing</w:t>
      </w:r>
      <w:r>
        <w:t>-</w:t>
      </w:r>
      <w:r w:rsidRPr="00C33741">
        <w:t>home</w:t>
      </w:r>
      <w:r>
        <w:t>-</w:t>
      </w:r>
      <w:r w:rsidRPr="00C33741">
        <w:t>type and palliative care, the Department of Veterans’ Affairs requires that health services ensure the veteran’s status is reviewed and that either:</w:t>
      </w:r>
    </w:p>
    <w:p w14:paraId="2750BF91" w14:textId="591CD42F" w:rsidR="005B699B" w:rsidRDefault="005B699B" w:rsidP="00CE12D2">
      <w:pPr>
        <w:pStyle w:val="Bullet1"/>
        <w:numPr>
          <w:ilvl w:val="0"/>
          <w:numId w:val="41"/>
        </w:numPr>
      </w:pPr>
      <w:r>
        <w:lastRenderedPageBreak/>
        <w:t xml:space="preserve">a certificate similar to that previously required under s. 3B of the </w:t>
      </w:r>
      <w:r w:rsidRPr="23E5A96B">
        <w:rPr>
          <w:i/>
          <w:iCs/>
        </w:rPr>
        <w:t>Health Insurance Act 1973</w:t>
      </w:r>
      <w:r>
        <w:t xml:space="preserve"> is completed by a medical practitioner and held on the patient</w:t>
      </w:r>
      <w:r w:rsidR="004E15ED">
        <w:t>’</w:t>
      </w:r>
      <w:r>
        <w:t>s file for audit purposes, or</w:t>
      </w:r>
    </w:p>
    <w:p w14:paraId="5FD1D4BF" w14:textId="77777777" w:rsidR="005B699B" w:rsidRDefault="005B699B" w:rsidP="00CE12D2">
      <w:pPr>
        <w:pStyle w:val="Bullet1"/>
        <w:numPr>
          <w:ilvl w:val="0"/>
          <w:numId w:val="41"/>
        </w:numPr>
      </w:pPr>
      <w:r>
        <w:t>reclassify the patient as either maintenance or, in the case of small rural health services, the eligible veteran is reclassified to a nursing-home-type patient and the changed status and payment adjusted accordingly. If the patient is reclassified, hospitals should use their best endeavours to ensure the patient is assessed and a discharge plan is developed.</w:t>
      </w:r>
    </w:p>
    <w:p w14:paraId="0FDB90A3" w14:textId="55B9E3D9" w:rsidR="005B699B" w:rsidRDefault="00F900B9" w:rsidP="005B699B">
      <w:pPr>
        <w:pStyle w:val="Bodyafterbullets"/>
      </w:pPr>
      <w:r>
        <w:t>T</w:t>
      </w:r>
      <w:r w:rsidR="005B699B">
        <w:t xml:space="preserve">he </w:t>
      </w:r>
      <w:r w:rsidR="005B699B" w:rsidRPr="00C33741">
        <w:t>Acute Care Certificate or equivalent</w:t>
      </w:r>
      <w:r w:rsidR="005B699B">
        <w:t xml:space="preserve"> is no longer required to be sent to the Department of Veterans’ Affairs.</w:t>
      </w:r>
    </w:p>
    <w:p w14:paraId="75486A3E" w14:textId="77777777" w:rsidR="005B699B" w:rsidRPr="00CA77C4" w:rsidRDefault="005B699B" w:rsidP="00D21152">
      <w:pPr>
        <w:pStyle w:val="Heading4"/>
      </w:pPr>
      <w:r>
        <w:t>Nursing-home-type patients</w:t>
      </w:r>
    </w:p>
    <w:p w14:paraId="7620D317" w14:textId="77777777" w:rsidR="005B699B" w:rsidRDefault="005B699B" w:rsidP="005B699B">
      <w:pPr>
        <w:pStyle w:val="Body"/>
      </w:pPr>
      <w:r>
        <w:t>If eligible veterans are assessed as needing nursing-home-type or respite care and are at a multipurpose service (facilities that receive Commonwealth funding to operate residential care beds), then the health service must attempt to reclassify the patient from a hospital patient to a residential aged care recipient. If there are no residential aged care beds available, the patient should be reclassified as a nursing-home-type patient and Department of Veterans’ Affairs charged at the nursing-home-type patient rate. Department of Veterans’ Affairs will not pay for residential aged care under the arrangement.</w:t>
      </w:r>
    </w:p>
    <w:p w14:paraId="644F223F" w14:textId="77777777" w:rsidR="005B699B" w:rsidRDefault="005B699B" w:rsidP="005B699B">
      <w:pPr>
        <w:pStyle w:val="Body"/>
      </w:pPr>
      <w:r>
        <w:t xml:space="preserve">Health services should collect any co-payment for nursing-home-type patient from the patient with the exception of Victoria Cross or prisoners of war recipients. For this group, health services should make a claim directly based on prior approval to the Department of Veterans’ Affairs for reimbursement using </w:t>
      </w:r>
      <w:r w:rsidRPr="00FA1304">
        <w:t>Medicare Benefits Schedule</w:t>
      </w:r>
      <w:r w:rsidRPr="00440F34">
        <w:t xml:space="preserve"> (</w:t>
      </w:r>
      <w:r w:rsidRPr="00FA1304">
        <w:t>MBS) item number</w:t>
      </w:r>
      <w:r>
        <w:t xml:space="preserve"> NH05.</w:t>
      </w:r>
    </w:p>
    <w:p w14:paraId="4AE1C5B2" w14:textId="77777777" w:rsidR="005B699B" w:rsidRPr="00CA77C4" w:rsidRDefault="005B699B" w:rsidP="00D21152">
      <w:pPr>
        <w:pStyle w:val="Heading4"/>
      </w:pPr>
      <w:r>
        <w:t>Discharge planning</w:t>
      </w:r>
    </w:p>
    <w:p w14:paraId="526A0C57" w14:textId="77777777" w:rsidR="005B699B" w:rsidRDefault="005B699B" w:rsidP="005B699B">
      <w:pPr>
        <w:pStyle w:val="Body"/>
      </w:pPr>
      <w:r>
        <w:t>Health services will use their best endeavours to demonstrate effective discharge planning for Department of Veterans’ Affairs patients including the regular contribution of a multidisciplinary team, supporting documentation, discharge follow-up and communication with care providers and family and carers (with permission from the patient).</w:t>
      </w:r>
    </w:p>
    <w:p w14:paraId="496834CE" w14:textId="77777777" w:rsidR="005B699B" w:rsidRDefault="005B699B" w:rsidP="005B699B">
      <w:pPr>
        <w:pStyle w:val="Body"/>
      </w:pPr>
      <w:r>
        <w:t>The patient or carer should be given written documentation in the form of a discharge plan on the day of discharge. Use electronic discharge summaries if they are available. The Department of Veterans’ Affairs may request to see documentation of hospital discharge policies and procedures, as well as copies of the patient and hospital discharge plans. If the patient is enrolled in a Coordinated Veterans’ Care program, then the local medical officer or nurse coordinator must also receive a copy of the patient discharge plan (and be involved as appropriate).</w:t>
      </w:r>
    </w:p>
    <w:p w14:paraId="3DBE9C73" w14:textId="77777777" w:rsidR="005B699B" w:rsidRDefault="005B699B" w:rsidP="005B699B">
      <w:pPr>
        <w:pStyle w:val="Body"/>
      </w:pPr>
      <w:r>
        <w:t>Health services should coordinate for a health professional to assess eligible veterans before discharge for community nursing, personal care, aids and appliances, home modifications or convalescent care. Any aids, equipment or modifications will be arranged through Department of Veterans’ Affairs services in a timely manner and be available to the patient prior to discharge. Public hospitals must provide a summary of discharge to the original referring doctor and local medical officer at, or within, 48 hours of discharge.</w:t>
      </w:r>
    </w:p>
    <w:p w14:paraId="5484CAE8" w14:textId="77777777" w:rsidR="005B699B" w:rsidRDefault="005B699B" w:rsidP="005B699B">
      <w:pPr>
        <w:pStyle w:val="Body"/>
      </w:pPr>
      <w:r>
        <w:t>Referrals for community nursing services for Department of Veterans’ Affairs patients may be made to a program funded by the Victorian Government or Commonwealth Government, or to a Department of Veterans’ Affairs contracted provider.</w:t>
      </w:r>
    </w:p>
    <w:p w14:paraId="05690C0A" w14:textId="77777777" w:rsidR="005B699B" w:rsidRDefault="005B699B" w:rsidP="005B699B">
      <w:pPr>
        <w:pStyle w:val="Body"/>
      </w:pPr>
      <w:r>
        <w:t xml:space="preserve">To arrange home and personal care services for eligible veterans, health services must contact the National Veterans’ Home Care assessment agency (1300 550 450). Discharge aids and equipment for veteran patients must be provided to facilitate safe discharge for a period of 30 days after </w:t>
      </w:r>
      <w:r>
        <w:lastRenderedPageBreak/>
        <w:t xml:space="preserve">discharge. For further information, visit the </w:t>
      </w:r>
      <w:hyperlink r:id="rId31" w:history="1">
        <w:r>
          <w:rPr>
            <w:rStyle w:val="Hyperlink"/>
          </w:rPr>
          <w:t>Aids, appliances and home modifications webpage</w:t>
        </w:r>
      </w:hyperlink>
      <w:r>
        <w:t xml:space="preserve"> &lt;</w:t>
      </w:r>
      <w:r w:rsidRPr="00C91C6A">
        <w:t>https://www.dva.gov.au/health-and-wellbeing/home-and-care/rehabilitation-appliances-program-rap</w:t>
      </w:r>
      <w:r>
        <w:t>&gt; or call 1300 550 457 (metropolitan) or 1800 550 457 (rural).</w:t>
      </w:r>
    </w:p>
    <w:p w14:paraId="29FF825F" w14:textId="77777777" w:rsidR="005B699B" w:rsidRDefault="005B699B" w:rsidP="00D21152">
      <w:pPr>
        <w:pStyle w:val="Heading4"/>
      </w:pPr>
      <w:r w:rsidRPr="0022065F">
        <w:t>Funding arrangements</w:t>
      </w:r>
    </w:p>
    <w:p w14:paraId="4A394CD4" w14:textId="77777777" w:rsidR="005B699B" w:rsidRDefault="005B699B" w:rsidP="005B699B">
      <w:pPr>
        <w:pStyle w:val="Body"/>
      </w:pPr>
      <w:r>
        <w:t>The Department of Veterans’ Affairs hospital services arrangements will be based on the national funding model developed by the IHACPA, with modifications to reflect the contribution that the Department of Veterans’ Affairs provides to medical practitioners.</w:t>
      </w:r>
    </w:p>
    <w:p w14:paraId="13454473" w14:textId="23E67F5A" w:rsidR="005B699B" w:rsidRDefault="005B699B" w:rsidP="005B699B">
      <w:pPr>
        <w:pStyle w:val="Body"/>
      </w:pPr>
      <w:r w:rsidRPr="00FD0743">
        <w:t>Victoria will fund eligible veterans in alignment with revised Commonwealth revenue</w:t>
      </w:r>
      <w:r w:rsidR="007C5940">
        <w:t>.</w:t>
      </w:r>
      <w:r>
        <w:t xml:space="preserve"> Funding for admitted acute and subacute services will continue to be paid to actual </w:t>
      </w:r>
      <w:r w:rsidR="002465F4">
        <w:t xml:space="preserve">activity </w:t>
      </w:r>
      <w:r>
        <w:t xml:space="preserve">based on the </w:t>
      </w:r>
      <w:r w:rsidR="00AC1AA6" w:rsidRPr="00982891">
        <w:t>national</w:t>
      </w:r>
      <w:r w:rsidRPr="00982891">
        <w:t xml:space="preserve"> funding model</w:t>
      </w:r>
      <w:r>
        <w:t xml:space="preserve">. Funding for emergency departments (non-admitted presentations), acute non-admitted and HIP will be paid as a </w:t>
      </w:r>
      <w:r w:rsidRPr="00912F39">
        <w:t>block grant</w:t>
      </w:r>
      <w:r>
        <w:t xml:space="preserve"> and based on the health service’s activity share of total weighted activity.</w:t>
      </w:r>
    </w:p>
    <w:p w14:paraId="635FA4AD" w14:textId="6289AC21" w:rsidR="005B699B" w:rsidRDefault="005B699B" w:rsidP="005B699B">
      <w:pPr>
        <w:pStyle w:val="Body"/>
      </w:pPr>
      <w:r>
        <w:t xml:space="preserve">Funding arrangements for Department of Veterans’ Affairs patients are detailed in </w:t>
      </w:r>
      <w:r w:rsidR="000E0ED2">
        <w:fldChar w:fldCharType="begin"/>
      </w:r>
      <w:r w:rsidR="000E0ED2">
        <w:instrText xml:space="preserve"> REF _Ref170112553 \h </w:instrText>
      </w:r>
      <w:r w:rsidR="000E0ED2">
        <w:fldChar w:fldCharType="separate"/>
      </w:r>
      <w:r w:rsidR="00476AAA">
        <w:t>Table 1.</w:t>
      </w:r>
      <w:r w:rsidR="00476AAA">
        <w:rPr>
          <w:noProof/>
        </w:rPr>
        <w:t>2</w:t>
      </w:r>
      <w:r w:rsidR="00476AAA">
        <w:t>:</w:t>
      </w:r>
      <w:r w:rsidR="00476AAA">
        <w:rPr>
          <w:noProof/>
        </w:rPr>
        <w:t xml:space="preserve"> </w:t>
      </w:r>
      <w:r w:rsidR="00476AAA" w:rsidRPr="009E6E16">
        <w:t>Funding arrangements for Department of Veterans’ Affairs patients</w:t>
      </w:r>
      <w:r w:rsidR="000E0ED2">
        <w:fldChar w:fldCharType="end"/>
      </w:r>
      <w:r>
        <w:t>. Throughput-based services will continue to attract a premium from the department for eligible veterans in recognition of the cost of treating these patients. Payment will be made on a reconcilable basis.</w:t>
      </w:r>
    </w:p>
    <w:p w14:paraId="673D63D3" w14:textId="77777777" w:rsidR="005B699B" w:rsidRDefault="005B699B" w:rsidP="005B699B">
      <w:pPr>
        <w:pStyle w:val="Bodyafterbullets"/>
      </w:pPr>
      <w:r>
        <w:t>Payment for interfacility transport (excluding secondary aeromedical retrieval) is included in the payment arrangements for services.</w:t>
      </w:r>
    </w:p>
    <w:p w14:paraId="4255D0D4" w14:textId="1B7F6DEA" w:rsidR="00816B6A" w:rsidRDefault="00831511" w:rsidP="00831511">
      <w:pPr>
        <w:pStyle w:val="Tablecaption"/>
        <w:spacing w:line="250" w:lineRule="atLeast"/>
      </w:pPr>
      <w:bookmarkStart w:id="1634" w:name="_Ref170112553"/>
      <w:bookmarkStart w:id="1635" w:name="_Toc176510393"/>
      <w:r>
        <w:t xml:space="preserve">Table </w:t>
      </w:r>
      <w:r w:rsidR="000E0ED2">
        <w:t>1.</w:t>
      </w:r>
      <w:r>
        <w:fldChar w:fldCharType="begin"/>
      </w:r>
      <w:r>
        <w:instrText>SEQ Table \* ARABIC</w:instrText>
      </w:r>
      <w:r>
        <w:fldChar w:fldCharType="separate"/>
      </w:r>
      <w:r w:rsidR="00F30C16">
        <w:rPr>
          <w:noProof/>
        </w:rPr>
        <w:t>2</w:t>
      </w:r>
      <w:r>
        <w:fldChar w:fldCharType="end"/>
      </w:r>
      <w:r>
        <w:t>:</w:t>
      </w:r>
      <w:r w:rsidR="00E544C9">
        <w:rPr>
          <w:noProof/>
        </w:rPr>
        <w:t xml:space="preserve"> </w:t>
      </w:r>
      <w:r w:rsidR="00816B6A" w:rsidRPr="009E6E16">
        <w:t>Funding arrangements for Department of Veterans’ Affairs patients</w:t>
      </w:r>
      <w:bookmarkEnd w:id="1634"/>
      <w:bookmarkEnd w:id="1635"/>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58"/>
        <w:gridCol w:w="6141"/>
      </w:tblGrid>
      <w:tr w:rsidR="005B699B" w:rsidRPr="0090298C" w14:paraId="6F8ECB66" w14:textId="77777777" w:rsidTr="00831511">
        <w:trPr>
          <w:tblHeader/>
        </w:trPr>
        <w:tc>
          <w:tcPr>
            <w:tcW w:w="3158" w:type="dxa"/>
            <w:shd w:val="clear" w:color="auto" w:fill="auto"/>
          </w:tcPr>
          <w:p w14:paraId="57D327B9" w14:textId="77777777" w:rsidR="005B699B" w:rsidRPr="006A7FA6" w:rsidRDefault="005B699B" w:rsidP="00785BA1">
            <w:pPr>
              <w:pStyle w:val="Tablecolhead"/>
            </w:pPr>
            <w:r w:rsidRPr="006A7FA6">
              <w:t>Service</w:t>
            </w:r>
          </w:p>
        </w:tc>
        <w:tc>
          <w:tcPr>
            <w:tcW w:w="6141" w:type="dxa"/>
            <w:shd w:val="clear" w:color="auto" w:fill="auto"/>
          </w:tcPr>
          <w:p w14:paraId="5AA7B9C6" w14:textId="77777777" w:rsidR="005B699B" w:rsidRPr="006A7FA6" w:rsidRDefault="005B699B" w:rsidP="00785BA1">
            <w:pPr>
              <w:pStyle w:val="Tablecolhead"/>
            </w:pPr>
            <w:r w:rsidRPr="006A7FA6">
              <w:t>Funding arrangements</w:t>
            </w:r>
          </w:p>
        </w:tc>
      </w:tr>
      <w:tr w:rsidR="005B699B" w:rsidRPr="0066144B" w14:paraId="7586D068" w14:textId="77777777" w:rsidTr="00831511">
        <w:tc>
          <w:tcPr>
            <w:tcW w:w="3158" w:type="dxa"/>
          </w:tcPr>
          <w:p w14:paraId="541E0C87" w14:textId="77777777" w:rsidR="005B699B" w:rsidRPr="00674F20" w:rsidRDefault="005B699B" w:rsidP="00785BA1">
            <w:pPr>
              <w:pStyle w:val="Tabletext"/>
            </w:pPr>
            <w:r w:rsidRPr="00674F20">
              <w:t>Admitted patient services</w:t>
            </w:r>
          </w:p>
        </w:tc>
        <w:tc>
          <w:tcPr>
            <w:tcW w:w="6141" w:type="dxa"/>
          </w:tcPr>
          <w:p w14:paraId="1FD37647" w14:textId="77777777" w:rsidR="005B699B" w:rsidRPr="00674F20" w:rsidRDefault="005B699B" w:rsidP="00785BA1">
            <w:pPr>
              <w:pStyle w:val="Tabletext"/>
            </w:pPr>
            <w:r w:rsidRPr="00674F20">
              <w:t>Funding for the following services is based on throughput:</w:t>
            </w:r>
          </w:p>
          <w:p w14:paraId="0E6D5677" w14:textId="675FECF4" w:rsidR="005B699B" w:rsidRPr="00674F20" w:rsidRDefault="005B699B" w:rsidP="008E4F36">
            <w:pPr>
              <w:pStyle w:val="Tablebullet1"/>
              <w:numPr>
                <w:ilvl w:val="0"/>
                <w:numId w:val="50"/>
              </w:numPr>
            </w:pPr>
            <w:r>
              <w:t xml:space="preserve">acute – health services receive the Department of Veterans’ Affairs NWAU </w:t>
            </w:r>
            <w:r w:rsidR="00FF4968">
              <w:t>activity</w:t>
            </w:r>
            <w:r>
              <w:t xml:space="preserve"> payments from the department</w:t>
            </w:r>
          </w:p>
          <w:p w14:paraId="139AD073" w14:textId="77777777" w:rsidR="005B699B" w:rsidRPr="00674F20" w:rsidRDefault="005B699B" w:rsidP="008E4F36">
            <w:pPr>
              <w:pStyle w:val="Tablebullet1"/>
              <w:numPr>
                <w:ilvl w:val="0"/>
                <w:numId w:val="50"/>
              </w:numPr>
            </w:pPr>
            <w:r>
              <w:t>subacute – categories for funding are palliative care, rehabilitation, geriatric evaluation and management (GEM) and maintenance care, and mirror funding and reporting arrangements for public patients</w:t>
            </w:r>
          </w:p>
          <w:p w14:paraId="353B8E9D" w14:textId="77777777" w:rsidR="005B699B" w:rsidRDefault="005B699B" w:rsidP="008E4F36">
            <w:pPr>
              <w:pStyle w:val="Tablebullet1"/>
              <w:numPr>
                <w:ilvl w:val="0"/>
                <w:numId w:val="50"/>
              </w:numPr>
            </w:pPr>
            <w:r>
              <w:t>maintenance</w:t>
            </w:r>
          </w:p>
          <w:p w14:paraId="48DAF7C6" w14:textId="77777777" w:rsidR="005B699B" w:rsidRPr="00674F20" w:rsidRDefault="005B699B" w:rsidP="008E4F36">
            <w:pPr>
              <w:pStyle w:val="Tablebullet1"/>
              <w:numPr>
                <w:ilvl w:val="0"/>
                <w:numId w:val="50"/>
              </w:numPr>
            </w:pPr>
            <w:r>
              <w:t>admitted dialysis</w:t>
            </w:r>
          </w:p>
          <w:p w14:paraId="13603F7F" w14:textId="77777777" w:rsidR="005B699B" w:rsidRPr="00674F20" w:rsidRDefault="005B699B" w:rsidP="008E4F36">
            <w:pPr>
              <w:pStyle w:val="Tablebullet1"/>
              <w:numPr>
                <w:ilvl w:val="0"/>
                <w:numId w:val="50"/>
              </w:numPr>
            </w:pPr>
            <w:r>
              <w:t xml:space="preserve">admitted </w:t>
            </w:r>
            <w:r w:rsidRPr="00F24F24">
              <w:t>mental health</w:t>
            </w:r>
            <w:r>
              <w:t xml:space="preserve"> services.</w:t>
            </w:r>
          </w:p>
          <w:p w14:paraId="6E70B96F" w14:textId="77777777" w:rsidR="005B699B" w:rsidRPr="00674F20" w:rsidRDefault="005B699B" w:rsidP="00785BA1">
            <w:pPr>
              <w:pStyle w:val="Tabletext"/>
            </w:pPr>
            <w:r w:rsidRPr="00674F20">
              <w:t xml:space="preserve">Hospitals should bill </w:t>
            </w:r>
            <w:r>
              <w:t xml:space="preserve">the </w:t>
            </w:r>
            <w:r w:rsidRPr="00674F20">
              <w:t xml:space="preserve">Department of </w:t>
            </w:r>
            <w:r w:rsidRPr="00DA3183">
              <w:t>Veterans’</w:t>
            </w:r>
            <w:r w:rsidRPr="00674F20">
              <w:t xml:space="preserve"> Affairs separately for medical and diagnostic costs for admitted patients.</w:t>
            </w:r>
          </w:p>
        </w:tc>
      </w:tr>
      <w:tr w:rsidR="005B699B" w:rsidRPr="0066144B" w14:paraId="392705D8" w14:textId="77777777" w:rsidTr="00831511">
        <w:tc>
          <w:tcPr>
            <w:tcW w:w="3158" w:type="dxa"/>
          </w:tcPr>
          <w:p w14:paraId="4FF61400" w14:textId="77777777" w:rsidR="005B699B" w:rsidRPr="00674F20" w:rsidRDefault="005B699B" w:rsidP="00785BA1">
            <w:pPr>
              <w:pStyle w:val="Tabletext"/>
            </w:pPr>
            <w:r w:rsidRPr="00674F20">
              <w:t>E</w:t>
            </w:r>
            <w:r>
              <w:t>mergency department</w:t>
            </w:r>
            <w:r w:rsidRPr="00674F20">
              <w:t xml:space="preserve"> attendances</w:t>
            </w:r>
          </w:p>
        </w:tc>
        <w:tc>
          <w:tcPr>
            <w:tcW w:w="6141" w:type="dxa"/>
          </w:tcPr>
          <w:p w14:paraId="2E6A2555" w14:textId="661248F2" w:rsidR="005B699B" w:rsidRPr="00674F20" w:rsidRDefault="005B699B" w:rsidP="00785BA1">
            <w:pPr>
              <w:pStyle w:val="Tabletext"/>
            </w:pPr>
            <w:r w:rsidRPr="00674F20">
              <w:t>E</w:t>
            </w:r>
            <w:r>
              <w:t>mergency department</w:t>
            </w:r>
            <w:r w:rsidRPr="00674F20">
              <w:t xml:space="preserve"> services </w:t>
            </w:r>
            <w:r>
              <w:t xml:space="preserve">will receive a </w:t>
            </w:r>
            <w:r w:rsidRPr="00F24F24">
              <w:t>block grant</w:t>
            </w:r>
            <w:r>
              <w:t xml:space="preserve"> that is based on the </w:t>
            </w:r>
            <w:r w:rsidRPr="00706F17">
              <w:t xml:space="preserve">health service’s proportionate share of the </w:t>
            </w:r>
            <w:r>
              <w:t xml:space="preserve">total non-admitted emergency </w:t>
            </w:r>
            <w:r w:rsidRPr="00706F17">
              <w:t>weighted activity.</w:t>
            </w:r>
            <w:r>
              <w:t xml:space="preserve"> </w:t>
            </w:r>
            <w:r w:rsidRPr="00674F20">
              <w:t>There will be no separate billing of medical and diagnostic costs.</w:t>
            </w:r>
            <w:r>
              <w:t xml:space="preserve"> </w:t>
            </w:r>
            <w:r w:rsidRPr="00674F20">
              <w:t>Veteran patients</w:t>
            </w:r>
            <w:r>
              <w:t xml:space="preserve"> who are subsequently admitted will be funded under the </w:t>
            </w:r>
            <w:r w:rsidR="00AC1AA6" w:rsidRPr="00AC209A">
              <w:t>national funding</w:t>
            </w:r>
            <w:r w:rsidR="00BB3B17" w:rsidRPr="00AC209A">
              <w:t xml:space="preserve"> </w:t>
            </w:r>
            <w:r w:rsidRPr="00AC209A">
              <w:t>model</w:t>
            </w:r>
            <w:r>
              <w:t>.</w:t>
            </w:r>
          </w:p>
        </w:tc>
      </w:tr>
      <w:tr w:rsidR="005B699B" w:rsidRPr="0066144B" w14:paraId="1C2C4D21" w14:textId="77777777" w:rsidTr="00831511">
        <w:tc>
          <w:tcPr>
            <w:tcW w:w="3158" w:type="dxa"/>
          </w:tcPr>
          <w:p w14:paraId="291812C0" w14:textId="77777777" w:rsidR="005B699B" w:rsidRPr="00DA3183" w:rsidRDefault="005B699B" w:rsidP="00785BA1">
            <w:pPr>
              <w:pStyle w:val="Tabletext"/>
            </w:pPr>
            <w:r w:rsidRPr="00DA3183">
              <w:t>Acute non-admitted</w:t>
            </w:r>
          </w:p>
        </w:tc>
        <w:tc>
          <w:tcPr>
            <w:tcW w:w="6141" w:type="dxa"/>
          </w:tcPr>
          <w:p w14:paraId="1B941D14" w14:textId="77777777" w:rsidR="005B699B" w:rsidRPr="00DA3183" w:rsidRDefault="005B699B" w:rsidP="00785BA1">
            <w:pPr>
              <w:pStyle w:val="Tabletext"/>
            </w:pPr>
            <w:r w:rsidRPr="00DA3183">
              <w:t>Acute non-admitted</w:t>
            </w:r>
            <w:r w:rsidRPr="00DA3183" w:rsidDel="00265950">
              <w:t xml:space="preserve"> </w:t>
            </w:r>
            <w:r w:rsidRPr="00DA3183">
              <w:t xml:space="preserve">services will receive a </w:t>
            </w:r>
            <w:r w:rsidRPr="00F24F24">
              <w:t>block grant</w:t>
            </w:r>
            <w:r w:rsidRPr="00DA3183">
              <w:t xml:space="preserve"> that is based on the health service’s proportionate share of the total acute non-admitted weighted activity. Veteran patients may access all services, and funding and reporting arrangements </w:t>
            </w:r>
            <w:r w:rsidRPr="00DA3183">
              <w:lastRenderedPageBreak/>
              <w:t>mirror those for public patients. Where eligible veterans have been privately referred as a privately referred non-inpatient (PRNI) to a named specialist and consents to be treated as a private outpatient, the Department of Veterans’ Affairs will pay separately for specialist consultations and procedures, and associated pathology and radiology services.</w:t>
            </w:r>
          </w:p>
        </w:tc>
      </w:tr>
      <w:tr w:rsidR="005B699B" w:rsidRPr="0066144B" w14:paraId="1479855B" w14:textId="77777777" w:rsidTr="00831511">
        <w:trPr>
          <w:cantSplit/>
        </w:trPr>
        <w:tc>
          <w:tcPr>
            <w:tcW w:w="3158" w:type="dxa"/>
          </w:tcPr>
          <w:p w14:paraId="6A979BB0" w14:textId="77777777" w:rsidR="005B699B" w:rsidRPr="00DA3183" w:rsidRDefault="005B699B" w:rsidP="00785BA1">
            <w:pPr>
              <w:pStyle w:val="Tabletext"/>
            </w:pPr>
            <w:r w:rsidRPr="00DA3183">
              <w:lastRenderedPageBreak/>
              <w:t>Subacute non-admitted</w:t>
            </w:r>
          </w:p>
        </w:tc>
        <w:tc>
          <w:tcPr>
            <w:tcW w:w="6141" w:type="dxa"/>
          </w:tcPr>
          <w:p w14:paraId="553CB1B0" w14:textId="77777777" w:rsidR="005B699B" w:rsidRPr="00DA3183" w:rsidRDefault="005B699B" w:rsidP="00785BA1">
            <w:pPr>
              <w:pStyle w:val="Tabletext"/>
            </w:pPr>
            <w:r w:rsidRPr="00DA3183">
              <w:t>Subacute non-admitted</w:t>
            </w:r>
            <w:r w:rsidRPr="00DA3183" w:rsidDel="00265950">
              <w:t xml:space="preserve"> </w:t>
            </w:r>
            <w:r w:rsidRPr="00DA3183">
              <w:t xml:space="preserve">services will receive a </w:t>
            </w:r>
            <w:r w:rsidRPr="00F24F24">
              <w:t>block grant</w:t>
            </w:r>
            <w:r w:rsidRPr="00DA3183">
              <w:t xml:space="preserve"> that is based on the health service’s proportionate share of the total subacute non-admitted weighted activity. Veteran patients may access all services, and funding and reporting arrangements mirror those for public patients. Where eligible veterans have been privately referred as a </w:t>
            </w:r>
            <w:r w:rsidRPr="00A21147">
              <w:t>PRNI</w:t>
            </w:r>
            <w:r w:rsidRPr="00DA3183">
              <w:t xml:space="preserve"> to a named specialist and consents to be treated as a private outpatient, the Department of Veterans’ Affairs will pay separately for specialist consultations and procedures, and associated pathology and radiology services.</w:t>
            </w:r>
          </w:p>
        </w:tc>
      </w:tr>
      <w:tr w:rsidR="005B699B" w:rsidRPr="0066144B" w14:paraId="593361A2" w14:textId="77777777" w:rsidTr="00831511">
        <w:tc>
          <w:tcPr>
            <w:tcW w:w="3158" w:type="dxa"/>
          </w:tcPr>
          <w:p w14:paraId="14FDB46D" w14:textId="77777777" w:rsidR="005B699B" w:rsidRPr="00DA3183" w:rsidRDefault="005B699B" w:rsidP="00785BA1">
            <w:pPr>
              <w:pStyle w:val="Tabletext"/>
            </w:pPr>
            <w:r w:rsidRPr="00DA3183">
              <w:t>Non-admitted radiotherapy</w:t>
            </w:r>
          </w:p>
        </w:tc>
        <w:tc>
          <w:tcPr>
            <w:tcW w:w="6141" w:type="dxa"/>
          </w:tcPr>
          <w:p w14:paraId="63FF6E32" w14:textId="77777777" w:rsidR="005B699B" w:rsidRPr="00DA3183" w:rsidRDefault="005B699B" w:rsidP="00785BA1">
            <w:pPr>
              <w:pStyle w:val="Tabletext"/>
            </w:pPr>
            <w:r w:rsidRPr="00DA3183">
              <w:t>Weighted activity units are funded on a throughput basis. Where eligible veterans have been privately referred as a PRNI to a named specialist and consents to be treated as a private outpatient, the Department of Veterans’ Affairs will pay separately for specialist consultations and procedures, and associated pathology and radiology services.</w:t>
            </w:r>
          </w:p>
        </w:tc>
      </w:tr>
      <w:tr w:rsidR="005B699B" w:rsidRPr="0066144B" w14:paraId="600B9EBE" w14:textId="77777777" w:rsidTr="00831511">
        <w:tc>
          <w:tcPr>
            <w:tcW w:w="3158" w:type="dxa"/>
          </w:tcPr>
          <w:p w14:paraId="23356C27" w14:textId="77777777" w:rsidR="005B699B" w:rsidRPr="00DA3183" w:rsidRDefault="005B699B" w:rsidP="00785BA1">
            <w:pPr>
              <w:pStyle w:val="Tabletext"/>
            </w:pPr>
            <w:r w:rsidRPr="00DA3183">
              <w:t>Specialist mental health acute care</w:t>
            </w:r>
          </w:p>
        </w:tc>
        <w:tc>
          <w:tcPr>
            <w:tcW w:w="6141" w:type="dxa"/>
          </w:tcPr>
          <w:p w14:paraId="5382E803" w14:textId="77777777" w:rsidR="005B699B" w:rsidRPr="00DA3183" w:rsidRDefault="005B699B" w:rsidP="00785BA1">
            <w:pPr>
              <w:pStyle w:val="Tabletext"/>
            </w:pPr>
            <w:r w:rsidRPr="00DA3183">
              <w:t xml:space="preserve">Funding for </w:t>
            </w:r>
            <w:r w:rsidRPr="00F24F24">
              <w:t>mental health</w:t>
            </w:r>
            <w:r w:rsidRPr="00DA3183">
              <w:t xml:space="preserve"> services to eligible Veterans are funded within the total funding provided to services. Veteran patients may access all services, and funding and reporting arrangements mirror those for public patients.</w:t>
            </w:r>
          </w:p>
        </w:tc>
      </w:tr>
      <w:tr w:rsidR="005B699B" w:rsidRPr="0066144B" w14:paraId="5AF81ECF" w14:textId="77777777" w:rsidTr="00831511">
        <w:tc>
          <w:tcPr>
            <w:tcW w:w="3158" w:type="dxa"/>
          </w:tcPr>
          <w:p w14:paraId="38D5CF31" w14:textId="77777777" w:rsidR="005B699B" w:rsidRPr="00DA3183" w:rsidRDefault="005B699B" w:rsidP="00785BA1">
            <w:pPr>
              <w:pStyle w:val="Tabletext"/>
            </w:pPr>
            <w:r w:rsidRPr="00DA3183">
              <w:t>Non-specialist mental health acute care</w:t>
            </w:r>
          </w:p>
        </w:tc>
        <w:tc>
          <w:tcPr>
            <w:tcW w:w="6141" w:type="dxa"/>
          </w:tcPr>
          <w:p w14:paraId="7D7A616A" w14:textId="77777777" w:rsidR="005B699B" w:rsidRPr="00DA3183" w:rsidRDefault="005B699B" w:rsidP="00785BA1">
            <w:pPr>
              <w:pStyle w:val="Tabletext"/>
            </w:pPr>
            <w:r w:rsidRPr="00DA3183">
              <w:t xml:space="preserve">Funding for </w:t>
            </w:r>
            <w:r w:rsidRPr="00F24F24">
              <w:t>mental health</w:t>
            </w:r>
            <w:r w:rsidRPr="00DA3183">
              <w:t xml:space="preserve"> services to eligible Veterans are funded within the total funding provided to services. Veteran patients may access all services, and funding and reporting arrangements mirror those for public patients.</w:t>
            </w:r>
          </w:p>
        </w:tc>
      </w:tr>
      <w:tr w:rsidR="005B699B" w:rsidRPr="0066144B" w14:paraId="6780B19C" w14:textId="77777777" w:rsidTr="00831511">
        <w:tc>
          <w:tcPr>
            <w:tcW w:w="3158" w:type="dxa"/>
          </w:tcPr>
          <w:p w14:paraId="7BC2DC6A" w14:textId="77777777" w:rsidR="005B699B" w:rsidRDefault="005B699B" w:rsidP="00785BA1">
            <w:pPr>
              <w:pStyle w:val="Tabletext"/>
            </w:pPr>
            <w:r>
              <w:t>Transition Care Program</w:t>
            </w:r>
          </w:p>
        </w:tc>
        <w:tc>
          <w:tcPr>
            <w:tcW w:w="6141" w:type="dxa"/>
          </w:tcPr>
          <w:p w14:paraId="7D8EB9F4" w14:textId="77777777" w:rsidR="005B699B" w:rsidRPr="00674F20" w:rsidRDefault="005B699B" w:rsidP="00785BA1">
            <w:pPr>
              <w:pStyle w:val="Tabletext"/>
            </w:pPr>
            <w:r w:rsidRPr="00674F20">
              <w:t xml:space="preserve">The </w:t>
            </w:r>
            <w:r>
              <w:t>TCP</w:t>
            </w:r>
            <w:r w:rsidRPr="00674F20">
              <w:t xml:space="preserve"> is available to all members of the Australian community, including </w:t>
            </w:r>
            <w:r w:rsidRPr="00DA3183">
              <w:t>veterans</w:t>
            </w:r>
            <w:r w:rsidRPr="00674F20">
              <w:t xml:space="preserve">. However, </w:t>
            </w:r>
            <w:r>
              <w:t xml:space="preserve">the </w:t>
            </w:r>
            <w:r w:rsidRPr="00674F20">
              <w:t xml:space="preserve">Department of Veterans’ Affairs will only fund the patient contribution for veterans who are former prisoners of war. Further details are available on the </w:t>
            </w:r>
            <w:hyperlink r:id="rId32" w:history="1">
              <w:r w:rsidRPr="00FA43F8">
                <w:rPr>
                  <w:rStyle w:val="Hyperlink"/>
                </w:rPr>
                <w:t>Department of Veterans’ Affairs website</w:t>
              </w:r>
            </w:hyperlink>
            <w:r w:rsidRPr="00674F20">
              <w:t xml:space="preserve"> &lt;</w:t>
            </w:r>
            <w:r w:rsidRPr="00FA43F8">
              <w:t>http</w:t>
            </w:r>
            <w:r>
              <w:t>s</w:t>
            </w:r>
            <w:r w:rsidRPr="00FA43F8">
              <w:t>://www.dva.gov.au</w:t>
            </w:r>
            <w:r w:rsidRPr="00674F20">
              <w:t>&gt;.</w:t>
            </w:r>
          </w:p>
        </w:tc>
      </w:tr>
      <w:tr w:rsidR="005B699B" w:rsidRPr="0066144B" w14:paraId="1B13ABF7" w14:textId="77777777" w:rsidTr="00831511">
        <w:tc>
          <w:tcPr>
            <w:tcW w:w="3158" w:type="dxa"/>
          </w:tcPr>
          <w:p w14:paraId="4F2AA422" w14:textId="77777777" w:rsidR="005B699B" w:rsidRPr="00082CAB" w:rsidRDefault="005B699B" w:rsidP="00785BA1">
            <w:pPr>
              <w:pStyle w:val="Tabletext"/>
            </w:pPr>
            <w:r w:rsidRPr="00F43635">
              <w:t xml:space="preserve">Community </w:t>
            </w:r>
            <w:r w:rsidRPr="00DA3183">
              <w:t>Health</w:t>
            </w:r>
            <w:r w:rsidRPr="00F43635">
              <w:t xml:space="preserve"> Program</w:t>
            </w:r>
          </w:p>
        </w:tc>
        <w:tc>
          <w:tcPr>
            <w:tcW w:w="6141" w:type="dxa"/>
          </w:tcPr>
          <w:p w14:paraId="31E78CDC" w14:textId="77777777" w:rsidR="005B699B" w:rsidRPr="00082CAB" w:rsidRDefault="005B699B" w:rsidP="00785BA1">
            <w:pPr>
              <w:pStyle w:val="Tabletext"/>
            </w:pPr>
            <w:r w:rsidRPr="00F43635">
              <w:t xml:space="preserve">Community </w:t>
            </w:r>
            <w:r>
              <w:t>h</w:t>
            </w:r>
            <w:r w:rsidRPr="00F43635">
              <w:t>ealth services should bill the Department of Veterans’ Affairs directly for allied health and nursing services provided under the Community Health Program.</w:t>
            </w:r>
          </w:p>
        </w:tc>
      </w:tr>
    </w:tbl>
    <w:p w14:paraId="5CB8E69D" w14:textId="77777777" w:rsidR="005B699B" w:rsidRPr="0054536C" w:rsidRDefault="005B699B" w:rsidP="00D21152">
      <w:pPr>
        <w:pStyle w:val="Heading4"/>
      </w:pPr>
      <w:r w:rsidRPr="00D110BA">
        <w:t>Payments</w:t>
      </w:r>
    </w:p>
    <w:p w14:paraId="3C74049B" w14:textId="77777777" w:rsidR="005B699B" w:rsidRDefault="005B699B" w:rsidP="005B699B">
      <w:pPr>
        <w:pStyle w:val="Body"/>
      </w:pPr>
      <w:r>
        <w:t>If a claim is not accepted by the Department of Veterans’ Affairs, either:</w:t>
      </w:r>
    </w:p>
    <w:p w14:paraId="49E1738B" w14:textId="7C428785" w:rsidR="005B699B" w:rsidRPr="00C574D3" w:rsidRDefault="0054536C" w:rsidP="00CE12D2">
      <w:pPr>
        <w:pStyle w:val="Bullet1"/>
        <w:numPr>
          <w:ilvl w:val="0"/>
          <w:numId w:val="42"/>
        </w:numPr>
      </w:pPr>
      <w:r>
        <w:t xml:space="preserve">the </w:t>
      </w:r>
      <w:r w:rsidR="005B699B">
        <w:t>health service must transmit additional or corrected information to allow the claim to be accepted, or</w:t>
      </w:r>
    </w:p>
    <w:p w14:paraId="691A6F0A" w14:textId="77777777" w:rsidR="005B699B" w:rsidRPr="00C574D3" w:rsidRDefault="005B699B" w:rsidP="00CE12D2">
      <w:pPr>
        <w:pStyle w:val="Bullet1"/>
        <w:numPr>
          <w:ilvl w:val="0"/>
          <w:numId w:val="42"/>
        </w:numPr>
      </w:pPr>
      <w:r>
        <w:t>claims should be retrospectively reclassified to reflect the patient’s changed care type or preferences.</w:t>
      </w:r>
    </w:p>
    <w:p w14:paraId="3622C0C7" w14:textId="7F991FC7" w:rsidR="005B699B" w:rsidRDefault="005B699B" w:rsidP="005B699B">
      <w:pPr>
        <w:pStyle w:val="Bodyafterbullets"/>
      </w:pPr>
      <w:r>
        <w:lastRenderedPageBreak/>
        <w:t xml:space="preserve">Health services </w:t>
      </w:r>
      <w:r w:rsidR="0054536C">
        <w:t>must</w:t>
      </w:r>
      <w:r>
        <w:t xml:space="preserve"> make changes before consolidating the Victorian Admitted Episode Dataset (</w:t>
      </w:r>
      <w:r w:rsidRPr="00F67ACE">
        <w:t>VAED</w:t>
      </w:r>
      <w:r>
        <w:t xml:space="preserve">), otherwise funding will not be paid at either the </w:t>
      </w:r>
      <w:r w:rsidRPr="00674F20">
        <w:t xml:space="preserve">Department of Veterans’ Affairs </w:t>
      </w:r>
      <w:r>
        <w:t>or public rate.</w:t>
      </w:r>
    </w:p>
    <w:p w14:paraId="6E4A6C94" w14:textId="77777777" w:rsidR="005B699B" w:rsidRPr="00566453" w:rsidRDefault="005B699B" w:rsidP="00897AA4">
      <w:pPr>
        <w:pStyle w:val="Body"/>
      </w:pPr>
      <w:r w:rsidRPr="00566453">
        <w:t>The Department of Veterans’ Affairs agreement prohibits organisations from raising any charges directly on an eligible veteran</w:t>
      </w:r>
      <w:r>
        <w:t>,</w:t>
      </w:r>
      <w:r w:rsidRPr="00566453">
        <w:t xml:space="preserve"> except where provided for under </w:t>
      </w:r>
      <w:r>
        <w:t>C</w:t>
      </w:r>
      <w:r w:rsidRPr="00566453">
        <w:t>ommonwealth legislation. This prohibition does not, however, prevent organisations from charging a cost for providing personal services such as television access or telephone services at the facility.</w:t>
      </w:r>
    </w:p>
    <w:p w14:paraId="38346540" w14:textId="77777777" w:rsidR="005B699B" w:rsidRPr="009834E9" w:rsidRDefault="005B699B" w:rsidP="00897AA4">
      <w:pPr>
        <w:pStyle w:val="Body"/>
      </w:pPr>
      <w:r w:rsidRPr="009834E9">
        <w:t xml:space="preserve">The Department of Veterans’ Affairs agreement recognises that treatment </w:t>
      </w:r>
      <w:r>
        <w:t>for</w:t>
      </w:r>
      <w:r w:rsidRPr="009834E9">
        <w:t xml:space="preserve"> Department of Veterans’ Affairs patients may occasionally be subcontracted to a private hospital or facility. Where that private hospital or facility is contracted to the Department of Veterans’ Affairs, and claims for the service, the Department of Veterans’ Affairs will pay the facility directly through their payment arrangements with Medicare Australia. Under these circumstances</w:t>
      </w:r>
      <w:r>
        <w:t>,</w:t>
      </w:r>
      <w:r w:rsidRPr="009834E9">
        <w:t xml:space="preserve"> the public hospital cannot also claim payment separately for the treatment provided.</w:t>
      </w:r>
    </w:p>
    <w:p w14:paraId="4D1D08EA" w14:textId="2B4DFCAD" w:rsidR="005B699B" w:rsidRPr="00566453" w:rsidRDefault="005B699B" w:rsidP="00897AA4">
      <w:pPr>
        <w:pStyle w:val="Body"/>
      </w:pPr>
      <w:r w:rsidRPr="00566453">
        <w:t xml:space="preserve">Subcontracting for </w:t>
      </w:r>
      <w:r>
        <w:t>T</w:t>
      </w:r>
      <w:r w:rsidRPr="00566453">
        <w:t xml:space="preserve">ransition </w:t>
      </w:r>
      <w:r>
        <w:t>C</w:t>
      </w:r>
      <w:r w:rsidRPr="00566453">
        <w:t>are is exempt from this requirement</w:t>
      </w:r>
      <w:r>
        <w:t>, as public hospitals do not directly bill the Department of Veteran’s Affairs for this service</w:t>
      </w:r>
      <w:r w:rsidDel="00DD4958">
        <w:t xml:space="preserve"> </w:t>
      </w:r>
      <w:r w:rsidRPr="00566453">
        <w:t xml:space="preserve">(see </w:t>
      </w:r>
      <w:r w:rsidR="000E0ED2">
        <w:fldChar w:fldCharType="begin"/>
      </w:r>
      <w:r w:rsidR="000E0ED2">
        <w:instrText xml:space="preserve"> REF _Ref170112553 \h </w:instrText>
      </w:r>
      <w:r w:rsidR="000E0ED2">
        <w:fldChar w:fldCharType="separate"/>
      </w:r>
      <w:r w:rsidR="00F30C16">
        <w:t>Table 1.</w:t>
      </w:r>
      <w:r w:rsidR="00F30C16">
        <w:rPr>
          <w:noProof/>
        </w:rPr>
        <w:t>2</w:t>
      </w:r>
      <w:r w:rsidR="00F30C16">
        <w:t xml:space="preserve">: </w:t>
      </w:r>
      <w:r w:rsidR="00F30C16" w:rsidRPr="009E6E16">
        <w:t>Funding arrangements for Department of Veterans’ Affairs patients</w:t>
      </w:r>
      <w:r w:rsidR="000E0ED2">
        <w:fldChar w:fldCharType="end"/>
      </w:r>
      <w:r>
        <w:t>).</w:t>
      </w:r>
    </w:p>
    <w:p w14:paraId="6DEBC97A" w14:textId="36A5BAEF" w:rsidR="005B699B" w:rsidRDefault="005B699B" w:rsidP="001E4292">
      <w:pPr>
        <w:pStyle w:val="Heading3"/>
        <w:numPr>
          <w:ilvl w:val="2"/>
          <w:numId w:val="13"/>
        </w:numPr>
      </w:pPr>
      <w:r w:rsidRPr="001E7F44">
        <w:t xml:space="preserve">Transport </w:t>
      </w:r>
      <w:r w:rsidRPr="00E00A19">
        <w:t>A</w:t>
      </w:r>
      <w:r w:rsidRPr="000F0FC6">
        <w:t xml:space="preserve">ccident </w:t>
      </w:r>
      <w:r w:rsidRPr="00361A32">
        <w:t>Commission</w:t>
      </w:r>
      <w:r w:rsidRPr="00B74A4E">
        <w:t xml:space="preserve"> patients</w:t>
      </w:r>
    </w:p>
    <w:p w14:paraId="099D50AC" w14:textId="77777777" w:rsidR="005B699B" w:rsidRPr="0054536C" w:rsidRDefault="005B699B" w:rsidP="001836C7">
      <w:pPr>
        <w:pStyle w:val="Heading4"/>
      </w:pPr>
      <w:r w:rsidRPr="004D4780">
        <w:t>Eligibility</w:t>
      </w:r>
    </w:p>
    <w:p w14:paraId="732C99FE" w14:textId="23C8D828" w:rsidR="005B699B" w:rsidRDefault="005B699B" w:rsidP="005B699B">
      <w:pPr>
        <w:pStyle w:val="Body"/>
      </w:pPr>
      <w:r>
        <w:t xml:space="preserve">Patients </w:t>
      </w:r>
      <w:r w:rsidR="0054536C">
        <w:t>must</w:t>
      </w:r>
      <w:r>
        <w:t xml:space="preserve"> complete and sign a </w:t>
      </w:r>
      <w:r w:rsidRPr="00A21147">
        <w:t>TAC</w:t>
      </w:r>
      <w:r>
        <w:t xml:space="preserve"> claim form before the TAC will accept responsibility for payment. Health services should </w:t>
      </w:r>
      <w:r w:rsidR="0054536C">
        <w:t xml:space="preserve">understand </w:t>
      </w:r>
      <w:r>
        <w:t>specific requirements</w:t>
      </w:r>
      <w:r w:rsidR="0054536C">
        <w:t xml:space="preserve"> of this form</w:t>
      </w:r>
      <w:r>
        <w:t xml:space="preserve">. If health services’ data does not exactly match the details a patient has entered on a claim form, there will be significant delays in payment from the TAC while the errors are </w:t>
      </w:r>
      <w:r w:rsidR="0054536C">
        <w:t>resolved</w:t>
      </w:r>
      <w:r w:rsidR="009D5439">
        <w:t xml:space="preserve"> </w:t>
      </w:r>
      <w:r w:rsidDel="0054536C">
        <w:t>by health services, the TAC and the department</w:t>
      </w:r>
      <w:r>
        <w:t>.</w:t>
      </w:r>
    </w:p>
    <w:p w14:paraId="111C985E" w14:textId="77777777" w:rsidR="005B699B" w:rsidRDefault="005B699B" w:rsidP="00387F6D">
      <w:pPr>
        <w:pStyle w:val="Heading4"/>
        <w:rPr>
          <w:szCs w:val="24"/>
        </w:rPr>
      </w:pPr>
      <w:r w:rsidRPr="004D4780">
        <w:t xml:space="preserve">Funding </w:t>
      </w:r>
      <w:r>
        <w:t>a</w:t>
      </w:r>
      <w:r w:rsidRPr="004D4780">
        <w:t>rrangements</w:t>
      </w:r>
    </w:p>
    <w:p w14:paraId="110E01A1" w14:textId="77777777" w:rsidR="005B699B" w:rsidRDefault="005B699B" w:rsidP="005B699B">
      <w:pPr>
        <w:pStyle w:val="Body"/>
      </w:pPr>
      <w:r>
        <w:t xml:space="preserve">View </w:t>
      </w:r>
      <w:r w:rsidRPr="00863D12">
        <w:t>TAC rates</w:t>
      </w:r>
      <w:r>
        <w:t xml:space="preserve"> at</w:t>
      </w:r>
      <w:r w:rsidRPr="00674F20">
        <w:t xml:space="preserve"> the </w:t>
      </w:r>
      <w:hyperlink r:id="rId33">
        <w:r w:rsidRPr="1E17C801">
          <w:rPr>
            <w:rStyle w:val="Hyperlink"/>
          </w:rPr>
          <w:t>Transport Accident Commission patients webpage</w:t>
        </w:r>
      </w:hyperlink>
      <w:r w:rsidRPr="00EF2996">
        <w:t xml:space="preserve"> &lt;</w:t>
      </w:r>
      <w:r w:rsidRPr="00BB305A">
        <w:t>https://www.health.vic.gov.au/patient-fees-charges/transport-accident-commission-patients</w:t>
      </w:r>
      <w:r w:rsidRPr="00EF2996">
        <w:t>&gt;.</w:t>
      </w:r>
    </w:p>
    <w:p w14:paraId="616128CC" w14:textId="77777777" w:rsidR="005B699B" w:rsidRPr="0054536C" w:rsidRDefault="005B699B" w:rsidP="00B52E5D">
      <w:pPr>
        <w:pStyle w:val="Heading4"/>
      </w:pPr>
      <w:r w:rsidRPr="00EF2996">
        <w:t>Payments</w:t>
      </w:r>
    </w:p>
    <w:p w14:paraId="6766F37F" w14:textId="408433DB" w:rsidR="005B699B" w:rsidRDefault="005B699B" w:rsidP="005B699B">
      <w:pPr>
        <w:pStyle w:val="Body"/>
      </w:pPr>
      <w:r>
        <w:t xml:space="preserve">The department will continue to provide health services payments based on </w:t>
      </w:r>
      <w:r w:rsidRPr="00AD64F6">
        <w:t xml:space="preserve">NWAU </w:t>
      </w:r>
      <w:r w:rsidR="008C4F74">
        <w:t>activity</w:t>
      </w:r>
      <w:r>
        <w:t>.</w:t>
      </w:r>
    </w:p>
    <w:p w14:paraId="739843B9" w14:textId="6DB6BA67" w:rsidR="005B699B" w:rsidRDefault="0054536C" w:rsidP="005B699B">
      <w:pPr>
        <w:pStyle w:val="Body"/>
      </w:pPr>
      <w:r>
        <w:t>The TAC provides the department with f</w:t>
      </w:r>
      <w:r w:rsidR="005B699B">
        <w:t>unding for TAC patients. This is cash-flowed to health services throughout the year and adjusted to actual at year end based on data reconciled with the TAC. Separate uncapped TAC NWAU targets are incorporated into health service budgets for 2024–25, based on the latest available 12-month throughput reported.</w:t>
      </w:r>
    </w:p>
    <w:p w14:paraId="336B0253" w14:textId="0E0FE12E" w:rsidR="005B699B" w:rsidRDefault="005B699B" w:rsidP="005B699B">
      <w:pPr>
        <w:pStyle w:val="Body"/>
      </w:pPr>
      <w:r>
        <w:t>The department will only pay a rate applicable for all accepted TAC patients matched with TAC records including numbers in excess of the target. It is imperative that health services ensure their own records are complete, comprehensive and timely.</w:t>
      </w:r>
    </w:p>
    <w:p w14:paraId="2B44F635" w14:textId="77777777" w:rsidR="005B699B" w:rsidRDefault="005B699B" w:rsidP="005B699B">
      <w:pPr>
        <w:pStyle w:val="Body"/>
      </w:pPr>
      <w:r>
        <w:t>For the department to receive payment from TAC, TAC must accept the claim and issue a claim number. The patient information reported by health services to the department must match those held by the TAC for each admitted patient separation.</w:t>
      </w:r>
    </w:p>
    <w:p w14:paraId="0FA610BF" w14:textId="77777777" w:rsidR="005B699B" w:rsidRDefault="005B699B" w:rsidP="005B699B">
      <w:pPr>
        <w:pStyle w:val="Body"/>
      </w:pPr>
      <w:r>
        <w:lastRenderedPageBreak/>
        <w:t>Health services should ensure their TAC records are updated, with TAC remittance advice fed back by the department. This will ensure updated records are accepted by the TAC and that delays in reconciling activity and payment for records are minimised.</w:t>
      </w:r>
    </w:p>
    <w:p w14:paraId="70DD196B" w14:textId="77777777" w:rsidR="005B699B" w:rsidRDefault="005B699B" w:rsidP="005B699B">
      <w:pPr>
        <w:pStyle w:val="Body"/>
      </w:pPr>
      <w:r>
        <w:t>The department will cash-flow TAC funding to accepted TAC cases. If a TAC claim is later rejected, the department will automatically fund the claim using public NWAU in the prior-year adjustment process unless the health service has exceeded its NWAU target.</w:t>
      </w:r>
    </w:p>
    <w:p w14:paraId="6D251A40" w14:textId="77777777" w:rsidR="005B699B" w:rsidRDefault="005B699B" w:rsidP="005B699B">
      <w:pPr>
        <w:pStyle w:val="Body"/>
      </w:pPr>
      <w:r>
        <w:t>To minimise errors and delays, health services are required to ensure that the information is entered accurately and to proactively identify and resolve errors before sending the data to the TAC or to the department. Errors that are not accurately corrected by health services, such as an incorrect date of birth, continually cycle through both the department and the TAC databases and remain unmatched and consequently unfunded. This requires additional review, reconciliation and problem-solving by the health services, the department, and the TAC.</w:t>
      </w:r>
    </w:p>
    <w:p w14:paraId="436CF72C" w14:textId="77777777" w:rsidR="005B699B" w:rsidRDefault="005B699B" w:rsidP="005B699B">
      <w:pPr>
        <w:pStyle w:val="Body"/>
      </w:pPr>
      <w:r>
        <w:t>If a claim is not accepted by the TAC, either:</w:t>
      </w:r>
    </w:p>
    <w:p w14:paraId="46531871" w14:textId="77777777" w:rsidR="005B699B" w:rsidRDefault="005B699B" w:rsidP="00CE12D2">
      <w:pPr>
        <w:pStyle w:val="Bullet1"/>
        <w:numPr>
          <w:ilvl w:val="0"/>
          <w:numId w:val="43"/>
        </w:numPr>
      </w:pPr>
      <w:r>
        <w:t>health services must transmit additional or corrected information to allow the claim to be accepted, or</w:t>
      </w:r>
    </w:p>
    <w:p w14:paraId="7CDD8F7F" w14:textId="77777777" w:rsidR="005B699B" w:rsidRDefault="005B699B" w:rsidP="00CE12D2">
      <w:pPr>
        <w:pStyle w:val="Bullet1"/>
        <w:numPr>
          <w:ilvl w:val="0"/>
          <w:numId w:val="43"/>
        </w:numPr>
      </w:pPr>
      <w:r>
        <w:t>claims should be retrospectively reclassified to reflect the patient’s changed care type or preferences.</w:t>
      </w:r>
    </w:p>
    <w:p w14:paraId="5AD70348" w14:textId="77777777" w:rsidR="005B699B" w:rsidRDefault="005B699B" w:rsidP="005B699B">
      <w:pPr>
        <w:pStyle w:val="Bodyafterbullets"/>
      </w:pPr>
      <w:r>
        <w:t>The department will not make changes for denied or rejected claims after consolidation through the prior-year’s adjustment. Health services are required to make changes before consolidation, otherwise funding will not be paid at either the TAC or public rate.</w:t>
      </w:r>
    </w:p>
    <w:p w14:paraId="05A5BCA6" w14:textId="77777777" w:rsidR="005B699B" w:rsidRDefault="005B699B" w:rsidP="00F100F8">
      <w:pPr>
        <w:pStyle w:val="Heading4"/>
        <w:rPr>
          <w:szCs w:val="24"/>
        </w:rPr>
      </w:pPr>
      <w:r w:rsidRPr="004D4780">
        <w:t xml:space="preserve">Additional </w:t>
      </w:r>
      <w:r>
        <w:t>i</w:t>
      </w:r>
      <w:r w:rsidRPr="004D4780">
        <w:t>nformation</w:t>
      </w:r>
    </w:p>
    <w:p w14:paraId="4242D777" w14:textId="77777777" w:rsidR="005B699B" w:rsidRDefault="005B699B" w:rsidP="005B699B">
      <w:pPr>
        <w:pStyle w:val="Body"/>
      </w:pPr>
      <w:r>
        <w:t>More detailed information on the TAC’s</w:t>
      </w:r>
      <w:r w:rsidRPr="001D6BD3">
        <w:t xml:space="preserve"> policy</w:t>
      </w:r>
      <w:r>
        <w:t xml:space="preserve">, services and funding is available at </w:t>
      </w:r>
      <w:hyperlink r:id="rId34" w:history="1">
        <w:r>
          <w:rPr>
            <w:rStyle w:val="Hyperlink"/>
          </w:rPr>
          <w:t>TAC’s ‘For providers</w:t>
        </w:r>
      </w:hyperlink>
      <w:r>
        <w:rPr>
          <w:rStyle w:val="Hyperlink"/>
        </w:rPr>
        <w:t>’ webpage</w:t>
      </w:r>
      <w:r>
        <w:t xml:space="preserve"> &lt;</w:t>
      </w:r>
      <w:r w:rsidRPr="00F472F9">
        <w:t>http</w:t>
      </w:r>
      <w:r>
        <w:t>s</w:t>
      </w:r>
      <w:r w:rsidRPr="00F472F9">
        <w:t>://www.tac.vic.gov.au/providers</w:t>
      </w:r>
      <w:r>
        <w:t>&gt;.</w:t>
      </w:r>
    </w:p>
    <w:p w14:paraId="1950BBB0" w14:textId="77777777" w:rsidR="005B699B" w:rsidRDefault="005B699B" w:rsidP="005B699B">
      <w:pPr>
        <w:pStyle w:val="Body"/>
      </w:pPr>
      <w:r>
        <w:t>Agreed amendments to the current services and prices will be documented on the department’s fees and charges website.</w:t>
      </w:r>
    </w:p>
    <w:p w14:paraId="493CFF0B" w14:textId="77777777" w:rsidR="005B699B" w:rsidRDefault="005B699B" w:rsidP="001E4292">
      <w:pPr>
        <w:pStyle w:val="Heading3"/>
        <w:numPr>
          <w:ilvl w:val="2"/>
          <w:numId w:val="13"/>
        </w:numPr>
      </w:pPr>
      <w:r>
        <w:t xml:space="preserve">WorkSafe </w:t>
      </w:r>
      <w:r w:rsidRPr="00361A32">
        <w:t>Victoria</w:t>
      </w:r>
      <w:r w:rsidRPr="00FE7B18">
        <w:t xml:space="preserve"> </w:t>
      </w:r>
      <w:r>
        <w:t>p</w:t>
      </w:r>
      <w:r w:rsidRPr="00FE7B18">
        <w:t>atients</w:t>
      </w:r>
    </w:p>
    <w:p w14:paraId="44111400" w14:textId="77777777" w:rsidR="005B699B" w:rsidRDefault="005B699B" w:rsidP="005B699B">
      <w:pPr>
        <w:pStyle w:val="Body"/>
      </w:pPr>
      <w:r>
        <w:t>WorkSafe Victoria patients treated in Victorian health services are directly funded by WorkSafe Victoria insurers. This process will continue in 2024–25 at the rates agreed between the authority and the department on behalf of health services.</w:t>
      </w:r>
    </w:p>
    <w:p w14:paraId="5E391705" w14:textId="77777777" w:rsidR="005B699B" w:rsidRDefault="005B699B" w:rsidP="005B699B">
      <w:pPr>
        <w:pStyle w:val="Body"/>
      </w:pPr>
      <w:r>
        <w:t>Patients treated in an emergency department only will continue to be directly billed to WorkSafe Victoria at a flat rate per attendance. This rate will apply to all emergency department attendances (in lieu of the previously charged facility fee). Health services should also bill WorkSafe Victoria directly for medical and diagnostic costs.</w:t>
      </w:r>
    </w:p>
    <w:p w14:paraId="4F34FE8C" w14:textId="77777777" w:rsidR="005B699B" w:rsidRDefault="005B699B" w:rsidP="005B699B">
      <w:pPr>
        <w:pStyle w:val="Body"/>
      </w:pPr>
      <w:r>
        <w:t xml:space="preserve">Read more about the </w:t>
      </w:r>
      <w:r w:rsidRPr="00863D12">
        <w:t>current services and prices</w:t>
      </w:r>
      <w:r>
        <w:t xml:space="preserve"> at the </w:t>
      </w:r>
      <w:hyperlink r:id="rId35" w:history="1">
        <w:r w:rsidRPr="00572AF9">
          <w:rPr>
            <w:rStyle w:val="Hyperlink"/>
          </w:rPr>
          <w:t>Work</w:t>
        </w:r>
        <w:r>
          <w:rPr>
            <w:rStyle w:val="Hyperlink"/>
          </w:rPr>
          <w:t>S</w:t>
        </w:r>
        <w:r w:rsidRPr="00572AF9">
          <w:rPr>
            <w:rStyle w:val="Hyperlink"/>
          </w:rPr>
          <w:t>afe patients webpage</w:t>
        </w:r>
      </w:hyperlink>
      <w:r>
        <w:t xml:space="preserve"> &lt;</w:t>
      </w:r>
      <w:r w:rsidRPr="00790F74">
        <w:t>https://www.health.vic.gov.au/patient-fees-charges/worksafe-patients</w:t>
      </w:r>
      <w:r>
        <w:t>&gt;.</w:t>
      </w:r>
    </w:p>
    <w:p w14:paraId="3F1611A2" w14:textId="77777777" w:rsidR="005B699B" w:rsidRDefault="005B699B" w:rsidP="001E4292">
      <w:pPr>
        <w:pStyle w:val="Heading3"/>
        <w:numPr>
          <w:ilvl w:val="2"/>
          <w:numId w:val="13"/>
        </w:numPr>
      </w:pPr>
      <w:r>
        <w:t>Direct-billing-</w:t>
      </w:r>
      <w:r w:rsidRPr="00361A32">
        <w:t>compensable</w:t>
      </w:r>
      <w:r>
        <w:t xml:space="preserve"> patients</w:t>
      </w:r>
    </w:p>
    <w:p w14:paraId="4CAF4659" w14:textId="77777777" w:rsidR="005B699B" w:rsidRDefault="005B699B" w:rsidP="005B699B">
      <w:pPr>
        <w:pStyle w:val="Body"/>
      </w:pPr>
      <w:r>
        <w:t>For compensable patients who are directly billed, the following arrangements are in place:</w:t>
      </w:r>
    </w:p>
    <w:p w14:paraId="7B2A9DA5" w14:textId="77777777" w:rsidR="005B699B" w:rsidRDefault="005B699B" w:rsidP="00CE12D2">
      <w:pPr>
        <w:pStyle w:val="Bullet1"/>
        <w:numPr>
          <w:ilvl w:val="0"/>
          <w:numId w:val="44"/>
        </w:numPr>
      </w:pPr>
      <w:r>
        <w:t>armed services – paid by the Department of Defence and billed through BUPA – paid by private health insurers that cover care for international seafarers</w:t>
      </w:r>
    </w:p>
    <w:p w14:paraId="2CEEB090" w14:textId="77777777" w:rsidR="005B699B" w:rsidRDefault="005B699B" w:rsidP="00CE12D2">
      <w:pPr>
        <w:pStyle w:val="Bullet1"/>
        <w:numPr>
          <w:ilvl w:val="0"/>
          <w:numId w:val="44"/>
        </w:numPr>
      </w:pPr>
      <w:r>
        <w:lastRenderedPageBreak/>
        <w:t>common law recoveries – paid by a third party where health costs are provided for under a common law damages claim</w:t>
      </w:r>
    </w:p>
    <w:p w14:paraId="5BF85442" w14:textId="77777777" w:rsidR="005B699B" w:rsidRDefault="005B699B" w:rsidP="00CE12D2">
      <w:pPr>
        <w:pStyle w:val="Bullet1"/>
        <w:numPr>
          <w:ilvl w:val="0"/>
          <w:numId w:val="44"/>
        </w:numPr>
      </w:pPr>
      <w:r>
        <w:t>other compensable patients – paid by a third party where health costs are provided for under a public liability claim.</w:t>
      </w:r>
    </w:p>
    <w:p w14:paraId="60C560E9" w14:textId="79351DE2" w:rsidR="005B699B" w:rsidRDefault="005B699B" w:rsidP="005B699B">
      <w:pPr>
        <w:pStyle w:val="Bodyafterbullets"/>
      </w:pPr>
      <w:r>
        <w:t>For these patients, health services should directly bill the relevant organisation responsible for payment. Billing rates are determined by health services</w:t>
      </w:r>
      <w:r w:rsidR="0054536C">
        <w:t>.</w:t>
      </w:r>
      <w:r w:rsidDel="0054536C">
        <w:t xml:space="preserve"> </w:t>
      </w:r>
      <w:r w:rsidR="0054536C">
        <w:t xml:space="preserve">These </w:t>
      </w:r>
      <w:r>
        <w:t xml:space="preserve">should be set to provide for full cost recovery. Recommended fees are outlined in the policies on the </w:t>
      </w:r>
      <w:hyperlink r:id="rId36" w:history="1">
        <w:r w:rsidRPr="00B75888">
          <w:rPr>
            <w:rStyle w:val="Hyperlink"/>
          </w:rPr>
          <w:t>Patient fees and charges for public health services</w:t>
        </w:r>
      </w:hyperlink>
      <w:r>
        <w:t xml:space="preserve"> website &lt;</w:t>
      </w:r>
      <w:r w:rsidRPr="00B71843">
        <w:t>https://www.health.vic.gov.au/hospitals-and-health-services/patient-fees-and-charges-for-public-health-services</w:t>
      </w:r>
      <w:r>
        <w:t>&gt;.</w:t>
      </w:r>
    </w:p>
    <w:p w14:paraId="0F23AAEE" w14:textId="77777777" w:rsidR="005B699B" w:rsidRPr="0054536C" w:rsidRDefault="005B699B" w:rsidP="001E4292">
      <w:pPr>
        <w:pStyle w:val="Heading2"/>
        <w:numPr>
          <w:ilvl w:val="1"/>
          <w:numId w:val="13"/>
        </w:numPr>
        <w:ind w:left="1134" w:hanging="1134"/>
      </w:pPr>
      <w:bookmarkStart w:id="1636" w:name="_Toc165961808"/>
      <w:bookmarkStart w:id="1637" w:name="_Toc178963593"/>
      <w:r>
        <w:t xml:space="preserve">Cross-border </w:t>
      </w:r>
      <w:r w:rsidRPr="00361A32">
        <w:t>patients</w:t>
      </w:r>
      <w:bookmarkEnd w:id="1636"/>
      <w:bookmarkEnd w:id="1637"/>
    </w:p>
    <w:p w14:paraId="66612F98" w14:textId="77777777" w:rsidR="005B699B" w:rsidRDefault="005B699B" w:rsidP="005B699B">
      <w:pPr>
        <w:pStyle w:val="Body"/>
      </w:pPr>
      <w:r>
        <w:t>The department allocates funding according to the expected activity levels. Normally, the department estimates its expected revenue for a relevant financial year (Commonwealth, state, net cross-border funding) and sets aside funding for known commitments to be incurred during the financial year.</w:t>
      </w:r>
    </w:p>
    <w:p w14:paraId="396BD0D5" w14:textId="77777777" w:rsidR="005B699B" w:rsidRDefault="005B699B" w:rsidP="005B699B">
      <w:pPr>
        <w:pStyle w:val="Body"/>
      </w:pPr>
      <w:r w:rsidRPr="00112A8E">
        <w:t xml:space="preserve">In general, funded organisations are cash-flowed during the financial year according to their funding allocations. </w:t>
      </w:r>
      <w:r>
        <w:t>Funded organisations are expected to manage their resident and non-resident demand based on the funding provided.</w:t>
      </w:r>
    </w:p>
    <w:p w14:paraId="78374375" w14:textId="7D1DC4D7" w:rsidR="005B699B" w:rsidRDefault="005B699B" w:rsidP="005B699B">
      <w:pPr>
        <w:pStyle w:val="Body"/>
      </w:pPr>
      <w:r w:rsidRPr="00112A8E">
        <w:t>Where required, adjustments to this funding for over- and under-activity are made in the following financial year accordin</w:t>
      </w:r>
      <w:r>
        <w:t>g to the policies set out in the prior-year adjustment section (see</w:t>
      </w:r>
      <w:r w:rsidR="00EF74B0">
        <w:t xml:space="preserve"> </w:t>
      </w:r>
      <w:r w:rsidR="00F05255">
        <w:t>s</w:t>
      </w:r>
      <w:r w:rsidR="00EF74B0">
        <w:t xml:space="preserve">ection </w:t>
      </w:r>
      <w:r>
        <w:fldChar w:fldCharType="begin"/>
      </w:r>
      <w:r>
        <w:instrText xml:space="preserve"> REF _Ref142493085 \r \h </w:instrText>
      </w:r>
      <w:r>
        <w:fldChar w:fldCharType="separate"/>
      </w:r>
      <w:r w:rsidR="00F30C16">
        <w:t>12</w:t>
      </w:r>
      <w:r>
        <w:fldChar w:fldCharType="end"/>
      </w:r>
      <w:r>
        <w:t xml:space="preserve"> </w:t>
      </w:r>
      <w:r>
        <w:fldChar w:fldCharType="begin"/>
      </w:r>
      <w:r>
        <w:instrText xml:space="preserve"> REF _Ref142493085 \h </w:instrText>
      </w:r>
      <w:r>
        <w:fldChar w:fldCharType="separate"/>
      </w:r>
      <w:r w:rsidR="00543255">
        <w:t>Prior-year adjustment: activity-based funding reconciliation</w:t>
      </w:r>
      <w:r>
        <w:fldChar w:fldCharType="end"/>
      </w:r>
      <w:r>
        <w:t xml:space="preserve">) of these </w:t>
      </w:r>
      <w:r w:rsidRPr="001974FE">
        <w:t>guidelines</w:t>
      </w:r>
      <w:r>
        <w:t xml:space="preserve">. The prior-year adjustment policy does not make adjustments for changes </w:t>
      </w:r>
      <w:r w:rsidRPr="001C45DE">
        <w:t>for annual variations in this cohort</w:t>
      </w:r>
      <w:r>
        <w:t>.</w:t>
      </w:r>
    </w:p>
    <w:p w14:paraId="7B23D5AA" w14:textId="77777777" w:rsidR="005B699B" w:rsidRDefault="005B699B" w:rsidP="005B699B">
      <w:pPr>
        <w:pStyle w:val="Body"/>
      </w:pPr>
      <w:r>
        <w:t xml:space="preserve">In accordance with Clause A91 of the NHRA, cross-border agreements are developed between jurisdictions that experience significant cross-border flows. The department negotiates agreements with all other states and territories (jurisdictions), based on a standard agreement. These agreements form the basis of the flow of funds between Victoria and other jurisdictions for residents treated from those jurisdictions. Annual reconciliations of cross-border flows occur to determine the liability of each jurisdiction. This revenue/liability is then factored into the revenue </w:t>
      </w:r>
      <w:r w:rsidRPr="00696BE3">
        <w:t>available</w:t>
      </w:r>
      <w:r>
        <w:t xml:space="preserve"> for redistribution as part of the modelled budget each year.</w:t>
      </w:r>
    </w:p>
    <w:p w14:paraId="28C8C5D5" w14:textId="77777777" w:rsidR="005B699B" w:rsidRDefault="005B699B" w:rsidP="005B699B">
      <w:pPr>
        <w:pStyle w:val="Body"/>
      </w:pPr>
      <w:r>
        <w:t>Under these agreements, a</w:t>
      </w:r>
      <w:r w:rsidRPr="001C45DE">
        <w:t xml:space="preserve">ll financial transactions </w:t>
      </w:r>
      <w:r>
        <w:t>are to be transacted by the relevant health departments and not through interagency transfers (for example, hospital to hospital or state health department to hospital).</w:t>
      </w:r>
    </w:p>
    <w:p w14:paraId="395A4596" w14:textId="77777777" w:rsidR="005B699B" w:rsidRPr="00A420BD" w:rsidRDefault="005B699B" w:rsidP="005B699B">
      <w:pPr>
        <w:pStyle w:val="Body"/>
      </w:pPr>
      <w:r>
        <w:t xml:space="preserve">Under the cross-border agreements, there is an exemption for high-cost procedures. </w:t>
      </w:r>
      <w:r w:rsidRPr="00A420BD">
        <w:t>A high</w:t>
      </w:r>
      <w:r>
        <w:t>-</w:t>
      </w:r>
      <w:r w:rsidRPr="00A420BD">
        <w:t xml:space="preserve">cost procedure is </w:t>
      </w:r>
      <w:r>
        <w:t xml:space="preserve">defined as </w:t>
      </w:r>
      <w:r w:rsidRPr="00A420BD">
        <w:t>a procedure that is not reasonably funded by the existing classification system and cost weights and are agreed to at a jurisdictional level prospectively on a case</w:t>
      </w:r>
      <w:r>
        <w:t>-</w:t>
      </w:r>
      <w:r w:rsidRPr="00A420BD">
        <w:t>by</w:t>
      </w:r>
      <w:r>
        <w:t>-</w:t>
      </w:r>
      <w:r w:rsidRPr="00A420BD">
        <w:t>case basis. For the avoidance of doubt, this definition excludes experimental procedures.</w:t>
      </w:r>
    </w:p>
    <w:p w14:paraId="572C50BA" w14:textId="77777777" w:rsidR="005B699B" w:rsidRPr="00A420BD" w:rsidRDefault="005B699B" w:rsidP="005B699B">
      <w:pPr>
        <w:pStyle w:val="Body"/>
      </w:pPr>
      <w:r w:rsidRPr="00A420BD">
        <w:t>Admitted acute high</w:t>
      </w:r>
      <w:r>
        <w:t>-</w:t>
      </w:r>
      <w:r w:rsidRPr="00A420BD">
        <w:t>cost procedures (</w:t>
      </w:r>
      <w:r>
        <w:t>for example,</w:t>
      </w:r>
      <w:r w:rsidRPr="00A420BD">
        <w:t xml:space="preserve"> those funded by </w:t>
      </w:r>
      <w:r>
        <w:t>NWAU</w:t>
      </w:r>
      <w:r w:rsidRPr="00A420BD">
        <w:t>) are defined by procedures that:</w:t>
      </w:r>
    </w:p>
    <w:p w14:paraId="5A21C31D" w14:textId="77777777" w:rsidR="005B699B" w:rsidRPr="00A420BD" w:rsidRDefault="005B699B" w:rsidP="00CE12D2">
      <w:pPr>
        <w:pStyle w:val="Bullet1"/>
        <w:numPr>
          <w:ilvl w:val="0"/>
          <w:numId w:val="30"/>
        </w:numPr>
      </w:pPr>
      <w:r>
        <w:t>are provided at limited sites nationally</w:t>
      </w:r>
    </w:p>
    <w:p w14:paraId="5C471DAE" w14:textId="77777777" w:rsidR="005B699B" w:rsidRPr="00A420BD" w:rsidRDefault="005B699B" w:rsidP="00CE12D2">
      <w:pPr>
        <w:pStyle w:val="Bullet1"/>
        <w:numPr>
          <w:ilvl w:val="0"/>
          <w:numId w:val="30"/>
        </w:numPr>
      </w:pPr>
      <w:r>
        <w:t>have low volume (&lt; 200 separations nationally)</w:t>
      </w:r>
    </w:p>
    <w:p w14:paraId="2F4A7680" w14:textId="123E6D04" w:rsidR="005B699B" w:rsidRPr="00A420BD" w:rsidRDefault="005B699B" w:rsidP="00CE12D2">
      <w:pPr>
        <w:pStyle w:val="Bullet1"/>
        <w:numPr>
          <w:ilvl w:val="0"/>
          <w:numId w:val="30"/>
        </w:numPr>
      </w:pPr>
      <w:r>
        <w:t xml:space="preserve">cost significantly more (&gt; $20,000) than the funding provided based on the relevant year’s </w:t>
      </w:r>
      <w:hyperlink r:id="rId37" w:history="1">
        <w:r w:rsidR="00E91D2E" w:rsidRPr="00E91D2E">
          <w:rPr>
            <w:rStyle w:val="Hyperlink"/>
          </w:rPr>
          <w:t xml:space="preserve">NEP </w:t>
        </w:r>
        <w:r w:rsidR="00F32A5C">
          <w:rPr>
            <w:rStyle w:val="Hyperlink"/>
          </w:rPr>
          <w:t>D</w:t>
        </w:r>
        <w:r w:rsidR="00E91D2E" w:rsidRPr="00E91D2E">
          <w:rPr>
            <w:rStyle w:val="Hyperlink"/>
          </w:rPr>
          <w:t>etermination</w:t>
        </w:r>
      </w:hyperlink>
      <w:r>
        <w:t xml:space="preserve"> &lt;</w:t>
      </w:r>
      <w:r w:rsidRPr="005F7369">
        <w:t>https://www.ihacpa.gov.au/pricing/national-efficient-price-determination</w:t>
      </w:r>
      <w:r>
        <w:t>&gt;.</w:t>
      </w:r>
    </w:p>
    <w:p w14:paraId="56B0E19E" w14:textId="77777777" w:rsidR="005B699B" w:rsidRDefault="005B699B" w:rsidP="005B699B">
      <w:pPr>
        <w:pStyle w:val="Bodyafterbullets"/>
      </w:pPr>
      <w:r>
        <w:lastRenderedPageBreak/>
        <w:t xml:space="preserve">Prior to the procedure, hospitals </w:t>
      </w:r>
      <w:r w:rsidRPr="006F35AF">
        <w:t xml:space="preserve">may seek </w:t>
      </w:r>
      <w:r>
        <w:t xml:space="preserve">this exemption (in limited circumstances) </w:t>
      </w:r>
      <w:r w:rsidRPr="006F35AF">
        <w:t>from the department for those services classified as high</w:t>
      </w:r>
      <w:r>
        <w:t>-</w:t>
      </w:r>
      <w:r w:rsidRPr="006F35AF">
        <w:t>cost procedures and</w:t>
      </w:r>
      <w:r>
        <w:t xml:space="preserve"> that will be</w:t>
      </w:r>
      <w:r w:rsidRPr="006F35AF">
        <w:t xml:space="preserve"> provided to patients who reside in another </w:t>
      </w:r>
      <w:r>
        <w:t>s</w:t>
      </w:r>
      <w:r w:rsidRPr="006F35AF">
        <w:t xml:space="preserve">tate or </w:t>
      </w:r>
      <w:r>
        <w:t>t</w:t>
      </w:r>
      <w:r w:rsidRPr="006F35AF">
        <w:t>erritory. Subject to meeting the definition of a high</w:t>
      </w:r>
      <w:r>
        <w:t>-</w:t>
      </w:r>
      <w:r w:rsidRPr="006F35AF">
        <w:t>cost procedure and complying with the agre</w:t>
      </w:r>
      <w:r>
        <w:t xml:space="preserve">ed criteria and process, </w:t>
      </w:r>
      <w:r w:rsidRPr="006F35AF">
        <w:t xml:space="preserve">hospitals may be paid a supplementary payment by the </w:t>
      </w:r>
      <w:r>
        <w:t>d</w:t>
      </w:r>
      <w:r w:rsidRPr="006F35AF">
        <w:t>epartment through the prior</w:t>
      </w:r>
      <w:r>
        <w:t>-</w:t>
      </w:r>
      <w:r w:rsidRPr="006F35AF">
        <w:t xml:space="preserve">year adjustment process to meet the difference between the </w:t>
      </w:r>
      <w:r>
        <w:t>d</w:t>
      </w:r>
      <w:r w:rsidRPr="006F35AF">
        <w:t>epartment’s funding allocation and the actual cost of the procedure paid by the resident’s jurisdiction.</w:t>
      </w:r>
    </w:p>
    <w:p w14:paraId="5ACC516C" w14:textId="77777777" w:rsidR="005B699B" w:rsidRDefault="005B699B" w:rsidP="005B699B">
      <w:pPr>
        <w:pStyle w:val="Body"/>
      </w:pPr>
      <w:r>
        <w:t>Hospitals should advise the department in advance (wherever possible) and care to non-resident patients should not be subject to, or impacted by, financial arrangements and should be based on standard clinical protocols.</w:t>
      </w:r>
    </w:p>
    <w:p w14:paraId="5982F686" w14:textId="2658B27F" w:rsidR="005B699B" w:rsidRDefault="005B699B" w:rsidP="005B699B">
      <w:pPr>
        <w:pStyle w:val="Body"/>
        <w:rPr>
          <w:strike/>
        </w:rPr>
      </w:pPr>
      <w:r>
        <w:t>H</w:t>
      </w:r>
      <w:r w:rsidRPr="006F35AF">
        <w:t xml:space="preserve">ospitals may not seek an </w:t>
      </w:r>
      <w:r w:rsidRPr="00A21C4E">
        <w:t>exemption for NFC procedures, as the funding for these procedures are already</w:t>
      </w:r>
      <w:r w:rsidRPr="006F35AF">
        <w:t xml:space="preserve"> shared by jurisdictions and set annually by the </w:t>
      </w:r>
      <w:r>
        <w:t>Health Chief Executives Forum</w:t>
      </w:r>
      <w:r w:rsidRPr="006F35AF">
        <w:t>.</w:t>
      </w:r>
    </w:p>
    <w:p w14:paraId="10385C8E" w14:textId="77777777" w:rsidR="005B699B" w:rsidRPr="00E91D2E" w:rsidRDefault="005B699B" w:rsidP="006B3D72">
      <w:pPr>
        <w:pStyle w:val="Body"/>
      </w:pPr>
      <w:r>
        <w:br w:type="page"/>
      </w:r>
    </w:p>
    <w:p w14:paraId="5D438050" w14:textId="77777777" w:rsidR="005B699B" w:rsidRPr="00AF18F3" w:rsidRDefault="005B699B" w:rsidP="001E4292">
      <w:pPr>
        <w:pStyle w:val="Heading1"/>
        <w:numPr>
          <w:ilvl w:val="0"/>
          <w:numId w:val="13"/>
        </w:numPr>
        <w:ind w:left="1134" w:hanging="1134"/>
        <w:rPr>
          <w:rFonts w:eastAsia="Arial"/>
        </w:rPr>
      </w:pPr>
      <w:bookmarkStart w:id="1638" w:name="_Toc100263336"/>
      <w:bookmarkStart w:id="1639" w:name="_Toc165961809"/>
      <w:bookmarkStart w:id="1640" w:name="_Toc178963594"/>
      <w:r>
        <w:lastRenderedPageBreak/>
        <w:t xml:space="preserve">Improving </w:t>
      </w:r>
      <w:r w:rsidRPr="00361A32">
        <w:t>health</w:t>
      </w:r>
      <w:r>
        <w:t xml:space="preserve"> outcomes for Aboriginal and Torres Strait Islander patients</w:t>
      </w:r>
      <w:bookmarkEnd w:id="1638"/>
      <w:bookmarkEnd w:id="1639"/>
      <w:bookmarkEnd w:id="1640"/>
    </w:p>
    <w:p w14:paraId="019E56E8" w14:textId="1CF892B0" w:rsidR="005B699B" w:rsidRPr="002D7C8F" w:rsidRDefault="005B699B" w:rsidP="00A65D05">
      <w:pPr>
        <w:pStyle w:val="Body"/>
        <w:rPr>
          <w:rFonts w:ascii="Calibri" w:hAnsi="Calibri"/>
          <w:sz w:val="22"/>
        </w:rPr>
      </w:pPr>
      <w:r w:rsidRPr="00D96718">
        <w:t xml:space="preserve">All health services receive a pricing adjustment </w:t>
      </w:r>
      <w:r w:rsidR="00882EF7">
        <w:t>as part of the national funding model</w:t>
      </w:r>
      <w:r w:rsidR="00457CDC">
        <w:t>,</w:t>
      </w:r>
      <w:r w:rsidR="00882EF7">
        <w:t xml:space="preserve"> </w:t>
      </w:r>
      <w:r w:rsidRPr="00D96718">
        <w:t xml:space="preserve">to support culturally safe services </w:t>
      </w:r>
      <w:r w:rsidR="008C1AAF">
        <w:t>for</w:t>
      </w:r>
      <w:r w:rsidR="008C1AAF" w:rsidRPr="00D96718">
        <w:t xml:space="preserve"> </w:t>
      </w:r>
      <w:r w:rsidRPr="00D96718">
        <w:t xml:space="preserve">Aboriginal patients. </w:t>
      </w:r>
      <w:r w:rsidRPr="00AE6427">
        <w:t>In addition to this, health services with larger Ab</w:t>
      </w:r>
      <w:r w:rsidRPr="009E5137">
        <w:t xml:space="preserve">original populations across their catchment receive </w:t>
      </w:r>
      <w:r w:rsidRPr="00DD4266">
        <w:t>a Commonwealth funded</w:t>
      </w:r>
      <w:r w:rsidRPr="009E5137">
        <w:t xml:space="preserve"> </w:t>
      </w:r>
      <w:hyperlink r:id="rId38" w:history="1">
        <w:r w:rsidRPr="00C369DB">
          <w:rPr>
            <w:rStyle w:val="Hyperlink"/>
          </w:rPr>
          <w:t>Aboriginal cultural safety fixed grant</w:t>
        </w:r>
      </w:hyperlink>
      <w:r w:rsidRPr="00AE6427">
        <w:t xml:space="preserve"> </w:t>
      </w:r>
      <w:r w:rsidRPr="009E5137">
        <w:t>&lt;https://</w:t>
      </w:r>
      <w:r w:rsidRPr="000F3F7F">
        <w:t>www</w:t>
      </w:r>
      <w:r w:rsidRPr="00AA2842">
        <w:t>.health.vic.gov.au/publications/aboriginal-cultural-safety-fixed-grant-guidelines-cultural-safety-planning-and</w:t>
      </w:r>
      <w:r w:rsidRPr="006214A1">
        <w:t>&gt;.</w:t>
      </w:r>
      <w:r w:rsidRPr="00F91AB2">
        <w:t xml:space="preserve"> This Aboriginal cultural safety funding </w:t>
      </w:r>
      <w:r>
        <w:t>aims</w:t>
      </w:r>
      <w:r w:rsidRPr="00F91AB2">
        <w:t xml:space="preserve"> to build health services’ responses to cultural safety and</w:t>
      </w:r>
      <w:r w:rsidRPr="001472D4">
        <w:t xml:space="preserve"> improve health outcomes for Aboriginal people attending Victorian public hospitals</w:t>
      </w:r>
      <w:r w:rsidRPr="005960F1">
        <w:t>.</w:t>
      </w:r>
    </w:p>
    <w:p w14:paraId="3278AD97" w14:textId="28D5816F" w:rsidR="005B699B" w:rsidRDefault="005B699B" w:rsidP="005B699B">
      <w:pPr>
        <w:pStyle w:val="Body"/>
      </w:pPr>
      <w:r>
        <w:t>All health services, regardless of funding arrangements, must deliver culturally safe services</w:t>
      </w:r>
      <w:r w:rsidR="008C1AAF">
        <w:t xml:space="preserve">. These are set out </w:t>
      </w:r>
      <w:r>
        <w:t xml:space="preserve">in the Statement of Priorities </w:t>
      </w:r>
      <w:r w:rsidRPr="00DD4266">
        <w:t xml:space="preserve">and the </w:t>
      </w:r>
      <w:r w:rsidRPr="00722829">
        <w:rPr>
          <w:i/>
        </w:rPr>
        <w:t>Aboriginal Health and Wellbeing Partnership Agreement and Action Plan</w:t>
      </w:r>
      <w:r w:rsidR="00F8009F">
        <w:rPr>
          <w:i/>
        </w:rPr>
        <w:t xml:space="preserve"> </w:t>
      </w:r>
      <w:r w:rsidR="00F8009F" w:rsidRPr="00F8009F">
        <w:rPr>
          <w:i/>
        </w:rPr>
        <w:t>2023</w:t>
      </w:r>
      <w:r w:rsidR="002B79A3">
        <w:rPr>
          <w:i/>
        </w:rPr>
        <w:t>-</w:t>
      </w:r>
      <w:r w:rsidR="00F8009F" w:rsidRPr="00F8009F">
        <w:rPr>
          <w:i/>
        </w:rPr>
        <w:t>2025</w:t>
      </w:r>
      <w:r w:rsidR="00D41593">
        <w:rPr>
          <w:i/>
        </w:rPr>
        <w:t xml:space="preserve"> </w:t>
      </w:r>
      <w:r w:rsidR="00D41593" w:rsidRPr="00D41593">
        <w:rPr>
          <w:iCs/>
        </w:rPr>
        <w:t>(2023)</w:t>
      </w:r>
      <w:r w:rsidRPr="00DD4266">
        <w:t xml:space="preserve">. A priority action is to ensure all funding for prevention and early intervention programs and services related to Aboriginal health and wellbeing is first offered to Aboriginal </w:t>
      </w:r>
      <w:r w:rsidR="008C1AAF" w:rsidRPr="00DD4266">
        <w:t>community</w:t>
      </w:r>
      <w:r w:rsidR="008C1AAF">
        <w:t>-</w:t>
      </w:r>
      <w:r w:rsidR="008C1AAF" w:rsidRPr="00DD4266">
        <w:t xml:space="preserve">controlled organisations </w:t>
      </w:r>
      <w:r w:rsidR="001A03E9">
        <w:t>(ACCO)</w:t>
      </w:r>
      <w:r w:rsidR="008C1AAF" w:rsidRPr="00DD4266">
        <w:t xml:space="preserve"> </w:t>
      </w:r>
      <w:r w:rsidRPr="00DD4266">
        <w:t>through appropriate procurement processes.</w:t>
      </w:r>
      <w:r>
        <w:t xml:space="preserve"> </w:t>
      </w:r>
    </w:p>
    <w:p w14:paraId="5AA8533F" w14:textId="0E75152D" w:rsidR="005B699B" w:rsidRDefault="005B699B" w:rsidP="005B699B">
      <w:pPr>
        <w:pStyle w:val="Body"/>
      </w:pPr>
      <w:r>
        <w:t xml:space="preserve">This requires health services to build stronger </w:t>
      </w:r>
      <w:r w:rsidRPr="00AB23DA">
        <w:t>relationships with Aboriginal</w:t>
      </w:r>
      <w:r>
        <w:t xml:space="preserve"> Victorians and </w:t>
      </w:r>
      <w:r w:rsidRPr="00DD4266">
        <w:t xml:space="preserve">their representative </w:t>
      </w:r>
      <w:r w:rsidRPr="00DD4266" w:rsidDel="008C1AAF">
        <w:t>community</w:t>
      </w:r>
      <w:r w:rsidR="008C1AAF">
        <w:t>-</w:t>
      </w:r>
      <w:r w:rsidRPr="00DD4266">
        <w:t>controlled</w:t>
      </w:r>
      <w:r>
        <w:t xml:space="preserve"> organisations </w:t>
      </w:r>
      <w:r w:rsidRPr="00DD4266">
        <w:t>so that</w:t>
      </w:r>
      <w:r>
        <w:t xml:space="preserve"> self-determined, culturally safe health care is delivered as a matter of course in public hospitals. </w:t>
      </w:r>
    </w:p>
    <w:p w14:paraId="068E719E" w14:textId="335FDEBB" w:rsidR="005B699B" w:rsidRPr="00AB23DA" w:rsidRDefault="005B699B" w:rsidP="005B699B">
      <w:pPr>
        <w:pStyle w:val="Body"/>
      </w:pPr>
      <w:r w:rsidRPr="00AB23DA">
        <w:t xml:space="preserve">Health services </w:t>
      </w:r>
      <w:r w:rsidRPr="00DD4266">
        <w:t>receiving</w:t>
      </w:r>
      <w:r>
        <w:t xml:space="preserve"> Aboriginal cultural safety fixed grant</w:t>
      </w:r>
      <w:r w:rsidRPr="00DD4266">
        <w:t>s</w:t>
      </w:r>
      <w:r>
        <w:t xml:space="preserve"> </w:t>
      </w:r>
      <w:r w:rsidR="008C1AAF">
        <w:t>must</w:t>
      </w:r>
      <w:r>
        <w:t xml:space="preserve"> provide </w:t>
      </w:r>
      <w:r w:rsidRPr="00AB23DA">
        <w:t>cultural safety plans and progress reports</w:t>
      </w:r>
      <w:r>
        <w:t xml:space="preserve"> to the department</w:t>
      </w:r>
      <w:r w:rsidR="008C1AAF">
        <w:t xml:space="preserve"> each year</w:t>
      </w:r>
      <w:r>
        <w:t>. The p</w:t>
      </w:r>
      <w:r w:rsidRPr="00AB23DA">
        <w:t xml:space="preserve">lans and progress reports outline cultural safety activity, outcomes and </w:t>
      </w:r>
      <w:r>
        <w:t>acquittal of</w:t>
      </w:r>
      <w:r w:rsidRPr="00AB23DA">
        <w:t xml:space="preserve"> the cultural safety funding</w:t>
      </w:r>
      <w:r>
        <w:t>.</w:t>
      </w:r>
    </w:p>
    <w:p w14:paraId="21A96E7A" w14:textId="77777777" w:rsidR="005B699B" w:rsidRPr="00AB23DA" w:rsidRDefault="005B699B" w:rsidP="005B699B">
      <w:pPr>
        <w:pStyle w:val="Body"/>
      </w:pPr>
      <w:r>
        <w:t>The funding will support cultural safety across the whole health service organisation, as well as support the Improving Care for Aboriginal Patients program and the Koori Mental Health Liaison Officer programs.</w:t>
      </w:r>
    </w:p>
    <w:p w14:paraId="7BFFFB02" w14:textId="77777777" w:rsidR="005B699B" w:rsidRPr="00AB23DA" w:rsidRDefault="005B699B" w:rsidP="005B699B">
      <w:pPr>
        <w:pStyle w:val="Body"/>
      </w:pPr>
      <w:r>
        <w:t xml:space="preserve">There is recurrent funding from the 2021–22 State Budget for phased recruitment of dedicated Koori Mental Health Liaison Officers in Infant, Child and Youth Area Mental and Health Services that will assist in supporting Aboriginal children, young people and families with access to culturally safe services. </w:t>
      </w:r>
    </w:p>
    <w:p w14:paraId="264D80E0" w14:textId="2041C101" w:rsidR="005B699B" w:rsidRPr="00AB23DA" w:rsidRDefault="005B699B" w:rsidP="005B699B">
      <w:pPr>
        <w:pStyle w:val="Body"/>
      </w:pPr>
      <w:r w:rsidRPr="00DD4266">
        <w:t>While improved identification of Aboriginal people in mainstream health settings is a key priority, e</w:t>
      </w:r>
      <w:r>
        <w:t>mploying Aboriginal health staff is an important</w:t>
      </w:r>
      <w:r w:rsidRPr="00AB23DA">
        <w:t xml:space="preserve"> </w:t>
      </w:r>
      <w:r>
        <w:t>step in delivering culturally safe health services. Aboriginal health staff includes people in both leadership and client-facing roles across the organisation</w:t>
      </w:r>
      <w:r w:rsidR="00CE3EA6">
        <w:t>.</w:t>
      </w:r>
      <w:r>
        <w:t xml:space="preserve"> </w:t>
      </w:r>
      <w:r w:rsidR="00CE3EA6">
        <w:t>These staff</w:t>
      </w:r>
      <w:r w:rsidR="00CE3EA6" w:rsidRPr="00DD4266">
        <w:t xml:space="preserve"> </w:t>
      </w:r>
      <w:r w:rsidRPr="00DD4266">
        <w:t>play key roles in planning and delivering improved discharge and referral pathways.</w:t>
      </w:r>
      <w:r>
        <w:t xml:space="preserve"> Health services are required to identify opportunities to employ Aboriginal health staff to meet patient and community demand including for out-of-hours presentations.</w:t>
      </w:r>
    </w:p>
    <w:p w14:paraId="0655E2AD" w14:textId="3F2B6DB6" w:rsidR="005B699B" w:rsidRDefault="005B699B" w:rsidP="005B699B">
      <w:pPr>
        <w:pStyle w:val="Body"/>
      </w:pPr>
      <w:r w:rsidRPr="00AB23DA">
        <w:t>The role of Aboriginal staff is crucial to enhancing the cultural safety of Aboriginal patients and their families</w:t>
      </w:r>
      <w:r w:rsidR="00CE3EA6">
        <w:t>.</w:t>
      </w:r>
      <w:r w:rsidR="00CE3EA6" w:rsidRPr="00AB23DA">
        <w:t xml:space="preserve"> </w:t>
      </w:r>
      <w:r w:rsidR="00CE3EA6">
        <w:t>H</w:t>
      </w:r>
      <w:r w:rsidR="00CE3EA6" w:rsidRPr="00AB23DA">
        <w:t>owever</w:t>
      </w:r>
      <w:r>
        <w:t>,</w:t>
      </w:r>
      <w:r w:rsidRPr="00AB23DA">
        <w:t xml:space="preserve"> every area across the health service has responsibilities </w:t>
      </w:r>
      <w:r>
        <w:t>in</w:t>
      </w:r>
      <w:r w:rsidRPr="00AB23DA">
        <w:t xml:space="preserve"> providing culturally safe services.</w:t>
      </w:r>
      <w:bookmarkStart w:id="1641" w:name="_Toc450303701"/>
      <w:bookmarkStart w:id="1642" w:name="_Toc451364919"/>
      <w:bookmarkStart w:id="1643" w:name="_Toc451453982"/>
      <w:bookmarkStart w:id="1644" w:name="_Toc451516740"/>
      <w:bookmarkStart w:id="1645" w:name="_Toc451800494"/>
      <w:bookmarkStart w:id="1646" w:name="_Toc451801385"/>
      <w:bookmarkStart w:id="1647" w:name="_Toc451802974"/>
      <w:bookmarkEnd w:id="1641"/>
      <w:bookmarkEnd w:id="1642"/>
      <w:bookmarkEnd w:id="1643"/>
      <w:bookmarkEnd w:id="1644"/>
      <w:bookmarkEnd w:id="1645"/>
      <w:bookmarkEnd w:id="1646"/>
      <w:bookmarkEnd w:id="1647"/>
    </w:p>
    <w:p w14:paraId="27E5BD66" w14:textId="77777777" w:rsidR="005B699B" w:rsidRPr="00586155" w:rsidRDefault="005B699B" w:rsidP="001E4292">
      <w:pPr>
        <w:pStyle w:val="Heading2"/>
        <w:numPr>
          <w:ilvl w:val="1"/>
          <w:numId w:val="13"/>
        </w:numPr>
        <w:ind w:left="1134" w:hanging="1134"/>
        <w:rPr>
          <w:rFonts w:eastAsia="Arial" w:cs="Arial"/>
        </w:rPr>
      </w:pPr>
      <w:bookmarkStart w:id="1648" w:name="_Toc100263337"/>
      <w:bookmarkStart w:id="1649" w:name="_Toc165961810"/>
      <w:bookmarkStart w:id="1650" w:name="_Toc178963595"/>
      <w:r w:rsidRPr="00164292">
        <w:lastRenderedPageBreak/>
        <w:t>Aboriginal</w:t>
      </w:r>
      <w:r>
        <w:t xml:space="preserve"> </w:t>
      </w:r>
      <w:r w:rsidRPr="00CE3EA6">
        <w:t>cultural</w:t>
      </w:r>
      <w:r>
        <w:t xml:space="preserve"> </w:t>
      </w:r>
      <w:r w:rsidRPr="00773FB4">
        <w:t>safety</w:t>
      </w:r>
      <w:r>
        <w:t xml:space="preserve"> planning and reporting requirements</w:t>
      </w:r>
      <w:bookmarkEnd w:id="1648"/>
      <w:bookmarkEnd w:id="1649"/>
      <w:bookmarkEnd w:id="1650"/>
    </w:p>
    <w:p w14:paraId="339FAE86" w14:textId="40F7ABDE" w:rsidR="005B699B" w:rsidRPr="00B75888" w:rsidRDefault="005B699B" w:rsidP="005B699B">
      <w:pPr>
        <w:pStyle w:val="Body"/>
      </w:pPr>
      <w:r w:rsidRPr="00B75888">
        <w:t xml:space="preserve">Hospitals in receipt of the Aboriginal cultural safety fixed grant </w:t>
      </w:r>
      <w:r w:rsidR="00CE3EA6">
        <w:t>must</w:t>
      </w:r>
      <w:r w:rsidRPr="00B75888">
        <w:t xml:space="preserve"> submit an annual cultural safety plan and progress report to the department. </w:t>
      </w:r>
    </w:p>
    <w:p w14:paraId="0FF71490" w14:textId="1416FA02" w:rsidR="005B699B" w:rsidRDefault="005B699B" w:rsidP="005B699B">
      <w:pPr>
        <w:pStyle w:val="Bodyafterbullets"/>
        <w:rPr>
          <w:rFonts w:eastAsia="Arial" w:cs="Arial"/>
          <w:color w:val="000000" w:themeColor="text1"/>
        </w:rPr>
      </w:pPr>
      <w:r w:rsidRPr="435566E8">
        <w:rPr>
          <w:rFonts w:eastAsia="Arial" w:cs="Arial"/>
          <w:color w:val="000000" w:themeColor="text1"/>
        </w:rPr>
        <w:t>Compliance with the planning and reporting requirements is an obligation of the funding</w:t>
      </w:r>
      <w:r>
        <w:rPr>
          <w:rFonts w:eastAsia="Arial" w:cs="Arial"/>
          <w:color w:val="000000" w:themeColor="text1"/>
        </w:rPr>
        <w:t>.</w:t>
      </w:r>
      <w:r w:rsidRPr="435566E8">
        <w:rPr>
          <w:rFonts w:eastAsia="Arial" w:cs="Arial"/>
          <w:color w:val="000000" w:themeColor="text1"/>
        </w:rPr>
        <w:t xml:space="preserve"> </w:t>
      </w:r>
      <w:r>
        <w:rPr>
          <w:rFonts w:eastAsia="Arial" w:cs="Arial"/>
          <w:color w:val="000000" w:themeColor="text1"/>
        </w:rPr>
        <w:t>T</w:t>
      </w:r>
      <w:r w:rsidRPr="435566E8">
        <w:rPr>
          <w:rFonts w:eastAsia="Arial" w:cs="Arial"/>
          <w:color w:val="000000" w:themeColor="text1"/>
        </w:rPr>
        <w:t xml:space="preserve">he </w:t>
      </w:r>
      <w:hyperlink r:id="rId39">
        <w:r w:rsidRPr="00685B35">
          <w:rPr>
            <w:rStyle w:val="Hyperlink"/>
            <w:rFonts w:eastAsia="Arial" w:cs="Arial"/>
            <w:i/>
            <w:iCs/>
          </w:rPr>
          <w:t>Aboriginal cultural safety fixed grant guidelines</w:t>
        </w:r>
      </w:hyperlink>
      <w:r w:rsidR="00082804">
        <w:rPr>
          <w:rFonts w:eastAsia="Arial" w:cs="Arial"/>
          <w:color w:val="000000" w:themeColor="text1"/>
        </w:rPr>
        <w:t xml:space="preserve"> </w:t>
      </w:r>
      <w:r w:rsidRPr="435566E8">
        <w:rPr>
          <w:rFonts w:eastAsia="Arial" w:cs="Arial"/>
          <w:color w:val="000000" w:themeColor="text1"/>
        </w:rPr>
        <w:t xml:space="preserve">&lt;https://www.health.vic.gov.au/publications/aboriginal-cultural-safety-fixed-grant-guidelines-cultural-safety-planning-and&gt; </w:t>
      </w:r>
      <w:r>
        <w:rPr>
          <w:rFonts w:eastAsia="Arial" w:cs="Arial"/>
          <w:color w:val="000000" w:themeColor="text1"/>
        </w:rPr>
        <w:t>set out</w:t>
      </w:r>
      <w:r w:rsidRPr="435566E8">
        <w:rPr>
          <w:rFonts w:eastAsia="Arial" w:cs="Arial"/>
          <w:color w:val="000000" w:themeColor="text1"/>
        </w:rPr>
        <w:t xml:space="preserve"> </w:t>
      </w:r>
      <w:r w:rsidRPr="00DD4266">
        <w:rPr>
          <w:rFonts w:eastAsia="Arial" w:cs="Arial"/>
          <w:color w:val="000000" w:themeColor="text1"/>
        </w:rPr>
        <w:t>these</w:t>
      </w:r>
      <w:r w:rsidRPr="435566E8">
        <w:rPr>
          <w:rFonts w:eastAsia="Arial" w:cs="Arial"/>
          <w:color w:val="000000" w:themeColor="text1"/>
        </w:rPr>
        <w:t xml:space="preserve"> requirements and provide guidance for appropriate expenditure of funds towards improving Aboriginal cultural safety. </w:t>
      </w:r>
    </w:p>
    <w:p w14:paraId="14DC8F8A" w14:textId="468E1190" w:rsidR="005B699B" w:rsidRDefault="005B699B" w:rsidP="005B699B">
      <w:pPr>
        <w:pStyle w:val="Bodyafterbullets"/>
        <w:rPr>
          <w:rFonts w:asciiTheme="minorHAnsi" w:eastAsiaTheme="minorEastAsia" w:hAnsiTheme="minorHAnsi" w:cstheme="minorBidi"/>
          <w:color w:val="000000" w:themeColor="text1"/>
        </w:rPr>
      </w:pPr>
      <w:r w:rsidRPr="1288AFC0">
        <w:rPr>
          <w:rFonts w:eastAsia="Arial" w:cs="Arial"/>
          <w:color w:val="000000" w:themeColor="text1"/>
        </w:rPr>
        <w:t xml:space="preserve">Refer to </w:t>
      </w:r>
      <w:r w:rsidRPr="00AD7CFE">
        <w:rPr>
          <w:rFonts w:eastAsia="Arial" w:cs="Arial"/>
          <w:color w:val="000000" w:themeColor="text1"/>
        </w:rPr>
        <w:t xml:space="preserve">section </w:t>
      </w:r>
      <w:r w:rsidR="00CE3EA6" w:rsidRPr="00AD7CFE">
        <w:rPr>
          <w:rFonts w:eastAsia="Arial" w:cs="Arial"/>
          <w:color w:val="000000" w:themeColor="text1"/>
        </w:rPr>
        <w:t>17</w:t>
      </w:r>
      <w:r w:rsidRPr="00AD7CFE">
        <w:rPr>
          <w:rFonts w:eastAsia="Arial" w:cs="Arial"/>
          <w:color w:val="000000" w:themeColor="text1"/>
        </w:rPr>
        <w:t xml:space="preserve">.2 of the </w:t>
      </w:r>
      <w:r w:rsidRPr="00AD7CFE">
        <w:rPr>
          <w:i/>
          <w:color w:val="000000" w:themeColor="text1"/>
        </w:rPr>
        <w:t xml:space="preserve">Policy </w:t>
      </w:r>
      <w:r w:rsidRPr="00AD7CFE">
        <w:rPr>
          <w:rFonts w:eastAsia="Arial" w:cs="Arial"/>
          <w:i/>
          <w:color w:val="000000" w:themeColor="text1"/>
        </w:rPr>
        <w:t>guide</w:t>
      </w:r>
      <w:r w:rsidRPr="1288AFC0">
        <w:rPr>
          <w:rFonts w:eastAsia="Arial" w:cs="Arial"/>
          <w:color w:val="000000" w:themeColor="text1"/>
        </w:rPr>
        <w:t xml:space="preserve"> for additional reporting requirements in relation to</w:t>
      </w:r>
      <w:r w:rsidRPr="7659ABB4">
        <w:rPr>
          <w:rFonts w:eastAsia="Arial" w:cs="Arial"/>
          <w:color w:val="000000" w:themeColor="text1"/>
        </w:rPr>
        <w:t xml:space="preserve"> cultural safety action areas</w:t>
      </w:r>
      <w:r>
        <w:rPr>
          <w:rFonts w:eastAsia="Arial" w:cs="Arial"/>
          <w:color w:val="000000" w:themeColor="text1"/>
        </w:rPr>
        <w:t>.</w:t>
      </w:r>
    </w:p>
    <w:p w14:paraId="6C7B4F96" w14:textId="165A0D41" w:rsidR="005B699B" w:rsidRDefault="005B699B" w:rsidP="001E4292">
      <w:pPr>
        <w:pStyle w:val="Heading2"/>
        <w:numPr>
          <w:ilvl w:val="1"/>
          <w:numId w:val="13"/>
        </w:numPr>
        <w:ind w:left="1134" w:hanging="1134"/>
      </w:pPr>
      <w:bookmarkStart w:id="1651" w:name="_Toc100263338"/>
      <w:bookmarkStart w:id="1652" w:name="_Toc178963596"/>
      <w:bookmarkStart w:id="1653" w:name="_Toc165961811"/>
      <w:r>
        <w:t xml:space="preserve">Indicators and </w:t>
      </w:r>
      <w:bookmarkEnd w:id="1651"/>
      <w:r w:rsidRPr="00164292">
        <w:t>monitoring</w:t>
      </w:r>
      <w:bookmarkEnd w:id="1652"/>
      <w:r>
        <w:t xml:space="preserve"> </w:t>
      </w:r>
      <w:bookmarkEnd w:id="1653"/>
    </w:p>
    <w:p w14:paraId="51A91F02" w14:textId="77777777" w:rsidR="005B699B" w:rsidRPr="00A90C61" w:rsidRDefault="005B699B" w:rsidP="005B699B">
      <w:pPr>
        <w:pStyle w:val="Body"/>
      </w:pPr>
      <w:r w:rsidRPr="00A90C61">
        <w:t xml:space="preserve">Aboriginal cultural safety indicators for the acute setting include </w:t>
      </w:r>
      <w:r>
        <w:t>‘</w:t>
      </w:r>
      <w:r w:rsidRPr="00DD4266">
        <w:t>Leave</w:t>
      </w:r>
      <w:r w:rsidRPr="00A90C61">
        <w:t xml:space="preserve"> against medical advic</w:t>
      </w:r>
      <w:r>
        <w:t>e’</w:t>
      </w:r>
      <w:r w:rsidRPr="00DD4266">
        <w:rPr>
          <w:vertAlign w:val="superscript"/>
        </w:rPr>
        <w:footnoteReference w:id="3"/>
      </w:r>
      <w:r w:rsidRPr="00A90C61">
        <w:t xml:space="preserve"> </w:t>
      </w:r>
      <w:r w:rsidRPr="00DD4266">
        <w:t>(LAMA</w:t>
      </w:r>
      <w:r w:rsidRPr="00A90C61">
        <w:t xml:space="preserve">) for inpatients and </w:t>
      </w:r>
      <w:r>
        <w:t>‘</w:t>
      </w:r>
      <w:r w:rsidRPr="00A90C61">
        <w:t xml:space="preserve">Did </w:t>
      </w:r>
      <w:r>
        <w:t xml:space="preserve">not wait’ </w:t>
      </w:r>
      <w:r w:rsidRPr="00A90C61">
        <w:t>(</w:t>
      </w:r>
      <w:r w:rsidRPr="00DD4266">
        <w:t>DNW</w:t>
      </w:r>
      <w:r w:rsidRPr="00A90C61">
        <w:t>) for emergency department presentations.</w:t>
      </w:r>
    </w:p>
    <w:p w14:paraId="601770C2" w14:textId="0DC8B8DB" w:rsidR="005B699B" w:rsidRDefault="005B699B" w:rsidP="005B699B">
      <w:pPr>
        <w:pStyle w:val="Body"/>
      </w:pPr>
      <w:r w:rsidRPr="00CD1FC3">
        <w:t>In</w:t>
      </w:r>
      <w:r>
        <w:t xml:space="preserve"> </w:t>
      </w:r>
      <w:r w:rsidRPr="00CD1FC3">
        <w:t>2022</w:t>
      </w:r>
      <w:r>
        <w:t>–</w:t>
      </w:r>
      <w:r w:rsidRPr="00CD1FC3">
        <w:t>23</w:t>
      </w:r>
      <w:r>
        <w:t xml:space="preserve">, these measures shifted from shadow measures </w:t>
      </w:r>
      <w:r w:rsidR="00CE3EA6">
        <w:t xml:space="preserve">to </w:t>
      </w:r>
      <w:r>
        <w:t xml:space="preserve">the </w:t>
      </w:r>
      <w:r w:rsidRPr="00B75888">
        <w:rPr>
          <w:i/>
        </w:rPr>
        <w:t>Performance monitoring framework 2022</w:t>
      </w:r>
      <w:r w:rsidRPr="00AE6427">
        <w:rPr>
          <w:i/>
          <w:iCs/>
        </w:rPr>
        <w:t>–</w:t>
      </w:r>
      <w:r w:rsidRPr="00B75888">
        <w:rPr>
          <w:i/>
        </w:rPr>
        <w:t>23</w:t>
      </w:r>
      <w:r>
        <w:t xml:space="preserve"> </w:t>
      </w:r>
      <w:r w:rsidR="00957871">
        <w:t xml:space="preserve">(2022) </w:t>
      </w:r>
      <w:r>
        <w:t xml:space="preserve">with established targets. </w:t>
      </w:r>
      <w:r w:rsidRPr="00DD4266">
        <w:t>From 2024</w:t>
      </w:r>
      <w:r>
        <w:t>–</w:t>
      </w:r>
      <w:r w:rsidRPr="00DD4266">
        <w:t xml:space="preserve">25, the target for health services for these two measures will be ‘no gap’ between Aboriginal and non-Aboriginal patients. This is to drive health equity and aligns with Victoria’s commitments under the </w:t>
      </w:r>
      <w:r w:rsidRPr="00362280">
        <w:t>National Agreement to Closing the Gap</w:t>
      </w:r>
      <w:r w:rsidRPr="00DD4266">
        <w:t>.</w:t>
      </w:r>
      <w:r>
        <w:t xml:space="preserve"> </w:t>
      </w:r>
      <w:r w:rsidRPr="00A90C61">
        <w:t xml:space="preserve">Additional </w:t>
      </w:r>
      <w:r>
        <w:t>measures, including Aboriginal health workforce and outpatient data will continue to be explored as supplements to existing cultural safety measures.</w:t>
      </w:r>
    </w:p>
    <w:p w14:paraId="7E4DA4EE" w14:textId="2393408D" w:rsidR="00CE3EA6" w:rsidRPr="00CE3EA6" w:rsidRDefault="005B699B" w:rsidP="00CE3EA6">
      <w:pPr>
        <w:pStyle w:val="Body"/>
      </w:pPr>
      <w:r>
        <w:t xml:space="preserve">Aboriginal </w:t>
      </w:r>
      <w:r w:rsidRPr="00A90C61">
        <w:t xml:space="preserve">cultural safety </w:t>
      </w:r>
      <w:r>
        <w:t>data will inform quarter 1 and 3</w:t>
      </w:r>
      <w:r w:rsidRPr="00A90C61">
        <w:t xml:space="preserve"> performance meetings between the department and health services</w:t>
      </w:r>
      <w:r>
        <w:t>.</w:t>
      </w:r>
    </w:p>
    <w:p w14:paraId="632014B2" w14:textId="77777777" w:rsidR="00CE3EA6" w:rsidRPr="00CE3EA6" w:rsidRDefault="00CE3EA6" w:rsidP="00924518">
      <w:pPr>
        <w:pStyle w:val="Body"/>
      </w:pPr>
      <w:r w:rsidRPr="00CE3EA6">
        <w:br w:type="page"/>
      </w:r>
    </w:p>
    <w:p w14:paraId="03BD323B" w14:textId="77777777" w:rsidR="005B699B" w:rsidRPr="00500C8C" w:rsidRDefault="005B699B" w:rsidP="001E4292">
      <w:pPr>
        <w:pStyle w:val="Heading1"/>
        <w:numPr>
          <w:ilvl w:val="0"/>
          <w:numId w:val="13"/>
        </w:numPr>
        <w:ind w:left="1134" w:hanging="1134"/>
      </w:pPr>
      <w:bookmarkStart w:id="1654" w:name="_Toc167651247"/>
      <w:bookmarkStart w:id="1655" w:name="_Toc418694906"/>
      <w:bookmarkStart w:id="1656" w:name="_Toc6215545"/>
      <w:bookmarkStart w:id="1657" w:name="_Toc10199621"/>
      <w:bookmarkStart w:id="1658" w:name="_Toc52892567"/>
      <w:bookmarkStart w:id="1659" w:name="_Toc100263280"/>
      <w:bookmarkStart w:id="1660" w:name="_Toc165961812"/>
      <w:bookmarkStart w:id="1661" w:name="_Toc178963597"/>
      <w:bookmarkStart w:id="1662" w:name="_Hlk77685410"/>
      <w:bookmarkStart w:id="1663" w:name="_Toc52892559"/>
      <w:bookmarkEnd w:id="1654"/>
      <w:r>
        <w:lastRenderedPageBreak/>
        <w:t xml:space="preserve">Pricing for </w:t>
      </w:r>
      <w:r w:rsidRPr="00CE3EA6">
        <w:t>quality</w:t>
      </w:r>
      <w:bookmarkEnd w:id="1655"/>
      <w:bookmarkEnd w:id="1656"/>
      <w:bookmarkEnd w:id="1657"/>
      <w:bookmarkEnd w:id="1658"/>
      <w:bookmarkEnd w:id="1659"/>
      <w:bookmarkEnd w:id="1660"/>
      <w:bookmarkEnd w:id="1661"/>
    </w:p>
    <w:p w14:paraId="5E3B725B" w14:textId="45C005A7" w:rsidR="007E56AD" w:rsidRDefault="005B699B" w:rsidP="005B699B">
      <w:pPr>
        <w:pStyle w:val="Body"/>
      </w:pPr>
      <w:r w:rsidRPr="008E638B">
        <w:t>The NHRA includes reform</w:t>
      </w:r>
      <w:r>
        <w:t>s that seek to support</w:t>
      </w:r>
      <w:r w:rsidRPr="008E638B">
        <w:t xml:space="preserve"> governments </w:t>
      </w:r>
      <w:r>
        <w:t>in</w:t>
      </w:r>
      <w:r w:rsidRPr="008E638B">
        <w:t xml:space="preserve"> work</w:t>
      </w:r>
      <w:r>
        <w:t>ing</w:t>
      </w:r>
      <w:r w:rsidRPr="008E638B">
        <w:t xml:space="preserve"> together to provide high-quality services</w:t>
      </w:r>
      <w:r>
        <w:t xml:space="preserve"> that deliver better health outcomes, improve patient safety and support greater efficiency in the health system</w:t>
      </w:r>
      <w:r w:rsidRPr="008E638B">
        <w:t>.</w:t>
      </w:r>
      <w:r>
        <w:t xml:space="preserve"> </w:t>
      </w:r>
      <w:r w:rsidR="00321AC6">
        <w:t>Victoria</w:t>
      </w:r>
      <w:r w:rsidR="00F905F4">
        <w:t>, a</w:t>
      </w:r>
      <w:r w:rsidR="00321AC6">
        <w:t xml:space="preserve">s a signatory </w:t>
      </w:r>
      <w:r w:rsidR="00F905F4">
        <w:t xml:space="preserve">to the NHRA, is committed to </w:t>
      </w:r>
      <w:r w:rsidR="00887079">
        <w:t>del</w:t>
      </w:r>
      <w:r w:rsidR="005015D2">
        <w:t xml:space="preserve">iver the </w:t>
      </w:r>
      <w:r w:rsidR="00497EE6">
        <w:t xml:space="preserve">quality and safety </w:t>
      </w:r>
      <w:r w:rsidR="0008166F">
        <w:t>reforms</w:t>
      </w:r>
      <w:r w:rsidR="007E56AD">
        <w:t>.</w:t>
      </w:r>
    </w:p>
    <w:p w14:paraId="0C3CA6FA" w14:textId="3D00D391" w:rsidR="005B699B" w:rsidRDefault="005B699B" w:rsidP="005B699B">
      <w:pPr>
        <w:pStyle w:val="Body"/>
      </w:pPr>
      <w:r>
        <w:t>Q</w:t>
      </w:r>
      <w:r w:rsidRPr="004C1971">
        <w:t>uality and safety</w:t>
      </w:r>
      <w:r w:rsidDel="009554B8">
        <w:t xml:space="preserve"> </w:t>
      </w:r>
      <w:r w:rsidR="009554B8">
        <w:t xml:space="preserve">are </w:t>
      </w:r>
      <w:r>
        <w:t xml:space="preserve">incorporated </w:t>
      </w:r>
      <w:r w:rsidRPr="004C1971">
        <w:t>into hospital pricing and funding</w:t>
      </w:r>
      <w:r>
        <w:t xml:space="preserve"> through three strategies:</w:t>
      </w:r>
    </w:p>
    <w:p w14:paraId="0DDE7860" w14:textId="77777777" w:rsidR="005B699B" w:rsidRPr="009554B8" w:rsidRDefault="005B699B" w:rsidP="00CE12D2">
      <w:pPr>
        <w:pStyle w:val="Bullet1"/>
        <w:numPr>
          <w:ilvl w:val="0"/>
          <w:numId w:val="30"/>
        </w:numPr>
      </w:pPr>
      <w:r w:rsidRPr="009554B8">
        <w:t>sentinel events</w:t>
      </w:r>
    </w:p>
    <w:p w14:paraId="2ABCAD27" w14:textId="77777777" w:rsidR="005B699B" w:rsidRPr="009554B8" w:rsidRDefault="005B699B" w:rsidP="00CE12D2">
      <w:pPr>
        <w:pStyle w:val="Bullet1"/>
        <w:numPr>
          <w:ilvl w:val="0"/>
          <w:numId w:val="30"/>
        </w:numPr>
      </w:pPr>
      <w:r w:rsidRPr="009554B8">
        <w:t>hospital acquired complications (HACs)</w:t>
      </w:r>
    </w:p>
    <w:p w14:paraId="234B8670" w14:textId="2333A6B7" w:rsidR="005B699B" w:rsidRPr="009554B8" w:rsidRDefault="005B699B" w:rsidP="00CE12D2">
      <w:pPr>
        <w:pStyle w:val="Bullet1"/>
        <w:numPr>
          <w:ilvl w:val="0"/>
          <w:numId w:val="30"/>
        </w:numPr>
      </w:pPr>
      <w:r w:rsidRPr="009554B8">
        <w:t>avoidable hospital readmissions</w:t>
      </w:r>
      <w:r w:rsidR="00972518">
        <w:t xml:space="preserve"> (AHRs)</w:t>
      </w:r>
      <w:r w:rsidRPr="009554B8">
        <w:t>.</w:t>
      </w:r>
    </w:p>
    <w:p w14:paraId="2371454A" w14:textId="1F8E290B" w:rsidR="005B699B" w:rsidRDefault="005B699B" w:rsidP="005E497C">
      <w:pPr>
        <w:pStyle w:val="Bodyafterbullets"/>
      </w:pPr>
      <w:r w:rsidRPr="001A1A3F">
        <w:t>Victoria introduced a new pricing mechanism for sentinel events in 2017</w:t>
      </w:r>
      <w:r w:rsidR="009554B8">
        <w:t>–</w:t>
      </w:r>
      <w:r w:rsidRPr="001A1A3F">
        <w:t>18</w:t>
      </w:r>
      <w:r w:rsidRPr="001A1A3F" w:rsidDel="009554B8">
        <w:t xml:space="preserve">, </w:t>
      </w:r>
      <w:r w:rsidR="009554B8">
        <w:t>and app</w:t>
      </w:r>
      <w:r w:rsidRPr="001A1A3F">
        <w:t xml:space="preserve">lied the national pricing and funding model for HACs from 2023–24. </w:t>
      </w:r>
      <w:r w:rsidR="00890823">
        <w:t>In 2024–25</w:t>
      </w:r>
      <w:r w:rsidR="00430071">
        <w:t xml:space="preserve">, Victoria will implement the pricing adjustment </w:t>
      </w:r>
      <w:r w:rsidR="001B5B12">
        <w:t>associated with AHR</w:t>
      </w:r>
      <w:r w:rsidR="00972518">
        <w:t>s.</w:t>
      </w:r>
    </w:p>
    <w:p w14:paraId="4B7BF01D" w14:textId="77777777" w:rsidR="005B699B" w:rsidRPr="007F03EF" w:rsidRDefault="005B699B" w:rsidP="001E4292">
      <w:pPr>
        <w:pStyle w:val="Heading2"/>
        <w:numPr>
          <w:ilvl w:val="1"/>
          <w:numId w:val="13"/>
        </w:numPr>
        <w:ind w:left="1134" w:hanging="1134"/>
        <w:rPr>
          <w:lang w:eastAsia="en-AU"/>
        </w:rPr>
      </w:pPr>
      <w:bookmarkStart w:id="1664" w:name="_Toc164262556"/>
      <w:bookmarkStart w:id="1665" w:name="_Toc164262891"/>
      <w:bookmarkStart w:id="1666" w:name="_Toc100263281"/>
      <w:bookmarkStart w:id="1667" w:name="_Toc165961813"/>
      <w:bookmarkStart w:id="1668" w:name="_Toc178963598"/>
      <w:bookmarkEnd w:id="1664"/>
      <w:bookmarkEnd w:id="1665"/>
      <w:r w:rsidRPr="00164292">
        <w:t>Sentinel</w:t>
      </w:r>
      <w:r w:rsidRPr="255AAD50">
        <w:rPr>
          <w:lang w:eastAsia="en-AU"/>
        </w:rPr>
        <w:t xml:space="preserve"> </w:t>
      </w:r>
      <w:r>
        <w:rPr>
          <w:lang w:eastAsia="en-AU"/>
        </w:rPr>
        <w:t>e</w:t>
      </w:r>
      <w:r w:rsidRPr="255AAD50">
        <w:rPr>
          <w:lang w:eastAsia="en-AU"/>
        </w:rPr>
        <w:t>vents</w:t>
      </w:r>
      <w:bookmarkEnd w:id="1666"/>
      <w:bookmarkEnd w:id="1667"/>
      <w:bookmarkEnd w:id="1668"/>
    </w:p>
    <w:p w14:paraId="6CB76645" w14:textId="77777777" w:rsidR="005B699B" w:rsidRPr="003F5F58" w:rsidRDefault="005B699B" w:rsidP="005B699B">
      <w:pPr>
        <w:pStyle w:val="Body"/>
      </w:pPr>
      <w:r>
        <w:t>E</w:t>
      </w:r>
      <w:r w:rsidRPr="00F34FFD">
        <w:t xml:space="preserve">pisodes of care with an avoidable sentinel </w:t>
      </w:r>
      <w:r w:rsidRPr="007F03EF">
        <w:t>event</w:t>
      </w:r>
      <w:r>
        <w:t xml:space="preserve"> </w:t>
      </w:r>
      <w:r w:rsidRPr="007F03EF">
        <w:t xml:space="preserve">are not funded. </w:t>
      </w:r>
      <w:r w:rsidRPr="003F5F58">
        <w:t>‘Category 11: All other adverse patient safety events resulting in serious harm or death’ is excluded, as this category is only used in Victoria and not subject to national pricing for quality.</w:t>
      </w:r>
    </w:p>
    <w:p w14:paraId="52DB47D2" w14:textId="77777777" w:rsidR="005B699B" w:rsidRDefault="005B699B" w:rsidP="005B699B">
      <w:pPr>
        <w:pStyle w:val="Body"/>
      </w:pPr>
      <w:r w:rsidRPr="007F03EF">
        <w:t xml:space="preserve">Health services </w:t>
      </w:r>
      <w:r>
        <w:t>must</w:t>
      </w:r>
      <w:r w:rsidRPr="007F03EF">
        <w:t xml:space="preserve"> report all sentinel events to the Sentinel Event Program, coordinated by Safer Care Victoria. All sentinel events in categories 1–10 are analysed to determine avoidability. If an event is found to be avoidable, a health service will not receive payment for the entire episode of care.</w:t>
      </w:r>
    </w:p>
    <w:p w14:paraId="415F2C90" w14:textId="616EBFAC" w:rsidR="005B699B" w:rsidRPr="00CB3F16" w:rsidRDefault="005B699B" w:rsidP="005B699B">
      <w:pPr>
        <w:pStyle w:val="Body"/>
        <w:rPr>
          <w:szCs w:val="21"/>
        </w:rPr>
      </w:pPr>
      <w:r>
        <w:rPr>
          <w:lang w:eastAsia="en-AU"/>
        </w:rPr>
        <w:t>Sentinel events</w:t>
      </w:r>
      <w:r w:rsidR="009554B8">
        <w:rPr>
          <w:lang w:eastAsia="en-AU"/>
        </w:rPr>
        <w:t xml:space="preserve"> are</w:t>
      </w:r>
      <w:r>
        <w:rPr>
          <w:lang w:eastAsia="en-AU"/>
        </w:rPr>
        <w:t>:</w:t>
      </w:r>
    </w:p>
    <w:p w14:paraId="7B3D7204" w14:textId="58AD0F2C" w:rsidR="005B699B" w:rsidRPr="00100A8D" w:rsidRDefault="009554B8" w:rsidP="00CE12D2">
      <w:pPr>
        <w:pStyle w:val="Bullet1"/>
        <w:numPr>
          <w:ilvl w:val="0"/>
          <w:numId w:val="30"/>
        </w:numPr>
      </w:pPr>
      <w:r>
        <w:t>s</w:t>
      </w:r>
      <w:r w:rsidR="005B699B" w:rsidRPr="0037553A">
        <w:t>urgery or other invasive procedure performed on the wrong site resulting in serious harm or death</w:t>
      </w:r>
    </w:p>
    <w:p w14:paraId="7F4BFE42" w14:textId="582E4953" w:rsidR="005B699B" w:rsidRPr="00100A8D" w:rsidRDefault="009554B8" w:rsidP="00CE12D2">
      <w:pPr>
        <w:pStyle w:val="Bullet1"/>
        <w:numPr>
          <w:ilvl w:val="0"/>
          <w:numId w:val="30"/>
        </w:numPr>
      </w:pPr>
      <w:r>
        <w:t>s</w:t>
      </w:r>
      <w:r w:rsidR="005B699B" w:rsidRPr="0037553A">
        <w:t>urgery or other invasive procedure performed on the wrong patient resulting in serious harm or death</w:t>
      </w:r>
    </w:p>
    <w:p w14:paraId="21661F17" w14:textId="5948EE7C" w:rsidR="005B699B" w:rsidRPr="00100A8D" w:rsidRDefault="009554B8" w:rsidP="00CE12D2">
      <w:pPr>
        <w:pStyle w:val="Bullet1"/>
        <w:numPr>
          <w:ilvl w:val="0"/>
          <w:numId w:val="30"/>
        </w:numPr>
      </w:pPr>
      <w:r>
        <w:t>w</w:t>
      </w:r>
      <w:r w:rsidR="005B699B" w:rsidRPr="0037553A">
        <w:t>rong surgical or other invasive procedure performed on a patient resulting in serious harm or death</w:t>
      </w:r>
    </w:p>
    <w:p w14:paraId="65C38B99" w14:textId="633A5166" w:rsidR="005B699B" w:rsidRPr="00100A8D" w:rsidRDefault="009554B8" w:rsidP="00CE12D2">
      <w:pPr>
        <w:pStyle w:val="Bullet1"/>
        <w:numPr>
          <w:ilvl w:val="0"/>
          <w:numId w:val="30"/>
        </w:numPr>
      </w:pPr>
      <w:r>
        <w:t>u</w:t>
      </w:r>
      <w:r w:rsidR="005B699B" w:rsidRPr="0037553A">
        <w:t>nintended retention of a foreign object in a patient after surgery or other invasive procedure resulting in serious harm or death</w:t>
      </w:r>
    </w:p>
    <w:p w14:paraId="19CF490C" w14:textId="6B471022" w:rsidR="005B699B" w:rsidRPr="00100A8D" w:rsidRDefault="009554B8" w:rsidP="00CE12D2">
      <w:pPr>
        <w:pStyle w:val="Bullet1"/>
        <w:numPr>
          <w:ilvl w:val="0"/>
          <w:numId w:val="30"/>
        </w:numPr>
      </w:pPr>
      <w:r>
        <w:t>h</w:t>
      </w:r>
      <w:r w:rsidR="005B699B" w:rsidRPr="0037553A">
        <w:t>aemolytic blood transfusion reaction resulting from ABO incompatibility resulting in serious harm or death</w:t>
      </w:r>
    </w:p>
    <w:p w14:paraId="40320A61" w14:textId="63457C1C" w:rsidR="005B699B" w:rsidRPr="00100A8D" w:rsidRDefault="009554B8" w:rsidP="00CE12D2">
      <w:pPr>
        <w:pStyle w:val="Bullet1"/>
        <w:numPr>
          <w:ilvl w:val="0"/>
          <w:numId w:val="30"/>
        </w:numPr>
      </w:pPr>
      <w:r>
        <w:t>s</w:t>
      </w:r>
      <w:r w:rsidR="005B699B" w:rsidRPr="00935B9B">
        <w:t>uspected suicide of a patient in an acute psychiatric unit or acute psychiatric ward</w:t>
      </w:r>
    </w:p>
    <w:p w14:paraId="5AC50DD8" w14:textId="788886B4" w:rsidR="005B699B" w:rsidRPr="00100A8D" w:rsidRDefault="009554B8" w:rsidP="00CE12D2">
      <w:pPr>
        <w:pStyle w:val="Bullet1"/>
        <w:numPr>
          <w:ilvl w:val="0"/>
          <w:numId w:val="30"/>
        </w:numPr>
      </w:pPr>
      <w:r>
        <w:t>m</w:t>
      </w:r>
      <w:r w:rsidRPr="00935B9B">
        <w:t xml:space="preserve">edication </w:t>
      </w:r>
      <w:r w:rsidR="005B699B" w:rsidRPr="00935B9B">
        <w:t>error resulting in serious harm or death</w:t>
      </w:r>
    </w:p>
    <w:p w14:paraId="54B0F2CE" w14:textId="7BDC1C6B" w:rsidR="005B699B" w:rsidRPr="00100A8D" w:rsidRDefault="009554B8" w:rsidP="00CE12D2">
      <w:pPr>
        <w:pStyle w:val="Bullet1"/>
        <w:numPr>
          <w:ilvl w:val="0"/>
          <w:numId w:val="30"/>
        </w:numPr>
      </w:pPr>
      <w:r>
        <w:t>u</w:t>
      </w:r>
      <w:r w:rsidRPr="00935B9B">
        <w:t xml:space="preserve">se </w:t>
      </w:r>
      <w:r w:rsidR="005B699B" w:rsidRPr="00935B9B">
        <w:t>of physical or mechanical restraint resulting in serious harm or death</w:t>
      </w:r>
    </w:p>
    <w:p w14:paraId="235FB2C9" w14:textId="1C1E571E" w:rsidR="005B699B" w:rsidRPr="00100A8D" w:rsidRDefault="009554B8" w:rsidP="00CE12D2">
      <w:pPr>
        <w:pStyle w:val="Bullet1"/>
        <w:numPr>
          <w:ilvl w:val="0"/>
          <w:numId w:val="30"/>
        </w:numPr>
      </w:pPr>
      <w:r>
        <w:t>d</w:t>
      </w:r>
      <w:r w:rsidR="005B699B" w:rsidRPr="00935B9B">
        <w:t>ischarge or release of an infant or child to an unauthorised person</w:t>
      </w:r>
    </w:p>
    <w:p w14:paraId="295A9CB7" w14:textId="4A673C82" w:rsidR="005B699B" w:rsidRPr="00100A8D" w:rsidRDefault="009554B8" w:rsidP="00CE12D2">
      <w:pPr>
        <w:pStyle w:val="Bullet1"/>
        <w:numPr>
          <w:ilvl w:val="0"/>
          <w:numId w:val="30"/>
        </w:numPr>
      </w:pPr>
      <w:r>
        <w:t>u</w:t>
      </w:r>
      <w:r w:rsidR="005B699B" w:rsidRPr="00935B9B">
        <w:t>se of an incorrectly positioned oro- or naso-gastric tube resulting in serious harm or death</w:t>
      </w:r>
    </w:p>
    <w:p w14:paraId="143AEE34" w14:textId="3A161BB8" w:rsidR="005B699B" w:rsidRPr="00100A8D" w:rsidRDefault="009554B8" w:rsidP="00CE12D2">
      <w:pPr>
        <w:pStyle w:val="Bullet1"/>
        <w:numPr>
          <w:ilvl w:val="0"/>
          <w:numId w:val="30"/>
        </w:numPr>
      </w:pPr>
      <w:r>
        <w:t>a</w:t>
      </w:r>
      <w:r w:rsidR="005B699B" w:rsidRPr="00935B9B">
        <w:t>ll other adverse patient safety events resulting in serious harm or death (not subject to pricing for quality).</w:t>
      </w:r>
    </w:p>
    <w:p w14:paraId="33D0EC93" w14:textId="77777777" w:rsidR="005B699B" w:rsidRPr="007F03EF" w:rsidRDefault="005B699B" w:rsidP="001E4292">
      <w:pPr>
        <w:pStyle w:val="Heading2"/>
        <w:numPr>
          <w:ilvl w:val="1"/>
          <w:numId w:val="13"/>
        </w:numPr>
        <w:ind w:left="1134" w:hanging="1134"/>
        <w:rPr>
          <w:lang w:eastAsia="en-AU"/>
        </w:rPr>
      </w:pPr>
      <w:bookmarkStart w:id="1669" w:name="_Toc100263282"/>
      <w:bookmarkStart w:id="1670" w:name="_Toc165961814"/>
      <w:bookmarkStart w:id="1671" w:name="_Toc178963599"/>
      <w:r w:rsidRPr="255AAD50">
        <w:rPr>
          <w:lang w:eastAsia="en-AU"/>
        </w:rPr>
        <w:lastRenderedPageBreak/>
        <w:t>Hospital</w:t>
      </w:r>
      <w:r>
        <w:rPr>
          <w:lang w:eastAsia="en-AU"/>
        </w:rPr>
        <w:t xml:space="preserve"> </w:t>
      </w:r>
      <w:bookmarkEnd w:id="1669"/>
      <w:r>
        <w:rPr>
          <w:lang w:eastAsia="en-AU"/>
        </w:rPr>
        <w:t>a</w:t>
      </w:r>
      <w:r w:rsidRPr="255AAD50">
        <w:rPr>
          <w:lang w:eastAsia="en-AU"/>
        </w:rPr>
        <w:t xml:space="preserve">cquired </w:t>
      </w:r>
      <w:r w:rsidRPr="00143454">
        <w:t>complications</w:t>
      </w:r>
      <w:bookmarkEnd w:id="1670"/>
      <w:bookmarkEnd w:id="1671"/>
    </w:p>
    <w:p w14:paraId="76A28350" w14:textId="7FE8FAFB" w:rsidR="009554B8" w:rsidRDefault="005B699B" w:rsidP="005B699B">
      <w:pPr>
        <w:pStyle w:val="Body"/>
      </w:pPr>
      <w:r>
        <w:t xml:space="preserve">The national </w:t>
      </w:r>
      <w:r w:rsidR="00535745">
        <w:t xml:space="preserve">funding model for </w:t>
      </w:r>
      <w:r>
        <w:t xml:space="preserve">acute admitted </w:t>
      </w:r>
      <w:r w:rsidR="00535745">
        <w:t>activity</w:t>
      </w:r>
      <w:r>
        <w:t xml:space="preserve"> applies a risk-adjusted discount to the NWAU generated by each episode in which a HAC is present.</w:t>
      </w:r>
    </w:p>
    <w:p w14:paraId="433779F2" w14:textId="7C7F3C16" w:rsidR="009554B8" w:rsidRDefault="005B699B" w:rsidP="005B699B">
      <w:pPr>
        <w:pStyle w:val="Body"/>
      </w:pPr>
      <w:r>
        <w:t xml:space="preserve">Section </w:t>
      </w:r>
      <w:r w:rsidR="000E0ED2">
        <w:fldChar w:fldCharType="begin"/>
      </w:r>
      <w:r w:rsidR="000E0ED2">
        <w:instrText xml:space="preserve"> REF _Ref143004077 \w \h </w:instrText>
      </w:r>
      <w:r w:rsidR="000E0ED2">
        <w:fldChar w:fldCharType="separate"/>
      </w:r>
      <w:r w:rsidR="00F30C16">
        <w:t>13.2</w:t>
      </w:r>
      <w:r w:rsidR="000E0ED2">
        <w:fldChar w:fldCharType="end"/>
      </w:r>
      <w:r>
        <w:t xml:space="preserve"> </w:t>
      </w:r>
      <w:r>
        <w:fldChar w:fldCharType="begin"/>
      </w:r>
      <w:r>
        <w:instrText>REF _Ref143004077</w:instrText>
      </w:r>
      <w:r>
        <w:fldChar w:fldCharType="separate"/>
      </w:r>
      <w:r w:rsidR="00F30C16" w:rsidRPr="0084197D">
        <w:t xml:space="preserve">Calculating </w:t>
      </w:r>
      <w:r w:rsidR="00F30C16">
        <w:t>HAC</w:t>
      </w:r>
      <w:r w:rsidR="00F30C16" w:rsidRPr="0084197D">
        <w:t xml:space="preserve"> NWAU</w:t>
      </w:r>
      <w:r w:rsidR="00F30C16">
        <w:t xml:space="preserve"> growth-funding adjustment</w:t>
      </w:r>
      <w:r>
        <w:fldChar w:fldCharType="end"/>
      </w:r>
      <w:r>
        <w:t xml:space="preserve"> outlines the method to calculate the HAC NWAU growth-funding adjustment. </w:t>
      </w:r>
    </w:p>
    <w:p w14:paraId="2C52ED02" w14:textId="0142BCA5" w:rsidR="009554B8" w:rsidRDefault="005B699B" w:rsidP="005B699B">
      <w:pPr>
        <w:pStyle w:val="Body"/>
      </w:pPr>
      <w:r>
        <w:t>S</w:t>
      </w:r>
      <w:r w:rsidRPr="00EF2E8F">
        <w:t xml:space="preserve">ection </w:t>
      </w:r>
      <w:r>
        <w:fldChar w:fldCharType="begin"/>
      </w:r>
      <w:r>
        <w:instrText xml:space="preserve"> REF _Ref143004120 \r \h </w:instrText>
      </w:r>
      <w:r>
        <w:fldChar w:fldCharType="separate"/>
      </w:r>
      <w:r w:rsidR="00543255">
        <w:t>12</w:t>
      </w:r>
      <w:r>
        <w:fldChar w:fldCharType="end"/>
      </w:r>
      <w:r>
        <w:t xml:space="preserve"> </w:t>
      </w:r>
      <w:r>
        <w:fldChar w:fldCharType="begin"/>
      </w:r>
      <w:r>
        <w:instrText xml:space="preserve"> REF _Ref142493085 \h </w:instrText>
      </w:r>
      <w:r>
        <w:fldChar w:fldCharType="separate"/>
      </w:r>
      <w:r w:rsidR="00543255">
        <w:t>Prior-year adjustment: activity-based funding reconciliation</w:t>
      </w:r>
      <w:r>
        <w:fldChar w:fldCharType="end"/>
      </w:r>
      <w:r>
        <w:t xml:space="preserve"> </w:t>
      </w:r>
      <w:r w:rsidRPr="00773FB4">
        <w:t>outlines</w:t>
      </w:r>
      <w:r>
        <w:t xml:space="preserve"> how this adjustment </w:t>
      </w:r>
      <w:r w:rsidR="00EC5F7D">
        <w:t xml:space="preserve">is applied </w:t>
      </w:r>
      <w:r w:rsidR="008E045C">
        <w:t>as part of annual reconciliations</w:t>
      </w:r>
      <w:r w:rsidRPr="00EF2E8F">
        <w:t xml:space="preserve">. </w:t>
      </w:r>
    </w:p>
    <w:p w14:paraId="71109944" w14:textId="74084656" w:rsidR="005B699B" w:rsidRPr="007F03EF" w:rsidRDefault="0002554E" w:rsidP="00143454">
      <w:pPr>
        <w:pStyle w:val="Body"/>
        <w:rPr>
          <w:lang w:eastAsia="en-AU"/>
        </w:rPr>
      </w:pPr>
      <w:r w:rsidRPr="004E2514">
        <w:t xml:space="preserve">Section </w:t>
      </w:r>
      <w:r w:rsidR="00A872F1">
        <w:t>19.2</w:t>
      </w:r>
      <w:r w:rsidRPr="004E2514">
        <w:t xml:space="preserve"> </w:t>
      </w:r>
      <w:r w:rsidRPr="004E2514">
        <w:fldChar w:fldCharType="begin"/>
      </w:r>
      <w:r w:rsidRPr="004E2514">
        <w:instrText xml:space="preserve"> REF _Ref143004077 </w:instrText>
      </w:r>
      <w:r w:rsidR="008416BF" w:rsidRPr="004E2514">
        <w:instrText xml:space="preserve"> \* MERGEFORMAT </w:instrText>
      </w:r>
      <w:r w:rsidRPr="004E2514">
        <w:fldChar w:fldCharType="separate"/>
      </w:r>
      <w:r w:rsidR="00A872F1" w:rsidRPr="00A872F1">
        <w:t xml:space="preserve">Indicative NWAU adjustments for safety and </w:t>
      </w:r>
      <w:r w:rsidR="00377F4B" w:rsidRPr="00A872F1">
        <w:t>quality</w:t>
      </w:r>
      <w:r w:rsidRPr="004E2514">
        <w:fldChar w:fldCharType="end"/>
      </w:r>
      <w:r w:rsidR="005B699B" w:rsidRPr="004E2514">
        <w:t xml:space="preserve">, </w:t>
      </w:r>
      <w:r w:rsidR="005B699B" w:rsidRPr="004E2514">
        <w:fldChar w:fldCharType="begin"/>
      </w:r>
      <w:r w:rsidR="005B699B" w:rsidRPr="004E2514">
        <w:instrText xml:space="preserve"> REF _Ref165638725 \h </w:instrText>
      </w:r>
      <w:r w:rsidR="008416BF" w:rsidRPr="004E2514">
        <w:instrText xml:space="preserve"> \* MERGEFORMAT </w:instrText>
      </w:r>
      <w:r w:rsidR="005B699B" w:rsidRPr="004E2514">
        <w:fldChar w:fldCharType="separate"/>
      </w:r>
      <w:r w:rsidR="002F392F" w:rsidRPr="000C3C4F">
        <w:t xml:space="preserve">Table </w:t>
      </w:r>
      <w:r w:rsidR="00884CF9">
        <w:t>2</w:t>
      </w:r>
      <w:r w:rsidR="002F392F">
        <w:t>.11</w:t>
      </w:r>
      <w:r w:rsidR="002F392F" w:rsidRPr="000C3C4F">
        <w:t>: Indicative level of the HAC NWAU adjustment in 202</w:t>
      </w:r>
      <w:r w:rsidR="002F392F">
        <w:t>4</w:t>
      </w:r>
      <w:r w:rsidR="002F392F" w:rsidRPr="000C3C4F">
        <w:t>–2</w:t>
      </w:r>
      <w:r w:rsidR="002F392F">
        <w:t>5</w:t>
      </w:r>
      <w:r w:rsidR="005B699B" w:rsidRPr="004E2514">
        <w:fldChar w:fldCharType="end"/>
      </w:r>
      <w:r w:rsidR="005B699B">
        <w:t>, is an indicative level of the HAC NWAU adjustment in 202</w:t>
      </w:r>
      <w:r w:rsidR="005B699B" w:rsidRPr="00094E6D">
        <w:t>3–24</w:t>
      </w:r>
      <w:r w:rsidR="005B699B">
        <w:t>, against which a health service can monitor change during 2024–25.</w:t>
      </w:r>
    </w:p>
    <w:p w14:paraId="24D4CC0D" w14:textId="32F7D7A1" w:rsidR="005B699B" w:rsidRPr="007F03EF" w:rsidRDefault="005B699B" w:rsidP="005B699B">
      <w:pPr>
        <w:pStyle w:val="Body"/>
        <w:rPr>
          <w:lang w:eastAsia="en-AU"/>
        </w:rPr>
      </w:pPr>
      <w:r w:rsidRPr="007F03EF">
        <w:rPr>
          <w:lang w:eastAsia="en-AU"/>
        </w:rPr>
        <w:t>HACs</w:t>
      </w:r>
      <w:r w:rsidR="009554B8">
        <w:rPr>
          <w:lang w:eastAsia="en-AU"/>
        </w:rPr>
        <w:t xml:space="preserve"> are</w:t>
      </w:r>
      <w:r w:rsidRPr="007F03EF">
        <w:rPr>
          <w:lang w:eastAsia="en-AU"/>
        </w:rPr>
        <w:t>:</w:t>
      </w:r>
    </w:p>
    <w:p w14:paraId="12A4DC6D" w14:textId="77777777" w:rsidR="005B699B" w:rsidRPr="00100A8D" w:rsidRDefault="005B699B" w:rsidP="00CE12D2">
      <w:pPr>
        <w:pStyle w:val="Bullet1"/>
        <w:numPr>
          <w:ilvl w:val="0"/>
          <w:numId w:val="30"/>
        </w:numPr>
      </w:pPr>
      <w:r w:rsidRPr="00935B9B">
        <w:t>pressure injury</w:t>
      </w:r>
    </w:p>
    <w:p w14:paraId="59A902EF" w14:textId="77777777" w:rsidR="005B699B" w:rsidRPr="00100A8D" w:rsidRDefault="005B699B" w:rsidP="00CE12D2">
      <w:pPr>
        <w:pStyle w:val="Bullet1"/>
        <w:numPr>
          <w:ilvl w:val="0"/>
          <w:numId w:val="30"/>
        </w:numPr>
      </w:pPr>
      <w:r w:rsidRPr="00935B9B">
        <w:t>falls resulting in fracture or other intracranial injury</w:t>
      </w:r>
    </w:p>
    <w:p w14:paraId="43E273A6" w14:textId="77777777" w:rsidR="005B699B" w:rsidRPr="00100A8D" w:rsidRDefault="005B699B" w:rsidP="00CE12D2">
      <w:pPr>
        <w:pStyle w:val="Bullet1"/>
        <w:numPr>
          <w:ilvl w:val="0"/>
          <w:numId w:val="30"/>
        </w:numPr>
      </w:pPr>
      <w:r w:rsidRPr="00935B9B">
        <w:t>healthcare-associated infection</w:t>
      </w:r>
    </w:p>
    <w:p w14:paraId="617B8590" w14:textId="77777777" w:rsidR="005B699B" w:rsidRPr="00100A8D" w:rsidRDefault="005B699B" w:rsidP="00CE12D2">
      <w:pPr>
        <w:pStyle w:val="Bullet1"/>
        <w:numPr>
          <w:ilvl w:val="0"/>
          <w:numId w:val="30"/>
        </w:numPr>
      </w:pPr>
      <w:r w:rsidRPr="00935B9B">
        <w:t>surgical complications requiring unplanned return to theatre</w:t>
      </w:r>
    </w:p>
    <w:p w14:paraId="5ABFD27B" w14:textId="77777777" w:rsidR="005B699B" w:rsidRPr="00100A8D" w:rsidRDefault="005B699B" w:rsidP="00CE12D2">
      <w:pPr>
        <w:pStyle w:val="Bullet1"/>
        <w:numPr>
          <w:ilvl w:val="0"/>
          <w:numId w:val="30"/>
        </w:numPr>
      </w:pPr>
      <w:r w:rsidRPr="00935B9B">
        <w:t>unplanned intensive care unit admission</w:t>
      </w:r>
    </w:p>
    <w:p w14:paraId="0BFAAB7A" w14:textId="77777777" w:rsidR="005B699B" w:rsidRPr="00100A8D" w:rsidRDefault="005B699B" w:rsidP="00CE12D2">
      <w:pPr>
        <w:pStyle w:val="Bullet1"/>
        <w:numPr>
          <w:ilvl w:val="0"/>
          <w:numId w:val="30"/>
        </w:numPr>
      </w:pPr>
      <w:r w:rsidRPr="00935B9B">
        <w:t>respiratory complications</w:t>
      </w:r>
    </w:p>
    <w:p w14:paraId="2A91254A" w14:textId="77777777" w:rsidR="005B699B" w:rsidRPr="00100A8D" w:rsidRDefault="005B699B" w:rsidP="00CE12D2">
      <w:pPr>
        <w:pStyle w:val="Bullet1"/>
        <w:numPr>
          <w:ilvl w:val="0"/>
          <w:numId w:val="30"/>
        </w:numPr>
      </w:pPr>
      <w:r w:rsidRPr="00935B9B">
        <w:t>venous thromboembolism</w:t>
      </w:r>
    </w:p>
    <w:p w14:paraId="1D5043AE" w14:textId="77777777" w:rsidR="005B699B" w:rsidRPr="00100A8D" w:rsidRDefault="005B699B" w:rsidP="00CE12D2">
      <w:pPr>
        <w:pStyle w:val="Bullet1"/>
        <w:numPr>
          <w:ilvl w:val="0"/>
          <w:numId w:val="30"/>
        </w:numPr>
      </w:pPr>
      <w:r w:rsidRPr="00935B9B">
        <w:t>renal failure</w:t>
      </w:r>
    </w:p>
    <w:p w14:paraId="2B411BBD" w14:textId="77777777" w:rsidR="005B699B" w:rsidRPr="00100A8D" w:rsidRDefault="005B699B" w:rsidP="00CE12D2">
      <w:pPr>
        <w:pStyle w:val="Bullet1"/>
        <w:numPr>
          <w:ilvl w:val="0"/>
          <w:numId w:val="30"/>
        </w:numPr>
      </w:pPr>
      <w:r w:rsidRPr="00935B9B">
        <w:t>gastrointestinal bleeding</w:t>
      </w:r>
    </w:p>
    <w:p w14:paraId="7BD1FDF8" w14:textId="77777777" w:rsidR="005B699B" w:rsidRPr="00100A8D" w:rsidRDefault="005B699B" w:rsidP="00CE12D2">
      <w:pPr>
        <w:pStyle w:val="Bullet1"/>
        <w:numPr>
          <w:ilvl w:val="0"/>
          <w:numId w:val="30"/>
        </w:numPr>
      </w:pPr>
      <w:r w:rsidRPr="00935B9B">
        <w:t>medication complications</w:t>
      </w:r>
    </w:p>
    <w:p w14:paraId="42090AE7" w14:textId="77777777" w:rsidR="005B699B" w:rsidRPr="00100A8D" w:rsidRDefault="005B699B" w:rsidP="00CE12D2">
      <w:pPr>
        <w:pStyle w:val="Bullet1"/>
        <w:numPr>
          <w:ilvl w:val="0"/>
          <w:numId w:val="30"/>
        </w:numPr>
      </w:pPr>
      <w:r w:rsidRPr="00935B9B">
        <w:t>delirium</w:t>
      </w:r>
    </w:p>
    <w:p w14:paraId="6FF42AD7" w14:textId="77777777" w:rsidR="005B699B" w:rsidRPr="00100A8D" w:rsidRDefault="005B699B" w:rsidP="00CE12D2">
      <w:pPr>
        <w:pStyle w:val="Bullet1"/>
        <w:numPr>
          <w:ilvl w:val="0"/>
          <w:numId w:val="30"/>
        </w:numPr>
      </w:pPr>
      <w:r w:rsidRPr="00935B9B">
        <w:t>incontinence</w:t>
      </w:r>
    </w:p>
    <w:p w14:paraId="051C5BAB" w14:textId="77777777" w:rsidR="005B699B" w:rsidRPr="00100A8D" w:rsidRDefault="005B699B" w:rsidP="00CE12D2">
      <w:pPr>
        <w:pStyle w:val="Bullet1"/>
        <w:numPr>
          <w:ilvl w:val="0"/>
          <w:numId w:val="30"/>
        </w:numPr>
      </w:pPr>
      <w:r w:rsidRPr="00935B9B">
        <w:t>endocrine complications</w:t>
      </w:r>
    </w:p>
    <w:p w14:paraId="2BF54F44" w14:textId="77777777" w:rsidR="005B699B" w:rsidRPr="00100A8D" w:rsidRDefault="005B699B" w:rsidP="00CE12D2">
      <w:pPr>
        <w:pStyle w:val="Bullet1"/>
        <w:numPr>
          <w:ilvl w:val="0"/>
          <w:numId w:val="30"/>
        </w:numPr>
      </w:pPr>
      <w:r w:rsidRPr="00935B9B">
        <w:t>cardiac complications</w:t>
      </w:r>
    </w:p>
    <w:p w14:paraId="7CEEBA9E" w14:textId="77777777" w:rsidR="005B699B" w:rsidRPr="00100A8D" w:rsidRDefault="005B699B" w:rsidP="00CE12D2">
      <w:pPr>
        <w:pStyle w:val="Bullet1"/>
        <w:numPr>
          <w:ilvl w:val="0"/>
          <w:numId w:val="30"/>
        </w:numPr>
      </w:pPr>
      <w:r w:rsidRPr="00935B9B">
        <w:t>third- and fourth-degree perineal laceration during delivery</w:t>
      </w:r>
    </w:p>
    <w:p w14:paraId="6D7A3436" w14:textId="77777777" w:rsidR="005B699B" w:rsidRPr="00100A8D" w:rsidRDefault="005B699B" w:rsidP="00CE12D2">
      <w:pPr>
        <w:pStyle w:val="Bullet1"/>
        <w:numPr>
          <w:ilvl w:val="0"/>
          <w:numId w:val="30"/>
        </w:numPr>
      </w:pPr>
      <w:r w:rsidRPr="00935B9B">
        <w:t>neonatal birth trauma.</w:t>
      </w:r>
    </w:p>
    <w:p w14:paraId="0431DC5B" w14:textId="77777777" w:rsidR="005B699B" w:rsidRPr="007F03EF" w:rsidRDefault="005B699B" w:rsidP="005B699B">
      <w:pPr>
        <w:pStyle w:val="Bodyafterbullets"/>
        <w:rPr>
          <w:lang w:eastAsia="en-AU"/>
        </w:rPr>
      </w:pPr>
      <w:r w:rsidRPr="007F03EF">
        <w:rPr>
          <w:lang w:eastAsia="en-AU"/>
        </w:rPr>
        <w:t xml:space="preserve">More information on the HAC list, including diagnosis codes used to identify each HAC, is available at </w:t>
      </w:r>
      <w:hyperlink r:id="rId40" w:history="1">
        <w:r w:rsidRPr="007F03EF">
          <w:rPr>
            <w:rStyle w:val="Hyperlink"/>
            <w:lang w:eastAsia="en-AU"/>
          </w:rPr>
          <w:t xml:space="preserve">Hospital-acquired complications </w:t>
        </w:r>
      </w:hyperlink>
      <w:r w:rsidRPr="007F03EF">
        <w:t>&lt;https://www.safetyandquality.gov.au/our-work/indicators/hospital-acquired-complications</w:t>
      </w:r>
      <w:r w:rsidRPr="007F03EF">
        <w:rPr>
          <w:lang w:eastAsia="en-AU"/>
        </w:rPr>
        <w:t>&gt;.</w:t>
      </w:r>
    </w:p>
    <w:p w14:paraId="07DF2F5B" w14:textId="77777777" w:rsidR="005B699B" w:rsidRDefault="005B699B" w:rsidP="005B699B">
      <w:pPr>
        <w:pStyle w:val="Body"/>
        <w:rPr>
          <w:lang w:eastAsia="en-AU"/>
        </w:rPr>
      </w:pPr>
      <w:r w:rsidRPr="007F03EF">
        <w:rPr>
          <w:lang w:eastAsia="en-AU"/>
        </w:rPr>
        <w:t>The funding adjustment for HACs has been risk</w:t>
      </w:r>
      <w:r>
        <w:rPr>
          <w:lang w:eastAsia="en-AU"/>
        </w:rPr>
        <w:t xml:space="preserve"> </w:t>
      </w:r>
      <w:r w:rsidRPr="007F03EF">
        <w:rPr>
          <w:lang w:eastAsia="en-AU"/>
        </w:rPr>
        <w:t>adjusted to take account of the increased predisposition of some patients to experienc</w:t>
      </w:r>
      <w:r>
        <w:rPr>
          <w:lang w:eastAsia="en-AU"/>
        </w:rPr>
        <w:t>e</w:t>
      </w:r>
      <w:r w:rsidRPr="007F03EF">
        <w:rPr>
          <w:lang w:eastAsia="en-AU"/>
        </w:rPr>
        <w:t xml:space="preserve"> a HAC during their hospital stay and </w:t>
      </w:r>
      <w:r>
        <w:t>to provide funding signals</w:t>
      </w:r>
      <w:r w:rsidRPr="00EF2230">
        <w:t>, enabling hospitals to address systemic risks associated with care delivery.</w:t>
      </w:r>
      <w:r w:rsidRPr="007F03EF" w:rsidDel="00B87E0F">
        <w:rPr>
          <w:lang w:eastAsia="en-AU"/>
        </w:rPr>
        <w:t xml:space="preserve"> </w:t>
      </w:r>
    </w:p>
    <w:p w14:paraId="1828748D" w14:textId="182BCDE3" w:rsidR="005B699B" w:rsidRPr="00BD7084" w:rsidRDefault="005B699B" w:rsidP="005B699B">
      <w:pPr>
        <w:pStyle w:val="Body"/>
        <w:rPr>
          <w:lang w:eastAsia="en-AU"/>
        </w:rPr>
      </w:pPr>
      <w:r w:rsidRPr="68F9D2E4">
        <w:rPr>
          <w:lang w:eastAsia="en-AU"/>
        </w:rPr>
        <w:t>More information on the risk adjustment model for HACs, including the risk factors for each HAC group, is contained in the</w:t>
      </w:r>
      <w:r>
        <w:t xml:space="preserve"> </w:t>
      </w:r>
      <w:hyperlink r:id="rId41" w:history="1">
        <w:r w:rsidRPr="000E74E4">
          <w:rPr>
            <w:rStyle w:val="Hyperlink"/>
            <w:lang w:eastAsia="en-AU"/>
          </w:rPr>
          <w:t>National pricing model technical specifications 2024–25 – Independent Health and Aged Care Pricing Authority website</w:t>
        </w:r>
      </w:hyperlink>
      <w:r w:rsidRPr="68F9D2E4">
        <w:rPr>
          <w:lang w:eastAsia="en-AU"/>
        </w:rPr>
        <w:t xml:space="preserve"> &lt;</w:t>
      </w:r>
      <w:r w:rsidRPr="000E74E4">
        <w:t>https://www.ihacpa.gov.au/resources/national-pricing-model-technical-specifications-2024-25</w:t>
      </w:r>
      <w:r w:rsidRPr="68F9D2E4">
        <w:rPr>
          <w:lang w:eastAsia="en-AU"/>
        </w:rPr>
        <w:t>&gt;.</w:t>
      </w:r>
    </w:p>
    <w:p w14:paraId="2F7BD372" w14:textId="13D9A02D" w:rsidR="00306BA2" w:rsidRDefault="00306BA2">
      <w:pPr>
        <w:spacing w:after="0" w:line="240" w:lineRule="auto"/>
        <w:rPr>
          <w:rFonts w:eastAsia="Times"/>
          <w:lang w:eastAsia="en-AU"/>
        </w:rPr>
      </w:pPr>
      <w:r>
        <w:rPr>
          <w:lang w:eastAsia="en-AU"/>
        </w:rPr>
        <w:br w:type="page"/>
      </w:r>
    </w:p>
    <w:p w14:paraId="156D1683" w14:textId="32FC7D4B" w:rsidR="00040252" w:rsidRDefault="00C53FB0" w:rsidP="001E4292">
      <w:pPr>
        <w:pStyle w:val="Heading2"/>
        <w:numPr>
          <w:ilvl w:val="1"/>
          <w:numId w:val="13"/>
        </w:numPr>
        <w:ind w:left="1134" w:hanging="1134"/>
        <w:rPr>
          <w:lang w:eastAsia="en-AU"/>
        </w:rPr>
      </w:pPr>
      <w:bookmarkStart w:id="1672" w:name="_Toc178963600"/>
      <w:r>
        <w:rPr>
          <w:lang w:eastAsia="en-AU"/>
        </w:rPr>
        <w:lastRenderedPageBreak/>
        <w:t xml:space="preserve">Avoidable </w:t>
      </w:r>
      <w:r w:rsidR="002B303A">
        <w:rPr>
          <w:lang w:eastAsia="en-AU"/>
        </w:rPr>
        <w:t>hospital readmissions</w:t>
      </w:r>
      <w:bookmarkEnd w:id="1672"/>
    </w:p>
    <w:p w14:paraId="64339CFE" w14:textId="0D6BD859" w:rsidR="00D83A4B" w:rsidRDefault="00D83A4B" w:rsidP="00D83A4B">
      <w:pPr>
        <w:pStyle w:val="Body"/>
        <w:rPr>
          <w:lang w:eastAsia="en-AU"/>
        </w:rPr>
      </w:pPr>
      <w:r>
        <w:rPr>
          <w:lang w:eastAsia="en-AU"/>
        </w:rPr>
        <w:t>Unplanned hospital readmissions are a measure of potential issues with the quality, continuity and integration of care provided to patients during</w:t>
      </w:r>
      <w:r w:rsidR="005643E3">
        <w:rPr>
          <w:lang w:eastAsia="en-AU"/>
        </w:rPr>
        <w:t>,</w:t>
      </w:r>
      <w:r>
        <w:rPr>
          <w:lang w:eastAsia="en-AU"/>
        </w:rPr>
        <w:t xml:space="preserve"> or subsequent to</w:t>
      </w:r>
      <w:r w:rsidR="005643E3">
        <w:rPr>
          <w:lang w:eastAsia="en-AU"/>
        </w:rPr>
        <w:t>,</w:t>
      </w:r>
      <w:r>
        <w:rPr>
          <w:lang w:eastAsia="en-AU"/>
        </w:rPr>
        <w:t xml:space="preserve"> their original hospital admission.</w:t>
      </w:r>
    </w:p>
    <w:p w14:paraId="385F0CCA" w14:textId="5CA17925" w:rsidR="00D83A4B" w:rsidRDefault="00D83A4B" w:rsidP="00D83A4B">
      <w:pPr>
        <w:pStyle w:val="Body"/>
        <w:rPr>
          <w:lang w:eastAsia="en-AU"/>
        </w:rPr>
      </w:pPr>
      <w:r>
        <w:rPr>
          <w:lang w:eastAsia="en-AU"/>
        </w:rPr>
        <w:t>The AHR adjustment is calculated by deducting the cost of the readmission episode from the index episode</w:t>
      </w:r>
      <w:r w:rsidR="00AE206E">
        <w:rPr>
          <w:lang w:eastAsia="en-AU"/>
        </w:rPr>
        <w:t>, that is</w:t>
      </w:r>
      <w:r w:rsidR="00F869E3">
        <w:rPr>
          <w:lang w:eastAsia="en-AU"/>
        </w:rPr>
        <w:t>,</w:t>
      </w:r>
      <w:r>
        <w:rPr>
          <w:lang w:eastAsia="en-AU"/>
        </w:rPr>
        <w:t xml:space="preserve"> their original admission. This adjustment is risk adjusted to account for the varying levels of risk factors relevant to the readmission condition. The list of </w:t>
      </w:r>
      <w:r w:rsidR="00F869E3">
        <w:rPr>
          <w:lang w:eastAsia="en-AU"/>
        </w:rPr>
        <w:t>AHRs</w:t>
      </w:r>
      <w:r>
        <w:rPr>
          <w:lang w:eastAsia="en-AU"/>
        </w:rPr>
        <w:t xml:space="preserve"> and readmission intervals is provided in</w:t>
      </w:r>
      <w:r w:rsidR="00F30C16">
        <w:rPr>
          <w:lang w:eastAsia="en-AU"/>
        </w:rPr>
        <w:t xml:space="preserve"> </w:t>
      </w:r>
      <w:r w:rsidR="00F30C16">
        <w:rPr>
          <w:lang w:eastAsia="en-AU"/>
        </w:rPr>
        <w:fldChar w:fldCharType="begin"/>
      </w:r>
      <w:r w:rsidR="00F30C16">
        <w:rPr>
          <w:lang w:eastAsia="en-AU"/>
        </w:rPr>
        <w:instrText xml:space="preserve"> REF _Ref170115537 </w:instrText>
      </w:r>
      <w:r w:rsidR="00F30C16">
        <w:rPr>
          <w:lang w:eastAsia="en-AU"/>
        </w:rPr>
        <w:fldChar w:fldCharType="separate"/>
      </w:r>
      <w:r w:rsidR="00F30C16">
        <w:t>Table 1.</w:t>
      </w:r>
      <w:r w:rsidR="00F30C16">
        <w:rPr>
          <w:noProof/>
        </w:rPr>
        <w:t>3</w:t>
      </w:r>
      <w:r w:rsidR="00F30C16">
        <w:t>: Avoidable hospital readmissions and readmission intervals</w:t>
      </w:r>
      <w:r w:rsidR="00F30C16">
        <w:rPr>
          <w:lang w:eastAsia="en-AU"/>
        </w:rPr>
        <w:fldChar w:fldCharType="end"/>
      </w:r>
      <w:r w:rsidR="005166F4">
        <w:rPr>
          <w:lang w:eastAsia="en-AU"/>
        </w:rPr>
        <w:t xml:space="preserve">. </w:t>
      </w:r>
    </w:p>
    <w:p w14:paraId="7AAD4847" w14:textId="317A8377" w:rsidR="002B303A" w:rsidRPr="00BD7084" w:rsidRDefault="00D83A4B" w:rsidP="005B699B">
      <w:pPr>
        <w:pStyle w:val="Body"/>
        <w:rPr>
          <w:lang w:eastAsia="en-AU"/>
        </w:rPr>
      </w:pPr>
      <w:r>
        <w:rPr>
          <w:lang w:eastAsia="en-AU"/>
        </w:rPr>
        <w:t>As with HACS, the AHR adjustment is paid based on the annual change in AHRs for a health service each year.</w:t>
      </w:r>
    </w:p>
    <w:p w14:paraId="664196C6" w14:textId="5C34BAD7" w:rsidR="00767EA1" w:rsidRDefault="00767EA1" w:rsidP="00767EA1">
      <w:pPr>
        <w:pStyle w:val="Body"/>
      </w:pPr>
      <w:r w:rsidRPr="0066727E">
        <w:t xml:space="preserve">Section </w:t>
      </w:r>
      <w:r w:rsidR="00103FD0" w:rsidRPr="0066727E">
        <w:fldChar w:fldCharType="begin"/>
      </w:r>
      <w:r w:rsidR="00103FD0" w:rsidRPr="0066727E">
        <w:instrText xml:space="preserve"> REF _Ref167781452 \r \h </w:instrText>
      </w:r>
      <w:r w:rsidR="0066727E">
        <w:instrText xml:space="preserve"> \* MERGEFORMAT </w:instrText>
      </w:r>
      <w:r w:rsidR="00103FD0" w:rsidRPr="0066727E">
        <w:fldChar w:fldCharType="separate"/>
      </w:r>
      <w:r w:rsidR="00F30C16">
        <w:t>13.</w:t>
      </w:r>
      <w:r w:rsidR="00543255">
        <w:t>3</w:t>
      </w:r>
      <w:r w:rsidR="00103FD0" w:rsidRPr="0066727E">
        <w:fldChar w:fldCharType="end"/>
      </w:r>
      <w:r w:rsidR="00AA2BA0" w:rsidRPr="0066727E">
        <w:t xml:space="preserve"> </w:t>
      </w:r>
      <w:r w:rsidR="00AA2BA0" w:rsidRPr="00A131C0">
        <w:fldChar w:fldCharType="begin"/>
      </w:r>
      <w:r w:rsidR="00AA2BA0" w:rsidRPr="0066727E">
        <w:instrText xml:space="preserve"> REF _Ref167781452 \h </w:instrText>
      </w:r>
      <w:r w:rsidR="0066727E">
        <w:instrText xml:space="preserve"> \* MERGEFORMAT </w:instrText>
      </w:r>
      <w:r w:rsidR="00AA2BA0" w:rsidRPr="00A131C0">
        <w:fldChar w:fldCharType="separate"/>
      </w:r>
      <w:r w:rsidR="00543255">
        <w:t>Calculating AHR NWAU growth-funding adjustment</w:t>
      </w:r>
      <w:r w:rsidR="00AA2BA0" w:rsidRPr="00A131C0">
        <w:fldChar w:fldCharType="end"/>
      </w:r>
      <w:r w:rsidR="00AA2BA0" w:rsidRPr="0066727E">
        <w:t xml:space="preserve"> </w:t>
      </w:r>
      <w:r w:rsidRPr="0066727E">
        <w:t>outlines the method to calculate the HAC NWAU growth-funding adjustment.</w:t>
      </w:r>
      <w:r>
        <w:t xml:space="preserve"> </w:t>
      </w:r>
    </w:p>
    <w:p w14:paraId="7D42148D" w14:textId="238C7982" w:rsidR="00767EA1" w:rsidRDefault="00767EA1" w:rsidP="00767EA1">
      <w:pPr>
        <w:pStyle w:val="Body"/>
      </w:pPr>
      <w:r>
        <w:t>S</w:t>
      </w:r>
      <w:r w:rsidRPr="00EF2E8F">
        <w:t xml:space="preserve">ection </w:t>
      </w:r>
      <w:r>
        <w:fldChar w:fldCharType="begin"/>
      </w:r>
      <w:r>
        <w:instrText xml:space="preserve"> REF _Ref143004120 \r \h </w:instrText>
      </w:r>
      <w:r>
        <w:fldChar w:fldCharType="separate"/>
      </w:r>
      <w:r w:rsidR="00543255">
        <w:t>12</w:t>
      </w:r>
      <w:r>
        <w:fldChar w:fldCharType="end"/>
      </w:r>
      <w:r>
        <w:t xml:space="preserve"> </w:t>
      </w:r>
      <w:r>
        <w:fldChar w:fldCharType="begin"/>
      </w:r>
      <w:r>
        <w:instrText xml:space="preserve"> REF _Ref142493085 \h </w:instrText>
      </w:r>
      <w:r>
        <w:fldChar w:fldCharType="separate"/>
      </w:r>
      <w:r w:rsidR="00543255">
        <w:t>Prior-year adjustment: activity-based funding reconciliation</w:t>
      </w:r>
      <w:r>
        <w:fldChar w:fldCharType="end"/>
      </w:r>
      <w:r>
        <w:t xml:space="preserve"> </w:t>
      </w:r>
      <w:r w:rsidRPr="00773FB4">
        <w:t>outlines</w:t>
      </w:r>
      <w:r>
        <w:t xml:space="preserve"> how this adjustment is applied as part of annual reconciliations</w:t>
      </w:r>
      <w:r w:rsidRPr="0007156B">
        <w:t xml:space="preserve">. </w:t>
      </w:r>
    </w:p>
    <w:p w14:paraId="6035E827" w14:textId="69175731" w:rsidR="00AA124F" w:rsidRDefault="0002554E" w:rsidP="00476AAA">
      <w:pPr>
        <w:pStyle w:val="Tablecaption"/>
        <w:spacing w:line="250" w:lineRule="atLeast"/>
      </w:pPr>
      <w:bookmarkStart w:id="1673" w:name="_Ref170115537"/>
      <w:bookmarkStart w:id="1674" w:name="_Toc176510394"/>
      <w:r>
        <w:t>Table 1.</w:t>
      </w:r>
      <w:r>
        <w:fldChar w:fldCharType="begin"/>
      </w:r>
      <w:r>
        <w:instrText>SEQ Table \* ARABIC</w:instrText>
      </w:r>
      <w:r>
        <w:fldChar w:fldCharType="separate"/>
      </w:r>
      <w:r w:rsidR="00F30C16">
        <w:rPr>
          <w:noProof/>
        </w:rPr>
        <w:t>3</w:t>
      </w:r>
      <w:r>
        <w:fldChar w:fldCharType="end"/>
      </w:r>
      <w:r>
        <w:t>: Avoidable hospital readmissions and readmission intervals</w:t>
      </w:r>
      <w:bookmarkEnd w:id="1673"/>
      <w:bookmarkEnd w:id="16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5718"/>
        <w:gridCol w:w="1672"/>
      </w:tblGrid>
      <w:tr w:rsidR="003701BB" w:rsidRPr="00424DCD" w14:paraId="5D656A16" w14:textId="77777777" w:rsidTr="0002554E">
        <w:trPr>
          <w:trHeight w:val="290"/>
          <w:tblHeader/>
        </w:trPr>
        <w:tc>
          <w:tcPr>
            <w:tcW w:w="1022" w:type="pct"/>
            <w:shd w:val="clear" w:color="auto" w:fill="auto"/>
            <w:noWrap/>
          </w:tcPr>
          <w:p w14:paraId="74CEB53C" w14:textId="77777777" w:rsidR="0088012E" w:rsidRPr="00424DCD" w:rsidRDefault="0088012E">
            <w:pPr>
              <w:pStyle w:val="Tablecolhead"/>
              <w:rPr>
                <w:rFonts w:eastAsia="Arial"/>
              </w:rPr>
            </w:pPr>
            <w:r w:rsidRPr="00424DCD">
              <w:rPr>
                <w:rFonts w:eastAsia="Arial"/>
              </w:rPr>
              <w:t>Readmission condition</w:t>
            </w:r>
          </w:p>
        </w:tc>
        <w:tc>
          <w:tcPr>
            <w:tcW w:w="3078" w:type="pct"/>
            <w:shd w:val="clear" w:color="auto" w:fill="auto"/>
            <w:noWrap/>
            <w:vAlign w:val="bottom"/>
          </w:tcPr>
          <w:p w14:paraId="390BA8BF" w14:textId="77777777" w:rsidR="0088012E" w:rsidRPr="00424DCD" w:rsidRDefault="0088012E">
            <w:pPr>
              <w:pStyle w:val="Tablecolhead"/>
              <w:rPr>
                <w:rFonts w:eastAsia="Arial"/>
              </w:rPr>
            </w:pPr>
            <w:r w:rsidRPr="00424DCD">
              <w:rPr>
                <w:rFonts w:eastAsia="Arial"/>
              </w:rPr>
              <w:t>Readmission diagnosis</w:t>
            </w:r>
          </w:p>
        </w:tc>
        <w:tc>
          <w:tcPr>
            <w:tcW w:w="900" w:type="pct"/>
            <w:shd w:val="clear" w:color="auto" w:fill="auto"/>
            <w:noWrap/>
            <w:vAlign w:val="bottom"/>
          </w:tcPr>
          <w:p w14:paraId="0F557B3C" w14:textId="77777777" w:rsidR="0088012E" w:rsidRPr="00424DCD" w:rsidRDefault="0088012E">
            <w:pPr>
              <w:pStyle w:val="Tablecolhead"/>
              <w:rPr>
                <w:rFonts w:eastAsia="Arial"/>
              </w:rPr>
            </w:pPr>
            <w:r w:rsidRPr="00424DCD">
              <w:rPr>
                <w:rFonts w:eastAsia="Arial"/>
              </w:rPr>
              <w:t>Readmission interval</w:t>
            </w:r>
          </w:p>
        </w:tc>
      </w:tr>
      <w:tr w:rsidR="003701BB" w:rsidRPr="00424DCD" w14:paraId="49E2472F" w14:textId="77777777" w:rsidTr="0002554E">
        <w:trPr>
          <w:trHeight w:val="290"/>
        </w:trPr>
        <w:tc>
          <w:tcPr>
            <w:tcW w:w="1022" w:type="pct"/>
            <w:vMerge w:val="restart"/>
            <w:shd w:val="clear" w:color="auto" w:fill="auto"/>
            <w:noWrap/>
            <w:hideMark/>
          </w:tcPr>
          <w:p w14:paraId="16A3BE2A" w14:textId="0CDC7300"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Pressure injury</w:t>
            </w:r>
          </w:p>
        </w:tc>
        <w:tc>
          <w:tcPr>
            <w:tcW w:w="3078" w:type="pct"/>
            <w:shd w:val="clear" w:color="auto" w:fill="auto"/>
            <w:noWrap/>
            <w:vAlign w:val="center"/>
            <w:hideMark/>
          </w:tcPr>
          <w:p w14:paraId="22C30184"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Stage III ulcer</w:t>
            </w:r>
          </w:p>
        </w:tc>
        <w:tc>
          <w:tcPr>
            <w:tcW w:w="900" w:type="pct"/>
            <w:shd w:val="clear" w:color="auto" w:fill="auto"/>
            <w:noWrap/>
            <w:vAlign w:val="center"/>
            <w:hideMark/>
          </w:tcPr>
          <w:p w14:paraId="2E1DD788"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1DE6F80A" w14:textId="77777777" w:rsidTr="0002554E">
        <w:trPr>
          <w:trHeight w:val="290"/>
        </w:trPr>
        <w:tc>
          <w:tcPr>
            <w:tcW w:w="1022" w:type="pct"/>
            <w:vMerge/>
            <w:vAlign w:val="center"/>
            <w:hideMark/>
          </w:tcPr>
          <w:p w14:paraId="08D1BA8F"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70EEA35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Stage IV ulcer</w:t>
            </w:r>
          </w:p>
        </w:tc>
        <w:tc>
          <w:tcPr>
            <w:tcW w:w="900" w:type="pct"/>
            <w:shd w:val="clear" w:color="auto" w:fill="auto"/>
            <w:noWrap/>
            <w:vAlign w:val="center"/>
            <w:hideMark/>
          </w:tcPr>
          <w:p w14:paraId="0DFC2A14"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7 days</w:t>
            </w:r>
          </w:p>
        </w:tc>
      </w:tr>
      <w:tr w:rsidR="003701BB" w:rsidRPr="00424DCD" w14:paraId="60BF940D" w14:textId="77777777" w:rsidTr="0002554E">
        <w:trPr>
          <w:trHeight w:val="290"/>
        </w:trPr>
        <w:tc>
          <w:tcPr>
            <w:tcW w:w="1022" w:type="pct"/>
            <w:vMerge/>
            <w:vAlign w:val="center"/>
            <w:hideMark/>
          </w:tcPr>
          <w:p w14:paraId="40C66901"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16B72F3F"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Unspecified decubitus and pressure area</w:t>
            </w:r>
          </w:p>
        </w:tc>
        <w:tc>
          <w:tcPr>
            <w:tcW w:w="900" w:type="pct"/>
            <w:shd w:val="clear" w:color="auto" w:fill="auto"/>
            <w:noWrap/>
            <w:vAlign w:val="center"/>
            <w:hideMark/>
          </w:tcPr>
          <w:p w14:paraId="0C9C3C3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62D07F05" w14:textId="77777777" w:rsidTr="0002554E">
        <w:trPr>
          <w:trHeight w:val="290"/>
        </w:trPr>
        <w:tc>
          <w:tcPr>
            <w:tcW w:w="1022" w:type="pct"/>
            <w:vMerge/>
            <w:vAlign w:val="center"/>
            <w:hideMark/>
          </w:tcPr>
          <w:p w14:paraId="309F90CA"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74825598"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Unstageable pressure injury</w:t>
            </w:r>
          </w:p>
        </w:tc>
        <w:tc>
          <w:tcPr>
            <w:tcW w:w="900" w:type="pct"/>
            <w:shd w:val="clear" w:color="auto" w:fill="auto"/>
            <w:noWrap/>
            <w:vAlign w:val="center"/>
            <w:hideMark/>
          </w:tcPr>
          <w:p w14:paraId="471A9B9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4DD55FDC" w14:textId="77777777" w:rsidTr="0002554E">
        <w:trPr>
          <w:trHeight w:val="290"/>
        </w:trPr>
        <w:tc>
          <w:tcPr>
            <w:tcW w:w="1022" w:type="pct"/>
            <w:vMerge/>
            <w:vAlign w:val="center"/>
            <w:hideMark/>
          </w:tcPr>
          <w:p w14:paraId="73A5CA5D"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3A51530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Suspected deep tissue injury, depth unknown</w:t>
            </w:r>
          </w:p>
        </w:tc>
        <w:tc>
          <w:tcPr>
            <w:tcW w:w="900" w:type="pct"/>
            <w:shd w:val="clear" w:color="auto" w:fill="auto"/>
            <w:noWrap/>
            <w:vAlign w:val="center"/>
            <w:hideMark/>
          </w:tcPr>
          <w:p w14:paraId="5CEB66D8"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285B5F06" w14:textId="77777777" w:rsidTr="0002554E">
        <w:trPr>
          <w:trHeight w:val="290"/>
        </w:trPr>
        <w:tc>
          <w:tcPr>
            <w:tcW w:w="1022" w:type="pct"/>
            <w:vMerge w:val="restart"/>
            <w:shd w:val="clear" w:color="auto" w:fill="auto"/>
            <w:noWrap/>
            <w:hideMark/>
          </w:tcPr>
          <w:p w14:paraId="0DCB4A46" w14:textId="151C4D57"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Infections</w:t>
            </w:r>
          </w:p>
        </w:tc>
        <w:tc>
          <w:tcPr>
            <w:tcW w:w="3078" w:type="pct"/>
            <w:shd w:val="clear" w:color="auto" w:fill="auto"/>
            <w:noWrap/>
            <w:vAlign w:val="center"/>
            <w:hideMark/>
          </w:tcPr>
          <w:p w14:paraId="4AED209E"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Urinary tract infection</w:t>
            </w:r>
          </w:p>
        </w:tc>
        <w:tc>
          <w:tcPr>
            <w:tcW w:w="900" w:type="pct"/>
            <w:shd w:val="clear" w:color="auto" w:fill="auto"/>
            <w:noWrap/>
            <w:vAlign w:val="center"/>
            <w:hideMark/>
          </w:tcPr>
          <w:p w14:paraId="0609284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7 days</w:t>
            </w:r>
          </w:p>
        </w:tc>
      </w:tr>
      <w:tr w:rsidR="003701BB" w:rsidRPr="00424DCD" w14:paraId="4AB3BD3E" w14:textId="77777777" w:rsidTr="0002554E">
        <w:trPr>
          <w:trHeight w:val="290"/>
        </w:trPr>
        <w:tc>
          <w:tcPr>
            <w:tcW w:w="1022" w:type="pct"/>
            <w:vMerge/>
            <w:vAlign w:val="center"/>
            <w:hideMark/>
          </w:tcPr>
          <w:p w14:paraId="54592F3D"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7C760AA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Surgical site infection</w:t>
            </w:r>
          </w:p>
        </w:tc>
        <w:tc>
          <w:tcPr>
            <w:tcW w:w="900" w:type="pct"/>
            <w:shd w:val="clear" w:color="auto" w:fill="auto"/>
            <w:noWrap/>
            <w:vAlign w:val="center"/>
            <w:hideMark/>
          </w:tcPr>
          <w:p w14:paraId="5782A9A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days</w:t>
            </w:r>
          </w:p>
        </w:tc>
      </w:tr>
      <w:tr w:rsidR="003701BB" w:rsidRPr="00424DCD" w14:paraId="3EEA9B5B" w14:textId="77777777" w:rsidTr="0002554E">
        <w:trPr>
          <w:trHeight w:val="290"/>
        </w:trPr>
        <w:tc>
          <w:tcPr>
            <w:tcW w:w="1022" w:type="pct"/>
            <w:vMerge/>
            <w:vAlign w:val="center"/>
            <w:hideMark/>
          </w:tcPr>
          <w:p w14:paraId="6C6FCF3C"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186E173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Pneumonia</w:t>
            </w:r>
          </w:p>
        </w:tc>
        <w:tc>
          <w:tcPr>
            <w:tcW w:w="900" w:type="pct"/>
            <w:shd w:val="clear" w:color="auto" w:fill="auto"/>
            <w:noWrap/>
            <w:vAlign w:val="center"/>
            <w:hideMark/>
          </w:tcPr>
          <w:p w14:paraId="527DCB3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7 days</w:t>
            </w:r>
          </w:p>
        </w:tc>
      </w:tr>
      <w:tr w:rsidR="003701BB" w:rsidRPr="00424DCD" w14:paraId="6FE9DF04" w14:textId="77777777" w:rsidTr="0002554E">
        <w:trPr>
          <w:trHeight w:val="290"/>
        </w:trPr>
        <w:tc>
          <w:tcPr>
            <w:tcW w:w="1022" w:type="pct"/>
            <w:vMerge/>
            <w:vAlign w:val="center"/>
            <w:hideMark/>
          </w:tcPr>
          <w:p w14:paraId="4956D4BD"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232C38F8"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Blood stream infection</w:t>
            </w:r>
          </w:p>
        </w:tc>
        <w:tc>
          <w:tcPr>
            <w:tcW w:w="900" w:type="pct"/>
            <w:shd w:val="clear" w:color="auto" w:fill="auto"/>
            <w:noWrap/>
            <w:vAlign w:val="center"/>
            <w:hideMark/>
          </w:tcPr>
          <w:p w14:paraId="7292418E"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7E16805D" w14:textId="77777777" w:rsidTr="0002554E">
        <w:trPr>
          <w:trHeight w:val="290"/>
        </w:trPr>
        <w:tc>
          <w:tcPr>
            <w:tcW w:w="1022" w:type="pct"/>
            <w:vMerge/>
            <w:vAlign w:val="center"/>
            <w:hideMark/>
          </w:tcPr>
          <w:p w14:paraId="7A1D9529"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5BF037B6"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Central line and peripheral line associated blood stream infection</w:t>
            </w:r>
          </w:p>
        </w:tc>
        <w:tc>
          <w:tcPr>
            <w:tcW w:w="900" w:type="pct"/>
            <w:shd w:val="clear" w:color="auto" w:fill="auto"/>
            <w:noWrap/>
            <w:vAlign w:val="center"/>
            <w:hideMark/>
          </w:tcPr>
          <w:p w14:paraId="299617A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1D57BFD5" w14:textId="77777777" w:rsidTr="0002554E">
        <w:trPr>
          <w:trHeight w:val="290"/>
        </w:trPr>
        <w:tc>
          <w:tcPr>
            <w:tcW w:w="1022" w:type="pct"/>
            <w:vMerge/>
            <w:vAlign w:val="center"/>
            <w:hideMark/>
          </w:tcPr>
          <w:p w14:paraId="4047650C"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0DFC618B"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Multi-resistant organism</w:t>
            </w:r>
          </w:p>
        </w:tc>
        <w:tc>
          <w:tcPr>
            <w:tcW w:w="900" w:type="pct"/>
            <w:shd w:val="clear" w:color="auto" w:fill="auto"/>
            <w:noWrap/>
            <w:vAlign w:val="center"/>
            <w:hideMark/>
          </w:tcPr>
          <w:p w14:paraId="2636BF5B"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5AFF918A" w14:textId="77777777" w:rsidTr="0002554E">
        <w:trPr>
          <w:trHeight w:val="290"/>
        </w:trPr>
        <w:tc>
          <w:tcPr>
            <w:tcW w:w="1022" w:type="pct"/>
            <w:vMerge/>
            <w:vAlign w:val="center"/>
            <w:hideMark/>
          </w:tcPr>
          <w:p w14:paraId="4A670394"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6D011D41"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Infection associated with devices, implants and grafts</w:t>
            </w:r>
          </w:p>
        </w:tc>
        <w:tc>
          <w:tcPr>
            <w:tcW w:w="900" w:type="pct"/>
            <w:shd w:val="clear" w:color="auto" w:fill="auto"/>
            <w:noWrap/>
            <w:vAlign w:val="center"/>
            <w:hideMark/>
          </w:tcPr>
          <w:p w14:paraId="5ECC344F"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90 days</w:t>
            </w:r>
          </w:p>
        </w:tc>
      </w:tr>
      <w:tr w:rsidR="003701BB" w:rsidRPr="00424DCD" w14:paraId="7CDE7299" w14:textId="77777777" w:rsidTr="0002554E">
        <w:trPr>
          <w:trHeight w:val="290"/>
        </w:trPr>
        <w:tc>
          <w:tcPr>
            <w:tcW w:w="1022" w:type="pct"/>
            <w:vMerge/>
            <w:vAlign w:val="center"/>
            <w:hideMark/>
          </w:tcPr>
          <w:p w14:paraId="197F48FB"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431F839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Infection associated with devices, implants and grafts in genital tract or urinary system</w:t>
            </w:r>
          </w:p>
        </w:tc>
        <w:tc>
          <w:tcPr>
            <w:tcW w:w="900" w:type="pct"/>
            <w:shd w:val="clear" w:color="auto" w:fill="auto"/>
            <w:noWrap/>
            <w:vAlign w:val="center"/>
            <w:hideMark/>
          </w:tcPr>
          <w:p w14:paraId="2B086A3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days</w:t>
            </w:r>
          </w:p>
        </w:tc>
      </w:tr>
      <w:tr w:rsidR="003701BB" w:rsidRPr="00424DCD" w14:paraId="36216AF4" w14:textId="77777777" w:rsidTr="0002554E">
        <w:trPr>
          <w:trHeight w:val="290"/>
        </w:trPr>
        <w:tc>
          <w:tcPr>
            <w:tcW w:w="1022" w:type="pct"/>
            <w:vMerge/>
            <w:vAlign w:val="center"/>
            <w:hideMark/>
          </w:tcPr>
          <w:p w14:paraId="7CDF5C80"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1FECA3B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Infection associated with peritoneal dialysis catheter</w:t>
            </w:r>
          </w:p>
        </w:tc>
        <w:tc>
          <w:tcPr>
            <w:tcW w:w="900" w:type="pct"/>
            <w:shd w:val="clear" w:color="auto" w:fill="auto"/>
            <w:noWrap/>
            <w:vAlign w:val="center"/>
            <w:hideMark/>
          </w:tcPr>
          <w:p w14:paraId="5450AD9E"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5144B944" w14:textId="77777777" w:rsidTr="0002554E">
        <w:trPr>
          <w:trHeight w:val="290"/>
        </w:trPr>
        <w:tc>
          <w:tcPr>
            <w:tcW w:w="1022" w:type="pct"/>
            <w:vMerge/>
            <w:vAlign w:val="center"/>
            <w:hideMark/>
          </w:tcPr>
          <w:p w14:paraId="3B10E357"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11EE4C23"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Gastrointestinal infections</w:t>
            </w:r>
          </w:p>
        </w:tc>
        <w:tc>
          <w:tcPr>
            <w:tcW w:w="900" w:type="pct"/>
            <w:shd w:val="clear" w:color="auto" w:fill="auto"/>
            <w:noWrap/>
            <w:vAlign w:val="center"/>
            <w:hideMark/>
          </w:tcPr>
          <w:p w14:paraId="7DEB91C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days</w:t>
            </w:r>
          </w:p>
        </w:tc>
      </w:tr>
      <w:tr w:rsidR="003701BB" w:rsidRPr="00424DCD" w14:paraId="1CEDC05C" w14:textId="77777777" w:rsidTr="0002554E">
        <w:trPr>
          <w:trHeight w:val="290"/>
        </w:trPr>
        <w:tc>
          <w:tcPr>
            <w:tcW w:w="1022" w:type="pct"/>
            <w:vMerge/>
            <w:vAlign w:val="center"/>
            <w:hideMark/>
          </w:tcPr>
          <w:p w14:paraId="5484393F"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6F951407"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Other high impact infections</w:t>
            </w:r>
          </w:p>
        </w:tc>
        <w:tc>
          <w:tcPr>
            <w:tcW w:w="900" w:type="pct"/>
            <w:shd w:val="clear" w:color="auto" w:fill="auto"/>
            <w:noWrap/>
            <w:vAlign w:val="center"/>
            <w:hideMark/>
          </w:tcPr>
          <w:p w14:paraId="452E513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066162A4" w14:textId="77777777" w:rsidTr="0002554E">
        <w:trPr>
          <w:trHeight w:val="290"/>
        </w:trPr>
        <w:tc>
          <w:tcPr>
            <w:tcW w:w="1022" w:type="pct"/>
            <w:vMerge w:val="restart"/>
            <w:shd w:val="clear" w:color="auto" w:fill="auto"/>
            <w:noWrap/>
            <w:hideMark/>
          </w:tcPr>
          <w:p w14:paraId="67F9510D" w14:textId="6D1760D9"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Surgical complications</w:t>
            </w:r>
          </w:p>
        </w:tc>
        <w:tc>
          <w:tcPr>
            <w:tcW w:w="3078" w:type="pct"/>
            <w:shd w:val="clear" w:color="auto" w:fill="auto"/>
            <w:noWrap/>
            <w:vAlign w:val="center"/>
            <w:hideMark/>
          </w:tcPr>
          <w:p w14:paraId="62A7527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Postoperative haemorrhage/haematoma</w:t>
            </w:r>
          </w:p>
        </w:tc>
        <w:tc>
          <w:tcPr>
            <w:tcW w:w="900" w:type="pct"/>
            <w:shd w:val="clear" w:color="auto" w:fill="auto"/>
            <w:noWrap/>
            <w:vAlign w:val="center"/>
            <w:hideMark/>
          </w:tcPr>
          <w:p w14:paraId="4812700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days</w:t>
            </w:r>
          </w:p>
        </w:tc>
      </w:tr>
      <w:tr w:rsidR="003701BB" w:rsidRPr="00424DCD" w14:paraId="73A5DA96" w14:textId="77777777" w:rsidTr="0002554E">
        <w:trPr>
          <w:trHeight w:val="290"/>
        </w:trPr>
        <w:tc>
          <w:tcPr>
            <w:tcW w:w="1022" w:type="pct"/>
            <w:vMerge/>
            <w:vAlign w:val="center"/>
            <w:hideMark/>
          </w:tcPr>
          <w:p w14:paraId="6111DEBB"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059A8BC5"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Surgical wound dehiscence</w:t>
            </w:r>
          </w:p>
        </w:tc>
        <w:tc>
          <w:tcPr>
            <w:tcW w:w="900" w:type="pct"/>
            <w:shd w:val="clear" w:color="auto" w:fill="auto"/>
            <w:noWrap/>
            <w:vAlign w:val="center"/>
            <w:hideMark/>
          </w:tcPr>
          <w:p w14:paraId="14F0C44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days</w:t>
            </w:r>
          </w:p>
        </w:tc>
      </w:tr>
      <w:tr w:rsidR="003701BB" w:rsidRPr="00424DCD" w14:paraId="02F504F1" w14:textId="77777777" w:rsidTr="0002554E">
        <w:trPr>
          <w:trHeight w:val="290"/>
        </w:trPr>
        <w:tc>
          <w:tcPr>
            <w:tcW w:w="1022" w:type="pct"/>
            <w:vMerge/>
            <w:vAlign w:val="center"/>
            <w:hideMark/>
          </w:tcPr>
          <w:p w14:paraId="3CBF98B0"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1D517CDE"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Anastomotic leak</w:t>
            </w:r>
          </w:p>
        </w:tc>
        <w:tc>
          <w:tcPr>
            <w:tcW w:w="900" w:type="pct"/>
            <w:shd w:val="clear" w:color="auto" w:fill="auto"/>
            <w:noWrap/>
            <w:vAlign w:val="center"/>
            <w:hideMark/>
          </w:tcPr>
          <w:p w14:paraId="5A301DD3"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days</w:t>
            </w:r>
          </w:p>
        </w:tc>
      </w:tr>
      <w:tr w:rsidR="003701BB" w:rsidRPr="00424DCD" w14:paraId="110D07E7" w14:textId="77777777" w:rsidTr="0002554E">
        <w:trPr>
          <w:trHeight w:val="290"/>
        </w:trPr>
        <w:tc>
          <w:tcPr>
            <w:tcW w:w="1022" w:type="pct"/>
            <w:vMerge/>
            <w:vAlign w:val="center"/>
            <w:hideMark/>
          </w:tcPr>
          <w:p w14:paraId="0CCB4A80"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6DF5C5C6"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Cardiac vascular graft failure</w:t>
            </w:r>
          </w:p>
        </w:tc>
        <w:tc>
          <w:tcPr>
            <w:tcW w:w="900" w:type="pct"/>
            <w:shd w:val="clear" w:color="auto" w:fill="auto"/>
            <w:noWrap/>
            <w:vAlign w:val="center"/>
            <w:hideMark/>
          </w:tcPr>
          <w:p w14:paraId="08B13363"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days</w:t>
            </w:r>
          </w:p>
        </w:tc>
      </w:tr>
      <w:tr w:rsidR="003701BB" w:rsidRPr="00424DCD" w14:paraId="389C49E3" w14:textId="77777777" w:rsidTr="0002554E">
        <w:trPr>
          <w:trHeight w:val="290"/>
        </w:trPr>
        <w:tc>
          <w:tcPr>
            <w:tcW w:w="1022" w:type="pct"/>
            <w:vMerge/>
            <w:vAlign w:val="center"/>
            <w:hideMark/>
          </w:tcPr>
          <w:p w14:paraId="3BF4DF77"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3C2DBB1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Pain following surgery</w:t>
            </w:r>
          </w:p>
        </w:tc>
        <w:tc>
          <w:tcPr>
            <w:tcW w:w="900" w:type="pct"/>
            <w:shd w:val="clear" w:color="auto" w:fill="auto"/>
            <w:noWrap/>
            <w:vAlign w:val="center"/>
            <w:hideMark/>
          </w:tcPr>
          <w:p w14:paraId="416E1EB1"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3A0C1E8A" w14:textId="77777777" w:rsidTr="0002554E">
        <w:trPr>
          <w:trHeight w:val="290"/>
        </w:trPr>
        <w:tc>
          <w:tcPr>
            <w:tcW w:w="1022" w:type="pct"/>
            <w:vMerge/>
            <w:vAlign w:val="center"/>
            <w:hideMark/>
          </w:tcPr>
          <w:p w14:paraId="5ECB5E48"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3AECE1A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Other surgical complications</w:t>
            </w:r>
          </w:p>
        </w:tc>
        <w:tc>
          <w:tcPr>
            <w:tcW w:w="900" w:type="pct"/>
            <w:shd w:val="clear" w:color="auto" w:fill="auto"/>
            <w:noWrap/>
            <w:vAlign w:val="center"/>
            <w:hideMark/>
          </w:tcPr>
          <w:p w14:paraId="2C9A6471" w14:textId="3720051E"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28 day</w:t>
            </w:r>
            <w:r w:rsidR="00262BE9">
              <w:rPr>
                <w:rFonts w:cs="Arial"/>
                <w:color w:val="000000"/>
                <w:szCs w:val="21"/>
                <w:lang w:eastAsia="en-AU"/>
              </w:rPr>
              <w:t>s</w:t>
            </w:r>
          </w:p>
        </w:tc>
      </w:tr>
      <w:tr w:rsidR="003701BB" w:rsidRPr="00424DCD" w14:paraId="642D02D3" w14:textId="77777777" w:rsidTr="0002554E">
        <w:trPr>
          <w:trHeight w:val="290"/>
        </w:trPr>
        <w:tc>
          <w:tcPr>
            <w:tcW w:w="1022" w:type="pct"/>
            <w:vMerge w:val="restart"/>
            <w:shd w:val="clear" w:color="auto" w:fill="auto"/>
            <w:noWrap/>
            <w:hideMark/>
          </w:tcPr>
          <w:p w14:paraId="7DFC65A7" w14:textId="46C9ECF5"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Respiratory complications</w:t>
            </w:r>
          </w:p>
        </w:tc>
        <w:tc>
          <w:tcPr>
            <w:tcW w:w="3078" w:type="pct"/>
            <w:shd w:val="clear" w:color="auto" w:fill="auto"/>
            <w:noWrap/>
            <w:vAlign w:val="center"/>
            <w:hideMark/>
          </w:tcPr>
          <w:p w14:paraId="56D4A97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Respiratory failure including acute respiratory distress syndromes</w:t>
            </w:r>
          </w:p>
        </w:tc>
        <w:tc>
          <w:tcPr>
            <w:tcW w:w="900" w:type="pct"/>
            <w:shd w:val="clear" w:color="auto" w:fill="auto"/>
            <w:noWrap/>
            <w:vAlign w:val="center"/>
            <w:hideMark/>
          </w:tcPr>
          <w:p w14:paraId="3776D097"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21 days</w:t>
            </w:r>
          </w:p>
        </w:tc>
      </w:tr>
      <w:tr w:rsidR="003701BB" w:rsidRPr="00424DCD" w14:paraId="2FAF525A" w14:textId="77777777" w:rsidTr="0002554E">
        <w:trPr>
          <w:trHeight w:val="290"/>
        </w:trPr>
        <w:tc>
          <w:tcPr>
            <w:tcW w:w="1022" w:type="pct"/>
            <w:vMerge/>
            <w:vAlign w:val="center"/>
            <w:hideMark/>
          </w:tcPr>
          <w:p w14:paraId="2DD24DEB"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7803EE1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Aspiration pneumonia</w:t>
            </w:r>
          </w:p>
        </w:tc>
        <w:tc>
          <w:tcPr>
            <w:tcW w:w="900" w:type="pct"/>
            <w:shd w:val="clear" w:color="auto" w:fill="auto"/>
            <w:noWrap/>
            <w:vAlign w:val="center"/>
            <w:hideMark/>
          </w:tcPr>
          <w:p w14:paraId="49D29BC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3DD024D6" w14:textId="77777777" w:rsidTr="0002554E">
        <w:trPr>
          <w:trHeight w:val="290"/>
        </w:trPr>
        <w:tc>
          <w:tcPr>
            <w:tcW w:w="1022" w:type="pct"/>
            <w:vMerge/>
            <w:vAlign w:val="center"/>
            <w:hideMark/>
          </w:tcPr>
          <w:p w14:paraId="73F7027C"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66274D4D"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Pulmonary oedema</w:t>
            </w:r>
          </w:p>
        </w:tc>
        <w:tc>
          <w:tcPr>
            <w:tcW w:w="900" w:type="pct"/>
            <w:shd w:val="clear" w:color="auto" w:fill="auto"/>
            <w:noWrap/>
            <w:vAlign w:val="center"/>
            <w:hideMark/>
          </w:tcPr>
          <w:p w14:paraId="0CCD5F5D" w14:textId="6177FB25"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w:t>
            </w:r>
            <w:r w:rsidR="00262BE9">
              <w:rPr>
                <w:rFonts w:cs="Arial"/>
                <w:color w:val="000000"/>
                <w:szCs w:val="21"/>
                <w:lang w:eastAsia="en-AU"/>
              </w:rPr>
              <w:t>s</w:t>
            </w:r>
          </w:p>
        </w:tc>
      </w:tr>
      <w:tr w:rsidR="003701BB" w:rsidRPr="00424DCD" w14:paraId="0A9E4422" w14:textId="77777777" w:rsidTr="0002554E">
        <w:trPr>
          <w:trHeight w:val="290"/>
        </w:trPr>
        <w:tc>
          <w:tcPr>
            <w:tcW w:w="1022" w:type="pct"/>
            <w:shd w:val="clear" w:color="auto" w:fill="auto"/>
            <w:noWrap/>
            <w:vAlign w:val="bottom"/>
            <w:hideMark/>
          </w:tcPr>
          <w:p w14:paraId="75220C77" w14:textId="274524E2"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Venous thromboembolism</w:t>
            </w:r>
          </w:p>
        </w:tc>
        <w:tc>
          <w:tcPr>
            <w:tcW w:w="3078" w:type="pct"/>
            <w:shd w:val="clear" w:color="auto" w:fill="auto"/>
            <w:noWrap/>
            <w:vAlign w:val="center"/>
            <w:hideMark/>
          </w:tcPr>
          <w:p w14:paraId="3645328F"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Venous thromboembolism</w:t>
            </w:r>
          </w:p>
        </w:tc>
        <w:tc>
          <w:tcPr>
            <w:tcW w:w="900" w:type="pct"/>
            <w:shd w:val="clear" w:color="auto" w:fill="auto"/>
            <w:noWrap/>
            <w:vAlign w:val="center"/>
            <w:hideMark/>
          </w:tcPr>
          <w:p w14:paraId="17B15F35"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90 days</w:t>
            </w:r>
          </w:p>
        </w:tc>
      </w:tr>
      <w:tr w:rsidR="003701BB" w:rsidRPr="00424DCD" w14:paraId="1A6DD44B" w14:textId="77777777" w:rsidTr="0002554E">
        <w:trPr>
          <w:trHeight w:val="290"/>
        </w:trPr>
        <w:tc>
          <w:tcPr>
            <w:tcW w:w="1022" w:type="pct"/>
            <w:shd w:val="clear" w:color="auto" w:fill="auto"/>
            <w:noWrap/>
            <w:vAlign w:val="bottom"/>
            <w:hideMark/>
          </w:tcPr>
          <w:p w14:paraId="74A87197" w14:textId="092523DE"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Renal failure</w:t>
            </w:r>
          </w:p>
        </w:tc>
        <w:tc>
          <w:tcPr>
            <w:tcW w:w="3078" w:type="pct"/>
            <w:shd w:val="clear" w:color="auto" w:fill="auto"/>
            <w:noWrap/>
            <w:vAlign w:val="center"/>
            <w:hideMark/>
          </w:tcPr>
          <w:p w14:paraId="7D1A924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Renal failure</w:t>
            </w:r>
          </w:p>
        </w:tc>
        <w:tc>
          <w:tcPr>
            <w:tcW w:w="900" w:type="pct"/>
            <w:shd w:val="clear" w:color="auto" w:fill="auto"/>
            <w:noWrap/>
            <w:vAlign w:val="center"/>
            <w:hideMark/>
          </w:tcPr>
          <w:p w14:paraId="7F69D71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21 days</w:t>
            </w:r>
          </w:p>
        </w:tc>
      </w:tr>
      <w:tr w:rsidR="003701BB" w:rsidRPr="00424DCD" w14:paraId="1D7FFCFA" w14:textId="77777777" w:rsidTr="0002554E">
        <w:trPr>
          <w:trHeight w:val="290"/>
        </w:trPr>
        <w:tc>
          <w:tcPr>
            <w:tcW w:w="1022" w:type="pct"/>
            <w:shd w:val="clear" w:color="auto" w:fill="auto"/>
            <w:noWrap/>
            <w:vAlign w:val="bottom"/>
            <w:hideMark/>
          </w:tcPr>
          <w:p w14:paraId="0275FE9E" w14:textId="39594BBC"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Gastrointestinal bleeding</w:t>
            </w:r>
          </w:p>
        </w:tc>
        <w:tc>
          <w:tcPr>
            <w:tcW w:w="3078" w:type="pct"/>
            <w:shd w:val="clear" w:color="auto" w:fill="auto"/>
            <w:noWrap/>
            <w:vAlign w:val="center"/>
            <w:hideMark/>
          </w:tcPr>
          <w:p w14:paraId="03B59DD0"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Gastrointestinal bleeding</w:t>
            </w:r>
          </w:p>
        </w:tc>
        <w:tc>
          <w:tcPr>
            <w:tcW w:w="900" w:type="pct"/>
            <w:shd w:val="clear" w:color="auto" w:fill="auto"/>
            <w:noWrap/>
            <w:vAlign w:val="center"/>
            <w:hideMark/>
          </w:tcPr>
          <w:p w14:paraId="6973E0B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46890EB7" w14:textId="77777777" w:rsidTr="0002554E">
        <w:trPr>
          <w:trHeight w:val="290"/>
        </w:trPr>
        <w:tc>
          <w:tcPr>
            <w:tcW w:w="1022" w:type="pct"/>
            <w:vMerge w:val="restart"/>
            <w:shd w:val="clear" w:color="auto" w:fill="auto"/>
            <w:noWrap/>
            <w:hideMark/>
          </w:tcPr>
          <w:p w14:paraId="5218B1BA" w14:textId="7F90C185"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Medication complications</w:t>
            </w:r>
          </w:p>
        </w:tc>
        <w:tc>
          <w:tcPr>
            <w:tcW w:w="3078" w:type="pct"/>
            <w:shd w:val="clear" w:color="auto" w:fill="auto"/>
            <w:noWrap/>
            <w:vAlign w:val="center"/>
            <w:hideMark/>
          </w:tcPr>
          <w:p w14:paraId="1866FB2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Drug related respiratory complications/depression</w:t>
            </w:r>
          </w:p>
        </w:tc>
        <w:tc>
          <w:tcPr>
            <w:tcW w:w="900" w:type="pct"/>
            <w:shd w:val="clear" w:color="auto" w:fill="auto"/>
            <w:noWrap/>
            <w:vAlign w:val="center"/>
            <w:hideMark/>
          </w:tcPr>
          <w:p w14:paraId="41BE8F37"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2 days</w:t>
            </w:r>
          </w:p>
        </w:tc>
      </w:tr>
      <w:tr w:rsidR="003701BB" w:rsidRPr="00424DCD" w14:paraId="257C6155" w14:textId="77777777" w:rsidTr="0002554E">
        <w:trPr>
          <w:trHeight w:val="290"/>
        </w:trPr>
        <w:tc>
          <w:tcPr>
            <w:tcW w:w="1022" w:type="pct"/>
            <w:vMerge/>
            <w:vAlign w:val="center"/>
            <w:hideMark/>
          </w:tcPr>
          <w:p w14:paraId="1306653D" w14:textId="77777777" w:rsidR="0088012E" w:rsidRPr="003701BB" w:rsidRDefault="0088012E" w:rsidP="008E4F36">
            <w:pPr>
              <w:pStyle w:val="ListParagraph"/>
              <w:numPr>
                <w:ilvl w:val="0"/>
                <w:numId w:val="51"/>
              </w:numPr>
              <w:spacing w:before="80" w:after="60"/>
              <w:ind w:left="306" w:hanging="284"/>
              <w:contextualSpacing/>
              <w:rPr>
                <w:rFonts w:ascii="Arial" w:hAnsi="Arial" w:cs="Arial"/>
                <w:color w:val="000000"/>
                <w:sz w:val="21"/>
                <w:szCs w:val="21"/>
                <w:lang w:eastAsia="en-AU"/>
              </w:rPr>
            </w:pPr>
          </w:p>
        </w:tc>
        <w:tc>
          <w:tcPr>
            <w:tcW w:w="3078" w:type="pct"/>
            <w:shd w:val="clear" w:color="auto" w:fill="auto"/>
            <w:noWrap/>
            <w:vAlign w:val="center"/>
            <w:hideMark/>
          </w:tcPr>
          <w:p w14:paraId="77669811"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Hypoglycaemia</w:t>
            </w:r>
          </w:p>
        </w:tc>
        <w:tc>
          <w:tcPr>
            <w:tcW w:w="900" w:type="pct"/>
            <w:shd w:val="clear" w:color="auto" w:fill="auto"/>
            <w:noWrap/>
            <w:vAlign w:val="center"/>
            <w:hideMark/>
          </w:tcPr>
          <w:p w14:paraId="35E4CC3F"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4 days</w:t>
            </w:r>
          </w:p>
        </w:tc>
      </w:tr>
      <w:tr w:rsidR="003701BB" w:rsidRPr="00424DCD" w14:paraId="0F3C6FFC" w14:textId="77777777" w:rsidTr="0002554E">
        <w:trPr>
          <w:trHeight w:val="290"/>
        </w:trPr>
        <w:tc>
          <w:tcPr>
            <w:tcW w:w="1022" w:type="pct"/>
            <w:vMerge/>
            <w:vAlign w:val="center"/>
            <w:hideMark/>
          </w:tcPr>
          <w:p w14:paraId="2FAEC88E" w14:textId="77777777" w:rsidR="0088012E" w:rsidRPr="003701BB" w:rsidRDefault="0088012E" w:rsidP="008E4F36">
            <w:pPr>
              <w:pStyle w:val="ListParagraph"/>
              <w:numPr>
                <w:ilvl w:val="0"/>
                <w:numId w:val="51"/>
              </w:numPr>
              <w:spacing w:before="80" w:after="60"/>
              <w:ind w:left="306" w:hanging="284"/>
              <w:contextualSpacing/>
              <w:rPr>
                <w:rFonts w:ascii="Arial" w:hAnsi="Arial" w:cs="Arial"/>
                <w:color w:val="000000"/>
                <w:sz w:val="21"/>
                <w:szCs w:val="21"/>
                <w:lang w:eastAsia="en-AU"/>
              </w:rPr>
            </w:pPr>
          </w:p>
        </w:tc>
        <w:tc>
          <w:tcPr>
            <w:tcW w:w="3078" w:type="pct"/>
            <w:shd w:val="clear" w:color="auto" w:fill="auto"/>
            <w:noWrap/>
            <w:vAlign w:val="center"/>
            <w:hideMark/>
          </w:tcPr>
          <w:p w14:paraId="5F50BEC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Movement disorders due to psychotropic medications</w:t>
            </w:r>
          </w:p>
        </w:tc>
        <w:tc>
          <w:tcPr>
            <w:tcW w:w="900" w:type="pct"/>
            <w:shd w:val="clear" w:color="auto" w:fill="auto"/>
            <w:noWrap/>
            <w:vAlign w:val="center"/>
            <w:hideMark/>
          </w:tcPr>
          <w:p w14:paraId="37B3FEA2"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5A7DADF5" w14:textId="77777777" w:rsidTr="0002554E">
        <w:trPr>
          <w:trHeight w:val="290"/>
        </w:trPr>
        <w:tc>
          <w:tcPr>
            <w:tcW w:w="1022" w:type="pct"/>
            <w:vMerge/>
            <w:vAlign w:val="center"/>
            <w:hideMark/>
          </w:tcPr>
          <w:p w14:paraId="1CA0D5F0" w14:textId="77777777" w:rsidR="0088012E" w:rsidRPr="003701BB" w:rsidRDefault="0088012E" w:rsidP="008E4F36">
            <w:pPr>
              <w:pStyle w:val="ListParagraph"/>
              <w:numPr>
                <w:ilvl w:val="0"/>
                <w:numId w:val="51"/>
              </w:numPr>
              <w:spacing w:before="80" w:after="60"/>
              <w:ind w:left="306" w:hanging="284"/>
              <w:contextualSpacing/>
              <w:rPr>
                <w:rFonts w:ascii="Arial" w:hAnsi="Arial" w:cs="Arial"/>
                <w:color w:val="000000"/>
                <w:sz w:val="21"/>
                <w:szCs w:val="21"/>
                <w:lang w:eastAsia="en-AU"/>
              </w:rPr>
            </w:pPr>
          </w:p>
        </w:tc>
        <w:tc>
          <w:tcPr>
            <w:tcW w:w="3078" w:type="pct"/>
            <w:shd w:val="clear" w:color="auto" w:fill="auto"/>
            <w:noWrap/>
            <w:vAlign w:val="center"/>
            <w:hideMark/>
          </w:tcPr>
          <w:p w14:paraId="613C2549"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Serious alteration to conscious state due to psychotropic medication</w:t>
            </w:r>
          </w:p>
        </w:tc>
        <w:tc>
          <w:tcPr>
            <w:tcW w:w="900" w:type="pct"/>
            <w:shd w:val="clear" w:color="auto" w:fill="auto"/>
            <w:noWrap/>
            <w:vAlign w:val="center"/>
            <w:hideMark/>
          </w:tcPr>
          <w:p w14:paraId="5B6F5E33"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693500AB" w14:textId="77777777" w:rsidTr="0002554E">
        <w:trPr>
          <w:trHeight w:val="290"/>
        </w:trPr>
        <w:tc>
          <w:tcPr>
            <w:tcW w:w="1022" w:type="pct"/>
            <w:shd w:val="clear" w:color="auto" w:fill="auto"/>
            <w:noWrap/>
            <w:vAlign w:val="bottom"/>
            <w:hideMark/>
          </w:tcPr>
          <w:p w14:paraId="22876B45" w14:textId="327B65CA"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Delirium</w:t>
            </w:r>
          </w:p>
        </w:tc>
        <w:tc>
          <w:tcPr>
            <w:tcW w:w="3078" w:type="pct"/>
            <w:shd w:val="clear" w:color="auto" w:fill="auto"/>
            <w:noWrap/>
            <w:vAlign w:val="center"/>
            <w:hideMark/>
          </w:tcPr>
          <w:p w14:paraId="402AF2AF"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Delirium</w:t>
            </w:r>
          </w:p>
        </w:tc>
        <w:tc>
          <w:tcPr>
            <w:tcW w:w="900" w:type="pct"/>
            <w:shd w:val="clear" w:color="auto" w:fill="auto"/>
            <w:noWrap/>
            <w:vAlign w:val="center"/>
            <w:hideMark/>
          </w:tcPr>
          <w:p w14:paraId="4AACFB64" w14:textId="410BA675" w:rsidR="0088012E" w:rsidRPr="006A2201" w:rsidRDefault="006A2201" w:rsidP="006A2201">
            <w:pPr>
              <w:spacing w:before="80" w:after="60"/>
              <w:contextualSpacing/>
              <w:rPr>
                <w:rFonts w:cs="Arial"/>
                <w:color w:val="000000"/>
                <w:szCs w:val="21"/>
                <w:lang w:eastAsia="en-AU"/>
              </w:rPr>
            </w:pPr>
            <w:r w:rsidRPr="006A2201">
              <w:rPr>
                <w:rFonts w:cs="Arial"/>
                <w:color w:val="000000"/>
                <w:szCs w:val="21"/>
                <w:lang w:eastAsia="en-AU"/>
              </w:rPr>
              <w:t>10 d</w:t>
            </w:r>
            <w:r w:rsidR="0088012E" w:rsidRPr="006A2201">
              <w:rPr>
                <w:rFonts w:cs="Arial"/>
                <w:color w:val="000000"/>
                <w:szCs w:val="21"/>
                <w:lang w:eastAsia="en-AU"/>
              </w:rPr>
              <w:t>ays</w:t>
            </w:r>
          </w:p>
        </w:tc>
      </w:tr>
      <w:tr w:rsidR="003701BB" w:rsidRPr="00424DCD" w14:paraId="0EDF59AB" w14:textId="77777777" w:rsidTr="0002554E">
        <w:trPr>
          <w:trHeight w:val="290"/>
        </w:trPr>
        <w:tc>
          <w:tcPr>
            <w:tcW w:w="1022" w:type="pct"/>
            <w:vMerge w:val="restart"/>
            <w:shd w:val="clear" w:color="auto" w:fill="auto"/>
            <w:noWrap/>
            <w:hideMark/>
          </w:tcPr>
          <w:p w14:paraId="31679C0E" w14:textId="2D0E83F8" w:rsidR="0088012E" w:rsidRPr="00EC37D9" w:rsidRDefault="0088012E" w:rsidP="00EC37D9">
            <w:pPr>
              <w:spacing w:before="80" w:after="60"/>
              <w:contextualSpacing/>
              <w:rPr>
                <w:rFonts w:cs="Arial"/>
                <w:color w:val="000000"/>
                <w:szCs w:val="21"/>
                <w:lang w:eastAsia="en-AU"/>
              </w:rPr>
            </w:pPr>
            <w:r w:rsidRPr="00EC37D9">
              <w:rPr>
                <w:rFonts w:cs="Arial"/>
                <w:color w:val="000000"/>
                <w:szCs w:val="21"/>
                <w:lang w:eastAsia="en-AU"/>
              </w:rPr>
              <w:t>Cardiac complications</w:t>
            </w:r>
          </w:p>
        </w:tc>
        <w:tc>
          <w:tcPr>
            <w:tcW w:w="3078" w:type="pct"/>
            <w:shd w:val="clear" w:color="auto" w:fill="auto"/>
            <w:noWrap/>
            <w:vAlign w:val="center"/>
            <w:hideMark/>
          </w:tcPr>
          <w:p w14:paraId="6EDA8931"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Heart failure</w:t>
            </w:r>
          </w:p>
        </w:tc>
        <w:tc>
          <w:tcPr>
            <w:tcW w:w="900" w:type="pct"/>
            <w:shd w:val="clear" w:color="auto" w:fill="auto"/>
            <w:noWrap/>
            <w:vAlign w:val="center"/>
            <w:hideMark/>
          </w:tcPr>
          <w:p w14:paraId="50CE2146"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days</w:t>
            </w:r>
          </w:p>
        </w:tc>
      </w:tr>
      <w:tr w:rsidR="003701BB" w:rsidRPr="00424DCD" w14:paraId="1FEC709A" w14:textId="77777777" w:rsidTr="0002554E">
        <w:trPr>
          <w:trHeight w:val="290"/>
        </w:trPr>
        <w:tc>
          <w:tcPr>
            <w:tcW w:w="1022" w:type="pct"/>
            <w:vMerge/>
            <w:vAlign w:val="center"/>
            <w:hideMark/>
          </w:tcPr>
          <w:p w14:paraId="297FA36E"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20AD702E"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Ventricular arrhythmias and cardiac arrest</w:t>
            </w:r>
          </w:p>
        </w:tc>
        <w:tc>
          <w:tcPr>
            <w:tcW w:w="900" w:type="pct"/>
            <w:shd w:val="clear" w:color="auto" w:fill="auto"/>
            <w:noWrap/>
            <w:vAlign w:val="center"/>
            <w:hideMark/>
          </w:tcPr>
          <w:p w14:paraId="38B5578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days</w:t>
            </w:r>
          </w:p>
        </w:tc>
      </w:tr>
      <w:tr w:rsidR="003701BB" w:rsidRPr="00424DCD" w14:paraId="38B69D43" w14:textId="77777777" w:rsidTr="0002554E">
        <w:trPr>
          <w:trHeight w:val="290"/>
        </w:trPr>
        <w:tc>
          <w:tcPr>
            <w:tcW w:w="1022" w:type="pct"/>
            <w:vMerge/>
            <w:vAlign w:val="center"/>
            <w:hideMark/>
          </w:tcPr>
          <w:p w14:paraId="4CA87626"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75C95E1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Atrial tachycardia</w:t>
            </w:r>
          </w:p>
        </w:tc>
        <w:tc>
          <w:tcPr>
            <w:tcW w:w="900" w:type="pct"/>
            <w:shd w:val="clear" w:color="auto" w:fill="auto"/>
            <w:noWrap/>
            <w:vAlign w:val="center"/>
            <w:hideMark/>
          </w:tcPr>
          <w:p w14:paraId="492C0487"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2691D193" w14:textId="77777777" w:rsidTr="0002554E">
        <w:trPr>
          <w:trHeight w:val="290"/>
        </w:trPr>
        <w:tc>
          <w:tcPr>
            <w:tcW w:w="1022" w:type="pct"/>
            <w:vMerge/>
            <w:vAlign w:val="center"/>
            <w:hideMark/>
          </w:tcPr>
          <w:p w14:paraId="50BBF499"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55A36294"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Acute coronary syndrome including unstable angina, STEMI and NSTEMI</w:t>
            </w:r>
          </w:p>
        </w:tc>
        <w:tc>
          <w:tcPr>
            <w:tcW w:w="900" w:type="pct"/>
            <w:shd w:val="clear" w:color="auto" w:fill="auto"/>
            <w:noWrap/>
            <w:vAlign w:val="center"/>
            <w:hideMark/>
          </w:tcPr>
          <w:p w14:paraId="7809AF2A"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30 days</w:t>
            </w:r>
          </w:p>
        </w:tc>
      </w:tr>
      <w:tr w:rsidR="003701BB" w:rsidRPr="00424DCD" w14:paraId="76E803C5" w14:textId="77777777" w:rsidTr="0002554E">
        <w:trPr>
          <w:trHeight w:val="290"/>
        </w:trPr>
        <w:tc>
          <w:tcPr>
            <w:tcW w:w="1022" w:type="pct"/>
            <w:vMerge w:val="restart"/>
            <w:shd w:val="clear" w:color="auto" w:fill="auto"/>
            <w:noWrap/>
            <w:hideMark/>
          </w:tcPr>
          <w:p w14:paraId="4321BCD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Other</w:t>
            </w:r>
          </w:p>
        </w:tc>
        <w:tc>
          <w:tcPr>
            <w:tcW w:w="3078" w:type="pct"/>
            <w:shd w:val="clear" w:color="auto" w:fill="auto"/>
            <w:noWrap/>
            <w:vAlign w:val="center"/>
            <w:hideMark/>
          </w:tcPr>
          <w:p w14:paraId="00571034" w14:textId="392451DE"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Constipation</w:t>
            </w:r>
          </w:p>
        </w:tc>
        <w:tc>
          <w:tcPr>
            <w:tcW w:w="900" w:type="pct"/>
            <w:shd w:val="clear" w:color="auto" w:fill="auto"/>
            <w:noWrap/>
            <w:vAlign w:val="center"/>
            <w:hideMark/>
          </w:tcPr>
          <w:p w14:paraId="27154AEC"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14 days</w:t>
            </w:r>
          </w:p>
        </w:tc>
      </w:tr>
      <w:tr w:rsidR="003701BB" w:rsidRPr="00424DCD" w14:paraId="38A91528" w14:textId="77777777" w:rsidTr="0002554E">
        <w:trPr>
          <w:trHeight w:val="290"/>
        </w:trPr>
        <w:tc>
          <w:tcPr>
            <w:tcW w:w="1022" w:type="pct"/>
            <w:vMerge/>
            <w:vAlign w:val="center"/>
            <w:hideMark/>
          </w:tcPr>
          <w:p w14:paraId="3DE58218" w14:textId="77777777" w:rsidR="0088012E" w:rsidRPr="00424DCD" w:rsidRDefault="0088012E">
            <w:pPr>
              <w:spacing w:before="80" w:after="60" w:line="240" w:lineRule="auto"/>
              <w:contextualSpacing/>
              <w:rPr>
                <w:rFonts w:cs="Arial"/>
                <w:color w:val="000000"/>
                <w:szCs w:val="21"/>
                <w:lang w:eastAsia="en-AU"/>
              </w:rPr>
            </w:pPr>
          </w:p>
        </w:tc>
        <w:tc>
          <w:tcPr>
            <w:tcW w:w="3078" w:type="pct"/>
            <w:shd w:val="clear" w:color="auto" w:fill="auto"/>
            <w:noWrap/>
            <w:vAlign w:val="center"/>
            <w:hideMark/>
          </w:tcPr>
          <w:p w14:paraId="28BCB15B" w14:textId="2425570F"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Nausea and vomiting</w:t>
            </w:r>
          </w:p>
        </w:tc>
        <w:tc>
          <w:tcPr>
            <w:tcW w:w="900" w:type="pct"/>
            <w:shd w:val="clear" w:color="auto" w:fill="auto"/>
            <w:noWrap/>
            <w:vAlign w:val="center"/>
            <w:hideMark/>
          </w:tcPr>
          <w:p w14:paraId="69ECB358" w14:textId="77777777" w:rsidR="0088012E" w:rsidRPr="00424DCD" w:rsidRDefault="0088012E">
            <w:pPr>
              <w:spacing w:before="80" w:after="60" w:line="240" w:lineRule="auto"/>
              <w:contextualSpacing/>
              <w:rPr>
                <w:rFonts w:cs="Arial"/>
                <w:color w:val="000000"/>
                <w:szCs w:val="21"/>
                <w:lang w:eastAsia="en-AU"/>
              </w:rPr>
            </w:pPr>
            <w:r w:rsidRPr="00424DCD">
              <w:rPr>
                <w:rFonts w:cs="Arial"/>
                <w:color w:val="000000"/>
                <w:szCs w:val="21"/>
                <w:lang w:eastAsia="en-AU"/>
              </w:rPr>
              <w:t>7 days</w:t>
            </w:r>
          </w:p>
        </w:tc>
      </w:tr>
    </w:tbl>
    <w:p w14:paraId="775A0B29" w14:textId="77777777" w:rsidR="00D83A4B" w:rsidRDefault="00D83A4B" w:rsidP="00D83A4B">
      <w:pPr>
        <w:pStyle w:val="Body"/>
        <w:rPr>
          <w:lang w:eastAsia="en-AU"/>
        </w:rPr>
      </w:pPr>
    </w:p>
    <w:p w14:paraId="0A01DB33" w14:textId="62BE7C45" w:rsidR="00F16E05" w:rsidRDefault="00996978" w:rsidP="00F16E05">
      <w:pPr>
        <w:pStyle w:val="Body"/>
        <w:rPr>
          <w:lang w:eastAsia="en-AU"/>
        </w:rPr>
      </w:pPr>
      <w:r w:rsidRPr="00A131C0">
        <w:rPr>
          <w:lang w:eastAsia="en-AU"/>
        </w:rPr>
        <w:t xml:space="preserve">More information on the adjustment model for AHRs, including the risk factors for each readmission condition, </w:t>
      </w:r>
      <w:r w:rsidR="00FE5120" w:rsidRPr="68F9D2E4">
        <w:rPr>
          <w:lang w:eastAsia="en-AU"/>
        </w:rPr>
        <w:t>is contained in the</w:t>
      </w:r>
      <w:r w:rsidR="00FE5120">
        <w:t xml:space="preserve"> </w:t>
      </w:r>
      <w:hyperlink r:id="rId42" w:history="1">
        <w:r w:rsidR="00FE5120" w:rsidRPr="00815D35">
          <w:rPr>
            <w:rStyle w:val="Hyperlink"/>
            <w:lang w:eastAsia="en-AU"/>
          </w:rPr>
          <w:t>National pricing model technical specifications 2024–25 – Independent Health and Aged Care Pricing Authority website</w:t>
        </w:r>
      </w:hyperlink>
      <w:r w:rsidR="00FE5120" w:rsidRPr="68F9D2E4">
        <w:rPr>
          <w:lang w:eastAsia="en-AU"/>
        </w:rPr>
        <w:t xml:space="preserve"> &lt;</w:t>
      </w:r>
      <w:r w:rsidR="00FE5120" w:rsidRPr="000E74E4">
        <w:t>https://www.ihacpa.gov.au/resources/national-pricing-model-technical-specifications-2024-25</w:t>
      </w:r>
      <w:r w:rsidR="00FE5120" w:rsidRPr="68F9D2E4">
        <w:rPr>
          <w:lang w:eastAsia="en-AU"/>
        </w:rPr>
        <w:t>&gt;.</w:t>
      </w:r>
      <w:bookmarkStart w:id="1675" w:name="_Toc100263283"/>
      <w:bookmarkStart w:id="1676" w:name="_Toc165961815"/>
    </w:p>
    <w:p w14:paraId="6C46F3D2" w14:textId="5843D0BA" w:rsidR="00854124" w:rsidRPr="00854124" w:rsidRDefault="00854124" w:rsidP="00B728DA">
      <w:pPr>
        <w:spacing w:after="0" w:line="240" w:lineRule="auto"/>
        <w:rPr>
          <w:lang w:eastAsia="en-AU"/>
        </w:rPr>
      </w:pPr>
      <w:r>
        <w:rPr>
          <w:lang w:eastAsia="en-AU"/>
        </w:rPr>
        <w:br w:type="page"/>
      </w:r>
    </w:p>
    <w:p w14:paraId="630C0B6E" w14:textId="521851AA" w:rsidR="005B699B" w:rsidRDefault="005B699B" w:rsidP="001E4292">
      <w:pPr>
        <w:pStyle w:val="Heading1"/>
        <w:numPr>
          <w:ilvl w:val="0"/>
          <w:numId w:val="13"/>
        </w:numPr>
        <w:ind w:left="1134" w:hanging="1134"/>
      </w:pPr>
      <w:bookmarkStart w:id="1677" w:name="_Toc178963601"/>
      <w:r>
        <w:lastRenderedPageBreak/>
        <w:t xml:space="preserve">Health service </w:t>
      </w:r>
      <w:bookmarkEnd w:id="1675"/>
      <w:r>
        <w:t>requirements</w:t>
      </w:r>
      <w:bookmarkEnd w:id="1676"/>
      <w:bookmarkEnd w:id="1677"/>
    </w:p>
    <w:p w14:paraId="601F5C5E" w14:textId="77777777" w:rsidR="005B699B" w:rsidRDefault="005B699B" w:rsidP="001E4292">
      <w:pPr>
        <w:pStyle w:val="Heading2"/>
        <w:numPr>
          <w:ilvl w:val="1"/>
          <w:numId w:val="13"/>
        </w:numPr>
        <w:ind w:left="1134" w:hanging="1134"/>
      </w:pPr>
      <w:bookmarkStart w:id="1678" w:name="_Toc100263284"/>
      <w:bookmarkStart w:id="1679" w:name="_Toc165961816"/>
      <w:bookmarkStart w:id="1680" w:name="_Toc178963602"/>
      <w:r>
        <w:t xml:space="preserve">Patient </w:t>
      </w:r>
      <w:bookmarkEnd w:id="1678"/>
      <w:r>
        <w:t>costing</w:t>
      </w:r>
      <w:bookmarkEnd w:id="1679"/>
      <w:bookmarkEnd w:id="1680"/>
    </w:p>
    <w:p w14:paraId="2E276116" w14:textId="2B073CC6" w:rsidR="005B699B" w:rsidRPr="006A6767" w:rsidRDefault="005B699B" w:rsidP="005B699B">
      <w:pPr>
        <w:pStyle w:val="Body"/>
        <w:rPr>
          <w:rFonts w:cs="Arial"/>
        </w:rPr>
      </w:pPr>
      <w:r w:rsidRPr="03438676">
        <w:rPr>
          <w:rFonts w:cs="Arial"/>
        </w:rPr>
        <w:t xml:space="preserve">Victorian public hospitals </w:t>
      </w:r>
      <w:r>
        <w:rPr>
          <w:rFonts w:cs="Arial"/>
        </w:rPr>
        <w:t xml:space="preserve">must </w:t>
      </w:r>
      <w:r w:rsidRPr="03438676">
        <w:rPr>
          <w:rFonts w:cs="Arial"/>
        </w:rPr>
        <w:t>report patient-level cost information</w:t>
      </w:r>
      <w:r>
        <w:rPr>
          <w:rFonts w:cs="Arial"/>
        </w:rPr>
        <w:t>, regardless of funding source,</w:t>
      </w:r>
      <w:r w:rsidRPr="03438676">
        <w:rPr>
          <w:rFonts w:cs="Arial"/>
        </w:rPr>
        <w:t xml:space="preserve"> </w:t>
      </w:r>
      <w:r>
        <w:rPr>
          <w:rFonts w:cs="Arial"/>
        </w:rPr>
        <w:t xml:space="preserve">to the annual VCDC. Health services </w:t>
      </w:r>
      <w:r w:rsidR="0075054C">
        <w:rPr>
          <w:rFonts w:cs="Arial"/>
        </w:rPr>
        <w:t>must</w:t>
      </w:r>
      <w:r>
        <w:rPr>
          <w:rFonts w:cs="Arial"/>
        </w:rPr>
        <w:t xml:space="preserve"> maintain and report costed data</w:t>
      </w:r>
      <w:r w:rsidRPr="00363762">
        <w:t xml:space="preserve"> </w:t>
      </w:r>
      <w:r w:rsidRPr="00363762">
        <w:rPr>
          <w:rFonts w:cs="Arial"/>
        </w:rPr>
        <w:t>about the services used to deliver care across all hospital patient settings</w:t>
      </w:r>
      <w:r>
        <w:rPr>
          <w:rFonts w:cs="Arial"/>
        </w:rPr>
        <w:t xml:space="preserve"> for all patients treated</w:t>
      </w:r>
      <w:r w:rsidRPr="03438676">
        <w:rPr>
          <w:rFonts w:cs="Arial"/>
        </w:rPr>
        <w:t>. The data collection</w:t>
      </w:r>
      <w:r>
        <w:rPr>
          <w:rFonts w:cs="Arial"/>
        </w:rPr>
        <w:t xml:space="preserve"> </w:t>
      </w:r>
      <w:r w:rsidRPr="03438676">
        <w:rPr>
          <w:rFonts w:cs="Arial"/>
        </w:rPr>
        <w:t>include</w:t>
      </w:r>
      <w:r>
        <w:rPr>
          <w:rFonts w:cs="Arial"/>
        </w:rPr>
        <w:t>s</w:t>
      </w:r>
      <w:r w:rsidRPr="03438676">
        <w:rPr>
          <w:rFonts w:cs="Arial"/>
        </w:rPr>
        <w:t>:</w:t>
      </w:r>
    </w:p>
    <w:p w14:paraId="37C441CA" w14:textId="27F168CB" w:rsidR="005B699B" w:rsidRPr="00100A8D" w:rsidRDefault="005B699B" w:rsidP="00CE12D2">
      <w:pPr>
        <w:pStyle w:val="Bullet1"/>
        <w:numPr>
          <w:ilvl w:val="0"/>
          <w:numId w:val="30"/>
        </w:numPr>
      </w:pPr>
      <w:r w:rsidRPr="0088732A">
        <w:t>admitted including acute, subacute (</w:t>
      </w:r>
      <w:r w:rsidR="009F572B">
        <w:t>GEM</w:t>
      </w:r>
      <w:r w:rsidRPr="0088732A">
        <w:t>), palliative care (including at phase of care), rehabilitation (including paediatric) and mental health (including at phase of care)</w:t>
      </w:r>
    </w:p>
    <w:p w14:paraId="7F1CB014" w14:textId="77777777" w:rsidR="005B699B" w:rsidRPr="00100A8D" w:rsidRDefault="005B699B" w:rsidP="00CE12D2">
      <w:pPr>
        <w:pStyle w:val="Bullet1"/>
        <w:numPr>
          <w:ilvl w:val="0"/>
          <w:numId w:val="30"/>
        </w:numPr>
      </w:pPr>
      <w:r w:rsidRPr="0088732A">
        <w:t>non-admitted contacts including subacute and mental health</w:t>
      </w:r>
    </w:p>
    <w:p w14:paraId="0A9BFD55" w14:textId="77777777" w:rsidR="005B699B" w:rsidRPr="00100A8D" w:rsidRDefault="005B699B" w:rsidP="00CE12D2">
      <w:pPr>
        <w:pStyle w:val="Bullet1"/>
        <w:numPr>
          <w:ilvl w:val="0"/>
          <w:numId w:val="30"/>
        </w:numPr>
      </w:pPr>
      <w:r w:rsidRPr="0088732A">
        <w:t>home-based service delivery</w:t>
      </w:r>
    </w:p>
    <w:p w14:paraId="1D526858" w14:textId="77777777" w:rsidR="005B699B" w:rsidRPr="00100A8D" w:rsidRDefault="005B699B" w:rsidP="00CE12D2">
      <w:pPr>
        <w:pStyle w:val="Bullet1"/>
        <w:numPr>
          <w:ilvl w:val="0"/>
          <w:numId w:val="30"/>
        </w:numPr>
      </w:pPr>
      <w:r w:rsidRPr="0088732A">
        <w:t>emergency activity including all emergency department presentations and urgent care centre activities</w:t>
      </w:r>
    </w:p>
    <w:p w14:paraId="7D79AFDD" w14:textId="66F997A1" w:rsidR="005B699B" w:rsidRPr="00100A8D" w:rsidRDefault="005B699B" w:rsidP="00CE12D2">
      <w:pPr>
        <w:pStyle w:val="Bullet1"/>
        <w:numPr>
          <w:ilvl w:val="0"/>
          <w:numId w:val="30"/>
        </w:numPr>
      </w:pPr>
      <w:r w:rsidRPr="0088732A">
        <w:t>mental health community activity</w:t>
      </w:r>
      <w:r w:rsidR="0075054C">
        <w:t>,</w:t>
      </w:r>
      <w:r w:rsidRPr="0088732A">
        <w:t xml:space="preserve"> including subacute residential services (</w:t>
      </w:r>
      <w:r w:rsidR="008B228F">
        <w:t>P</w:t>
      </w:r>
      <w:r w:rsidRPr="0088732A">
        <w:t xml:space="preserve">revention and </w:t>
      </w:r>
      <w:r w:rsidR="008B228F">
        <w:t>R</w:t>
      </w:r>
      <w:r w:rsidRPr="0088732A">
        <w:t xml:space="preserve">ecovery </w:t>
      </w:r>
      <w:r w:rsidR="008B228F">
        <w:t>C</w:t>
      </w:r>
      <w:r w:rsidRPr="0088732A">
        <w:t>are</w:t>
      </w:r>
      <w:r w:rsidR="008B228F">
        <w:t xml:space="preserve"> </w:t>
      </w:r>
      <w:r w:rsidR="00094B65">
        <w:t>(</w:t>
      </w:r>
      <w:r w:rsidR="008B228F">
        <w:t>PARC</w:t>
      </w:r>
      <w:r w:rsidR="00094B65">
        <w:t>)</w:t>
      </w:r>
      <w:r w:rsidRPr="0088732A">
        <w:t>, community care units, aged persons residential) and consultation liaison services (including at phase of care)</w:t>
      </w:r>
    </w:p>
    <w:p w14:paraId="405C9E75" w14:textId="77777777" w:rsidR="005B699B" w:rsidRPr="00100A8D" w:rsidRDefault="005B699B" w:rsidP="00CE12D2">
      <w:pPr>
        <w:pStyle w:val="Bullet1"/>
        <w:numPr>
          <w:ilvl w:val="0"/>
          <w:numId w:val="30"/>
        </w:numPr>
      </w:pPr>
      <w:r w:rsidRPr="0088732A">
        <w:t>radiotherapy</w:t>
      </w:r>
    </w:p>
    <w:p w14:paraId="3C37BB02" w14:textId="77777777" w:rsidR="005B699B" w:rsidRPr="00100A8D" w:rsidRDefault="005B699B" w:rsidP="00CE12D2">
      <w:pPr>
        <w:pStyle w:val="Bullet1"/>
        <w:numPr>
          <w:ilvl w:val="0"/>
          <w:numId w:val="30"/>
        </w:numPr>
      </w:pPr>
      <w:r w:rsidRPr="0088732A">
        <w:t>community health services</w:t>
      </w:r>
    </w:p>
    <w:p w14:paraId="410E00A9" w14:textId="77777777" w:rsidR="005B699B" w:rsidRPr="00100A8D" w:rsidRDefault="005B699B" w:rsidP="00CE12D2">
      <w:pPr>
        <w:pStyle w:val="Bullet1"/>
        <w:numPr>
          <w:ilvl w:val="0"/>
          <w:numId w:val="30"/>
        </w:numPr>
      </w:pPr>
      <w:r w:rsidRPr="0088732A">
        <w:t>specialty programs such as the Victorian Perinatal Autopsy Service, statewide services and other diagnostic and therapeutic services and other specified programs</w:t>
      </w:r>
    </w:p>
    <w:p w14:paraId="513C316E" w14:textId="77777777" w:rsidR="005B699B" w:rsidRPr="00100A8D" w:rsidRDefault="005B699B" w:rsidP="00CE12D2">
      <w:pPr>
        <w:pStyle w:val="Bullet1"/>
        <w:numPr>
          <w:ilvl w:val="0"/>
          <w:numId w:val="30"/>
        </w:numPr>
      </w:pPr>
      <w:r w:rsidRPr="0088732A">
        <w:t>any other programs or settings where patients have received treatment.</w:t>
      </w:r>
    </w:p>
    <w:p w14:paraId="0D41213B" w14:textId="2BD82D07" w:rsidR="005B699B" w:rsidRDefault="005B699B" w:rsidP="005B699B">
      <w:pPr>
        <w:pStyle w:val="Bodyafterbullets"/>
      </w:pPr>
      <w:r w:rsidRPr="1D63C772">
        <w:t>Health services’ cost method is to allocate actual expenditure</w:t>
      </w:r>
      <w:r>
        <w:t xml:space="preserve"> (regardless of funding source)</w:t>
      </w:r>
      <w:r w:rsidRPr="1D63C772">
        <w:t xml:space="preserve"> to patients’ actual interactions and events (including allocation of hospital overhead expenses)</w:t>
      </w:r>
      <w:r>
        <w:t>,</w:t>
      </w:r>
      <w:r w:rsidRPr="1D63C772">
        <w:t xml:space="preserve"> known as patient-level costing. This approach is more direct and sophisticated because it uses service volumes (for example, actual tests and minutes in theatre) and minimises assumptions</w:t>
      </w:r>
      <w:r w:rsidR="0075054C">
        <w:t>.</w:t>
      </w:r>
      <w:r w:rsidR="0075054C" w:rsidRPr="1D63C772">
        <w:t xml:space="preserve"> </w:t>
      </w:r>
      <w:r w:rsidR="0075054C">
        <w:t xml:space="preserve">Thus it provides for </w:t>
      </w:r>
      <w:r w:rsidRPr="1D63C772">
        <w:t>more accurate cost allocations at the individual patient level.</w:t>
      </w:r>
    </w:p>
    <w:p w14:paraId="16A486DD" w14:textId="77777777" w:rsidR="005B699B" w:rsidRDefault="005B699B" w:rsidP="005B699B">
      <w:pPr>
        <w:pStyle w:val="Body"/>
        <w:rPr>
          <w:rFonts w:cs="Arial"/>
        </w:rPr>
      </w:pPr>
      <w:r w:rsidRPr="1D63C772">
        <w:rPr>
          <w:rFonts w:cs="Arial"/>
        </w:rPr>
        <w:t xml:space="preserve">In Victoria, actual expenditure (direct and indirect/overhead) </w:t>
      </w:r>
      <w:r>
        <w:rPr>
          <w:rFonts w:cs="Arial"/>
        </w:rPr>
        <w:t>includes</w:t>
      </w:r>
      <w:r w:rsidRPr="2536E843">
        <w:rPr>
          <w:rFonts w:cs="Arial"/>
        </w:rPr>
        <w:t xml:space="preserve"> </w:t>
      </w:r>
      <w:r w:rsidRPr="1D63C772">
        <w:rPr>
          <w:rFonts w:cs="Arial"/>
        </w:rPr>
        <w:t>capital and depreciation costs</w:t>
      </w:r>
      <w:r>
        <w:rPr>
          <w:rFonts w:cs="Arial"/>
        </w:rPr>
        <w:t>.</w:t>
      </w:r>
      <w:r w:rsidRPr="1D63C772">
        <w:rPr>
          <w:rFonts w:cs="Arial"/>
        </w:rPr>
        <w:t xml:space="preserve"> </w:t>
      </w:r>
      <w:r>
        <w:rPr>
          <w:rFonts w:cs="Arial"/>
        </w:rPr>
        <w:t>H</w:t>
      </w:r>
      <w:r w:rsidRPr="7894A6CE">
        <w:rPr>
          <w:rFonts w:cs="Arial"/>
        </w:rPr>
        <w:t>owever</w:t>
      </w:r>
      <w:r>
        <w:rPr>
          <w:rFonts w:cs="Arial"/>
        </w:rPr>
        <w:t>,</w:t>
      </w:r>
      <w:r w:rsidRPr="2536E843">
        <w:rPr>
          <w:rFonts w:cs="Arial"/>
        </w:rPr>
        <w:t xml:space="preserve"> these</w:t>
      </w:r>
      <w:r w:rsidRPr="7894A6CE">
        <w:rPr>
          <w:rFonts w:cs="Arial"/>
        </w:rPr>
        <w:t xml:space="preserve"> are excluded from the total cost of patient</w:t>
      </w:r>
      <w:r>
        <w:rPr>
          <w:rFonts w:cs="Arial"/>
        </w:rPr>
        <w:t>.</w:t>
      </w:r>
      <w:r w:rsidRPr="7894A6CE">
        <w:rPr>
          <w:rFonts w:cs="Arial"/>
        </w:rPr>
        <w:t xml:space="preserve"> </w:t>
      </w:r>
      <w:r>
        <w:rPr>
          <w:rFonts w:cs="Arial"/>
        </w:rPr>
        <w:t>A</w:t>
      </w:r>
      <w:r w:rsidRPr="1D63C772">
        <w:rPr>
          <w:rFonts w:cs="Arial"/>
        </w:rPr>
        <w:t>ll allocated costs must reconcile with the general ledger</w:t>
      </w:r>
      <w:r>
        <w:rPr>
          <w:rFonts w:cs="Arial"/>
        </w:rPr>
        <w:t xml:space="preserve"> and annual financial statements</w:t>
      </w:r>
      <w:r w:rsidRPr="1D63C772">
        <w:rPr>
          <w:rFonts w:cs="Arial"/>
        </w:rPr>
        <w:t xml:space="preserve">. </w:t>
      </w:r>
    </w:p>
    <w:p w14:paraId="40D68921" w14:textId="12470E1B" w:rsidR="005B699B" w:rsidRDefault="005B699B" w:rsidP="005B699B">
      <w:pPr>
        <w:pStyle w:val="Body"/>
        <w:rPr>
          <w:rFonts w:cs="Arial"/>
        </w:rPr>
      </w:pPr>
      <w:r w:rsidRPr="1D63C772">
        <w:rPr>
          <w:rFonts w:cs="Arial"/>
        </w:rPr>
        <w:t xml:space="preserve">Costs are reported by service areas (cost centres as found in the </w:t>
      </w:r>
      <w:r>
        <w:rPr>
          <w:rFonts w:cs="Arial"/>
        </w:rPr>
        <w:t xml:space="preserve">standard </w:t>
      </w:r>
      <w:r w:rsidRPr="1D63C772">
        <w:rPr>
          <w:rFonts w:cs="Arial"/>
        </w:rPr>
        <w:t>chart of accounts) and by account types such as salary and wages (by professions), medical supplies or drugs</w:t>
      </w:r>
      <w:r>
        <w:rPr>
          <w:rFonts w:cs="Arial"/>
        </w:rPr>
        <w:t>,</w:t>
      </w:r>
      <w:r w:rsidRPr="1D63C772">
        <w:rPr>
          <w:rFonts w:cs="Arial"/>
        </w:rPr>
        <w:t xml:space="preserve"> </w:t>
      </w:r>
      <w:r>
        <w:rPr>
          <w:rFonts w:cs="Arial"/>
        </w:rPr>
        <w:t>et cetera</w:t>
      </w:r>
      <w:r w:rsidRPr="1D63C772">
        <w:rPr>
          <w:rFonts w:cs="Arial"/>
        </w:rPr>
        <w:t>. For ease of analysis</w:t>
      </w:r>
      <w:r w:rsidR="0075054C">
        <w:rPr>
          <w:rFonts w:cs="Arial"/>
        </w:rPr>
        <w:t>,</w:t>
      </w:r>
      <w:r w:rsidRPr="1D63C772">
        <w:rPr>
          <w:rFonts w:cs="Arial"/>
        </w:rPr>
        <w:t xml:space="preserve"> these are mapped into generic </w:t>
      </w:r>
      <w:r>
        <w:rPr>
          <w:rFonts w:cs="Arial"/>
        </w:rPr>
        <w:t>resource categories,</w:t>
      </w:r>
      <w:r w:rsidRPr="1D63C772">
        <w:rPr>
          <w:rFonts w:cs="Arial"/>
        </w:rPr>
        <w:t xml:space="preserve"> such as nursing, medical, theatre and pathology</w:t>
      </w:r>
      <w:r>
        <w:rPr>
          <w:rFonts w:cs="Arial"/>
        </w:rPr>
        <w:t xml:space="preserve"> et cetera</w:t>
      </w:r>
      <w:r w:rsidRPr="1D63C772">
        <w:rPr>
          <w:rFonts w:cs="Arial"/>
        </w:rPr>
        <w:t>.</w:t>
      </w:r>
    </w:p>
    <w:p w14:paraId="01577D5A" w14:textId="77777777" w:rsidR="005B699B" w:rsidRDefault="005B699B" w:rsidP="005B699B">
      <w:pPr>
        <w:pStyle w:val="Body"/>
      </w:pPr>
      <w:r>
        <w:t xml:space="preserve">Health services must adhere to the specifications, business rules and costing guidance outlined in the documentation found within the data collections list of reports for the </w:t>
      </w:r>
      <w:hyperlink r:id="rId43">
        <w:r w:rsidRPr="1D63C772">
          <w:rPr>
            <w:rStyle w:val="Hyperlink"/>
            <w:rFonts w:cs="Arial"/>
          </w:rPr>
          <w:t>Victorian Cost Data Collection</w:t>
        </w:r>
      </w:hyperlink>
      <w:r>
        <w:t xml:space="preserve"> &lt;https://</w:t>
      </w:r>
      <w:r w:rsidRPr="006C4AEC">
        <w:t>www</w:t>
      </w:r>
      <w:r>
        <w:t>.health.vic.gov.au/data-reporting/</w:t>
      </w:r>
      <w:r w:rsidRPr="006C4AEC">
        <w:t>victorian-cost-data-collection-vcdc</w:t>
      </w:r>
      <w:r>
        <w:t xml:space="preserve">&gt;. </w:t>
      </w:r>
    </w:p>
    <w:p w14:paraId="14708851" w14:textId="77777777" w:rsidR="005B699B" w:rsidRDefault="005B699B" w:rsidP="005B699B">
      <w:pPr>
        <w:pStyle w:val="Body"/>
      </w:pPr>
      <w:r>
        <w:t xml:space="preserve">The VCDC document is guided by the </w:t>
      </w:r>
      <w:r w:rsidRPr="1D63C772">
        <w:rPr>
          <w:i/>
          <w:iCs/>
        </w:rPr>
        <w:t>Australian hospital patient costing standards</w:t>
      </w:r>
      <w:r>
        <w:t xml:space="preserve"> (version 4.2 or the most recent version available). </w:t>
      </w:r>
      <w:r w:rsidRPr="00CE4986">
        <w:t>VCDC data is then submitted to the National Health Cost Data Collection via the IH</w:t>
      </w:r>
      <w:r>
        <w:t>AC</w:t>
      </w:r>
      <w:r w:rsidRPr="00CE4986">
        <w:t>PA</w:t>
      </w:r>
      <w:r>
        <w:t>.</w:t>
      </w:r>
    </w:p>
    <w:p w14:paraId="3C2A3BC2" w14:textId="79531E1D" w:rsidR="005B699B" w:rsidRDefault="005B699B" w:rsidP="005B699B">
      <w:pPr>
        <w:pStyle w:val="Body"/>
      </w:pPr>
      <w:r w:rsidRPr="00E33BCF">
        <w:t xml:space="preserve">To ensure the integrity and assurance of quality data </w:t>
      </w:r>
      <w:r>
        <w:t>and as part of good hospital management practice</w:t>
      </w:r>
      <w:r w:rsidR="0075054C">
        <w:t>,</w:t>
      </w:r>
      <w:r>
        <w:t xml:space="preserve"> health services </w:t>
      </w:r>
      <w:r w:rsidRPr="006A6767">
        <w:t>are expected to</w:t>
      </w:r>
      <w:r>
        <w:t>:</w:t>
      </w:r>
    </w:p>
    <w:p w14:paraId="3B434686" w14:textId="77777777" w:rsidR="005B699B" w:rsidRPr="00100A8D" w:rsidRDefault="005B699B" w:rsidP="00CE12D2">
      <w:pPr>
        <w:pStyle w:val="Bullet1"/>
        <w:numPr>
          <w:ilvl w:val="0"/>
          <w:numId w:val="30"/>
        </w:numPr>
      </w:pPr>
      <w:r w:rsidRPr="00DE053C">
        <w:t>maintain activity and costing systems</w:t>
      </w:r>
    </w:p>
    <w:p w14:paraId="1EF55806" w14:textId="77777777" w:rsidR="005B699B" w:rsidRPr="00100A8D" w:rsidRDefault="005B699B" w:rsidP="00CE12D2">
      <w:pPr>
        <w:pStyle w:val="Bullet1"/>
        <w:numPr>
          <w:ilvl w:val="0"/>
          <w:numId w:val="30"/>
        </w:numPr>
      </w:pPr>
      <w:r w:rsidRPr="00DE053C">
        <w:t>review allocation methodologies</w:t>
      </w:r>
    </w:p>
    <w:p w14:paraId="453EB3BF" w14:textId="77777777" w:rsidR="005B699B" w:rsidRPr="00100A8D" w:rsidRDefault="005B699B" w:rsidP="00CE12D2">
      <w:pPr>
        <w:pStyle w:val="Bullet1"/>
        <w:numPr>
          <w:ilvl w:val="0"/>
          <w:numId w:val="30"/>
        </w:numPr>
      </w:pPr>
      <w:r w:rsidRPr="00DE053C">
        <w:lastRenderedPageBreak/>
        <w:t>reconcile financial and non-financial information to source systems</w:t>
      </w:r>
    </w:p>
    <w:p w14:paraId="118290DD" w14:textId="77777777" w:rsidR="005B699B" w:rsidRPr="00100A8D" w:rsidRDefault="005B699B" w:rsidP="00CE12D2">
      <w:pPr>
        <w:pStyle w:val="Bullet1"/>
        <w:numPr>
          <w:ilvl w:val="0"/>
          <w:numId w:val="30"/>
        </w:numPr>
      </w:pPr>
      <w:r w:rsidRPr="00DE053C">
        <w:t xml:space="preserve">identify and review fluctuations in cost results </w:t>
      </w:r>
    </w:p>
    <w:p w14:paraId="58FC2608" w14:textId="77777777" w:rsidR="005B699B" w:rsidRPr="00100A8D" w:rsidRDefault="005B699B" w:rsidP="00CE12D2">
      <w:pPr>
        <w:pStyle w:val="Bullet1"/>
        <w:numPr>
          <w:ilvl w:val="0"/>
          <w:numId w:val="30"/>
        </w:numPr>
      </w:pPr>
      <w:r w:rsidRPr="00DE053C">
        <w:t>review the quality of data costed and submitted.</w:t>
      </w:r>
    </w:p>
    <w:p w14:paraId="5C4BE024" w14:textId="77777777" w:rsidR="005B699B" w:rsidRDefault="005B699B" w:rsidP="001E4292">
      <w:pPr>
        <w:pStyle w:val="Heading2"/>
        <w:numPr>
          <w:ilvl w:val="1"/>
          <w:numId w:val="13"/>
        </w:numPr>
        <w:ind w:left="1134" w:hanging="1134"/>
      </w:pPr>
      <w:bookmarkStart w:id="1681" w:name="_Ref77709814"/>
      <w:bookmarkStart w:id="1682" w:name="_Toc100263285"/>
      <w:bookmarkStart w:id="1683" w:name="_Ref165637472"/>
      <w:bookmarkStart w:id="1684" w:name="_Ref165637495"/>
      <w:bookmarkStart w:id="1685" w:name="_Toc165961817"/>
      <w:bookmarkStart w:id="1686" w:name="_Toc178963603"/>
      <w:r>
        <w:t xml:space="preserve">Activity </w:t>
      </w:r>
      <w:bookmarkEnd w:id="1681"/>
      <w:bookmarkEnd w:id="1682"/>
      <w:r>
        <w:t>reporting</w:t>
      </w:r>
      <w:bookmarkEnd w:id="1683"/>
      <w:bookmarkEnd w:id="1684"/>
      <w:bookmarkEnd w:id="1685"/>
      <w:bookmarkEnd w:id="1686"/>
    </w:p>
    <w:p w14:paraId="65E299BF" w14:textId="5D403481" w:rsidR="005B699B" w:rsidRDefault="005B699B" w:rsidP="005B699B">
      <w:pPr>
        <w:pStyle w:val="Body"/>
      </w:pPr>
      <w:r>
        <w:t>It is a condition of funding that health services collect and report activity data that spans a range of healthcare settings</w:t>
      </w:r>
      <w:r w:rsidR="0075054C">
        <w:t>,</w:t>
      </w:r>
      <w:r>
        <w:t xml:space="preserve"> in accordance with the department’s health data collection specifications. These include, but are not limited to</w:t>
      </w:r>
      <w:r w:rsidR="0075054C">
        <w:t>,</w:t>
      </w:r>
      <w:r>
        <w:t xml:space="preserve"> the </w:t>
      </w:r>
      <w:r w:rsidRPr="00F67ACE">
        <w:t>VAED</w:t>
      </w:r>
      <w:r>
        <w:t>, the VEMD, the Elective Surgery Information System (ESIS), the VINAH minimum dataset, and the AIMS.</w:t>
      </w:r>
    </w:p>
    <w:p w14:paraId="413117F7" w14:textId="77777777" w:rsidR="005B699B" w:rsidRDefault="005B699B" w:rsidP="005B699B">
      <w:pPr>
        <w:pStyle w:val="Body"/>
      </w:pPr>
      <w:r>
        <w:t>Specifications for these datasets are</w:t>
      </w:r>
      <w:r w:rsidRPr="008B043B">
        <w:t xml:space="preserve"> </w:t>
      </w:r>
      <w:r>
        <w:t xml:space="preserve">on the </w:t>
      </w:r>
      <w:hyperlink r:id="rId44" w:history="1">
        <w:r w:rsidRPr="007C40A4">
          <w:rPr>
            <w:rStyle w:val="Hyperlink"/>
          </w:rPr>
          <w:t>Health data standards and systems webpage</w:t>
        </w:r>
      </w:hyperlink>
      <w:r>
        <w:t xml:space="preserve"> </w:t>
      </w:r>
      <w:r w:rsidRPr="008B043B">
        <w:t>&lt;</w:t>
      </w:r>
      <w:r w:rsidRPr="003D5EDC">
        <w:t>https://www.health.vic.gov.au/data-reporting/health-data-standards-and-systems</w:t>
      </w:r>
      <w:r w:rsidRPr="008B043B">
        <w:t>&gt;.</w:t>
      </w:r>
    </w:p>
    <w:p w14:paraId="137147EF" w14:textId="77777777" w:rsidR="005B699B" w:rsidRDefault="005B699B" w:rsidP="001E4292">
      <w:pPr>
        <w:pStyle w:val="Heading3"/>
        <w:numPr>
          <w:ilvl w:val="2"/>
          <w:numId w:val="13"/>
        </w:numPr>
      </w:pPr>
      <w:r>
        <w:t>Admitted episodes</w:t>
      </w:r>
    </w:p>
    <w:p w14:paraId="7BE15032" w14:textId="77777777" w:rsidR="005B699B" w:rsidRPr="0091695C" w:rsidRDefault="005B699B" w:rsidP="005B699B">
      <w:pPr>
        <w:pStyle w:val="Body"/>
      </w:pPr>
      <w:r>
        <w:t>There is a distinction</w:t>
      </w:r>
      <w:r w:rsidRPr="0091695C">
        <w:t xml:space="preserve"> between admitted and non-admitted patients throughout the classification, coding and funding systems. </w:t>
      </w:r>
      <w:r w:rsidRPr="2536E843">
        <w:rPr>
          <w:rFonts w:eastAsia="Arial" w:cs="Arial"/>
          <w:color w:val="000000" w:themeColor="text1"/>
        </w:rPr>
        <w:t xml:space="preserve">An admitted patient is a patient who undergoes a hospital’s formal admission process to receive treatment and/or care. </w:t>
      </w:r>
      <w:r w:rsidRPr="0091695C">
        <w:t xml:space="preserve">Generally, admitted </w:t>
      </w:r>
      <w:r w:rsidRPr="00834B04">
        <w:t>patients</w:t>
      </w:r>
      <w:r w:rsidRPr="0091695C">
        <w:t xml:space="preserve"> are treated in wards and non-admitted patients in </w:t>
      </w:r>
      <w:r>
        <w:t>outpatient</w:t>
      </w:r>
      <w:r w:rsidRPr="0091695C">
        <w:t xml:space="preserve"> clinics. Care provided in an emergency department is not considered part of admitted care. </w:t>
      </w:r>
    </w:p>
    <w:p w14:paraId="0DCE8D19" w14:textId="032B11A8" w:rsidR="005B699B" w:rsidRDefault="005B699B" w:rsidP="005B699B">
      <w:pPr>
        <w:pStyle w:val="Body"/>
        <w:rPr>
          <w:rFonts w:ascii="Calibri" w:hAnsi="Calibri"/>
          <w:b/>
          <w:sz w:val="22"/>
          <w:szCs w:val="22"/>
        </w:rPr>
      </w:pPr>
      <w:r w:rsidRPr="006B2BCF">
        <w:t xml:space="preserve">The </w:t>
      </w:r>
      <w:r w:rsidR="00DF2830">
        <w:rPr>
          <w:i/>
          <w:iCs/>
        </w:rPr>
        <w:t>VAED</w:t>
      </w:r>
      <w:r w:rsidRPr="0020684A">
        <w:rPr>
          <w:i/>
          <w:iCs/>
        </w:rPr>
        <w:t xml:space="preserve">: </w:t>
      </w:r>
      <w:r>
        <w:rPr>
          <w:i/>
          <w:iCs/>
        </w:rPr>
        <w:t>c</w:t>
      </w:r>
      <w:r w:rsidRPr="0020684A">
        <w:rPr>
          <w:i/>
          <w:iCs/>
        </w:rPr>
        <w:t xml:space="preserve">riteria for </w:t>
      </w:r>
      <w:r>
        <w:rPr>
          <w:i/>
          <w:iCs/>
        </w:rPr>
        <w:t>r</w:t>
      </w:r>
      <w:r w:rsidRPr="0020684A">
        <w:rPr>
          <w:i/>
          <w:iCs/>
        </w:rPr>
        <w:t>eporting</w:t>
      </w:r>
      <w:r w:rsidRPr="006B2BCF">
        <w:t xml:space="preserve"> </w:t>
      </w:r>
      <w:r w:rsidR="003D30AE">
        <w:t>(202</w:t>
      </w:r>
      <w:r w:rsidR="008B449B">
        <w:t>4)</w:t>
      </w:r>
      <w:r w:rsidRPr="006B2BCF">
        <w:t xml:space="preserve"> </w:t>
      </w:r>
      <w:r>
        <w:t xml:space="preserve">document </w:t>
      </w:r>
      <w:r w:rsidRPr="006B2BCF">
        <w:t>provides guidelines to enable health services to distinguish between admitted and non-admitted patient episodes for the purpose of data reporting.</w:t>
      </w:r>
      <w:r>
        <w:t xml:space="preserve"> To</w:t>
      </w:r>
      <w:r w:rsidRPr="0091695C">
        <w:t xml:space="preserve"> be reported to the VAED</w:t>
      </w:r>
      <w:r>
        <w:t>,</w:t>
      </w:r>
      <w:r w:rsidRPr="0091695C">
        <w:t xml:space="preserve"> patients must meet one of the </w:t>
      </w:r>
      <w:r>
        <w:t>admission c</w:t>
      </w:r>
      <w:r w:rsidRPr="0091695C">
        <w:t xml:space="preserve">riteria outlined in the </w:t>
      </w:r>
      <w:r>
        <w:t>document.</w:t>
      </w:r>
      <w:r w:rsidRPr="0091695C">
        <w:t xml:space="preserve"> Patients not meeting one of these criteria are non-admitted patients</w:t>
      </w:r>
      <w:r>
        <w:t>.</w:t>
      </w:r>
      <w:r w:rsidRPr="0091695C">
        <w:t xml:space="preserve"> </w:t>
      </w:r>
      <w:r>
        <w:t>N</w:t>
      </w:r>
      <w:r w:rsidRPr="0091695C">
        <w:t xml:space="preserve">o data for these encounters </w:t>
      </w:r>
      <w:r>
        <w:t>are</w:t>
      </w:r>
      <w:r w:rsidRPr="0091695C">
        <w:t xml:space="preserve"> to be reported to the VAED. </w:t>
      </w:r>
      <w:r>
        <w:t xml:space="preserve">The criteria apply to public hospitals, and private health service establishments (private hospitals and day procedure centres) registered under the </w:t>
      </w:r>
      <w:r w:rsidRPr="00C41370">
        <w:rPr>
          <w:i/>
          <w:iCs/>
        </w:rPr>
        <w:t>Health Services Act 1988</w:t>
      </w:r>
      <w:r w:rsidR="00BB6971">
        <w:rPr>
          <w:i/>
          <w:iCs/>
        </w:rPr>
        <w:t xml:space="preserve"> </w:t>
      </w:r>
      <w:r w:rsidR="00BB6971">
        <w:t>(Vic.)</w:t>
      </w:r>
      <w:r w:rsidRPr="00C41370">
        <w:t xml:space="preserve">. The reporting requirement for private health service establishments is set out in the </w:t>
      </w:r>
      <w:r w:rsidRPr="0013154B">
        <w:rPr>
          <w:i/>
        </w:rPr>
        <w:t>Health Services (Health Service Establishments) Regulations 2013</w:t>
      </w:r>
      <w:r w:rsidR="00BB6971">
        <w:rPr>
          <w:i/>
          <w:iCs/>
        </w:rPr>
        <w:t xml:space="preserve"> </w:t>
      </w:r>
      <w:r w:rsidR="00BB6971">
        <w:t>(Vic.)</w:t>
      </w:r>
      <w:r w:rsidRPr="0063519C">
        <w:t>.</w:t>
      </w:r>
    </w:p>
    <w:p w14:paraId="4807A005" w14:textId="4E440346" w:rsidR="005B699B" w:rsidRDefault="005B699B" w:rsidP="005B699B">
      <w:pPr>
        <w:pStyle w:val="Body"/>
      </w:pPr>
      <w:r>
        <w:t xml:space="preserve">Access the </w:t>
      </w:r>
      <w:r w:rsidRPr="00AE6427">
        <w:rPr>
          <w:i/>
          <w:iCs/>
        </w:rPr>
        <w:t>VAED criteria</w:t>
      </w:r>
      <w:r w:rsidRPr="0063519C">
        <w:rPr>
          <w:i/>
        </w:rPr>
        <w:t xml:space="preserve"> for reporting</w:t>
      </w:r>
      <w:r>
        <w:t xml:space="preserve"> </w:t>
      </w:r>
      <w:r w:rsidR="00B92F68">
        <w:t xml:space="preserve">(2024) </w:t>
      </w:r>
      <w:r>
        <w:t xml:space="preserve">document from the </w:t>
      </w:r>
      <w:hyperlink r:id="rId45">
        <w:r w:rsidRPr="492A581B">
          <w:rPr>
            <w:rStyle w:val="Hyperlink"/>
          </w:rPr>
          <w:t>Health data standards and systems webpage</w:t>
        </w:r>
      </w:hyperlink>
      <w:r>
        <w:t xml:space="preserve"> </w:t>
      </w:r>
      <w:r w:rsidRPr="008B043B">
        <w:t>&lt;</w:t>
      </w:r>
      <w:r w:rsidRPr="00030DBB">
        <w:t>https://</w:t>
      </w:r>
      <w:r w:rsidRPr="00D45508">
        <w:t>www</w:t>
      </w:r>
      <w:r w:rsidRPr="00030DBB">
        <w:t>.health.vic.gov.au/data-reporting/health-data-standards-</w:t>
      </w:r>
      <w:r w:rsidRPr="00D45508">
        <w:t>and-</w:t>
      </w:r>
      <w:r w:rsidRPr="00030DBB">
        <w:t>systems</w:t>
      </w:r>
      <w:r w:rsidRPr="008B043B">
        <w:t>&gt;</w:t>
      </w:r>
      <w:r>
        <w:t>.</w:t>
      </w:r>
    </w:p>
    <w:p w14:paraId="6792B289" w14:textId="77777777" w:rsidR="005B699B" w:rsidRPr="0091695C" w:rsidRDefault="005B699B" w:rsidP="005B699B">
      <w:pPr>
        <w:pStyle w:val="Body"/>
      </w:pPr>
      <w:r w:rsidRPr="0091695C">
        <w:t>Admissions are formal admissions, or statistical (when the care type may change). Admission practices must ensure that an eligible person’s priority for receiving health services is not determined by:</w:t>
      </w:r>
    </w:p>
    <w:p w14:paraId="01D81FFE" w14:textId="77777777" w:rsidR="005B699B" w:rsidRPr="00100A8D" w:rsidRDefault="005B699B" w:rsidP="00CE12D2">
      <w:pPr>
        <w:pStyle w:val="Bullet1"/>
        <w:numPr>
          <w:ilvl w:val="0"/>
          <w:numId w:val="30"/>
        </w:numPr>
      </w:pPr>
      <w:r w:rsidRPr="00DE053C">
        <w:t>whether the person has health insurance</w:t>
      </w:r>
    </w:p>
    <w:p w14:paraId="5B500E2A" w14:textId="77777777" w:rsidR="005B699B" w:rsidRPr="00100A8D" w:rsidRDefault="005B699B" w:rsidP="00CE12D2">
      <w:pPr>
        <w:pStyle w:val="Bullet1"/>
        <w:numPr>
          <w:ilvl w:val="0"/>
          <w:numId w:val="30"/>
        </w:numPr>
      </w:pPr>
      <w:r w:rsidRPr="00DE053C">
        <w:t>the person’s financial status or place of residence</w:t>
      </w:r>
    </w:p>
    <w:p w14:paraId="293C589F" w14:textId="77777777" w:rsidR="005B699B" w:rsidRPr="00100A8D" w:rsidRDefault="005B699B" w:rsidP="00CE12D2">
      <w:pPr>
        <w:pStyle w:val="Bullet1"/>
        <w:numPr>
          <w:ilvl w:val="0"/>
          <w:numId w:val="30"/>
        </w:numPr>
      </w:pPr>
      <w:r w:rsidRPr="00DE053C">
        <w:t>whether the person intends to elect or elects to be treated as a public or private patient</w:t>
      </w:r>
    </w:p>
    <w:p w14:paraId="0B20A3CE" w14:textId="77777777" w:rsidR="005B699B" w:rsidRPr="00100A8D" w:rsidRDefault="005B699B" w:rsidP="00CE12D2">
      <w:pPr>
        <w:pStyle w:val="Bullet1"/>
        <w:numPr>
          <w:ilvl w:val="0"/>
          <w:numId w:val="30"/>
        </w:numPr>
      </w:pPr>
      <w:r w:rsidRPr="00DE053C">
        <w:t>a person’s status as a Medicare-ineligible asylum seeker</w:t>
      </w:r>
      <w:r>
        <w:t xml:space="preserve">, </w:t>
      </w:r>
      <w:r w:rsidRPr="00DE053C">
        <w:t xml:space="preserve">refer to </w:t>
      </w:r>
      <w:hyperlink r:id="rId46" w:history="1">
        <w:r w:rsidRPr="00E25462">
          <w:rPr>
            <w:rStyle w:val="Hyperlink"/>
          </w:rPr>
          <w:t>Hospital access for people seeking asylum – policy</w:t>
        </w:r>
      </w:hyperlink>
      <w:r w:rsidRPr="00E25462">
        <w:rPr>
          <w:rStyle w:val="Hyperlink"/>
        </w:rPr>
        <w:t xml:space="preserve"> </w:t>
      </w:r>
      <w:r w:rsidRPr="00DE053C">
        <w:t>&lt;https://www.health.vic.gov.au/publications/hospital-access-for-people-seeking-asylum&gt;.</w:t>
      </w:r>
    </w:p>
    <w:p w14:paraId="7E38D9B8" w14:textId="77777777" w:rsidR="005B699B" w:rsidRPr="001F14E6" w:rsidRDefault="005B699B" w:rsidP="005B699B">
      <w:pPr>
        <w:pStyle w:val="Bodyafterbullets"/>
        <w:keepNext/>
      </w:pPr>
      <w:r w:rsidRPr="001F14E6">
        <w:t>As part of their admission practices, health services will:</w:t>
      </w:r>
    </w:p>
    <w:p w14:paraId="66055769" w14:textId="77777777" w:rsidR="005B699B" w:rsidRPr="00773FB4" w:rsidRDefault="005B699B" w:rsidP="00CE12D2">
      <w:pPr>
        <w:pStyle w:val="Bullet1"/>
        <w:numPr>
          <w:ilvl w:val="0"/>
          <w:numId w:val="30"/>
        </w:numPr>
      </w:pPr>
      <w:r w:rsidRPr="00773FB4">
        <w:t>ensure that an eligible person, at the time of admission or as soon as practical thereafter, elects or confirms in writing whether they wish to be treated as a public or private patient and that this election process conforms to the National standards for public hospitals admitted patient election processes</w:t>
      </w:r>
    </w:p>
    <w:p w14:paraId="75F742D0" w14:textId="77777777" w:rsidR="005B699B" w:rsidRPr="00773FB4" w:rsidRDefault="005B699B" w:rsidP="00CE12D2">
      <w:pPr>
        <w:pStyle w:val="Bullet1"/>
        <w:numPr>
          <w:ilvl w:val="0"/>
          <w:numId w:val="30"/>
        </w:numPr>
      </w:pPr>
      <w:r w:rsidRPr="00773FB4">
        <w:lastRenderedPageBreak/>
        <w:t>ensure that any ineligible person is appropriately identified as such in the VAED</w:t>
      </w:r>
    </w:p>
    <w:p w14:paraId="29CB2671" w14:textId="49722977" w:rsidR="005B699B" w:rsidRPr="00773FB4" w:rsidRDefault="005B699B" w:rsidP="00CE12D2">
      <w:pPr>
        <w:pStyle w:val="Bullet1"/>
        <w:numPr>
          <w:ilvl w:val="0"/>
          <w:numId w:val="30"/>
        </w:numPr>
      </w:pPr>
      <w:r w:rsidRPr="00773FB4">
        <w:t xml:space="preserve">report admitted Medicare-ineligible asylum seekers to the VAED with the account class code MF – </w:t>
      </w:r>
      <w:r w:rsidR="0075054C">
        <w:t>i</w:t>
      </w:r>
      <w:r w:rsidR="0075054C" w:rsidRPr="00773FB4">
        <w:t xml:space="preserve">neligible </w:t>
      </w:r>
      <w:r w:rsidR="0075054C">
        <w:t>a</w:t>
      </w:r>
      <w:r w:rsidR="0075054C" w:rsidRPr="00773FB4">
        <w:t xml:space="preserve">sylum </w:t>
      </w:r>
      <w:r w:rsidR="0075054C">
        <w:t>s</w:t>
      </w:r>
      <w:r w:rsidR="0075054C" w:rsidRPr="00773FB4">
        <w:t xml:space="preserve">eeker </w:t>
      </w:r>
    </w:p>
    <w:p w14:paraId="718E80B5" w14:textId="77777777" w:rsidR="005B699B" w:rsidRPr="00773FB4" w:rsidRDefault="005B699B" w:rsidP="00CE12D2">
      <w:pPr>
        <w:pStyle w:val="Bullet1"/>
        <w:numPr>
          <w:ilvl w:val="0"/>
          <w:numId w:val="30"/>
        </w:numPr>
      </w:pPr>
      <w:r w:rsidRPr="00773FB4">
        <w:t>make every effort to verify the place of residence of interstate patients</w:t>
      </w:r>
    </w:p>
    <w:p w14:paraId="02ECA0C9" w14:textId="77777777" w:rsidR="005B699B" w:rsidRPr="00773FB4" w:rsidRDefault="005B699B" w:rsidP="00CE12D2">
      <w:pPr>
        <w:pStyle w:val="Bullet1"/>
        <w:numPr>
          <w:ilvl w:val="0"/>
          <w:numId w:val="30"/>
        </w:numPr>
      </w:pPr>
      <w:r w:rsidRPr="00773FB4">
        <w:t xml:space="preserve">ensure that all patients admitted to hospital are asked whether they are of Aboriginal or Torres Strait Islander background. Identifying Indigenous status is a mandatory data item to be reported by hospitals to the VAED. </w:t>
      </w:r>
    </w:p>
    <w:p w14:paraId="4AE0EA41" w14:textId="77777777" w:rsidR="005B699B" w:rsidRDefault="005B699B" w:rsidP="001E4292">
      <w:pPr>
        <w:pStyle w:val="Heading3"/>
        <w:numPr>
          <w:ilvl w:val="2"/>
          <w:numId w:val="13"/>
        </w:numPr>
      </w:pPr>
      <w:bookmarkStart w:id="1687" w:name="_Toc77588919"/>
      <w:r>
        <w:t>Admitted episodes and care type</w:t>
      </w:r>
      <w:bookmarkEnd w:id="1687"/>
    </w:p>
    <w:p w14:paraId="3187920A" w14:textId="77777777" w:rsidR="005B699B" w:rsidRPr="008B043B" w:rsidRDefault="005B699B" w:rsidP="005B699B">
      <w:pPr>
        <w:pStyle w:val="Body"/>
      </w:pPr>
      <w:r w:rsidRPr="008B043B">
        <w:t>Each time a patient is admitted and discharged from hospital during the year, it is counted as an episode of care. Episodes can also be called admissions or separations. A single patient may have a number of separations during the year.</w:t>
      </w:r>
      <w:r>
        <w:t xml:space="preserve"> </w:t>
      </w:r>
      <w:r w:rsidRPr="008B043B">
        <w:t xml:space="preserve">Separations can also occur when admitted patients are transferred to another hospital, change the type of care </w:t>
      </w:r>
      <w:r w:rsidRPr="001F7CEF">
        <w:t>required (see below) or</w:t>
      </w:r>
      <w:r w:rsidRPr="008B043B">
        <w:t xml:space="preserve"> die in hospital.</w:t>
      </w:r>
    </w:p>
    <w:p w14:paraId="38FA4C9F" w14:textId="77777777" w:rsidR="005B699B" w:rsidRDefault="005B699B" w:rsidP="005B699B">
      <w:pPr>
        <w:pStyle w:val="Body"/>
      </w:pPr>
      <w:r>
        <w:t xml:space="preserve">Care type refers to the nature of the clinical service provided to an admitted patient during an episode of admitted patient care, or the type of service provided by the hospital. </w:t>
      </w:r>
    </w:p>
    <w:p w14:paraId="755A3212" w14:textId="77777777" w:rsidR="005B699B" w:rsidRDefault="005B699B" w:rsidP="005B699B">
      <w:pPr>
        <w:pStyle w:val="Body"/>
      </w:pPr>
      <w:r>
        <w:t>The care type selected must reflect the primary clinical purpose or treatment goal of the care provided. Only one care type can be assigned at a time. If there is more than one focus of care, assign the care type that best describes the primary clinical purpose or treatment goal.</w:t>
      </w:r>
    </w:p>
    <w:p w14:paraId="203FD33A" w14:textId="77777777" w:rsidR="005B699B" w:rsidRDefault="005B699B" w:rsidP="005B699B">
      <w:pPr>
        <w:pStyle w:val="Body"/>
      </w:pPr>
      <w:r>
        <w:t xml:space="preserve">The National Minimum Dataset definitions for care type can be found at the </w:t>
      </w:r>
      <w:hyperlink r:id="rId47">
        <w:r w:rsidRPr="5C12B015">
          <w:rPr>
            <w:rStyle w:val="Hyperlink"/>
          </w:rPr>
          <w:t>metadata online registry (METeOR)</w:t>
        </w:r>
      </w:hyperlink>
      <w:r>
        <w:t xml:space="preserve"> &lt;</w:t>
      </w:r>
      <w:r w:rsidRPr="00DE37A8">
        <w:t>https://meteor.aihw.gov.au</w:t>
      </w:r>
      <w:r>
        <w:t>&gt;.</w:t>
      </w:r>
    </w:p>
    <w:p w14:paraId="4B97271F" w14:textId="7FE0CA6E" w:rsidR="0075054C" w:rsidRDefault="005B699B" w:rsidP="005B699B">
      <w:pPr>
        <w:pStyle w:val="Body"/>
      </w:pPr>
      <w:r>
        <w:t xml:space="preserve">Care-type code references within this document related to the ‘care type’ data element specification in the VAED manual, available on the </w:t>
      </w:r>
      <w:hyperlink r:id="rId48" w:history="1">
        <w:r w:rsidRPr="007C40A4">
          <w:rPr>
            <w:rStyle w:val="Hyperlink"/>
          </w:rPr>
          <w:t>Health data standards and systems webpage</w:t>
        </w:r>
      </w:hyperlink>
      <w:r>
        <w:t xml:space="preserve"> </w:t>
      </w:r>
      <w:r w:rsidRPr="008B043B">
        <w:t>&lt;</w:t>
      </w:r>
      <w:r w:rsidRPr="00030DBB">
        <w:t>https://</w:t>
      </w:r>
      <w:r w:rsidRPr="00D45508">
        <w:t>www</w:t>
      </w:r>
      <w:r w:rsidRPr="00030DBB">
        <w:t>.health.vic.gov.au/data-reporting/health-data-standards-</w:t>
      </w:r>
      <w:r w:rsidRPr="00D45508">
        <w:t>and-</w:t>
      </w:r>
      <w:r w:rsidRPr="00030DBB">
        <w:t>systems</w:t>
      </w:r>
      <w:r w:rsidRPr="008B043B">
        <w:t>&gt;</w:t>
      </w:r>
      <w:r>
        <w:t>.</w:t>
      </w:r>
    </w:p>
    <w:p w14:paraId="6DC2E2A8" w14:textId="77777777" w:rsidR="0075054C" w:rsidRDefault="0075054C">
      <w:pPr>
        <w:spacing w:after="0" w:line="240" w:lineRule="auto"/>
        <w:rPr>
          <w:rFonts w:eastAsia="Times"/>
        </w:rPr>
      </w:pPr>
      <w:r>
        <w:br w:type="page"/>
      </w:r>
    </w:p>
    <w:p w14:paraId="119F3190" w14:textId="77777777" w:rsidR="005B699B" w:rsidRDefault="005B699B" w:rsidP="001E4292">
      <w:pPr>
        <w:pStyle w:val="Heading1"/>
        <w:numPr>
          <w:ilvl w:val="0"/>
          <w:numId w:val="13"/>
        </w:numPr>
        <w:ind w:left="1134" w:hanging="1134"/>
      </w:pPr>
      <w:bookmarkStart w:id="1688" w:name="_Toc167651254"/>
      <w:bookmarkStart w:id="1689" w:name="_Toc167651255"/>
      <w:bookmarkStart w:id="1690" w:name="_Toc110949972"/>
      <w:bookmarkStart w:id="1691" w:name="_Toc110949973"/>
      <w:bookmarkStart w:id="1692" w:name="_Toc165961818"/>
      <w:bookmarkStart w:id="1693" w:name="_Toc178963604"/>
      <w:bookmarkEnd w:id="1518"/>
      <w:bookmarkEnd w:id="1519"/>
      <w:bookmarkEnd w:id="1520"/>
      <w:bookmarkEnd w:id="1662"/>
      <w:bookmarkEnd w:id="1663"/>
      <w:bookmarkEnd w:id="1688"/>
      <w:bookmarkEnd w:id="1689"/>
      <w:bookmarkEnd w:id="1690"/>
      <w:bookmarkEnd w:id="1691"/>
      <w:r w:rsidRPr="0026034E">
        <w:lastRenderedPageBreak/>
        <w:t>A</w:t>
      </w:r>
      <w:r>
        <w:t xml:space="preserve">cute admitted </w:t>
      </w:r>
      <w:r w:rsidRPr="00773FB4">
        <w:t>services</w:t>
      </w:r>
      <w:bookmarkEnd w:id="1692"/>
      <w:bookmarkEnd w:id="1693"/>
    </w:p>
    <w:p w14:paraId="233D1FF5" w14:textId="3B6C6BD8" w:rsidR="005B699B" w:rsidRPr="00D36446" w:rsidRDefault="005B699B" w:rsidP="005B699B">
      <w:pPr>
        <w:pStyle w:val="Body"/>
      </w:pPr>
      <w:r>
        <w:t xml:space="preserve">Acute admitted care is care provided to patients who have undergone a formal admission process, where the clinical intent or treatment goal is the provision of acute care. See section </w:t>
      </w:r>
      <w:r>
        <w:fldChar w:fldCharType="begin"/>
      </w:r>
      <w:r>
        <w:instrText xml:space="preserve"> REF _Ref77709814 \r \h </w:instrText>
      </w:r>
      <w:r>
        <w:fldChar w:fldCharType="separate"/>
      </w:r>
      <w:r w:rsidR="00543255">
        <w:t>6.2</w:t>
      </w:r>
      <w:r>
        <w:fldChar w:fldCharType="end"/>
      </w:r>
      <w:r>
        <w:t xml:space="preserve"> </w:t>
      </w:r>
      <w:r>
        <w:fldChar w:fldCharType="begin"/>
      </w:r>
      <w:r>
        <w:instrText xml:space="preserve"> REF _Ref165637472 \h </w:instrText>
      </w:r>
      <w:r>
        <w:fldChar w:fldCharType="separate"/>
      </w:r>
      <w:r w:rsidR="00543255">
        <w:t>Activity reporting</w:t>
      </w:r>
      <w:r>
        <w:fldChar w:fldCharType="end"/>
      </w:r>
      <w:r>
        <w:t>.</w:t>
      </w:r>
    </w:p>
    <w:p w14:paraId="7AFFB349" w14:textId="77777777" w:rsidR="005B699B" w:rsidRDefault="005B699B" w:rsidP="001E4292">
      <w:pPr>
        <w:pStyle w:val="Heading2"/>
        <w:numPr>
          <w:ilvl w:val="1"/>
          <w:numId w:val="13"/>
        </w:numPr>
        <w:ind w:left="1134" w:hanging="1134"/>
      </w:pPr>
      <w:bookmarkStart w:id="1694" w:name="_Toc8759364"/>
      <w:bookmarkStart w:id="1695" w:name="_Toc8919098"/>
      <w:bookmarkStart w:id="1696" w:name="_Toc8930615"/>
      <w:bookmarkStart w:id="1697" w:name="_Toc8931001"/>
      <w:bookmarkStart w:id="1698" w:name="_Toc8931345"/>
      <w:bookmarkStart w:id="1699" w:name="_Toc8931726"/>
      <w:bookmarkStart w:id="1700" w:name="_Toc9441674"/>
      <w:bookmarkStart w:id="1701" w:name="_Toc484461849"/>
      <w:bookmarkStart w:id="1702" w:name="_Toc484461854"/>
      <w:bookmarkStart w:id="1703" w:name="_Toc100263287"/>
      <w:bookmarkStart w:id="1704" w:name="_Ref165637044"/>
      <w:bookmarkStart w:id="1705" w:name="_Ref165637050"/>
      <w:bookmarkStart w:id="1706" w:name="_Ref165638623"/>
      <w:bookmarkStart w:id="1707" w:name="_Toc165961819"/>
      <w:bookmarkStart w:id="1708" w:name="_Toc178963605"/>
      <w:bookmarkStart w:id="1709" w:name="_Toc418694904"/>
      <w:bookmarkStart w:id="1710" w:name="_Toc6215544"/>
      <w:bookmarkStart w:id="1711" w:name="_Toc10199620"/>
      <w:bookmarkStart w:id="1712" w:name="_Toc52892566"/>
      <w:bookmarkEnd w:id="1694"/>
      <w:bookmarkEnd w:id="1695"/>
      <w:bookmarkEnd w:id="1696"/>
      <w:bookmarkEnd w:id="1697"/>
      <w:bookmarkEnd w:id="1698"/>
      <w:bookmarkEnd w:id="1699"/>
      <w:bookmarkEnd w:id="1700"/>
      <w:bookmarkEnd w:id="1701"/>
      <w:bookmarkEnd w:id="1702"/>
      <w:r>
        <w:t>Eligibility</w:t>
      </w:r>
      <w:bookmarkEnd w:id="1703"/>
      <w:bookmarkEnd w:id="1704"/>
      <w:bookmarkEnd w:id="1705"/>
      <w:bookmarkEnd w:id="1706"/>
      <w:bookmarkEnd w:id="1707"/>
      <w:bookmarkEnd w:id="1708"/>
    </w:p>
    <w:p w14:paraId="3E8DDF55" w14:textId="180D156A" w:rsidR="005B699B" w:rsidRPr="00014A03" w:rsidRDefault="005B699B" w:rsidP="005B699B">
      <w:pPr>
        <w:pStyle w:val="Body"/>
      </w:pPr>
      <w:r w:rsidRPr="00974DAC">
        <w:t xml:space="preserve">Eligible facilities in scope for </w:t>
      </w:r>
      <w:r>
        <w:t>activity-based funding</w:t>
      </w:r>
      <w:r w:rsidRPr="00974DAC">
        <w:t xml:space="preserve"> in the acute admitted care stream are all current health services that report to the VAED</w:t>
      </w:r>
      <w:r>
        <w:t>. This excludes</w:t>
      </w:r>
      <w:r w:rsidRPr="00974DAC">
        <w:t xml:space="preserve"> health services listed </w:t>
      </w:r>
      <w:r>
        <w:t>in</w:t>
      </w:r>
      <w:r w:rsidRPr="00974DAC">
        <w:t xml:space="preserve"> Appendix A of the IH</w:t>
      </w:r>
      <w:r>
        <w:t>AC</w:t>
      </w:r>
      <w:r w:rsidRPr="00974DAC">
        <w:t xml:space="preserve">PA’s National Efficient Cost </w:t>
      </w:r>
      <w:r w:rsidR="00F32A5C">
        <w:t xml:space="preserve">(NEC) </w:t>
      </w:r>
      <w:r>
        <w:t>D</w:t>
      </w:r>
      <w:r w:rsidRPr="00974DAC">
        <w:t xml:space="preserve">etermination. Refer to the </w:t>
      </w:r>
      <w:hyperlink r:id="rId49" w:history="1">
        <w:r w:rsidR="00F32A5C">
          <w:rPr>
            <w:rStyle w:val="Hyperlink"/>
            <w:i/>
            <w:iCs/>
          </w:rPr>
          <w:t>NEC</w:t>
        </w:r>
        <w:r>
          <w:rPr>
            <w:rStyle w:val="Hyperlink"/>
            <w:i/>
            <w:iCs/>
          </w:rPr>
          <w:t xml:space="preserve"> Determination</w:t>
        </w:r>
      </w:hyperlink>
      <w:r>
        <w:t xml:space="preserve"> &lt;</w:t>
      </w:r>
      <w:r w:rsidRPr="00A61CEF">
        <w:t>https://www.ihacpa.gov.au/health-care/pricing/national-efficient-cost-determination</w:t>
      </w:r>
      <w:r>
        <w:t>&gt;.</w:t>
      </w:r>
      <w:r w:rsidRPr="00974DAC">
        <w:t> </w:t>
      </w:r>
    </w:p>
    <w:p w14:paraId="63BDA003" w14:textId="77777777" w:rsidR="005B699B" w:rsidRPr="008B043B" w:rsidRDefault="005B699B" w:rsidP="005B699B">
      <w:pPr>
        <w:pStyle w:val="Body"/>
      </w:pPr>
      <w:r w:rsidRPr="00D823F7">
        <w:t>All epi</w:t>
      </w:r>
      <w:r w:rsidRPr="002A2ED4">
        <w:t>sodes in VAED with the</w:t>
      </w:r>
      <w:r w:rsidRPr="003A58C1">
        <w:t xml:space="preserve"> </w:t>
      </w:r>
      <w:r w:rsidRPr="00637360">
        <w:t>care type ‘4 – Other care (</w:t>
      </w:r>
      <w:r>
        <w:t>A</w:t>
      </w:r>
      <w:r w:rsidRPr="00637360">
        <w:t>cute), including qualified newborns’</w:t>
      </w:r>
      <w:r w:rsidRPr="008F261E">
        <w:t xml:space="preserve"> are </w:t>
      </w:r>
      <w:r>
        <w:t>NWAU</w:t>
      </w:r>
      <w:r w:rsidRPr="008F261E">
        <w:t xml:space="preserve"> fundable, </w:t>
      </w:r>
      <w:r w:rsidRPr="00693CB6">
        <w:t>except for</w:t>
      </w:r>
      <w:r w:rsidRPr="008F261E">
        <w:t>:</w:t>
      </w:r>
    </w:p>
    <w:p w14:paraId="7CB06EA6" w14:textId="77777777" w:rsidR="005B699B" w:rsidRPr="00974DAC" w:rsidRDefault="005B699B" w:rsidP="00CE12D2">
      <w:pPr>
        <w:pStyle w:val="Bullet1"/>
        <w:numPr>
          <w:ilvl w:val="0"/>
          <w:numId w:val="16"/>
        </w:numPr>
      </w:pPr>
      <w:r>
        <w:t>private hospital separations</w:t>
      </w:r>
    </w:p>
    <w:p w14:paraId="1791D529" w14:textId="121A7FF1" w:rsidR="005B699B" w:rsidRDefault="005B699B" w:rsidP="00CE12D2">
      <w:pPr>
        <w:pStyle w:val="Bullet1"/>
        <w:numPr>
          <w:ilvl w:val="0"/>
          <w:numId w:val="16"/>
        </w:numPr>
      </w:pPr>
      <w:r>
        <w:t xml:space="preserve">incomplete or uncoded episodes, or episodes that group to error DRGs 960Z </w:t>
      </w:r>
      <w:r w:rsidR="0028564C">
        <w:t>‘</w:t>
      </w:r>
      <w:r>
        <w:t>Ungroupable</w:t>
      </w:r>
      <w:r w:rsidR="0028564C">
        <w:t>’,</w:t>
      </w:r>
      <w:r>
        <w:t xml:space="preserve"> 961Z </w:t>
      </w:r>
      <w:r w:rsidR="0028564C">
        <w:t>‘</w:t>
      </w:r>
      <w:r>
        <w:t xml:space="preserve">Unacceptable </w:t>
      </w:r>
      <w:r w:rsidR="0028564C">
        <w:t xml:space="preserve">principal diagnosis’ </w:t>
      </w:r>
      <w:r>
        <w:t xml:space="preserve">and 963Z Neonatal </w:t>
      </w:r>
      <w:r w:rsidR="0028564C">
        <w:t>diagnosis not consistent w age</w:t>
      </w:r>
      <w:r>
        <w:t>/</w:t>
      </w:r>
      <w:r w:rsidR="0028564C">
        <w:t>weight’</w:t>
      </w:r>
    </w:p>
    <w:p w14:paraId="50AB4D4D" w14:textId="18287079" w:rsidR="005B699B" w:rsidRPr="00974DAC" w:rsidRDefault="005B699B" w:rsidP="00CE12D2">
      <w:pPr>
        <w:pStyle w:val="Bullet1"/>
        <w:numPr>
          <w:ilvl w:val="0"/>
          <w:numId w:val="16"/>
        </w:numPr>
      </w:pPr>
      <w:r>
        <w:t xml:space="preserve">episodes with an account class on separation of </w:t>
      </w:r>
      <w:r w:rsidR="0028564C">
        <w:t>‘</w:t>
      </w:r>
      <w:r>
        <w:t>Newborn – unqualified, not birth episode (NT)</w:t>
      </w:r>
      <w:r w:rsidR="0028564C">
        <w:t>’</w:t>
      </w:r>
      <w:r>
        <w:t xml:space="preserve">, </w:t>
      </w:r>
      <w:r w:rsidR="0028564C">
        <w:t>‘</w:t>
      </w:r>
      <w:r>
        <w:t>WorkSafe Victoria (WC)</w:t>
      </w:r>
      <w:r w:rsidR="0028564C">
        <w:t>’</w:t>
      </w:r>
      <w:r>
        <w:t xml:space="preserve">, </w:t>
      </w:r>
      <w:r w:rsidR="0028564C">
        <w:t>‘</w:t>
      </w:r>
      <w:r>
        <w:t>Ineligible non-Australian residents – not exempted from fees (XX)</w:t>
      </w:r>
      <w:r w:rsidR="0028564C">
        <w:t>’</w:t>
      </w:r>
      <w:r>
        <w:t xml:space="preserve">, </w:t>
      </w:r>
      <w:r w:rsidR="0028564C">
        <w:t>‘</w:t>
      </w:r>
      <w:r>
        <w:t>Armed services (AS)</w:t>
      </w:r>
      <w:r w:rsidR="0028564C">
        <w:t>’</w:t>
      </w:r>
      <w:r>
        <w:t xml:space="preserve">, </w:t>
      </w:r>
      <w:r w:rsidR="0028564C">
        <w:t>‘</w:t>
      </w:r>
      <w:r>
        <w:t>Common law recoveries (CL)</w:t>
      </w:r>
      <w:r w:rsidR="0028564C">
        <w:t>’</w:t>
      </w:r>
      <w:r>
        <w:t xml:space="preserve">, </w:t>
      </w:r>
      <w:r w:rsidR="0028564C">
        <w:t>‘</w:t>
      </w:r>
      <w:r>
        <w:t>Other compensable (OO)</w:t>
      </w:r>
      <w:r w:rsidR="0028564C">
        <w:t>’</w:t>
      </w:r>
      <w:r>
        <w:t xml:space="preserve"> and </w:t>
      </w:r>
      <w:r w:rsidR="0028564C">
        <w:t>‘</w:t>
      </w:r>
      <w:r>
        <w:t>Seamen (SS)</w:t>
      </w:r>
      <w:r w:rsidR="0028564C">
        <w:t>’</w:t>
      </w:r>
    </w:p>
    <w:p w14:paraId="56C160C8" w14:textId="77777777" w:rsidR="005B699B" w:rsidRPr="00974DAC" w:rsidRDefault="005B699B" w:rsidP="00CE12D2">
      <w:pPr>
        <w:pStyle w:val="Bullet1"/>
        <w:numPr>
          <w:ilvl w:val="0"/>
          <w:numId w:val="16"/>
        </w:numPr>
      </w:pPr>
      <w:r>
        <w:t>episodes where the contract role is B (service provider hospital)</w:t>
      </w:r>
    </w:p>
    <w:p w14:paraId="53AAC261" w14:textId="77777777" w:rsidR="005B699B" w:rsidRPr="00974DAC" w:rsidRDefault="005B699B" w:rsidP="00CE12D2">
      <w:pPr>
        <w:pStyle w:val="Bullet1"/>
        <w:numPr>
          <w:ilvl w:val="0"/>
          <w:numId w:val="16"/>
        </w:numPr>
      </w:pPr>
      <w:r>
        <w:t>episodes from hospitals not eligible for NWAU funding</w:t>
      </w:r>
    </w:p>
    <w:p w14:paraId="58EFE864" w14:textId="77777777" w:rsidR="005B699B" w:rsidRDefault="005B699B" w:rsidP="00CE12D2">
      <w:pPr>
        <w:pStyle w:val="Bullet1"/>
        <w:numPr>
          <w:ilvl w:val="0"/>
          <w:numId w:val="16"/>
        </w:numPr>
      </w:pPr>
      <w:r>
        <w:t>lithotripsy episodes unless the episode is reported by St Vincent’s Health, Grampian’s Health, Bendigo Health, Barwon Health, Goulburn Valley Health, The Royal Children’s Hospital, Mildura Base Hospital, Western Health or Mercy Health (Werribee campus only), where a lithotripsy episode is defined as:</w:t>
      </w:r>
    </w:p>
    <w:p w14:paraId="06B3266A" w14:textId="37F2C9D5" w:rsidR="005B699B" w:rsidRPr="0028564C" w:rsidRDefault="005B699B" w:rsidP="000431EB">
      <w:pPr>
        <w:pStyle w:val="Bullet2"/>
      </w:pPr>
      <w:r w:rsidRPr="0028564C">
        <w:t xml:space="preserve">not grouped to the following </w:t>
      </w:r>
      <w:r w:rsidR="00207A1B" w:rsidRPr="00EC1D86">
        <w:t>Australian refined diagnosis-related group</w:t>
      </w:r>
      <w:r w:rsidR="00207A1B" w:rsidRPr="0028564C">
        <w:t xml:space="preserve"> </w:t>
      </w:r>
      <w:r w:rsidR="00207A1B">
        <w:t>(</w:t>
      </w:r>
      <w:r w:rsidRPr="0028564C">
        <w:t>AR-DRG</w:t>
      </w:r>
      <w:r w:rsidR="00207A1B">
        <w:t>)</w:t>
      </w:r>
      <w:r w:rsidRPr="0028564C">
        <w:t xml:space="preserve"> Version 11.0 adjacent DRGs: L02, L03, L04, L05, L06, L07, L08, L09, L10, 801</w:t>
      </w:r>
    </w:p>
    <w:p w14:paraId="21D55B12" w14:textId="77777777" w:rsidR="005B699B" w:rsidRPr="0028564C" w:rsidRDefault="005B699B" w:rsidP="000431EB">
      <w:pPr>
        <w:pStyle w:val="Bullet2"/>
      </w:pPr>
      <w:r w:rsidRPr="0028564C">
        <w:t>the principal diagnosis code is in the following list: N130, N131, N132, N133, N134, N200, N201, N202, N209, N210, N211, N218, N219, N23, and</w:t>
      </w:r>
    </w:p>
    <w:p w14:paraId="11137B9D" w14:textId="77777777" w:rsidR="005B699B" w:rsidRPr="0028564C" w:rsidRDefault="005B699B" w:rsidP="000431EB">
      <w:pPr>
        <w:pStyle w:val="Bullet2"/>
      </w:pPr>
      <w:r w:rsidRPr="0028564C">
        <w:t>the ESWL procedure code 3654600 is in the procedure array.</w:t>
      </w:r>
    </w:p>
    <w:p w14:paraId="3379E0BF" w14:textId="77777777" w:rsidR="005B699B" w:rsidRPr="008B043B" w:rsidRDefault="005B699B" w:rsidP="005B699B">
      <w:pPr>
        <w:pStyle w:val="Bodyafterbullets"/>
      </w:pPr>
      <w:r w:rsidRPr="008B043B">
        <w:t>The majority of patients in hospital will be allocated a</w:t>
      </w:r>
      <w:r>
        <w:t>n</w:t>
      </w:r>
      <w:r w:rsidRPr="008B043B">
        <w:t xml:space="preserve"> </w:t>
      </w:r>
      <w:r>
        <w:t>NWAU</w:t>
      </w:r>
      <w:r w:rsidRPr="008B043B">
        <w:t xml:space="preserve"> price weight</w:t>
      </w:r>
      <w:r>
        <w:t xml:space="preserve"> h</w:t>
      </w:r>
      <w:r w:rsidRPr="008B043B">
        <w:t xml:space="preserve">owever, </w:t>
      </w:r>
      <w:r>
        <w:t>NWAU</w:t>
      </w:r>
      <w:r w:rsidRPr="008B043B">
        <w:t xml:space="preserve"> cannot be calculated for incomplete or uncoded episodes. </w:t>
      </w:r>
    </w:p>
    <w:p w14:paraId="65AFC764" w14:textId="77777777" w:rsidR="005B699B" w:rsidRDefault="005B699B" w:rsidP="001E4292">
      <w:pPr>
        <w:pStyle w:val="Heading2"/>
        <w:numPr>
          <w:ilvl w:val="1"/>
          <w:numId w:val="13"/>
        </w:numPr>
        <w:ind w:left="1134" w:hanging="1134"/>
      </w:pPr>
      <w:bookmarkStart w:id="1713" w:name="_Toc100263288"/>
      <w:bookmarkStart w:id="1714" w:name="_Toc165961820"/>
      <w:bookmarkStart w:id="1715" w:name="_Toc178963606"/>
      <w:bookmarkStart w:id="1716" w:name="_Toc77588909"/>
      <w:r>
        <w:t xml:space="preserve">Business </w:t>
      </w:r>
      <w:bookmarkEnd w:id="1713"/>
      <w:r>
        <w:t>rules</w:t>
      </w:r>
      <w:bookmarkEnd w:id="1714"/>
      <w:bookmarkEnd w:id="1715"/>
    </w:p>
    <w:p w14:paraId="23813686" w14:textId="77777777" w:rsidR="005B699B" w:rsidRDefault="005B699B" w:rsidP="005B699B">
      <w:pPr>
        <w:pStyle w:val="Body"/>
      </w:pPr>
      <w:r>
        <w:t xml:space="preserve">Eligible admitted episodes must satisfy the criteria for admission, as specified in the </w:t>
      </w:r>
      <w:hyperlink r:id="rId50" w:history="1">
        <w:r w:rsidRPr="000431EB">
          <w:rPr>
            <w:rStyle w:val="Hyperlink"/>
          </w:rPr>
          <w:t>VAED: Criteria for reporting</w:t>
        </w:r>
        <w:r w:rsidRPr="00524363">
          <w:rPr>
            <w:rStyle w:val="Hyperlink"/>
            <w:i/>
            <w:iCs/>
          </w:rPr>
          <w:t xml:space="preserve"> </w:t>
        </w:r>
      </w:hyperlink>
      <w:r w:rsidRPr="00866336">
        <w:t>&lt;</w:t>
      </w:r>
      <w:r w:rsidRPr="00375371">
        <w:t>https://www.health.vic.gov.au/data-reporting/victorian-admitted-episodes-dataset</w:t>
      </w:r>
      <w:r w:rsidRPr="00866336">
        <w:t>&gt;.</w:t>
      </w:r>
    </w:p>
    <w:p w14:paraId="2F157B70" w14:textId="77777777" w:rsidR="005B699B" w:rsidRDefault="005B699B" w:rsidP="001E4292">
      <w:pPr>
        <w:pStyle w:val="Heading3"/>
        <w:numPr>
          <w:ilvl w:val="2"/>
          <w:numId w:val="13"/>
        </w:numPr>
      </w:pPr>
      <w:r>
        <w:t>Patient classification</w:t>
      </w:r>
    </w:p>
    <w:p w14:paraId="662D3979" w14:textId="38D0ED48" w:rsidR="005B699B" w:rsidRPr="00E07B11" w:rsidRDefault="005B699B" w:rsidP="005B699B">
      <w:pPr>
        <w:pStyle w:val="Body"/>
      </w:pPr>
      <w:r w:rsidRPr="00EC1D86">
        <w:t xml:space="preserve">AR-DRG </w:t>
      </w:r>
      <w:r w:rsidR="0028564C">
        <w:t>is</w:t>
      </w:r>
      <w:r w:rsidR="0028564C" w:rsidRPr="00E07B11">
        <w:t xml:space="preserve"> </w:t>
      </w:r>
      <w:r w:rsidRPr="00E07B11">
        <w:t xml:space="preserve">a method of classifying treated patients with similar clinical conditions and similar levels of resource use. In particular, the objectives of the </w:t>
      </w:r>
      <w:r>
        <w:t>AR-</w:t>
      </w:r>
      <w:r w:rsidRPr="00E07B11">
        <w:t>DRG classification</w:t>
      </w:r>
      <w:r>
        <w:t>s</w:t>
      </w:r>
      <w:r w:rsidRPr="00E07B11">
        <w:t xml:space="preserve"> are:</w:t>
      </w:r>
    </w:p>
    <w:p w14:paraId="7002C33A" w14:textId="77777777" w:rsidR="005B699B" w:rsidRPr="00E07B11" w:rsidRDefault="005B699B" w:rsidP="00CE12D2">
      <w:pPr>
        <w:pStyle w:val="Bullet1"/>
        <w:numPr>
          <w:ilvl w:val="0"/>
          <w:numId w:val="17"/>
        </w:numPr>
      </w:pPr>
      <w:r>
        <w:lastRenderedPageBreak/>
        <w:t>each AR-DRG is clinically meaningful – the diagnostic clusters must be accepted by clinicians and must be similar for episodes within the AR-DRG</w:t>
      </w:r>
    </w:p>
    <w:p w14:paraId="350873F8" w14:textId="77777777" w:rsidR="005B699B" w:rsidRPr="00E07B11" w:rsidRDefault="005B699B" w:rsidP="00CE12D2">
      <w:pPr>
        <w:pStyle w:val="Bullet1"/>
        <w:numPr>
          <w:ilvl w:val="0"/>
          <w:numId w:val="17"/>
        </w:numPr>
      </w:pPr>
      <w:r>
        <w:t>each AR-DRG is resource homogeneous – the type of resources used, and their amount, should be similar for episodes within the AR-DRG</w:t>
      </w:r>
    </w:p>
    <w:p w14:paraId="2055BA27" w14:textId="77777777" w:rsidR="005B699B" w:rsidRPr="00E07B11" w:rsidRDefault="005B699B" w:rsidP="00CE12D2">
      <w:pPr>
        <w:pStyle w:val="Bullet1"/>
        <w:numPr>
          <w:ilvl w:val="0"/>
          <w:numId w:val="17"/>
        </w:numPr>
      </w:pPr>
      <w:r>
        <w:t>within each AR-DRG, the specific diagnostic episodes should ‘map’ to that DRG alone and not to multiple possible AR-DRGs.</w:t>
      </w:r>
    </w:p>
    <w:p w14:paraId="13D32178" w14:textId="6603A672" w:rsidR="005B699B" w:rsidRDefault="005B699B" w:rsidP="005B699B">
      <w:pPr>
        <w:pStyle w:val="Bodyafterbullets"/>
      </w:pPr>
      <w:r>
        <w:t>T</w:t>
      </w:r>
      <w:r w:rsidRPr="00E07B11">
        <w:t>he AR-DRG classification incorporates</w:t>
      </w:r>
      <w:r>
        <w:rPr>
          <w:i/>
          <w:iCs/>
        </w:rPr>
        <w:t xml:space="preserve"> </w:t>
      </w:r>
      <w:r w:rsidRPr="00D365A2">
        <w:t>the</w:t>
      </w:r>
      <w:r>
        <w:t xml:space="preserve"> </w:t>
      </w:r>
      <w:r>
        <w:rPr>
          <w:i/>
          <w:iCs/>
        </w:rPr>
        <w:t>I</w:t>
      </w:r>
      <w:r w:rsidRPr="4DDFA079">
        <w:rPr>
          <w:i/>
          <w:iCs/>
        </w:rPr>
        <w:t>nternational statistical classification of diseases and related health problems</w:t>
      </w:r>
      <w:r>
        <w:t xml:space="preserve">, 10th revision, Australian Modification (ICD-10-AM), Australian Classification of Health Interventions (ACHI), Australian Coding Standards (ACS) collectively known as ICD-10-AM/ACHI/ACS. </w:t>
      </w:r>
    </w:p>
    <w:p w14:paraId="25B7AE05" w14:textId="543E2DD4" w:rsidR="0028564C" w:rsidRDefault="005B699B" w:rsidP="005B699B">
      <w:pPr>
        <w:pStyle w:val="Body"/>
      </w:pPr>
      <w:r w:rsidRPr="007F03EF">
        <w:t xml:space="preserve">The AR-DRG classification is </w:t>
      </w:r>
      <w:r>
        <w:t xml:space="preserve">regularly </w:t>
      </w:r>
      <w:r w:rsidRPr="007F03EF">
        <w:t xml:space="preserve">updated nationally, with AR-DRG </w:t>
      </w:r>
      <w:r>
        <w:t>V</w:t>
      </w:r>
      <w:r w:rsidRPr="007F03EF">
        <w:t xml:space="preserve">ersion </w:t>
      </w:r>
      <w:r>
        <w:t>11</w:t>
      </w:r>
      <w:r w:rsidRPr="007F03EF">
        <w:t>.0 being the latest available version</w:t>
      </w:r>
      <w:r>
        <w:t xml:space="preserve"> and the version which </w:t>
      </w:r>
      <w:r w:rsidRPr="007F03EF">
        <w:t xml:space="preserve">will </w:t>
      </w:r>
      <w:r>
        <w:t xml:space="preserve">be </w:t>
      </w:r>
      <w:r w:rsidRPr="007F03EF">
        <w:t>use</w:t>
      </w:r>
      <w:r>
        <w:t>d</w:t>
      </w:r>
      <w:r w:rsidRPr="007F03EF">
        <w:t xml:space="preserve"> for funding purposes in </w:t>
      </w:r>
      <w:r>
        <w:t>2024–25</w:t>
      </w:r>
      <w:r w:rsidRPr="007F03EF">
        <w:t>.</w:t>
      </w:r>
    </w:p>
    <w:p w14:paraId="7070F53B" w14:textId="77777777" w:rsidR="0028564C" w:rsidRDefault="0028564C">
      <w:pPr>
        <w:spacing w:after="0" w:line="240" w:lineRule="auto"/>
        <w:rPr>
          <w:rFonts w:eastAsia="Times"/>
        </w:rPr>
      </w:pPr>
      <w:r>
        <w:br w:type="page"/>
      </w:r>
    </w:p>
    <w:p w14:paraId="129BBCDA" w14:textId="77777777" w:rsidR="005B699B" w:rsidRDefault="005B699B" w:rsidP="001E4292">
      <w:pPr>
        <w:pStyle w:val="Heading1"/>
        <w:numPr>
          <w:ilvl w:val="0"/>
          <w:numId w:val="13"/>
        </w:numPr>
        <w:ind w:left="1134" w:hanging="1134"/>
      </w:pPr>
      <w:bookmarkStart w:id="1717" w:name="_Toc484461856"/>
      <w:bookmarkStart w:id="1718" w:name="_Toc484461859"/>
      <w:bookmarkStart w:id="1719" w:name="_Toc484461861"/>
      <w:bookmarkStart w:id="1720" w:name="_Toc100263294"/>
      <w:bookmarkStart w:id="1721" w:name="_Toc165961821"/>
      <w:bookmarkStart w:id="1722" w:name="_Toc178963607"/>
      <w:bookmarkEnd w:id="1709"/>
      <w:bookmarkEnd w:id="1710"/>
      <w:bookmarkEnd w:id="1711"/>
      <w:bookmarkEnd w:id="1712"/>
      <w:bookmarkEnd w:id="1716"/>
      <w:bookmarkEnd w:id="1717"/>
      <w:bookmarkEnd w:id="1718"/>
      <w:bookmarkEnd w:id="1719"/>
      <w:r>
        <w:lastRenderedPageBreak/>
        <w:t xml:space="preserve">Subacute admitted </w:t>
      </w:r>
      <w:bookmarkEnd w:id="1720"/>
      <w:r>
        <w:t>services</w:t>
      </w:r>
      <w:bookmarkEnd w:id="1721"/>
      <w:bookmarkEnd w:id="1722"/>
    </w:p>
    <w:p w14:paraId="7BA8B229" w14:textId="16604265" w:rsidR="005B699B" w:rsidRDefault="005B699B" w:rsidP="005B699B">
      <w:pPr>
        <w:pStyle w:val="Body"/>
      </w:pPr>
      <w:r w:rsidRPr="00A531D9">
        <w:t>Subacute admitted care is care provided to patients who have undergone a formal admission process, where the clinical intent or treatment goal is the provision of subacute care</w:t>
      </w:r>
      <w:r>
        <w:t xml:space="preserve">. See section </w:t>
      </w:r>
      <w:r>
        <w:fldChar w:fldCharType="begin"/>
      </w:r>
      <w:r>
        <w:instrText xml:space="preserve"> REF _Ref77709814 \r \h </w:instrText>
      </w:r>
      <w:r>
        <w:fldChar w:fldCharType="separate"/>
      </w:r>
      <w:r w:rsidR="00543255">
        <w:t>6.2</w:t>
      </w:r>
      <w:r>
        <w:fldChar w:fldCharType="end"/>
      </w:r>
      <w:r>
        <w:t xml:space="preserve"> </w:t>
      </w:r>
      <w:r>
        <w:fldChar w:fldCharType="begin"/>
      </w:r>
      <w:r>
        <w:instrText xml:space="preserve"> REF _Ref165637495 \h </w:instrText>
      </w:r>
      <w:r>
        <w:fldChar w:fldCharType="separate"/>
      </w:r>
      <w:r w:rsidR="00543255">
        <w:t>Activity reporting</w:t>
      </w:r>
      <w:r>
        <w:fldChar w:fldCharType="end"/>
      </w:r>
      <w:r>
        <w:t>.</w:t>
      </w:r>
    </w:p>
    <w:p w14:paraId="11C7CD3A" w14:textId="77777777" w:rsidR="005B699B" w:rsidRDefault="005B699B" w:rsidP="001E4292">
      <w:pPr>
        <w:pStyle w:val="Heading2"/>
        <w:numPr>
          <w:ilvl w:val="1"/>
          <w:numId w:val="13"/>
        </w:numPr>
        <w:ind w:left="1134" w:hanging="1134"/>
      </w:pPr>
      <w:bookmarkStart w:id="1723" w:name="_Toc100263295"/>
      <w:bookmarkStart w:id="1724" w:name="_Toc165961822"/>
      <w:bookmarkStart w:id="1725" w:name="_Toc178963608"/>
      <w:r>
        <w:t>Eligibility</w:t>
      </w:r>
      <w:bookmarkEnd w:id="1723"/>
      <w:bookmarkEnd w:id="1724"/>
      <w:bookmarkEnd w:id="1725"/>
    </w:p>
    <w:p w14:paraId="3918E6FD" w14:textId="127A7668" w:rsidR="005B699B" w:rsidRPr="006A1D9B" w:rsidRDefault="005B699B" w:rsidP="005B699B">
      <w:pPr>
        <w:pStyle w:val="Body"/>
      </w:pPr>
      <w:r w:rsidRPr="006A1D9B">
        <w:t xml:space="preserve">Eligible facilities in scope for </w:t>
      </w:r>
      <w:r>
        <w:t>activity-based funding</w:t>
      </w:r>
      <w:r w:rsidRPr="006A1D9B">
        <w:t xml:space="preserve"> in the subacute admitted care stream are all </w:t>
      </w:r>
      <w:r>
        <w:t xml:space="preserve">public </w:t>
      </w:r>
      <w:r w:rsidRPr="006A1D9B">
        <w:t xml:space="preserve">health services that report to the VAED – subject to the subacute capability framework referenced in section </w:t>
      </w:r>
      <w:r w:rsidRPr="006A1D9B">
        <w:fldChar w:fldCharType="begin"/>
      </w:r>
      <w:r w:rsidRPr="006A1D9B">
        <w:instrText xml:space="preserve"> REF _Ref77700449 \r \h </w:instrText>
      </w:r>
      <w:r>
        <w:instrText xml:space="preserve"> \* MERGEFORMAT </w:instrText>
      </w:r>
      <w:r w:rsidRPr="006A1D9B">
        <w:fldChar w:fldCharType="separate"/>
      </w:r>
      <w:r w:rsidR="00543255">
        <w:t>8.2</w:t>
      </w:r>
      <w:r w:rsidRPr="006A1D9B">
        <w:fldChar w:fldCharType="end"/>
      </w:r>
      <w:r w:rsidRPr="006A1D9B">
        <w:t xml:space="preserve"> </w:t>
      </w:r>
      <w:r>
        <w:fldChar w:fldCharType="begin"/>
      </w:r>
      <w:r>
        <w:instrText xml:space="preserve"> REF _Ref165637509 \h </w:instrText>
      </w:r>
      <w:r>
        <w:fldChar w:fldCharType="separate"/>
      </w:r>
      <w:r w:rsidR="00543255">
        <w:t>Business rules</w:t>
      </w:r>
      <w:r>
        <w:fldChar w:fldCharType="end"/>
      </w:r>
      <w:r w:rsidRPr="006A1D9B">
        <w:t>.</w:t>
      </w:r>
    </w:p>
    <w:p w14:paraId="0B62453D" w14:textId="77777777" w:rsidR="005B699B" w:rsidRDefault="005B699B" w:rsidP="005B699B">
      <w:pPr>
        <w:pStyle w:val="Body"/>
      </w:pPr>
      <w:r>
        <w:t>Funding for subacute admitted services is based on episode</w:t>
      </w:r>
      <w:r w:rsidRPr="004005DD">
        <w:t xml:space="preserve">s for eligible care types. </w:t>
      </w:r>
      <w:r>
        <w:t>The following national care types are in scope:</w:t>
      </w:r>
    </w:p>
    <w:p w14:paraId="5406FA05" w14:textId="77777777" w:rsidR="005B699B" w:rsidRDefault="005B699B" w:rsidP="00CE12D2">
      <w:pPr>
        <w:pStyle w:val="Bullet1"/>
        <w:numPr>
          <w:ilvl w:val="0"/>
          <w:numId w:val="32"/>
        </w:numPr>
      </w:pPr>
      <w:r>
        <w:t>rehabilitation</w:t>
      </w:r>
    </w:p>
    <w:p w14:paraId="2AB268E2" w14:textId="422BB0C8" w:rsidR="005B699B" w:rsidRDefault="009F572B" w:rsidP="00CE12D2">
      <w:pPr>
        <w:pStyle w:val="Bullet1"/>
        <w:numPr>
          <w:ilvl w:val="0"/>
          <w:numId w:val="32"/>
        </w:numPr>
      </w:pPr>
      <w:r>
        <w:t>GEM</w:t>
      </w:r>
    </w:p>
    <w:p w14:paraId="196E827E" w14:textId="77777777" w:rsidR="005B699B" w:rsidRDefault="005B699B" w:rsidP="00CE12D2">
      <w:pPr>
        <w:pStyle w:val="Bullet1"/>
        <w:numPr>
          <w:ilvl w:val="0"/>
          <w:numId w:val="32"/>
        </w:numPr>
      </w:pPr>
      <w:r>
        <w:t>palliative care</w:t>
      </w:r>
    </w:p>
    <w:p w14:paraId="3F90CDD3" w14:textId="77777777" w:rsidR="005B699B" w:rsidRDefault="005B699B" w:rsidP="00CE12D2">
      <w:pPr>
        <w:pStyle w:val="Bullet1"/>
        <w:numPr>
          <w:ilvl w:val="0"/>
          <w:numId w:val="32"/>
        </w:numPr>
      </w:pPr>
      <w:r>
        <w:t>maintenance care.</w:t>
      </w:r>
    </w:p>
    <w:p w14:paraId="3134FE61" w14:textId="77777777" w:rsidR="005B699B" w:rsidRDefault="005B699B" w:rsidP="005B699B">
      <w:pPr>
        <w:pStyle w:val="Bodyafterbullets"/>
      </w:pPr>
      <w:r w:rsidRPr="008B043B">
        <w:t xml:space="preserve">The majority of </w:t>
      </w:r>
      <w:r>
        <w:t>admitted episodes within these care types</w:t>
      </w:r>
      <w:r w:rsidRPr="008B043B">
        <w:t xml:space="preserve"> will be allocated a</w:t>
      </w:r>
      <w:r>
        <w:t>n</w:t>
      </w:r>
      <w:r w:rsidRPr="008B043B">
        <w:t xml:space="preserve"> </w:t>
      </w:r>
      <w:r>
        <w:t>NWAU</w:t>
      </w:r>
      <w:r w:rsidRPr="008B043B">
        <w:t xml:space="preserve"> price weight. However, </w:t>
      </w:r>
      <w:r>
        <w:t>NWAU</w:t>
      </w:r>
      <w:r w:rsidRPr="008B043B">
        <w:t xml:space="preserve"> cannot be calculated for incomplete or uncoded episodes. </w:t>
      </w:r>
    </w:p>
    <w:p w14:paraId="590FAA33" w14:textId="77777777" w:rsidR="005B699B" w:rsidRDefault="005B699B" w:rsidP="005B699B">
      <w:pPr>
        <w:pStyle w:val="Body"/>
      </w:pPr>
      <w:r w:rsidRPr="004005DD">
        <w:t xml:space="preserve">The following episodes are not eligible for subacute </w:t>
      </w:r>
      <w:r>
        <w:t xml:space="preserve">NWAU </w:t>
      </w:r>
      <w:r w:rsidRPr="004005DD">
        <w:t>funding:</w:t>
      </w:r>
    </w:p>
    <w:p w14:paraId="490153FF" w14:textId="77777777" w:rsidR="005B699B" w:rsidRDefault="005B699B" w:rsidP="00CE12D2">
      <w:pPr>
        <w:pStyle w:val="Bullet1"/>
        <w:numPr>
          <w:ilvl w:val="0"/>
          <w:numId w:val="33"/>
        </w:numPr>
      </w:pPr>
      <w:r>
        <w:t>private hospital separations</w:t>
      </w:r>
    </w:p>
    <w:p w14:paraId="530045F0" w14:textId="77777777" w:rsidR="005B699B" w:rsidRDefault="005B699B" w:rsidP="00CE12D2">
      <w:pPr>
        <w:pStyle w:val="Bullet1"/>
        <w:numPr>
          <w:ilvl w:val="0"/>
          <w:numId w:val="33"/>
        </w:numPr>
      </w:pPr>
      <w:r>
        <w:t>incomplete or uncoded episodes</w:t>
      </w:r>
    </w:p>
    <w:p w14:paraId="4C87DC08" w14:textId="77777777" w:rsidR="005B699B" w:rsidRDefault="005B699B" w:rsidP="00CE12D2">
      <w:pPr>
        <w:pStyle w:val="Bullet1"/>
        <w:numPr>
          <w:ilvl w:val="0"/>
          <w:numId w:val="33"/>
        </w:numPr>
      </w:pPr>
      <w:r>
        <w:t>episodes with an account class on separation of W (WorkSafe Victoria), T (Transport Accident Commission), X (Ineligible non-Australian residents – not exempted from fees), A (Armed Services), C (Common Law Recoveries), O (Other compensable) or S (Seamen)</w:t>
      </w:r>
    </w:p>
    <w:p w14:paraId="13110290" w14:textId="77777777" w:rsidR="005B699B" w:rsidRDefault="005B699B" w:rsidP="00CE12D2">
      <w:pPr>
        <w:pStyle w:val="Bullet1"/>
        <w:numPr>
          <w:ilvl w:val="0"/>
          <w:numId w:val="33"/>
        </w:numPr>
      </w:pPr>
      <w:r>
        <w:t>episodes where the contract role is B (service provider hospital).</w:t>
      </w:r>
    </w:p>
    <w:p w14:paraId="0E9C181F" w14:textId="77777777" w:rsidR="005B699B" w:rsidRDefault="005B699B" w:rsidP="005B699B">
      <w:pPr>
        <w:pStyle w:val="Bodyafterbullets"/>
      </w:pPr>
      <w:r>
        <w:t>The department does not reimburse hospitals for public nursing-home-type episodes. Health services are expected to manage nursing-home-type patients using other funded activity streams, such as the TCP. Current arrangements for the Department of Veterans’ Affairs, compensable and private patients remain in place regarding the nursing-home-type process and funding.</w:t>
      </w:r>
    </w:p>
    <w:p w14:paraId="15560D85" w14:textId="77777777" w:rsidR="005B699B" w:rsidRDefault="005B699B" w:rsidP="001E4292">
      <w:pPr>
        <w:pStyle w:val="Heading2"/>
        <w:numPr>
          <w:ilvl w:val="1"/>
          <w:numId w:val="13"/>
        </w:numPr>
        <w:ind w:left="1134" w:hanging="1134"/>
      </w:pPr>
      <w:bookmarkStart w:id="1726" w:name="_Ref77700449"/>
      <w:bookmarkStart w:id="1727" w:name="_Toc100263296"/>
      <w:bookmarkStart w:id="1728" w:name="_Ref165637509"/>
      <w:bookmarkStart w:id="1729" w:name="_Toc165961823"/>
      <w:bookmarkStart w:id="1730" w:name="_Toc178963609"/>
      <w:r>
        <w:t xml:space="preserve">Business </w:t>
      </w:r>
      <w:bookmarkEnd w:id="1726"/>
      <w:bookmarkEnd w:id="1727"/>
      <w:r>
        <w:t>rules</w:t>
      </w:r>
      <w:bookmarkEnd w:id="1728"/>
      <w:bookmarkEnd w:id="1729"/>
      <w:bookmarkEnd w:id="1730"/>
    </w:p>
    <w:p w14:paraId="215159E5" w14:textId="2129C964" w:rsidR="005B699B" w:rsidRDefault="005B699B" w:rsidP="005B699B">
      <w:pPr>
        <w:pStyle w:val="Bodyafterbullets"/>
      </w:pPr>
      <w:r>
        <w:t xml:space="preserve">All metropolitan, regional and subregional health services are delineated to provide rehabilitation and </w:t>
      </w:r>
      <w:r w:rsidRPr="00A21147">
        <w:t>GEM</w:t>
      </w:r>
      <w:r>
        <w:t xml:space="preserve"> services through the </w:t>
      </w:r>
      <w:r w:rsidR="00E26ED1" w:rsidRPr="00E26ED1">
        <w:rPr>
          <w:i/>
        </w:rPr>
        <w:t>Planning the future of Victoria’s sub-acute service system</w:t>
      </w:r>
      <w:r w:rsidR="00E26ED1">
        <w:rPr>
          <w:i/>
        </w:rPr>
        <w:t xml:space="preserve">. </w:t>
      </w:r>
      <w:r w:rsidR="00E26ED1" w:rsidRPr="00E26ED1">
        <w:rPr>
          <w:i/>
        </w:rPr>
        <w:t>A</w:t>
      </w:r>
      <w:r w:rsidRPr="001D6BD3">
        <w:rPr>
          <w:i/>
        </w:rPr>
        <w:t xml:space="preserve"> capability </w:t>
      </w:r>
      <w:r w:rsidR="00E26ED1" w:rsidRPr="00E26ED1">
        <w:rPr>
          <w:i/>
        </w:rPr>
        <w:t xml:space="preserve">and access planning </w:t>
      </w:r>
      <w:r w:rsidRPr="001D6BD3">
        <w:rPr>
          <w:i/>
        </w:rPr>
        <w:t>framework</w:t>
      </w:r>
      <w:r w:rsidR="00E26ED1">
        <w:rPr>
          <w:i/>
        </w:rPr>
        <w:t xml:space="preserve"> </w:t>
      </w:r>
      <w:r w:rsidR="00E26ED1" w:rsidRPr="00E26ED1">
        <w:rPr>
          <w:iCs/>
        </w:rPr>
        <w:t>(2013)</w:t>
      </w:r>
      <w:r>
        <w:t>. Local health services delineated as level 2 will provide and report maintenance care.</w:t>
      </w:r>
    </w:p>
    <w:p w14:paraId="48F270F8" w14:textId="77777777" w:rsidR="005B699B" w:rsidRDefault="005B699B" w:rsidP="005B699B">
      <w:pPr>
        <w:pStyle w:val="Body"/>
      </w:pPr>
      <w:r>
        <w:t xml:space="preserve">Read the </w:t>
      </w:r>
      <w:hyperlink r:id="rId51">
        <w:r w:rsidRPr="0002613C">
          <w:rPr>
            <w:rStyle w:val="Hyperlink"/>
            <w:i/>
          </w:rPr>
          <w:t>Subacute capability framework</w:t>
        </w:r>
      </w:hyperlink>
      <w:r>
        <w:t xml:space="preserve"> &lt;</w:t>
      </w:r>
      <w:r w:rsidRPr="00DD2AAC">
        <w:t>https://www.health.vic.gov.au/patient-care/subacute-planning-framework</w:t>
      </w:r>
      <w:r>
        <w:t xml:space="preserve">&gt;. </w:t>
      </w:r>
    </w:p>
    <w:p w14:paraId="17E4BE93" w14:textId="77777777" w:rsidR="005B699B" w:rsidRPr="006A1D9B" w:rsidRDefault="005B699B" w:rsidP="001E4292">
      <w:pPr>
        <w:pStyle w:val="Heading3"/>
        <w:numPr>
          <w:ilvl w:val="2"/>
          <w:numId w:val="13"/>
        </w:numPr>
      </w:pPr>
      <w:r w:rsidRPr="006A1D9B">
        <w:t>Home-based care</w:t>
      </w:r>
    </w:p>
    <w:p w14:paraId="3D6FD722" w14:textId="77777777" w:rsidR="005B699B" w:rsidRDefault="005B699B" w:rsidP="005B699B">
      <w:pPr>
        <w:pStyle w:val="Body"/>
      </w:pPr>
      <w:r>
        <w:t xml:space="preserve">Admitted GEM and rehabilitation care can be delivered in the patient’s home as well as in hospital. Providing care in the patient’s home can improve independence and reduce risk of adverse events </w:t>
      </w:r>
      <w:r>
        <w:lastRenderedPageBreak/>
        <w:t>associated with hospital stays for some people. Health services retain accountability for the care of the patient.</w:t>
      </w:r>
    </w:p>
    <w:p w14:paraId="069D0301" w14:textId="77777777" w:rsidR="005B699B" w:rsidRDefault="005B699B" w:rsidP="005B699B">
      <w:pPr>
        <w:pStyle w:val="Body"/>
      </w:pPr>
      <w:r>
        <w:t>Admitted GEM and rehabilitation provided in a person’s home must meet the same national METeOR definitions and required data elements as for admitted subacute GEM and rehabilitation hospital-based activity. GEM and rehabilitation in the home undertaken as admitted activity is reported as care type 9 and care type 6 respectively with an accommodation type code of 4 (in the home). Admitted GEM activity provided in any other offsite setting is to be reported as accommodation type R (off site).</w:t>
      </w:r>
    </w:p>
    <w:p w14:paraId="5088F40F" w14:textId="6D451387" w:rsidR="005B699B" w:rsidRDefault="005B699B" w:rsidP="005B699B">
      <w:pPr>
        <w:pStyle w:val="Body"/>
      </w:pPr>
      <w:r>
        <w:t>Home-based GEM</w:t>
      </w:r>
      <w:r w:rsidDel="006E37B2">
        <w:t xml:space="preserve"> </w:t>
      </w:r>
      <w:r>
        <w:t xml:space="preserve">and rehabilitation-type services can also be delivered through the </w:t>
      </w:r>
      <w:r w:rsidRPr="00A21147">
        <w:t>HIP</w:t>
      </w:r>
      <w:r>
        <w:t xml:space="preserve"> non-admitted platform, with activity reported in the VINAH minimum dataset. </w:t>
      </w:r>
    </w:p>
    <w:p w14:paraId="3107D438" w14:textId="77777777" w:rsidR="005B699B" w:rsidRDefault="005B699B" w:rsidP="005B699B">
      <w:pPr>
        <w:pStyle w:val="Body"/>
      </w:pPr>
      <w:r>
        <w:t>Health services should review the most appropriate platform to deliver GEM and rehabilitation services based on patient cohort needs and the local hospital and community resources available.</w:t>
      </w:r>
    </w:p>
    <w:p w14:paraId="146529FC" w14:textId="77777777" w:rsidR="005B699B" w:rsidRDefault="005B699B" w:rsidP="005B699B">
      <w:pPr>
        <w:pStyle w:val="Body"/>
      </w:pPr>
      <w:r>
        <w:t xml:space="preserve">Admitted palliative care services can also be delivered in the patient’s home. Where this occurs, health services must ensure that all obligations, standards and requirements for admitted palliative care contained in the annual </w:t>
      </w:r>
      <w:r w:rsidRPr="0093206E">
        <w:rPr>
          <w:i/>
        </w:rPr>
        <w:t xml:space="preserve">Policy </w:t>
      </w:r>
      <w:r>
        <w:rPr>
          <w:i/>
          <w:iCs/>
        </w:rPr>
        <w:t>g</w:t>
      </w:r>
      <w:r w:rsidRPr="0093206E">
        <w:rPr>
          <w:i/>
          <w:iCs/>
        </w:rPr>
        <w:t>uide</w:t>
      </w:r>
      <w:r w:rsidRPr="0093206E">
        <w:rPr>
          <w:i/>
        </w:rPr>
        <w:t xml:space="preserve"> </w:t>
      </w:r>
      <w:r>
        <w:t>are met. Admitted palliative care activity provided in the home is reported as care type 8 with an accommodation code of 4 (in the home).</w:t>
      </w:r>
    </w:p>
    <w:p w14:paraId="08086086" w14:textId="77777777" w:rsidR="005B699B" w:rsidRPr="00534D17" w:rsidRDefault="005B699B" w:rsidP="005B699B">
      <w:pPr>
        <w:pStyle w:val="Body"/>
      </w:pPr>
      <w:r w:rsidRPr="00534D17">
        <w:t>Admitted GEM, rehabilitation or palliative care activity funded through NWAU and provided in a setting outside the hospital will be counted towards a health service’s a</w:t>
      </w:r>
      <w:r>
        <w:t xml:space="preserve">ctivity </w:t>
      </w:r>
      <w:r w:rsidRPr="00534D17">
        <w:t>target.</w:t>
      </w:r>
    </w:p>
    <w:p w14:paraId="446B9C18" w14:textId="77777777" w:rsidR="005B699B" w:rsidRDefault="005B699B" w:rsidP="001E4292">
      <w:pPr>
        <w:pStyle w:val="Heading3"/>
        <w:numPr>
          <w:ilvl w:val="2"/>
          <w:numId w:val="13"/>
        </w:numPr>
      </w:pPr>
      <w:r>
        <w:t>Patient classification</w:t>
      </w:r>
    </w:p>
    <w:p w14:paraId="6F500D06" w14:textId="77777777" w:rsidR="005B699B" w:rsidRDefault="005B699B" w:rsidP="005B699B">
      <w:pPr>
        <w:pStyle w:val="Body"/>
      </w:pPr>
      <w:r>
        <w:t>The Australian National Subacute and Non-Acute Patient (AN-SNAP) classification system version 5.0 is used to classify subacute admitted care. Each AN-SNAP class is allocated an NWAU price weight to help determine the level of funding.</w:t>
      </w:r>
    </w:p>
    <w:p w14:paraId="6D1083E2" w14:textId="77777777" w:rsidR="005B699B" w:rsidRDefault="005B699B" w:rsidP="005B699B">
      <w:pPr>
        <w:pStyle w:val="Body"/>
      </w:pPr>
      <w:r>
        <w:t>The funding policy for admitted subacute is based on:</w:t>
      </w:r>
    </w:p>
    <w:p w14:paraId="2DA053BD" w14:textId="77777777" w:rsidR="005B699B" w:rsidRDefault="005B699B" w:rsidP="00CE12D2">
      <w:pPr>
        <w:pStyle w:val="Bullet1"/>
        <w:numPr>
          <w:ilvl w:val="0"/>
          <w:numId w:val="34"/>
        </w:numPr>
      </w:pPr>
      <w:r>
        <w:t>AN-SNAP Version 5.0 classification</w:t>
      </w:r>
    </w:p>
    <w:p w14:paraId="7AB93D04" w14:textId="77777777" w:rsidR="005B699B" w:rsidRDefault="005B699B" w:rsidP="00CE12D2">
      <w:pPr>
        <w:pStyle w:val="Bullet1"/>
        <w:numPr>
          <w:ilvl w:val="0"/>
          <w:numId w:val="34"/>
        </w:numPr>
      </w:pPr>
      <w:r>
        <w:t>L1.5 H1.5 methodology</w:t>
      </w:r>
    </w:p>
    <w:p w14:paraId="2F66CDF9" w14:textId="77777777" w:rsidR="005B699B" w:rsidRPr="00D365A2" w:rsidRDefault="005B699B" w:rsidP="00CE12D2">
      <w:pPr>
        <w:pStyle w:val="Bullet1"/>
        <w:numPr>
          <w:ilvl w:val="0"/>
          <w:numId w:val="34"/>
        </w:numPr>
      </w:pPr>
      <w:r>
        <w:t>episode-based funding approach for GEM, rehabilitation, and maintenance care</w:t>
      </w:r>
    </w:p>
    <w:p w14:paraId="15F8852E" w14:textId="77777777" w:rsidR="005B699B" w:rsidRDefault="005B699B" w:rsidP="00CE12D2">
      <w:pPr>
        <w:pStyle w:val="Bullet1"/>
        <w:numPr>
          <w:ilvl w:val="0"/>
          <w:numId w:val="34"/>
        </w:numPr>
      </w:pPr>
      <w:r>
        <w:t>phase of care funding approach for palliative care.</w:t>
      </w:r>
    </w:p>
    <w:p w14:paraId="7A19E044" w14:textId="59DA9754" w:rsidR="005B699B" w:rsidRDefault="005B699B" w:rsidP="005B699B">
      <w:pPr>
        <w:pStyle w:val="Bodyafterbullets"/>
      </w:pPr>
      <w:r>
        <w:t xml:space="preserve">Details regarding the IHACPA’s admitted subacute funding approach can be found in the </w:t>
      </w:r>
      <w:hyperlink r:id="rId52" w:history="1">
        <w:r w:rsidRPr="000431EB">
          <w:rPr>
            <w:rStyle w:val="Hyperlink"/>
          </w:rPr>
          <w:t xml:space="preserve">National </w:t>
        </w:r>
        <w:r w:rsidR="00027C7A">
          <w:rPr>
            <w:rStyle w:val="Hyperlink"/>
          </w:rPr>
          <w:t>E</w:t>
        </w:r>
        <w:r w:rsidRPr="000431EB">
          <w:rPr>
            <w:rStyle w:val="Hyperlink"/>
          </w:rPr>
          <w:t xml:space="preserve">fficient </w:t>
        </w:r>
        <w:r w:rsidR="00027C7A">
          <w:rPr>
            <w:rStyle w:val="Hyperlink"/>
          </w:rPr>
          <w:t>P</w:t>
        </w:r>
        <w:r w:rsidRPr="000431EB">
          <w:rPr>
            <w:rStyle w:val="Hyperlink"/>
          </w:rPr>
          <w:t>rice determination</w:t>
        </w:r>
      </w:hyperlink>
      <w:r>
        <w:t xml:space="preserve"> &lt;</w:t>
      </w:r>
      <w:r w:rsidRPr="00716209">
        <w:t>https://www.ihacpa.gov.au/pricing/national-efficient-price-determination</w:t>
      </w:r>
      <w:r>
        <w:t>&gt; and</w:t>
      </w:r>
      <w:r w:rsidRPr="00504928">
        <w:rPr>
          <w:rFonts w:eastAsia="Times New Roman"/>
        </w:rPr>
        <w:t xml:space="preserve"> </w:t>
      </w:r>
      <w:hyperlink r:id="rId53" w:history="1">
        <w:r w:rsidRPr="000431EB">
          <w:rPr>
            <w:rStyle w:val="Hyperlink"/>
          </w:rPr>
          <w:t>National pricing model technical specifications</w:t>
        </w:r>
      </w:hyperlink>
      <w:r>
        <w:t xml:space="preserve"> &lt;</w:t>
      </w:r>
      <w:r w:rsidRPr="00504928">
        <w:t>https://www.ihacpa.gov.au/pricing/national-pricing-model-technical-specifications</w:t>
      </w:r>
      <w:r>
        <w:t>&gt;.</w:t>
      </w:r>
    </w:p>
    <w:p w14:paraId="0A6D5DB0" w14:textId="77777777" w:rsidR="006E37B2" w:rsidRDefault="005B699B" w:rsidP="005B699B">
      <w:pPr>
        <w:pStyle w:val="Body"/>
      </w:pPr>
      <w:r w:rsidRPr="00F611AD">
        <w:t>At the national level, where data required to assign an AN</w:t>
      </w:r>
      <w:r w:rsidRPr="00F611AD">
        <w:rPr>
          <w:rFonts w:ascii="Cambria Math" w:hAnsi="Cambria Math" w:cs="Cambria Math"/>
        </w:rPr>
        <w:t>‑</w:t>
      </w:r>
      <w:r w:rsidRPr="00F611AD">
        <w:t xml:space="preserve">SNAP classification is not available, the episode is transferred to the admitted acute care model and priced according to their AR-DRG classification. </w:t>
      </w:r>
    </w:p>
    <w:p w14:paraId="4DBD9780" w14:textId="02DF3869" w:rsidR="005B699B" w:rsidRPr="00F611AD" w:rsidRDefault="005B699B" w:rsidP="005B699B">
      <w:pPr>
        <w:pStyle w:val="Body"/>
      </w:pPr>
      <w:r>
        <w:t>This will not occur i</w:t>
      </w:r>
      <w:r w:rsidRPr="00F611AD">
        <w:t>n Victoria in 202</w:t>
      </w:r>
      <w:r>
        <w:t>4–</w:t>
      </w:r>
      <w:r w:rsidRPr="00F611AD">
        <w:t>2</w:t>
      </w:r>
      <w:r>
        <w:t xml:space="preserve">5, </w:t>
      </w:r>
      <w:r w:rsidRPr="00F611AD">
        <w:t xml:space="preserve">which means that all data items necessary to group an episode to an AN-SNAP class </w:t>
      </w:r>
      <w:r>
        <w:t>must be</w:t>
      </w:r>
      <w:r w:rsidRPr="00F611AD">
        <w:t xml:space="preserve"> reported to the VAED. This includes correct reporting of impairment codes, </w:t>
      </w:r>
      <w:r w:rsidR="00D930AF" w:rsidRPr="002E3429">
        <w:t>Functional Independence Measure</w:t>
      </w:r>
      <w:r w:rsidR="00D930AF" w:rsidRPr="00F611AD">
        <w:t xml:space="preserve"> </w:t>
      </w:r>
      <w:r w:rsidR="00D930AF">
        <w:t>(</w:t>
      </w:r>
      <w:r w:rsidRPr="00F611AD">
        <w:t>FIM</w:t>
      </w:r>
      <w:r w:rsidR="00D930AF">
        <w:t>)</w:t>
      </w:r>
      <w:r w:rsidRPr="00BE6764">
        <w:rPr>
          <w:vertAlign w:val="superscript"/>
        </w:rPr>
        <w:t>TM</w:t>
      </w:r>
      <w:r w:rsidRPr="00F611AD">
        <w:t xml:space="preserve"> and </w:t>
      </w:r>
      <w:r w:rsidR="006E37B2">
        <w:t>‘</w:t>
      </w:r>
      <w:r w:rsidRPr="00F0224F">
        <w:t xml:space="preserve">Resource </w:t>
      </w:r>
      <w:r w:rsidR="006E37B2" w:rsidRPr="00F0224F">
        <w:t>utilisation groups – activities of daily living</w:t>
      </w:r>
      <w:r w:rsidR="006E37B2">
        <w:t>’</w:t>
      </w:r>
      <w:r w:rsidR="006E37B2" w:rsidRPr="00F0224F">
        <w:t xml:space="preserve"> </w:t>
      </w:r>
      <w:r>
        <w:t>(</w:t>
      </w:r>
      <w:r w:rsidRPr="00F611AD">
        <w:t>RUG-ADL</w:t>
      </w:r>
      <w:r>
        <w:t>)</w:t>
      </w:r>
      <w:r w:rsidRPr="00F611AD">
        <w:t xml:space="preserve"> scores. Any admitted subacute episode without the data items required to group to an AN-SNAP class will not generate NWAU within Victoria.</w:t>
      </w:r>
    </w:p>
    <w:p w14:paraId="29E6ABE8" w14:textId="15C9437C" w:rsidR="003701BB" w:rsidRPr="001C26A4" w:rsidRDefault="005B699B" w:rsidP="0013154B">
      <w:pPr>
        <w:pStyle w:val="Body"/>
      </w:pPr>
      <w:r>
        <w:t xml:space="preserve">The </w:t>
      </w:r>
      <w:r w:rsidR="006E37B2">
        <w:t xml:space="preserve">psychogeriatric care type </w:t>
      </w:r>
      <w:r>
        <w:t xml:space="preserve">and </w:t>
      </w:r>
      <w:r w:rsidR="006E37B2">
        <w:t xml:space="preserve">psychogeriatric </w:t>
      </w:r>
      <w:r>
        <w:t>AN-SNAP classes will not be used in Victoria in 2024–25.</w:t>
      </w:r>
      <w:bookmarkStart w:id="1731" w:name="_Toc418694908"/>
      <w:bookmarkStart w:id="1732" w:name="_Toc6215550"/>
      <w:bookmarkStart w:id="1733" w:name="_Toc10199626"/>
      <w:bookmarkStart w:id="1734" w:name="_Toc52892572"/>
      <w:bookmarkStart w:id="1735" w:name="_Toc100263299"/>
      <w:bookmarkStart w:id="1736" w:name="_Toc165961824"/>
      <w:r w:rsidR="003701BB">
        <w:br w:type="page"/>
      </w:r>
    </w:p>
    <w:p w14:paraId="60F5E147" w14:textId="4B58D4C0" w:rsidR="005B699B" w:rsidRDefault="005B699B" w:rsidP="001E4292">
      <w:pPr>
        <w:pStyle w:val="Heading1"/>
        <w:numPr>
          <w:ilvl w:val="0"/>
          <w:numId w:val="13"/>
        </w:numPr>
        <w:ind w:left="1134" w:hanging="1134"/>
      </w:pPr>
      <w:bookmarkStart w:id="1737" w:name="_Toc178963610"/>
      <w:r>
        <w:lastRenderedPageBreak/>
        <w:t xml:space="preserve">Emergency </w:t>
      </w:r>
      <w:bookmarkEnd w:id="1731"/>
      <w:bookmarkEnd w:id="1732"/>
      <w:bookmarkEnd w:id="1733"/>
      <w:bookmarkEnd w:id="1734"/>
      <w:r>
        <w:t xml:space="preserve">care </w:t>
      </w:r>
      <w:bookmarkEnd w:id="1735"/>
      <w:r>
        <w:t>services</w:t>
      </w:r>
      <w:bookmarkEnd w:id="1736"/>
      <w:bookmarkEnd w:id="1737"/>
    </w:p>
    <w:p w14:paraId="53D04BDD" w14:textId="77777777" w:rsidR="005B699B" w:rsidRPr="002E2A48" w:rsidRDefault="005B699B" w:rsidP="005B699B">
      <w:pPr>
        <w:pStyle w:val="Body"/>
      </w:pPr>
      <w:bookmarkStart w:id="1738" w:name="_Toc418694907"/>
      <w:bookmarkStart w:id="1739" w:name="_Toc6215549"/>
      <w:bookmarkStart w:id="1740" w:name="_Toc10199625"/>
      <w:bookmarkStart w:id="1741" w:name="_Toc52892571"/>
      <w:r w:rsidRPr="002E2A48">
        <w:t>Emergency department care is provided to patients registered for care in an emergency department in selected public hospitals. Emergency departments are medical treatment facilities that specialise in acute care of patients who present without prior appointment, either by their own means or by ambulance.</w:t>
      </w:r>
    </w:p>
    <w:p w14:paraId="78FB4CC6" w14:textId="3A7A2895" w:rsidR="005B699B" w:rsidRPr="002E2A48" w:rsidRDefault="005B699B" w:rsidP="005B699B">
      <w:pPr>
        <w:pStyle w:val="Body"/>
      </w:pPr>
      <w:r w:rsidRPr="002E2A48">
        <w:t>Local services and the majority of small rural health services/multipurpose services operate ur</w:t>
      </w:r>
      <w:r w:rsidRPr="002E2A48">
        <w:rPr>
          <w:rFonts w:eastAsia="Arial" w:cs="Arial"/>
        </w:rPr>
        <w:t>gent care centres (UCCs), which provide first-line emergency and urgent care in small rural communities.</w:t>
      </w:r>
      <w:r w:rsidRPr="00F524EB">
        <w:rPr>
          <w:vertAlign w:val="superscript"/>
        </w:rPr>
        <w:footnoteReference w:id="4"/>
      </w:r>
      <w:r w:rsidRPr="002E2A48">
        <w:rPr>
          <w:rFonts w:eastAsia="Arial" w:cs="Arial"/>
        </w:rPr>
        <w:t xml:space="preserve"> At a minimum, UCCs have the capacity to perform emergency resuscitation and stabilisation for adults and chi</w:t>
      </w:r>
      <w:r w:rsidRPr="002E2A48">
        <w:t xml:space="preserve">ldren, and to prepare and manage patients for transfer to a higher level of care as clinically appropriate. Depending on the model, patients treated by on-call general practitioners may be billed by the </w:t>
      </w:r>
      <w:r w:rsidRPr="002E2A48">
        <w:rPr>
          <w:rFonts w:eastAsia="MS Mincho"/>
        </w:rPr>
        <w:t>GP</w:t>
      </w:r>
      <w:r w:rsidRPr="002E2A48">
        <w:t>.</w:t>
      </w:r>
    </w:p>
    <w:p w14:paraId="5BBD52EC" w14:textId="561E1F07" w:rsidR="005B699B" w:rsidRPr="002E2A48" w:rsidRDefault="005B699B" w:rsidP="005B699B">
      <w:pPr>
        <w:pStyle w:val="Body"/>
      </w:pPr>
      <w:r w:rsidRPr="002E2A48">
        <w:t>The VVED provides patients, paramedics, and clinicians with access to emergency clinicians in the virtual equivalent of attending a physical emergency department. Patients receive clinical assessment, clinical advice, treatment and, where required, local referrals to appropriate services for ongoing management.</w:t>
      </w:r>
    </w:p>
    <w:p w14:paraId="0922FF7B" w14:textId="77777777" w:rsidR="005B699B" w:rsidRDefault="005B699B" w:rsidP="005B699B">
      <w:pPr>
        <w:pStyle w:val="Body"/>
      </w:pPr>
      <w:r w:rsidRPr="002E2A48">
        <w:t>Emergency departments and UCCs at local health services that provide emergency services are in scope for activity-based funding.</w:t>
      </w:r>
      <w:r>
        <w:t xml:space="preserve"> </w:t>
      </w:r>
    </w:p>
    <w:p w14:paraId="1EAFB9B3" w14:textId="77777777" w:rsidR="005B699B" w:rsidRDefault="005B699B" w:rsidP="005B699B">
      <w:pPr>
        <w:pStyle w:val="Body"/>
      </w:pPr>
      <w:r>
        <w:t xml:space="preserve">UCCs at small rural health services/multipurpose services and the VVED are funded via block grants. </w:t>
      </w:r>
    </w:p>
    <w:p w14:paraId="5673BB5A" w14:textId="77777777" w:rsidR="005B699B" w:rsidRPr="0011267A" w:rsidRDefault="005B699B" w:rsidP="001E4292">
      <w:pPr>
        <w:pStyle w:val="Heading2"/>
        <w:numPr>
          <w:ilvl w:val="1"/>
          <w:numId w:val="13"/>
        </w:numPr>
        <w:ind w:left="1134" w:hanging="1134"/>
      </w:pPr>
      <w:bookmarkStart w:id="1742" w:name="_Toc100263300"/>
      <w:bookmarkStart w:id="1743" w:name="_Toc165961825"/>
      <w:bookmarkStart w:id="1744" w:name="_Toc178963611"/>
      <w:r w:rsidRPr="0011267A">
        <w:t>Eligibility</w:t>
      </w:r>
      <w:bookmarkEnd w:id="1742"/>
      <w:bookmarkEnd w:id="1743"/>
      <w:bookmarkEnd w:id="1744"/>
    </w:p>
    <w:p w14:paraId="30E755CC" w14:textId="225C1385" w:rsidR="005B699B" w:rsidRDefault="005B699B" w:rsidP="005B699B">
      <w:pPr>
        <w:pStyle w:val="Body"/>
      </w:pPr>
      <w:r w:rsidRPr="00686E63">
        <w:t>Eligible facilities in scope for activity-based funding in the emergency care stream are</w:t>
      </w:r>
      <w:r>
        <w:t xml:space="preserve"> </w:t>
      </w:r>
      <w:r w:rsidRPr="00686E63">
        <w:t xml:space="preserve">all public health services that report activity data to the VEMD or </w:t>
      </w:r>
      <w:r>
        <w:t xml:space="preserve">the 12 UCCs at local health services that </w:t>
      </w:r>
      <w:r w:rsidRPr="00686E63">
        <w:t>report aggregate level data through the UCC form in AIMS.</w:t>
      </w:r>
      <w:r>
        <w:t xml:space="preserve"> See</w:t>
      </w:r>
      <w:r w:rsidR="00F30C16">
        <w:t xml:space="preserve"> </w:t>
      </w:r>
      <w:fldSimple w:instr="REF _Ref170115610  \* MERGEFORMAT">
        <w:r w:rsidR="00F30C16" w:rsidRPr="00F30C16">
          <w:t>Table 1.22: Price groups for NWAU purposes</w:t>
        </w:r>
      </w:fldSimple>
      <w:r w:rsidRPr="00F30C16">
        <w:t>.</w:t>
      </w:r>
    </w:p>
    <w:p w14:paraId="35D32E61" w14:textId="77777777" w:rsidR="005B699B" w:rsidRDefault="005B699B" w:rsidP="005B699B">
      <w:pPr>
        <w:pStyle w:val="Body"/>
      </w:pPr>
      <w:r>
        <w:t>Generally, public and private patients are in scope for activity-based funding and compensable patients are out of scope.</w:t>
      </w:r>
    </w:p>
    <w:p w14:paraId="01A70CB8" w14:textId="77777777" w:rsidR="005B699B" w:rsidRDefault="005B699B" w:rsidP="001E4292">
      <w:pPr>
        <w:pStyle w:val="Heading2"/>
        <w:numPr>
          <w:ilvl w:val="1"/>
          <w:numId w:val="13"/>
        </w:numPr>
        <w:ind w:left="1134" w:hanging="1134"/>
      </w:pPr>
      <w:bookmarkStart w:id="1745" w:name="_Toc100263301"/>
      <w:bookmarkStart w:id="1746" w:name="_Toc165961826"/>
      <w:bookmarkStart w:id="1747" w:name="_Toc178963612"/>
      <w:r>
        <w:t xml:space="preserve">Business </w:t>
      </w:r>
      <w:bookmarkEnd w:id="1745"/>
      <w:r>
        <w:t>rules</w:t>
      </w:r>
      <w:bookmarkEnd w:id="1746"/>
      <w:bookmarkEnd w:id="1747"/>
    </w:p>
    <w:p w14:paraId="009F9B48" w14:textId="77777777" w:rsidR="005B699B" w:rsidRDefault="005B699B" w:rsidP="005B699B">
      <w:pPr>
        <w:pStyle w:val="Body"/>
      </w:pPr>
      <w:r>
        <w:t>The unit of count for activity-based funding in emergency care is a presentation. It includes stays for patients who are treated and go home, and patients who are subsequently admitted to hospital or transferred to another facility for further care.</w:t>
      </w:r>
    </w:p>
    <w:p w14:paraId="0614C19F" w14:textId="77777777" w:rsidR="005B699B" w:rsidRDefault="005B699B" w:rsidP="001E4292">
      <w:pPr>
        <w:pStyle w:val="Heading3"/>
        <w:numPr>
          <w:ilvl w:val="2"/>
          <w:numId w:val="13"/>
        </w:numPr>
      </w:pPr>
      <w:r>
        <w:t>Patient classification</w:t>
      </w:r>
    </w:p>
    <w:p w14:paraId="6554B308" w14:textId="77777777" w:rsidR="005B699B" w:rsidRDefault="005B699B" w:rsidP="005B699B">
      <w:pPr>
        <w:pStyle w:val="Body"/>
      </w:pPr>
      <w:r>
        <w:t>Emergency department presentations will be classified according to the Australian Emergency Care Classification (AECC V1.0) system, which provides a summary of the complexity and type of patients treated within an emergency department.</w:t>
      </w:r>
    </w:p>
    <w:p w14:paraId="7D65294B" w14:textId="77777777" w:rsidR="005B699B" w:rsidRDefault="005B699B" w:rsidP="005B699B">
      <w:pPr>
        <w:pStyle w:val="Body"/>
      </w:pPr>
      <w:r>
        <w:lastRenderedPageBreak/>
        <w:t>UCC patient presentations are classified using the urgency disposition group (UDG V1.3) classification system.</w:t>
      </w:r>
    </w:p>
    <w:p w14:paraId="0B75B70F" w14:textId="77777777" w:rsidR="003701BB" w:rsidRPr="00D6364F" w:rsidRDefault="003701BB" w:rsidP="0013154B">
      <w:pPr>
        <w:pStyle w:val="Body"/>
      </w:pPr>
      <w:bookmarkStart w:id="1748" w:name="_Toc100263304"/>
      <w:bookmarkStart w:id="1749" w:name="_Toc165961827"/>
      <w:r>
        <w:br w:type="page"/>
      </w:r>
    </w:p>
    <w:p w14:paraId="2CEE1EDA" w14:textId="679CF527" w:rsidR="005B699B" w:rsidRPr="00A37C57" w:rsidRDefault="005B699B" w:rsidP="001E4292">
      <w:pPr>
        <w:pStyle w:val="Heading1"/>
        <w:numPr>
          <w:ilvl w:val="0"/>
          <w:numId w:val="13"/>
        </w:numPr>
      </w:pPr>
      <w:bookmarkStart w:id="1750" w:name="_Toc178963613"/>
      <w:r>
        <w:lastRenderedPageBreak/>
        <w:t xml:space="preserve">Non-admitted </w:t>
      </w:r>
      <w:bookmarkEnd w:id="1748"/>
      <w:r w:rsidRPr="00A37C57">
        <w:t>services</w:t>
      </w:r>
      <w:bookmarkEnd w:id="1749"/>
      <w:bookmarkEnd w:id="1750"/>
    </w:p>
    <w:p w14:paraId="46226DBB" w14:textId="68E4B788" w:rsidR="005B699B" w:rsidRDefault="005B699B" w:rsidP="005B699B">
      <w:pPr>
        <w:pStyle w:val="Body"/>
      </w:pPr>
      <w:r w:rsidRPr="00A37C57">
        <w:t>Non-admitted acute and subacute hospital services are delivered to public patients in a range of settings, including specialist clinics. This activity is reported on a patient-level basis through the VINAH minimum dataset. From 1 July 2021, there is a national requirement for non-admitted in-scope activity and cost data to be reported at a patient level. This supports the funding of public</w:t>
      </w:r>
      <w:r>
        <w:t xml:space="preserve"> hospital services, functions, and activities by the Commonwealth under the Addendum to the NHRA 2020–2025. </w:t>
      </w:r>
    </w:p>
    <w:p w14:paraId="32A34C87" w14:textId="0BF95A85" w:rsidR="002B3D5C" w:rsidRPr="003115EB" w:rsidRDefault="00977F89" w:rsidP="005B699B">
      <w:pPr>
        <w:pStyle w:val="Body"/>
      </w:pPr>
      <w:r w:rsidRPr="003115EB">
        <w:t xml:space="preserve">Health services </w:t>
      </w:r>
      <w:r w:rsidR="00B520E6" w:rsidRPr="003115EB" w:rsidDel="004A7294">
        <w:t xml:space="preserve">in scope for activity-based funding in the non-admitted stream </w:t>
      </w:r>
      <w:r w:rsidRPr="003115EB">
        <w:t>are advised that from 2025–26, aggregate non-admitted data submitted via AIMS will not be used for calculating health service achievement against NWAU target. Patient-level data will be required for the calculation of NWAU</w:t>
      </w:r>
      <w:r w:rsidR="00493043" w:rsidRPr="003115EB">
        <w:t xml:space="preserve"> </w:t>
      </w:r>
      <w:r w:rsidR="003D7975" w:rsidRPr="003115EB">
        <w:t xml:space="preserve">against target </w:t>
      </w:r>
      <w:r w:rsidR="00493043" w:rsidRPr="003115EB">
        <w:t>from 1 J</w:t>
      </w:r>
      <w:r w:rsidR="00451EB0">
        <w:t>anuary</w:t>
      </w:r>
      <w:r w:rsidR="00493043" w:rsidRPr="003115EB">
        <w:t xml:space="preserve"> 2025</w:t>
      </w:r>
      <w:r w:rsidR="00D872A5" w:rsidRPr="003115EB">
        <w:t>.</w:t>
      </w:r>
      <w:r w:rsidR="001E7DDA" w:rsidRPr="003115EB">
        <w:t xml:space="preserve"> </w:t>
      </w:r>
    </w:p>
    <w:p w14:paraId="31D88549" w14:textId="6C0DC305" w:rsidR="005B699B" w:rsidRDefault="005B699B" w:rsidP="005B699B">
      <w:pPr>
        <w:pStyle w:val="Body"/>
      </w:pPr>
      <w:r>
        <w:t>Health services having difficulty reporting to the VINAH minimum dataset can request to temporarily report to NADC, which was introduced in 2020–21.</w:t>
      </w:r>
      <w:r w:rsidR="000F3043">
        <w:t xml:space="preserve"> </w:t>
      </w:r>
      <w:r>
        <w:t xml:space="preserve">For further information on reporting to the NADC, email the </w:t>
      </w:r>
      <w:hyperlink r:id="rId54" w:history="1">
        <w:r w:rsidRPr="003F35E2">
          <w:rPr>
            <w:rStyle w:val="Hyperlink"/>
          </w:rPr>
          <w:t>HDSS Helpdesk</w:t>
        </w:r>
      </w:hyperlink>
      <w:r>
        <w:t xml:space="preserve"> &lt;</w:t>
      </w:r>
      <w:r w:rsidRPr="00AE6427">
        <w:t>hdss.helpdesk@health.vic.gov.au</w:t>
      </w:r>
      <w:r>
        <w:t>&gt;.</w:t>
      </w:r>
    </w:p>
    <w:p w14:paraId="5A7E2001" w14:textId="69CC6A50" w:rsidR="005B699B" w:rsidRPr="003B48D6" w:rsidRDefault="005B699B" w:rsidP="001E4292">
      <w:pPr>
        <w:pStyle w:val="Heading2"/>
        <w:numPr>
          <w:ilvl w:val="1"/>
          <w:numId w:val="13"/>
        </w:numPr>
        <w:ind w:left="1134" w:hanging="1134"/>
      </w:pPr>
      <w:bookmarkStart w:id="1751" w:name="_Toc100263305"/>
      <w:bookmarkStart w:id="1752" w:name="_Toc165961828"/>
      <w:bookmarkStart w:id="1753" w:name="_Toc178963614"/>
      <w:r w:rsidRPr="003B48D6">
        <w:t>Eligibility</w:t>
      </w:r>
      <w:bookmarkEnd w:id="1751"/>
      <w:bookmarkEnd w:id="1752"/>
      <w:bookmarkEnd w:id="1753"/>
    </w:p>
    <w:p w14:paraId="339EA214" w14:textId="0A21863B" w:rsidR="005B699B" w:rsidRDefault="005B699B" w:rsidP="005B699B">
      <w:pPr>
        <w:pStyle w:val="Body"/>
      </w:pPr>
      <w:r w:rsidDel="004A7294">
        <w:t>Eligible facilities in scope for activity-based funding in the non-admitted stream are all</w:t>
      </w:r>
      <w:r>
        <w:t xml:space="preserve"> public health services that report patient-level activity data to the VINAH minimum dataset or NADC</w:t>
      </w:r>
      <w:r w:rsidR="004A7294">
        <w:t>,</w:t>
      </w:r>
      <w:r>
        <w:t xml:space="preserve"> or report aggregate level data through AIMS S10, S11, S11A and S12 form.</w:t>
      </w:r>
    </w:p>
    <w:p w14:paraId="67BC9954" w14:textId="77777777" w:rsidR="005B699B" w:rsidRDefault="005B699B" w:rsidP="005B699B">
      <w:pPr>
        <w:pStyle w:val="Body"/>
      </w:pPr>
      <w:r>
        <w:t>Generally, public patients are in scope for activity-based funding and private and compensable patients are out of scope.</w:t>
      </w:r>
    </w:p>
    <w:p w14:paraId="495310F8" w14:textId="77777777" w:rsidR="005B699B" w:rsidRDefault="005B699B" w:rsidP="005B699B">
      <w:pPr>
        <w:pStyle w:val="Body"/>
      </w:pPr>
      <w:r w:rsidRPr="00A37C57">
        <w:t>Health services may operate parallel public NWAU-funded non-admitted clinics under the NHRA and</w:t>
      </w:r>
      <w:r w:rsidRPr="00A37C57" w:rsidDel="00FF5B8A">
        <w:t xml:space="preserve"> </w:t>
      </w:r>
      <w:r w:rsidRPr="00A37C57">
        <w:t>MBS-billed clinics. However,</w:t>
      </w:r>
      <w:r w:rsidRPr="00A37C57" w:rsidDel="00FF5B8A">
        <w:t xml:space="preserve"> </w:t>
      </w:r>
      <w:r w:rsidRPr="005663CE">
        <w:t>MBS-billed clinics are not funded under the NHRA and therefore not eligible for NWAU funding.</w:t>
      </w:r>
      <w:r>
        <w:t xml:space="preserve"> </w:t>
      </w:r>
    </w:p>
    <w:p w14:paraId="12BED1B0" w14:textId="77777777" w:rsidR="005B699B" w:rsidRDefault="005B699B" w:rsidP="001E4292">
      <w:pPr>
        <w:pStyle w:val="Heading3"/>
        <w:numPr>
          <w:ilvl w:val="2"/>
          <w:numId w:val="13"/>
        </w:numPr>
      </w:pPr>
      <w:bookmarkStart w:id="1754" w:name="_Ref87974150"/>
      <w:bookmarkStart w:id="1755" w:name="_Toc100263306"/>
      <w:bookmarkStart w:id="1756" w:name="_Toc165961829"/>
      <w:r>
        <w:t xml:space="preserve">Business </w:t>
      </w:r>
      <w:bookmarkEnd w:id="1754"/>
      <w:bookmarkEnd w:id="1755"/>
      <w:r>
        <w:t>rules</w:t>
      </w:r>
      <w:bookmarkEnd w:id="1756"/>
    </w:p>
    <w:p w14:paraId="3D7F0D60" w14:textId="77777777" w:rsidR="005B699B" w:rsidRPr="007F03EF" w:rsidRDefault="005B699B" w:rsidP="005B699B">
      <w:pPr>
        <w:pStyle w:val="Body"/>
      </w:pPr>
      <w:r w:rsidRPr="007F03EF">
        <w:t xml:space="preserve">The unit of count adopted for all non-admitted services is ‘service event’ as defined by the </w:t>
      </w:r>
      <w:hyperlink r:id="rId55" w:history="1">
        <w:r w:rsidRPr="007C6E92">
          <w:rPr>
            <w:rStyle w:val="Hyperlink"/>
          </w:rPr>
          <w:t>Non-admitted patient NBEDS 2024–25</w:t>
        </w:r>
      </w:hyperlink>
      <w:r>
        <w:t xml:space="preserve"> &lt;</w:t>
      </w:r>
      <w:r w:rsidRPr="00692AE5">
        <w:t>https://meteor.aihw.gov.au/content/775784</w:t>
      </w:r>
      <w:r>
        <w:t>&gt;.</w:t>
      </w:r>
    </w:p>
    <w:p w14:paraId="4E30FDCE" w14:textId="77777777" w:rsidR="005B699B" w:rsidRPr="007F03EF" w:rsidRDefault="005B699B" w:rsidP="005B699B">
      <w:pPr>
        <w:pStyle w:val="Body"/>
      </w:pPr>
      <w:r w:rsidRPr="007F03EF">
        <w:t xml:space="preserve">The </w:t>
      </w:r>
      <w:r>
        <w:t>‘</w:t>
      </w:r>
      <w:r w:rsidRPr="00A763AA">
        <w:t xml:space="preserve">Non-admitted patient NBEDS </w:t>
      </w:r>
      <w:r>
        <w:t>2024–25’</w:t>
      </w:r>
      <w:r w:rsidRPr="007F03EF">
        <w:rPr>
          <w:lang w:val="en-US"/>
        </w:rPr>
        <w:t xml:space="preserve"> </w:t>
      </w:r>
      <w:r w:rsidRPr="007F03EF">
        <w:t>defines a non-admitted patient service event as an interaction between one or more healthcare provider</w:t>
      </w:r>
      <w:r>
        <w:t>s</w:t>
      </w:r>
      <w:r w:rsidRPr="007F03EF">
        <w:t xml:space="preserve"> with one non-admitted patient. This event must contain therapeutic or clinical content and result in a dated entry in the patient’s medical record. </w:t>
      </w:r>
    </w:p>
    <w:p w14:paraId="4885B12F" w14:textId="0232FC34" w:rsidR="005B699B" w:rsidRDefault="005B699B" w:rsidP="005B699B">
      <w:pPr>
        <w:pStyle w:val="Body"/>
      </w:pPr>
      <w:r>
        <w:t xml:space="preserve">The counting rules specified in the ‘Non-admitted patient NBEDS’ are used to report activity nationally and to calculate NWAU. Read more about the non-admitted patient service event counting rules and examples of how these apply in the definitions manual under each annual </w:t>
      </w:r>
      <w:hyperlink r:id="rId56" w:history="1">
        <w:r w:rsidRPr="00F0373A">
          <w:rPr>
            <w:rStyle w:val="Hyperlink"/>
          </w:rPr>
          <w:t>Tier 2 publication</w:t>
        </w:r>
      </w:hyperlink>
      <w:r>
        <w:t xml:space="preserve"> &lt;</w:t>
      </w:r>
      <w:r w:rsidRPr="00445956">
        <w:t>https://www.ihacpa.gov.au/health-care/classification/non-admitted-care/tier-2-non-admitted-services-classification</w:t>
      </w:r>
      <w:r>
        <w:t>&gt;.</w:t>
      </w:r>
    </w:p>
    <w:p w14:paraId="4BEB40C0" w14:textId="77777777" w:rsidR="005B699B" w:rsidRPr="007F03EF" w:rsidRDefault="005B699B" w:rsidP="005B699B">
      <w:pPr>
        <w:pStyle w:val="Bodyafterbullets"/>
      </w:pPr>
      <w:r w:rsidRPr="00C54E76">
        <w:t xml:space="preserve">All public hospitals classified as an activity-based funded health service or small rural health service under the NHRA should register non-admitted clinics with the department. Clinics are registered in the Non-Admitted Clinic Management System (NACMS). This can be done via the </w:t>
      </w:r>
      <w:hyperlink r:id="rId57" w:history="1">
        <w:r w:rsidRPr="00301592">
          <w:rPr>
            <w:rStyle w:val="Hyperlink"/>
          </w:rPr>
          <w:t>HealthCollect portal</w:t>
        </w:r>
      </w:hyperlink>
      <w:r w:rsidRPr="00C54E76">
        <w:t xml:space="preserve"> &lt;https://www.healthcollect.vic.gov.au&gt;.</w:t>
      </w:r>
    </w:p>
    <w:p w14:paraId="1B1FD613" w14:textId="77777777" w:rsidR="005B699B" w:rsidRPr="007F03EF" w:rsidRDefault="005B699B" w:rsidP="001E4292">
      <w:pPr>
        <w:pStyle w:val="Heading3"/>
        <w:numPr>
          <w:ilvl w:val="2"/>
          <w:numId w:val="13"/>
        </w:numPr>
      </w:pPr>
      <w:bookmarkStart w:id="1757" w:name="_Ref142548897"/>
      <w:r w:rsidRPr="007F03EF">
        <w:lastRenderedPageBreak/>
        <w:t xml:space="preserve">Service </w:t>
      </w:r>
      <w:r>
        <w:t>e</w:t>
      </w:r>
      <w:r w:rsidRPr="007F03EF">
        <w:t xml:space="preserve">vent </w:t>
      </w:r>
      <w:r>
        <w:t>d</w:t>
      </w:r>
      <w:r w:rsidRPr="007F03EF">
        <w:t xml:space="preserve">erivation </w:t>
      </w:r>
      <w:bookmarkEnd w:id="1757"/>
      <w:r>
        <w:t>r</w:t>
      </w:r>
      <w:r w:rsidRPr="007F03EF">
        <w:t>ules</w:t>
      </w:r>
    </w:p>
    <w:p w14:paraId="2F6465F4" w14:textId="77777777" w:rsidR="005B699B" w:rsidRPr="007F03EF" w:rsidRDefault="005B699B" w:rsidP="005B699B">
      <w:pPr>
        <w:pStyle w:val="Body"/>
      </w:pPr>
      <w:r w:rsidRPr="007F03EF">
        <w:t>The VINAH minimum dataset collects information about services provided to non-admitted patients at the lowest level, which is a contact. For activity-based funding, multiple contacts for one patient delivered on the same day may be bundled into one service event. For further information on service event derivation rules</w:t>
      </w:r>
      <w:r>
        <w:t xml:space="preserve"> see section 2, ‘Concepts and derived items’ in the </w:t>
      </w:r>
      <w:hyperlink r:id="rId58" w:history="1">
        <w:r w:rsidRPr="000A5F12">
          <w:rPr>
            <w:rStyle w:val="Hyperlink"/>
          </w:rPr>
          <w:t>VINAH manual</w:t>
        </w:r>
      </w:hyperlink>
      <w:r>
        <w:t xml:space="preserve"> &lt;</w:t>
      </w:r>
      <w:r w:rsidRPr="00301592">
        <w:t>https://www.health.vic.gov.au/data-reporting/victorian-integrated-non-admitted-health-vinah-dataset</w:t>
      </w:r>
      <w:r>
        <w:t xml:space="preserve">&gt;. </w:t>
      </w:r>
    </w:p>
    <w:p w14:paraId="39A80D52" w14:textId="77777777" w:rsidR="005B699B" w:rsidRPr="007F03EF" w:rsidRDefault="005B699B" w:rsidP="001E4292">
      <w:pPr>
        <w:pStyle w:val="Heading3"/>
        <w:numPr>
          <w:ilvl w:val="2"/>
          <w:numId w:val="13"/>
        </w:numPr>
      </w:pPr>
      <w:bookmarkStart w:id="1758" w:name="_Ref142548853"/>
      <w:bookmarkStart w:id="1759" w:name="_Ref165637230"/>
      <w:r w:rsidRPr="007F03EF">
        <w:t xml:space="preserve">Patient </w:t>
      </w:r>
      <w:bookmarkEnd w:id="1758"/>
      <w:r>
        <w:t>c</w:t>
      </w:r>
      <w:r w:rsidRPr="007F03EF">
        <w:t>lassification</w:t>
      </w:r>
      <w:bookmarkEnd w:id="1759"/>
    </w:p>
    <w:p w14:paraId="7F13C7CB" w14:textId="77777777" w:rsidR="005B699B" w:rsidRPr="007F03EF" w:rsidRDefault="005B699B" w:rsidP="005B699B">
      <w:pPr>
        <w:pStyle w:val="Body"/>
      </w:pPr>
      <w:r w:rsidRPr="007F03EF">
        <w:t>Tier 2 non-admitted services classification (Tier 2)</w:t>
      </w:r>
      <w:r>
        <w:t xml:space="preserve"> is used to classify non-admitted activity.</w:t>
      </w:r>
      <w:r w:rsidRPr="007F03EF">
        <w:t xml:space="preserve"> Tier 2 is a broad clinic-based classification system that supports activity-based funding of non-admitted services in the Australian public hospital system.  </w:t>
      </w:r>
    </w:p>
    <w:p w14:paraId="34E4C21D" w14:textId="77777777" w:rsidR="005B699B" w:rsidRPr="007F03EF" w:rsidRDefault="005B699B" w:rsidP="005B699B">
      <w:pPr>
        <w:pStyle w:val="Body"/>
      </w:pPr>
      <w:r w:rsidRPr="007F03EF">
        <w:t>Tier 2 groups a hospital’s non-admitted services into classes to reflect generally the nature of the service provided and the type of clinician providing the service. The structure of the classification is first differentiated by the nature of the non-admitted service provided. The major categories are: </w:t>
      </w:r>
    </w:p>
    <w:p w14:paraId="46F7A6AE" w14:textId="77777777" w:rsidR="005B699B" w:rsidRPr="007F03EF" w:rsidRDefault="005B699B" w:rsidP="00CE12D2">
      <w:pPr>
        <w:pStyle w:val="Bullet1"/>
        <w:numPr>
          <w:ilvl w:val="0"/>
          <w:numId w:val="35"/>
        </w:numPr>
      </w:pPr>
      <w:r>
        <w:t>procedures</w:t>
      </w:r>
    </w:p>
    <w:p w14:paraId="25C23A61" w14:textId="77777777" w:rsidR="005B699B" w:rsidRPr="007F03EF" w:rsidRDefault="005B699B" w:rsidP="00CE12D2">
      <w:pPr>
        <w:pStyle w:val="Bullet1"/>
        <w:numPr>
          <w:ilvl w:val="0"/>
          <w:numId w:val="35"/>
        </w:numPr>
      </w:pPr>
      <w:r>
        <w:t>medical consultation services</w:t>
      </w:r>
    </w:p>
    <w:p w14:paraId="2746548F" w14:textId="77777777" w:rsidR="005B699B" w:rsidRPr="007F03EF" w:rsidRDefault="005B699B" w:rsidP="00CE12D2">
      <w:pPr>
        <w:pStyle w:val="Bullet1"/>
        <w:numPr>
          <w:ilvl w:val="0"/>
          <w:numId w:val="35"/>
        </w:numPr>
      </w:pPr>
      <w:r>
        <w:t>diagnostic services</w:t>
      </w:r>
    </w:p>
    <w:p w14:paraId="5026CA10" w14:textId="77777777" w:rsidR="005B699B" w:rsidRPr="007F03EF" w:rsidRDefault="005B699B" w:rsidP="00CE12D2">
      <w:pPr>
        <w:pStyle w:val="Bullet1"/>
        <w:numPr>
          <w:ilvl w:val="0"/>
          <w:numId w:val="35"/>
        </w:numPr>
      </w:pPr>
      <w:r>
        <w:t>allied health and/or clinical nurse specialist intervention services.</w:t>
      </w:r>
    </w:p>
    <w:p w14:paraId="7B22B907" w14:textId="77777777" w:rsidR="005B699B" w:rsidRPr="007F03EF" w:rsidRDefault="005B699B" w:rsidP="005B699B">
      <w:pPr>
        <w:pStyle w:val="Bodyafterbullets"/>
      </w:pPr>
      <w:r w:rsidRPr="007F03EF">
        <w:t xml:space="preserve">Classification rules guide </w:t>
      </w:r>
      <w:r>
        <w:t>to</w:t>
      </w:r>
      <w:r w:rsidRPr="007F03EF">
        <w:t xml:space="preserve"> which Tier 2 class a clinic should be classified. The IH</w:t>
      </w:r>
      <w:r>
        <w:t>AC</w:t>
      </w:r>
      <w:r w:rsidRPr="007F03EF">
        <w:t xml:space="preserve">PA has developed reference documents to assist with consistently allocating non-admitted services to a Tier 2 class:  </w:t>
      </w:r>
    </w:p>
    <w:p w14:paraId="7E212CFD" w14:textId="77A45502" w:rsidR="005B699B" w:rsidRDefault="005B699B" w:rsidP="00CE12D2">
      <w:pPr>
        <w:pStyle w:val="Bullet1"/>
        <w:numPr>
          <w:ilvl w:val="0"/>
          <w:numId w:val="36"/>
        </w:numPr>
      </w:pPr>
      <w:r w:rsidRPr="2572C34A">
        <w:t>Tier 2 non-admitted services definitions manual</w:t>
      </w:r>
    </w:p>
    <w:p w14:paraId="59C7D1E1" w14:textId="3EB62C7E" w:rsidR="005B699B" w:rsidRPr="00685B35" w:rsidRDefault="005B699B" w:rsidP="00CE12D2">
      <w:pPr>
        <w:pStyle w:val="Bullet1"/>
        <w:numPr>
          <w:ilvl w:val="0"/>
          <w:numId w:val="36"/>
        </w:numPr>
      </w:pPr>
      <w:r w:rsidRPr="00685B35">
        <w:t xml:space="preserve">Tier 2 </w:t>
      </w:r>
      <w:r>
        <w:t>n</w:t>
      </w:r>
      <w:r w:rsidRPr="00C83B7D">
        <w:t xml:space="preserve">on-admitted services compendium </w:t>
      </w:r>
    </w:p>
    <w:p w14:paraId="61CB9B33" w14:textId="77777777" w:rsidR="005B699B" w:rsidRPr="007F03EF" w:rsidRDefault="005B699B" w:rsidP="00CE12D2">
      <w:pPr>
        <w:pStyle w:val="Bullet1"/>
        <w:numPr>
          <w:ilvl w:val="0"/>
          <w:numId w:val="36"/>
        </w:numPr>
      </w:pPr>
      <w:r w:rsidRPr="00685B35">
        <w:t xml:space="preserve">Tier 2 </w:t>
      </w:r>
      <w:r w:rsidRPr="00C83B7D">
        <w:t>non-admitted services national index</w:t>
      </w:r>
      <w:r>
        <w:t>.</w:t>
      </w:r>
    </w:p>
    <w:p w14:paraId="5B0DD409" w14:textId="77777777" w:rsidR="005B699B" w:rsidRPr="007F03EF" w:rsidRDefault="005B699B" w:rsidP="005B699B">
      <w:pPr>
        <w:pStyle w:val="Bodyafterbullets"/>
      </w:pPr>
      <w:r w:rsidRPr="007F03EF">
        <w:t xml:space="preserve">Read more about the </w:t>
      </w:r>
      <w:hyperlink r:id="rId59" w:history="1">
        <w:r w:rsidRPr="007F03EF">
          <w:rPr>
            <w:rStyle w:val="Hyperlink"/>
          </w:rPr>
          <w:t>Tier 2 classification</w:t>
        </w:r>
      </w:hyperlink>
      <w:r w:rsidRPr="007F03EF">
        <w:t xml:space="preserve"> &lt;</w:t>
      </w:r>
      <w:r w:rsidRPr="00F20C48">
        <w:t xml:space="preserve"> https://www.ihacpa.gov.au/health-care/classification/non-admitted-care/tier-2-non-admitted-services-classification</w:t>
      </w:r>
      <w:r w:rsidRPr="007F03EF">
        <w:t>&gt;. </w:t>
      </w:r>
    </w:p>
    <w:p w14:paraId="3C8C3550" w14:textId="77777777" w:rsidR="005B699B" w:rsidRDefault="005B699B" w:rsidP="005B699B">
      <w:pPr>
        <w:pStyle w:val="Body"/>
      </w:pPr>
      <w:bookmarkStart w:id="1760" w:name="_Toc77711254"/>
      <w:bookmarkStart w:id="1761" w:name="_Toc484461866"/>
      <w:bookmarkStart w:id="1762" w:name="_Toc37934578"/>
      <w:bookmarkStart w:id="1763" w:name="_Toc10144528"/>
      <w:bookmarkStart w:id="1764" w:name="_Toc10144798"/>
      <w:bookmarkStart w:id="1765" w:name="_Toc10145068"/>
      <w:bookmarkStart w:id="1766" w:name="_Toc10199091"/>
      <w:bookmarkStart w:id="1767" w:name="_Toc10199360"/>
      <w:bookmarkStart w:id="1768" w:name="_Toc10199629"/>
      <w:bookmarkStart w:id="1769" w:name="_Toc10459884"/>
      <w:bookmarkStart w:id="1770" w:name="_Toc8919126"/>
      <w:bookmarkStart w:id="1771" w:name="_Toc8930643"/>
      <w:bookmarkStart w:id="1772" w:name="_Toc8931029"/>
      <w:bookmarkStart w:id="1773" w:name="_Toc8931373"/>
      <w:bookmarkStart w:id="1774" w:name="_Toc8931754"/>
      <w:bookmarkStart w:id="1775" w:name="_Toc9441702"/>
      <w:bookmarkStart w:id="1776" w:name="_Toc8919127"/>
      <w:bookmarkStart w:id="1777" w:name="_Toc8930644"/>
      <w:bookmarkStart w:id="1778" w:name="_Toc8931030"/>
      <w:bookmarkStart w:id="1779" w:name="_Toc8931374"/>
      <w:bookmarkStart w:id="1780" w:name="_Toc8931755"/>
      <w:bookmarkStart w:id="1781" w:name="_Toc9441703"/>
      <w:bookmarkStart w:id="1782" w:name="_Toc418694969"/>
      <w:bookmarkStart w:id="1783" w:name="_Toc6215623"/>
      <w:bookmarkStart w:id="1784" w:name="_Ref9935718"/>
      <w:bookmarkStart w:id="1785" w:name="_Ref9935756"/>
      <w:bookmarkStart w:id="1786" w:name="_Toc10199696"/>
      <w:bookmarkStart w:id="1787" w:name="_Toc52892596"/>
      <w:bookmarkStart w:id="1788" w:name="_Toc100263328"/>
      <w:bookmarkEnd w:id="1738"/>
      <w:bookmarkEnd w:id="1739"/>
      <w:bookmarkEnd w:id="1740"/>
      <w:bookmarkEnd w:id="1741"/>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br w:type="page"/>
      </w:r>
    </w:p>
    <w:p w14:paraId="69E601F2" w14:textId="77777777" w:rsidR="005B699B" w:rsidRDefault="005B699B" w:rsidP="001E4292">
      <w:pPr>
        <w:pStyle w:val="Heading1"/>
        <w:numPr>
          <w:ilvl w:val="0"/>
          <w:numId w:val="13"/>
        </w:numPr>
      </w:pPr>
      <w:bookmarkStart w:id="1789" w:name="_Toc100263277"/>
      <w:bookmarkStart w:id="1790" w:name="_Toc165961830"/>
      <w:bookmarkStart w:id="1791" w:name="_Toc178963615"/>
      <w:r>
        <w:lastRenderedPageBreak/>
        <w:t xml:space="preserve">National funding </w:t>
      </w:r>
      <w:bookmarkEnd w:id="1789"/>
      <w:r>
        <w:t>arrangements</w:t>
      </w:r>
      <w:bookmarkEnd w:id="1790"/>
      <w:bookmarkEnd w:id="1791"/>
    </w:p>
    <w:p w14:paraId="37E5907C" w14:textId="17BB2DEA" w:rsidR="005B699B" w:rsidRDefault="005B699B" w:rsidP="001E4292">
      <w:pPr>
        <w:pStyle w:val="Heading2"/>
        <w:numPr>
          <w:ilvl w:val="1"/>
          <w:numId w:val="13"/>
        </w:numPr>
        <w:ind w:left="1134" w:hanging="1134"/>
      </w:pPr>
      <w:bookmarkStart w:id="1792" w:name="_Ref165634918"/>
      <w:bookmarkStart w:id="1793" w:name="_Ref165634980"/>
      <w:bookmarkStart w:id="1794" w:name="_Ref165637179"/>
      <w:bookmarkStart w:id="1795" w:name="_Ref165637201"/>
      <w:bookmarkStart w:id="1796" w:name="_Toc165961831"/>
      <w:bookmarkStart w:id="1797" w:name="_Toc178963616"/>
      <w:r w:rsidRPr="00D02EC2">
        <w:t xml:space="preserve">National Funding </w:t>
      </w:r>
      <w:r w:rsidRPr="00773FB4">
        <w:t>Model</w:t>
      </w:r>
      <w:bookmarkEnd w:id="1792"/>
      <w:bookmarkEnd w:id="1793"/>
      <w:bookmarkEnd w:id="1794"/>
      <w:bookmarkEnd w:id="1795"/>
      <w:bookmarkEnd w:id="1796"/>
      <w:bookmarkEnd w:id="1797"/>
    </w:p>
    <w:p w14:paraId="4B14E787" w14:textId="44E7E81C" w:rsidR="00E9591E" w:rsidRDefault="00CA48D9" w:rsidP="005B699B">
      <w:pPr>
        <w:pStyle w:val="Body"/>
      </w:pPr>
      <w:r w:rsidRPr="00CA48D9">
        <w:t>The NHRA was signed by all first ministers in 2011. The NHRA sets out the shared intention of the Commonwealth, state and territory governments to improve health outcomes for all Australians, and the sustainability of the Australian health system in particular, through sustainable funding arrangements for public hospitals.</w:t>
      </w:r>
    </w:p>
    <w:p w14:paraId="7CE4AA47" w14:textId="61CA500F" w:rsidR="005B699B" w:rsidRDefault="005B699B" w:rsidP="005B699B">
      <w:pPr>
        <w:pStyle w:val="Body"/>
      </w:pPr>
      <w:r w:rsidRPr="0025494B">
        <w:t xml:space="preserve">The </w:t>
      </w:r>
      <w:r>
        <w:t xml:space="preserve">NHRA </w:t>
      </w:r>
      <w:r w:rsidRPr="0025494B">
        <w:t>establish</w:t>
      </w:r>
      <w:r>
        <w:t xml:space="preserve">es </w:t>
      </w:r>
      <w:r w:rsidRPr="0025494B">
        <w:t xml:space="preserve">a framework for </w:t>
      </w:r>
      <w:r>
        <w:t xml:space="preserve">accurately and transparently allocating </w:t>
      </w:r>
      <w:r w:rsidRPr="0025494B">
        <w:t xml:space="preserve">funding </w:t>
      </w:r>
      <w:r>
        <w:t xml:space="preserve">for Australian </w:t>
      </w:r>
      <w:r w:rsidRPr="0025494B">
        <w:t>public hospital services</w:t>
      </w:r>
      <w:r>
        <w:t>.</w:t>
      </w:r>
    </w:p>
    <w:p w14:paraId="6B655FB3" w14:textId="77777777" w:rsidR="005B699B" w:rsidRDefault="005B699B" w:rsidP="005B699B">
      <w:pPr>
        <w:pStyle w:val="Body"/>
      </w:pPr>
      <w:r>
        <w:t>In-scope public hospital services under the NHRA are:</w:t>
      </w:r>
    </w:p>
    <w:p w14:paraId="2B154440" w14:textId="77777777" w:rsidR="005B699B" w:rsidRPr="00773FB4" w:rsidRDefault="005B699B" w:rsidP="00CE12D2">
      <w:pPr>
        <w:pStyle w:val="Bullet1"/>
        <w:numPr>
          <w:ilvl w:val="0"/>
          <w:numId w:val="35"/>
        </w:numPr>
      </w:pPr>
      <w:r w:rsidRPr="00773FB4">
        <w:t>all admitted services, including hospital in the home programs</w:t>
      </w:r>
    </w:p>
    <w:p w14:paraId="69E80637" w14:textId="77777777" w:rsidR="005B699B" w:rsidRPr="00773FB4" w:rsidRDefault="005B699B" w:rsidP="00CE12D2">
      <w:pPr>
        <w:pStyle w:val="Bullet1"/>
        <w:numPr>
          <w:ilvl w:val="0"/>
          <w:numId w:val="35"/>
        </w:numPr>
      </w:pPr>
      <w:r w:rsidRPr="00773FB4">
        <w:t>all emergency department services provided by a recognised emergency department service</w:t>
      </w:r>
    </w:p>
    <w:p w14:paraId="05436A50" w14:textId="77777777" w:rsidR="005B699B" w:rsidRPr="00773FB4" w:rsidRDefault="005B699B" w:rsidP="00CE12D2">
      <w:pPr>
        <w:pStyle w:val="Bullet1"/>
        <w:numPr>
          <w:ilvl w:val="0"/>
          <w:numId w:val="35"/>
        </w:numPr>
      </w:pPr>
      <w:r w:rsidRPr="00773FB4">
        <w:t>other outpatient, mental health, subacute services and other services that could reasonably be considered a public hospital service in accordance with clauses A18 to A24.</w:t>
      </w:r>
    </w:p>
    <w:p w14:paraId="06523BFC" w14:textId="77777777" w:rsidR="005B699B" w:rsidRPr="006646FC" w:rsidRDefault="005B699B" w:rsidP="00C92D34">
      <w:pPr>
        <w:pStyle w:val="Bodyafterbullets"/>
      </w:pPr>
      <w:r w:rsidRPr="004A7294">
        <w:t>See</w:t>
      </w:r>
      <w:r w:rsidRPr="006646FC">
        <w:t xml:space="preserve"> the </w:t>
      </w:r>
      <w:hyperlink r:id="rId60" w:history="1">
        <w:r w:rsidRPr="009F4B94">
          <w:rPr>
            <w:rStyle w:val="Hyperlink"/>
          </w:rPr>
          <w:t>NHRA webpage</w:t>
        </w:r>
      </w:hyperlink>
      <w:r w:rsidRPr="006646FC">
        <w:t xml:space="preserve"> &lt;</w:t>
      </w:r>
      <w:hyperlink r:id="rId61" w:history="1">
        <w:r w:rsidRPr="006646FC">
          <w:t>https://www.health.gov.au/our-work/2020-25-national-health-reform-agreement-nhra</w:t>
        </w:r>
      </w:hyperlink>
      <w:r w:rsidRPr="006646FC">
        <w:t>&gt;</w:t>
      </w:r>
      <w:r>
        <w:t>.</w:t>
      </w:r>
    </w:p>
    <w:p w14:paraId="1BD3D983" w14:textId="77777777" w:rsidR="005B699B" w:rsidRDefault="005B699B" w:rsidP="001E4292">
      <w:pPr>
        <w:pStyle w:val="Heading3"/>
        <w:numPr>
          <w:ilvl w:val="2"/>
          <w:numId w:val="13"/>
        </w:numPr>
      </w:pPr>
      <w:bookmarkStart w:id="1798" w:name="_Toc164262613"/>
      <w:bookmarkStart w:id="1799" w:name="_Toc164262948"/>
      <w:bookmarkStart w:id="1800" w:name="_Toc100263278"/>
      <w:bookmarkEnd w:id="1798"/>
      <w:bookmarkEnd w:id="1799"/>
      <w:r>
        <w:t xml:space="preserve">Pricing framework for Australian </w:t>
      </w:r>
      <w:bookmarkEnd w:id="1800"/>
      <w:r>
        <w:t>public hospitals</w:t>
      </w:r>
    </w:p>
    <w:p w14:paraId="294C3B73" w14:textId="3BC0BF54" w:rsidR="005B699B" w:rsidRDefault="005B699B" w:rsidP="005B699B">
      <w:pPr>
        <w:pStyle w:val="Body"/>
      </w:pPr>
      <w:r>
        <w:t xml:space="preserve">The annual </w:t>
      </w:r>
      <w:r w:rsidRPr="00287747">
        <w:rPr>
          <w:i/>
        </w:rPr>
        <w:t xml:space="preserve">Pricing </w:t>
      </w:r>
      <w:r>
        <w:rPr>
          <w:i/>
          <w:iCs/>
        </w:rPr>
        <w:t>f</w:t>
      </w:r>
      <w:r w:rsidRPr="00AE6427">
        <w:rPr>
          <w:i/>
          <w:iCs/>
        </w:rPr>
        <w:t>ramework</w:t>
      </w:r>
      <w:r w:rsidRPr="00287747">
        <w:rPr>
          <w:i/>
        </w:rPr>
        <w:t xml:space="preserve"> for Australian </w:t>
      </w:r>
      <w:r>
        <w:rPr>
          <w:i/>
          <w:iCs/>
        </w:rPr>
        <w:t>p</w:t>
      </w:r>
      <w:r w:rsidRPr="00AE6427">
        <w:rPr>
          <w:i/>
          <w:iCs/>
        </w:rPr>
        <w:t xml:space="preserve">ublic </w:t>
      </w:r>
      <w:r>
        <w:rPr>
          <w:i/>
          <w:iCs/>
        </w:rPr>
        <w:t>h</w:t>
      </w:r>
      <w:r w:rsidRPr="00AE6427">
        <w:rPr>
          <w:i/>
          <w:iCs/>
        </w:rPr>
        <w:t xml:space="preserve">ospital </w:t>
      </w:r>
      <w:r>
        <w:rPr>
          <w:i/>
          <w:iCs/>
        </w:rPr>
        <w:t>s</w:t>
      </w:r>
      <w:r w:rsidRPr="00AE6427">
        <w:rPr>
          <w:i/>
          <w:iCs/>
        </w:rPr>
        <w:t>ervices</w:t>
      </w:r>
      <w:r>
        <w:t xml:space="preserve"> (the </w:t>
      </w:r>
      <w:r w:rsidR="004A7294">
        <w:t>framework</w:t>
      </w:r>
      <w:r>
        <w:t>) outlines the principles, scope and methodology adopted by the IHACPA to determine funding of in-scope public hospital services under the NHRA. The</w:t>
      </w:r>
      <w:r w:rsidDel="004A7294">
        <w:t xml:space="preserve"> </w:t>
      </w:r>
      <w:r w:rsidR="004A7294">
        <w:t xml:space="preserve">framework </w:t>
      </w:r>
      <w:r>
        <w:t xml:space="preserve">articulates activity-based funded and block funding approaches. The key difference between the two approaches is that the activity-based funding model calculates an efficient price per episode of care, while the block-funded model calculates an efficient cost for the hospital (see </w:t>
      </w:r>
      <w:r w:rsidR="004A7294">
        <w:t>‘</w:t>
      </w:r>
      <w:r>
        <w:fldChar w:fldCharType="begin"/>
      </w:r>
      <w:r>
        <w:instrText xml:space="preserve"> REF _Ref165637556 \h </w:instrText>
      </w:r>
      <w:r>
        <w:fldChar w:fldCharType="separate"/>
      </w:r>
      <w:r w:rsidR="00543255">
        <w:t>Activity-based funding</w:t>
      </w:r>
      <w:r>
        <w:fldChar w:fldCharType="end"/>
      </w:r>
      <w:r w:rsidR="004A7294">
        <w:t>’</w:t>
      </w:r>
      <w:r>
        <w:t xml:space="preserve"> and</w:t>
      </w:r>
      <w:r w:rsidDel="004A7294">
        <w:t xml:space="preserve"> </w:t>
      </w:r>
      <w:r w:rsidR="004A7294">
        <w:t>‘</w:t>
      </w:r>
      <w:r>
        <w:fldChar w:fldCharType="begin"/>
      </w:r>
      <w:r>
        <w:instrText xml:space="preserve"> REF _Ref111436628 \h </w:instrText>
      </w:r>
      <w:r>
        <w:fldChar w:fldCharType="separate"/>
      </w:r>
      <w:r w:rsidR="00543255">
        <w:t>Block funding</w:t>
      </w:r>
      <w:r>
        <w:fldChar w:fldCharType="end"/>
      </w:r>
      <w:r w:rsidR="004A7294">
        <w:t>’ in section 11.1</w:t>
      </w:r>
      <w:r>
        <w:t xml:space="preserve">). </w:t>
      </w:r>
      <w:r w:rsidR="004A7294">
        <w:t xml:space="preserve">Access further </w:t>
      </w:r>
      <w:r>
        <w:t xml:space="preserve">information on the </w:t>
      </w:r>
      <w:hyperlink r:id="rId62" w:history="1">
        <w:r w:rsidR="004A7294">
          <w:rPr>
            <w:rStyle w:val="Hyperlink"/>
          </w:rPr>
          <w:t>f</w:t>
        </w:r>
        <w:r w:rsidR="004A7294" w:rsidRPr="004C0CC5">
          <w:rPr>
            <w:rStyle w:val="Hyperlink"/>
          </w:rPr>
          <w:t>ramework</w:t>
        </w:r>
      </w:hyperlink>
      <w:r w:rsidR="004A7294">
        <w:t xml:space="preserve"> </w:t>
      </w:r>
      <w:r>
        <w:t>at the IHACPA website &lt;</w:t>
      </w:r>
      <w:r w:rsidRPr="004C0CC5">
        <w:t>https://www.ihacpa.gov.au/health-care/pricing/pricing-framework-australian-public-hospital-services</w:t>
      </w:r>
      <w:r>
        <w:t>&gt;.</w:t>
      </w:r>
    </w:p>
    <w:p w14:paraId="6C9181D7" w14:textId="77777777" w:rsidR="005B699B" w:rsidRPr="00EC1D86" w:rsidRDefault="005B699B" w:rsidP="001E4292">
      <w:pPr>
        <w:pStyle w:val="Heading3"/>
        <w:numPr>
          <w:ilvl w:val="2"/>
          <w:numId w:val="13"/>
        </w:numPr>
      </w:pPr>
      <w:bookmarkStart w:id="1801" w:name="_Ref165634770"/>
      <w:r w:rsidRPr="00EC1D86">
        <w:t>National price weight</w:t>
      </w:r>
      <w:bookmarkEnd w:id="1801"/>
    </w:p>
    <w:p w14:paraId="252F17DB" w14:textId="77777777" w:rsidR="005B699B" w:rsidRPr="00EC1D86" w:rsidRDefault="005B699B" w:rsidP="005B699B">
      <w:pPr>
        <w:pStyle w:val="Body"/>
      </w:pPr>
      <w:r w:rsidRPr="00EC1D86">
        <w:t xml:space="preserve">Activity under the national model is measured in terms of the NWAU, which is a measure of health service activity expressed as a common unit against which a price is paid. The price weight per activity unit is calculated by the </w:t>
      </w:r>
      <w:r>
        <w:t>IHACPA</w:t>
      </w:r>
      <w:r w:rsidRPr="00EC1D86">
        <w:t xml:space="preserve"> through a staged process. </w:t>
      </w:r>
    </w:p>
    <w:p w14:paraId="1AB3050D" w14:textId="77777777" w:rsidR="005B699B" w:rsidRPr="00EC1D86" w:rsidRDefault="005B699B" w:rsidP="005B699B">
      <w:pPr>
        <w:pStyle w:val="Body"/>
      </w:pPr>
      <w:r w:rsidRPr="00EC1D86">
        <w:t>The process involves the calculation of cost-model parameters and then cost-weight values, by dividing the cost-model parameters by a reference cost. The cost-weight values, simply expressed, are the ratio of the average cost of all episodes in an AR-DRG to the average cost of all episodes across all DRGs. National price weights are derived once out-of-scope costs and activity are excluded, a reference (or average) cost is calculated, and model indexation rate is derived using the time series national hospital cost data collection. The Independent Health and Pricing Authority also determines adjustments to the NWAU.</w:t>
      </w:r>
    </w:p>
    <w:p w14:paraId="60D58B0D" w14:textId="7774F9C1" w:rsidR="005B699B" w:rsidRDefault="005B699B" w:rsidP="005B699B">
      <w:pPr>
        <w:pStyle w:val="Body"/>
      </w:pPr>
      <w:r w:rsidRPr="00EC1D86">
        <w:lastRenderedPageBreak/>
        <w:t xml:space="preserve">Additional detail describing the transformation of cost parameters to price weights and adjustments can be found in the </w:t>
      </w:r>
      <w:hyperlink r:id="rId63" w:history="1">
        <w:r w:rsidR="007C5676">
          <w:rPr>
            <w:rStyle w:val="Hyperlink"/>
          </w:rPr>
          <w:t>NEP</w:t>
        </w:r>
        <w:r w:rsidR="002B0B97" w:rsidRPr="000431EB">
          <w:rPr>
            <w:rStyle w:val="Hyperlink"/>
          </w:rPr>
          <w:t xml:space="preserve"> determination</w:t>
        </w:r>
      </w:hyperlink>
      <w:r w:rsidR="004A7294">
        <w:fldChar w:fldCharType="begin"/>
      </w:r>
      <w:r w:rsidR="004A7294">
        <w:fldChar w:fldCharType="separate"/>
      </w:r>
      <w:r w:rsidR="004A7294">
        <w:rPr>
          <w:rStyle w:val="Hyperlink"/>
        </w:rPr>
        <w:t>NEP</w:t>
      </w:r>
      <w:r w:rsidR="004A7294" w:rsidRPr="00EE33C7">
        <w:rPr>
          <w:rStyle w:val="Hyperlink"/>
        </w:rPr>
        <w:t xml:space="preserve"> </w:t>
      </w:r>
      <w:r w:rsidR="004A7294">
        <w:rPr>
          <w:rStyle w:val="Hyperlink"/>
        </w:rPr>
        <w:t>d</w:t>
      </w:r>
      <w:r w:rsidR="004A7294" w:rsidRPr="00EE33C7">
        <w:rPr>
          <w:rStyle w:val="Hyperlink"/>
        </w:rPr>
        <w:t xml:space="preserve">etermination and </w:t>
      </w:r>
      <w:r w:rsidR="004A7294">
        <w:rPr>
          <w:rStyle w:val="Hyperlink"/>
        </w:rPr>
        <w:t>t</w:t>
      </w:r>
      <w:r w:rsidR="004A7294" w:rsidRPr="00EE33C7">
        <w:rPr>
          <w:rStyle w:val="Hyperlink"/>
        </w:rPr>
        <w:t xml:space="preserve">echnical </w:t>
      </w:r>
      <w:r w:rsidR="004A7294">
        <w:rPr>
          <w:rStyle w:val="Hyperlink"/>
        </w:rPr>
        <w:t>s</w:t>
      </w:r>
      <w:r w:rsidR="004A7294" w:rsidRPr="00EE33C7">
        <w:rPr>
          <w:rStyle w:val="Hyperlink"/>
        </w:rPr>
        <w:t>pecifications</w:t>
      </w:r>
      <w:r w:rsidR="004A7294">
        <w:rPr>
          <w:rStyle w:val="Hyperlink"/>
        </w:rPr>
        <w:fldChar w:fldCharType="end"/>
      </w:r>
      <w:r w:rsidRPr="00EC1D86">
        <w:t xml:space="preserve"> &lt;</w:t>
      </w:r>
      <w:r w:rsidRPr="00EE33C7">
        <w:t>https://www.ihacpa.gov.au/health-care/pricing/national-efficient-price-determination</w:t>
      </w:r>
      <w:r w:rsidRPr="00EC1D86">
        <w:t>&gt;.</w:t>
      </w:r>
    </w:p>
    <w:p w14:paraId="7B446EED" w14:textId="77777777" w:rsidR="005B699B" w:rsidRDefault="005B699B" w:rsidP="001E4292">
      <w:pPr>
        <w:pStyle w:val="Heading3"/>
        <w:numPr>
          <w:ilvl w:val="2"/>
          <w:numId w:val="13"/>
        </w:numPr>
      </w:pPr>
      <w:bookmarkStart w:id="1802" w:name="_Ref111436568"/>
      <w:bookmarkStart w:id="1803" w:name="_Ref165637556"/>
      <w:r>
        <w:t>Activity-based funding</w:t>
      </w:r>
      <w:bookmarkEnd w:id="1802"/>
      <w:bookmarkEnd w:id="1803"/>
    </w:p>
    <w:p w14:paraId="0B6067F2" w14:textId="77777777" w:rsidR="005B699B" w:rsidRDefault="005B699B" w:rsidP="005B699B">
      <w:pPr>
        <w:pStyle w:val="Body"/>
      </w:pPr>
      <w:r>
        <w:t xml:space="preserve">In </w:t>
      </w:r>
      <w:r w:rsidRPr="001725DF">
        <w:t>202</w:t>
      </w:r>
      <w:r>
        <w:t>4–25,</w:t>
      </w:r>
      <w:r w:rsidRPr="00110B89">
        <w:rPr>
          <w:lang w:val="en-US"/>
        </w:rPr>
        <w:t xml:space="preserve"> </w:t>
      </w:r>
      <w:r>
        <w:t xml:space="preserve">the in-scope public hospital services that will be funded by the Commonwealth through activity-based funding under the </w:t>
      </w:r>
      <w:r w:rsidRPr="00BF78E4">
        <w:rPr>
          <w:iCs/>
        </w:rPr>
        <w:t>NHRA</w:t>
      </w:r>
      <w:r>
        <w:t xml:space="preserve"> are:</w:t>
      </w:r>
    </w:p>
    <w:p w14:paraId="0C806D55" w14:textId="77777777" w:rsidR="005B699B" w:rsidRPr="006C5B1C" w:rsidRDefault="005B699B" w:rsidP="00EA18DD">
      <w:pPr>
        <w:pStyle w:val="Bullet1"/>
      </w:pPr>
      <w:r w:rsidRPr="006C5B1C">
        <w:t>admitted acute patient services, including Hospital in the Home</w:t>
      </w:r>
    </w:p>
    <w:p w14:paraId="35EF151F" w14:textId="77777777" w:rsidR="005B699B" w:rsidRPr="006C5B1C" w:rsidRDefault="005B699B" w:rsidP="00EA18DD">
      <w:pPr>
        <w:pStyle w:val="Bullet1"/>
      </w:pPr>
      <w:r w:rsidRPr="006C5B1C">
        <w:t>admitted subacute services</w:t>
      </w:r>
    </w:p>
    <w:p w14:paraId="300A056D" w14:textId="77777777" w:rsidR="005B699B" w:rsidRPr="006C5B1C" w:rsidRDefault="005B699B" w:rsidP="00EA18DD">
      <w:pPr>
        <w:pStyle w:val="Bullet1"/>
      </w:pPr>
      <w:r w:rsidRPr="006C5B1C">
        <w:t>admitted mental health services</w:t>
      </w:r>
    </w:p>
    <w:p w14:paraId="0B7F0529" w14:textId="77777777" w:rsidR="005B699B" w:rsidRPr="006C5B1C" w:rsidRDefault="005B699B" w:rsidP="00EA18DD">
      <w:pPr>
        <w:pStyle w:val="Bullet1"/>
      </w:pPr>
      <w:r w:rsidRPr="006C5B1C">
        <w:t>non-admitted acute and non-admitted subacute patient services</w:t>
      </w:r>
    </w:p>
    <w:p w14:paraId="22F5B237" w14:textId="77777777" w:rsidR="005B699B" w:rsidRPr="006C5B1C" w:rsidRDefault="005B699B" w:rsidP="00EA18DD">
      <w:pPr>
        <w:pStyle w:val="Bullet1"/>
      </w:pPr>
      <w:r w:rsidRPr="006C5B1C">
        <w:t>emergency department and emergency services.</w:t>
      </w:r>
    </w:p>
    <w:p w14:paraId="46C2A3EC" w14:textId="743EFBAC" w:rsidR="005B699B" w:rsidRDefault="005B699B" w:rsidP="003C5DE7">
      <w:pPr>
        <w:pStyle w:val="Bodyafterbullets"/>
      </w:pPr>
      <w:r>
        <w:t xml:space="preserve">The national funding model uses </w:t>
      </w:r>
      <w:r w:rsidR="004A7294">
        <w:t>various</w:t>
      </w:r>
      <w:r>
        <w:t xml:space="preserve"> classification systems to express the relative cost weights in terms of NWAUs for each ‘group’ of activity-based funding services. The national classification systems used to group patients for each activity-based funding service are:</w:t>
      </w:r>
    </w:p>
    <w:p w14:paraId="34177A90" w14:textId="4A6EF3CA" w:rsidR="005B699B" w:rsidRPr="00E07A51" w:rsidRDefault="005B699B" w:rsidP="009D7615">
      <w:pPr>
        <w:pStyle w:val="Bullet1"/>
      </w:pPr>
      <w:r w:rsidRPr="00E07A51">
        <w:t xml:space="preserve">admitted acute patient services – AR-DRG </w:t>
      </w:r>
      <w:r w:rsidR="004A7294">
        <w:t>v</w:t>
      </w:r>
      <w:r w:rsidR="004A7294" w:rsidRPr="00E07A51">
        <w:t xml:space="preserve">ersion </w:t>
      </w:r>
      <w:r w:rsidRPr="00E07A51">
        <w:t>11.0</w:t>
      </w:r>
    </w:p>
    <w:p w14:paraId="03C5BA63" w14:textId="396FB575" w:rsidR="005B699B" w:rsidRPr="00E07A51" w:rsidRDefault="005B699B" w:rsidP="00EA18DD">
      <w:pPr>
        <w:pStyle w:val="Bullet1"/>
      </w:pPr>
      <w:r w:rsidRPr="00E07A51">
        <w:t>emergency department services –</w:t>
      </w:r>
      <w:r w:rsidR="00BA28EF">
        <w:t xml:space="preserve"> </w:t>
      </w:r>
      <w:r w:rsidRPr="00E07A51">
        <w:t xml:space="preserve">AECC </w:t>
      </w:r>
      <w:r w:rsidR="004A7294">
        <w:t>v</w:t>
      </w:r>
      <w:r w:rsidR="004A7294" w:rsidRPr="00E07A51">
        <w:t xml:space="preserve">ersion </w:t>
      </w:r>
      <w:r w:rsidRPr="00E07A51">
        <w:t xml:space="preserve">1.0 (for recognised emergency departments at levels 3B–6) and </w:t>
      </w:r>
      <w:r w:rsidR="004A7294" w:rsidRPr="00E07A51">
        <w:t xml:space="preserve">urgency disposition groups </w:t>
      </w:r>
      <w:r w:rsidRPr="00E07A51">
        <w:t xml:space="preserve">(UDGs) </w:t>
      </w:r>
      <w:r w:rsidR="004A7294">
        <w:t>v</w:t>
      </w:r>
      <w:r w:rsidR="004A7294" w:rsidRPr="00E07A51">
        <w:t xml:space="preserve">ersion </w:t>
      </w:r>
      <w:r w:rsidRPr="00E07A51">
        <w:t>1.3 (for recognised emergency departments at levels 1–3A)</w:t>
      </w:r>
    </w:p>
    <w:p w14:paraId="538C13CC" w14:textId="0775489F" w:rsidR="005B699B" w:rsidRPr="00E07A51" w:rsidRDefault="005B699B" w:rsidP="00EA18DD">
      <w:pPr>
        <w:pStyle w:val="Bullet1"/>
      </w:pPr>
      <w:r w:rsidRPr="00E07A51">
        <w:t xml:space="preserve">admitted mental health </w:t>
      </w:r>
      <w:r>
        <w:t xml:space="preserve">services </w:t>
      </w:r>
      <w:r w:rsidR="004A7294">
        <w:t>–</w:t>
      </w:r>
      <w:r w:rsidR="00BA28EF">
        <w:t xml:space="preserve"> </w:t>
      </w:r>
      <w:r w:rsidRPr="00E07A51">
        <w:t>AMHCC version 1.0</w:t>
      </w:r>
    </w:p>
    <w:p w14:paraId="3FE05CEA" w14:textId="1DF7E4A6" w:rsidR="005B699B" w:rsidRPr="00E07A51" w:rsidRDefault="005B699B" w:rsidP="00EA18DD">
      <w:pPr>
        <w:pStyle w:val="Bullet1"/>
      </w:pPr>
      <w:r w:rsidRPr="00E07A51">
        <w:t xml:space="preserve">non-admitted patient services – </w:t>
      </w:r>
      <w:r w:rsidR="0082266F">
        <w:t>Tier</w:t>
      </w:r>
      <w:r w:rsidR="004A7294" w:rsidRPr="00E07A51">
        <w:t xml:space="preserve"> </w:t>
      </w:r>
      <w:r w:rsidRPr="00E07A51">
        <w:t xml:space="preserve">2 </w:t>
      </w:r>
      <w:r w:rsidR="004A7294">
        <w:t>n</w:t>
      </w:r>
      <w:r w:rsidR="004A7294" w:rsidRPr="00E07A51">
        <w:t>on</w:t>
      </w:r>
      <w:r w:rsidRPr="00E07A51">
        <w:t>-</w:t>
      </w:r>
      <w:r w:rsidR="004A7294">
        <w:t>a</w:t>
      </w:r>
      <w:r w:rsidR="004A7294" w:rsidRPr="00E07A51">
        <w:t xml:space="preserve">dmitted </w:t>
      </w:r>
      <w:r w:rsidR="004A7294">
        <w:t>s</w:t>
      </w:r>
      <w:r w:rsidR="004A7294" w:rsidRPr="00E07A51">
        <w:t xml:space="preserve">ervices </w:t>
      </w:r>
      <w:r w:rsidRPr="00E07A51">
        <w:t>version 9.0</w:t>
      </w:r>
    </w:p>
    <w:p w14:paraId="1D5954C0" w14:textId="789D8B41" w:rsidR="005B699B" w:rsidRPr="00E07A51" w:rsidRDefault="005B699B" w:rsidP="00EA18DD">
      <w:pPr>
        <w:pStyle w:val="Bullet1"/>
      </w:pPr>
      <w:r w:rsidRPr="00E07A51">
        <w:t>admitted subacute and non-acute patient services –</w:t>
      </w:r>
      <w:r w:rsidR="009D7615">
        <w:t xml:space="preserve"> </w:t>
      </w:r>
      <w:r w:rsidRPr="00E07A51">
        <w:t>AN-SNAP version 5.0.</w:t>
      </w:r>
    </w:p>
    <w:p w14:paraId="07151821" w14:textId="77777777" w:rsidR="005B699B" w:rsidRDefault="005B699B" w:rsidP="001E4292">
      <w:pPr>
        <w:pStyle w:val="Heading3"/>
        <w:numPr>
          <w:ilvl w:val="2"/>
          <w:numId w:val="13"/>
        </w:numPr>
      </w:pPr>
      <w:bookmarkStart w:id="1804" w:name="_Ref111436628"/>
      <w:r>
        <w:t>Block funding</w:t>
      </w:r>
      <w:bookmarkEnd w:id="1804"/>
    </w:p>
    <w:p w14:paraId="4F4B5D50" w14:textId="3E9D113B" w:rsidR="005B699B" w:rsidRDefault="005B699B" w:rsidP="005F7E11">
      <w:pPr>
        <w:pStyle w:val="Body"/>
      </w:pPr>
      <w:r>
        <w:t xml:space="preserve">The national </w:t>
      </w:r>
      <w:r w:rsidR="00B53BFC">
        <w:t>funding</w:t>
      </w:r>
      <w:r>
        <w:t xml:space="preserve"> model recognises that activity-based funding may not always be practicable and that some services will need to be </w:t>
      </w:r>
      <w:r w:rsidRPr="004A7294">
        <w:t>funded</w:t>
      </w:r>
      <w:r>
        <w:t xml:space="preserve"> on a block-grant basis. </w:t>
      </w:r>
    </w:p>
    <w:p w14:paraId="1947B02A" w14:textId="77777777" w:rsidR="005B699B" w:rsidRDefault="005B699B" w:rsidP="005B699B">
      <w:pPr>
        <w:pStyle w:val="Body"/>
      </w:pPr>
      <w:r>
        <w:t>In 2024–25, IHACPA has determined that small rural health services and the following services in activity-based funded health services hospitals are eligible for block funding as the technical requirements for applying activity-based funding are not able to be satisfied:</w:t>
      </w:r>
    </w:p>
    <w:p w14:paraId="6E3DF686" w14:textId="77777777" w:rsidR="005B699B" w:rsidRPr="00100A8D" w:rsidRDefault="005B699B" w:rsidP="00EA18DD">
      <w:pPr>
        <w:pStyle w:val="Bullet1"/>
      </w:pPr>
      <w:r w:rsidRPr="00C14635">
        <w:t>teaching, training and research</w:t>
      </w:r>
    </w:p>
    <w:p w14:paraId="5A276684" w14:textId="77777777" w:rsidR="005B699B" w:rsidRPr="00100A8D" w:rsidRDefault="005B699B" w:rsidP="00EA18DD">
      <w:pPr>
        <w:pStyle w:val="Bullet1"/>
      </w:pPr>
      <w:r w:rsidRPr="00C14635">
        <w:t>non-admitted mental health services, including non-admitted child and adolescent mental health services</w:t>
      </w:r>
    </w:p>
    <w:p w14:paraId="3494CF1D" w14:textId="77777777" w:rsidR="005B699B" w:rsidRPr="00100A8D" w:rsidRDefault="005B699B" w:rsidP="00EA18DD">
      <w:pPr>
        <w:pStyle w:val="Bullet1"/>
      </w:pPr>
      <w:r w:rsidRPr="00C14635">
        <w:t>residential mental health services</w:t>
      </w:r>
    </w:p>
    <w:p w14:paraId="4BDA5A5C" w14:textId="5EFCD4A8" w:rsidR="005B699B" w:rsidRPr="00100A8D" w:rsidRDefault="005B699B" w:rsidP="00EA18DD">
      <w:pPr>
        <w:pStyle w:val="Bullet1"/>
      </w:pPr>
      <w:r w:rsidRPr="00C14635">
        <w:t xml:space="preserve">non-admitted home ventilation services (as defined by the </w:t>
      </w:r>
      <w:r w:rsidR="008C2829">
        <w:t>Tier</w:t>
      </w:r>
      <w:r w:rsidR="004A7294" w:rsidRPr="00C14635">
        <w:t xml:space="preserve"> 2 non-admitted services classification version</w:t>
      </w:r>
      <w:r w:rsidRPr="00C14635">
        <w:t xml:space="preserve"> 9.0 class 10.19)</w:t>
      </w:r>
    </w:p>
    <w:p w14:paraId="12C95890" w14:textId="1E64FAE5" w:rsidR="005B699B" w:rsidRPr="00100A8D" w:rsidRDefault="005B699B" w:rsidP="00EA18DD">
      <w:pPr>
        <w:pStyle w:val="Bullet1"/>
      </w:pPr>
      <w:r w:rsidRPr="00C14635">
        <w:t>high-cost, highly specialised therapies</w:t>
      </w:r>
    </w:p>
    <w:p w14:paraId="51573752" w14:textId="58145F86" w:rsidR="005B699B" w:rsidRPr="00100A8D" w:rsidRDefault="005B699B" w:rsidP="00EA18DD">
      <w:pPr>
        <w:pStyle w:val="Bullet1"/>
      </w:pPr>
      <w:r w:rsidRPr="00C14635">
        <w:t xml:space="preserve">services not otherwise priced under </w:t>
      </w:r>
      <w:r w:rsidR="004A7294">
        <w:t>c</w:t>
      </w:r>
      <w:r w:rsidRPr="00C14635">
        <w:t>lause A17 of the NHRA</w:t>
      </w:r>
    </w:p>
    <w:p w14:paraId="19F228AC" w14:textId="1B03DCB0" w:rsidR="005B699B" w:rsidRPr="00100A8D" w:rsidRDefault="005B699B" w:rsidP="00EA18DD">
      <w:pPr>
        <w:pStyle w:val="Bullet1"/>
      </w:pPr>
      <w:r w:rsidRPr="00C14635">
        <w:t xml:space="preserve">other public hospital programs approved by IHACPA for inclusion on the </w:t>
      </w:r>
      <w:r w:rsidR="004A7294" w:rsidRPr="00C14635">
        <w:t>general list of in-scope public hospital services f</w:t>
      </w:r>
      <w:r w:rsidRPr="00C14635">
        <w:t>or 2024–25, including telehealth video consultations delivered by emergency departments.</w:t>
      </w:r>
    </w:p>
    <w:p w14:paraId="7A0F06D4" w14:textId="77777777" w:rsidR="005B699B" w:rsidRPr="003F2312" w:rsidRDefault="005B699B" w:rsidP="001E4292">
      <w:pPr>
        <w:pStyle w:val="Heading2"/>
        <w:numPr>
          <w:ilvl w:val="1"/>
          <w:numId w:val="13"/>
        </w:numPr>
        <w:ind w:left="1134" w:hanging="1134"/>
      </w:pPr>
      <w:bookmarkStart w:id="1805" w:name="_Ref77679727"/>
      <w:bookmarkStart w:id="1806" w:name="_Toc165961832"/>
      <w:bookmarkStart w:id="1807" w:name="_Toc178963617"/>
      <w:r>
        <w:lastRenderedPageBreak/>
        <w:t xml:space="preserve">Payment flows under the </w:t>
      </w:r>
      <w:r w:rsidRPr="0009796D">
        <w:t>national</w:t>
      </w:r>
      <w:r>
        <w:t xml:space="preserve"> funding approach</w:t>
      </w:r>
      <w:bookmarkEnd w:id="1805"/>
      <w:bookmarkEnd w:id="1806"/>
      <w:bookmarkEnd w:id="1807"/>
    </w:p>
    <w:p w14:paraId="2D85E3A2" w14:textId="751B98D5" w:rsidR="005B699B" w:rsidRPr="004B3FD8" w:rsidRDefault="005B699B" w:rsidP="005B699B">
      <w:pPr>
        <w:pStyle w:val="Body"/>
      </w:pPr>
      <w:r>
        <w:t xml:space="preserve">Commonwealth activity-based funding flows to health services through Victoria’s State Pool Account managed by the Administrator of the National Health Funding Pool. The Administrator (established as an independent statutory office holder) oversees both the Commonwealth and state and territory funding of the public hospital services </w:t>
      </w:r>
      <w:r w:rsidR="004A7294">
        <w:t xml:space="preserve">within the scope of </w:t>
      </w:r>
      <w:r>
        <w:t>the NHRA</w:t>
      </w:r>
      <w:r w:rsidR="004A7294">
        <w:t>. It</w:t>
      </w:r>
      <w:r w:rsidDel="004A7294">
        <w:t xml:space="preserve"> </w:t>
      </w:r>
      <w:r>
        <w:t>publicly reports on funding provided to each health service and for which services.</w:t>
      </w:r>
    </w:p>
    <w:p w14:paraId="373BFB69" w14:textId="7A7FE8D8" w:rsidR="005B699B" w:rsidRPr="00860197" w:rsidRDefault="005B699B" w:rsidP="00795F6A">
      <w:pPr>
        <w:pStyle w:val="Body"/>
      </w:pPr>
      <w:r>
        <w:t xml:space="preserve">As system manager, the Victorian Government instructs when payments are to be made out of the pool in accordance with the activity levels agreed between the state and each health service in their Statement of Priorities. The Victorian Government will continue to manage National Health Reform block funding for block-funded services and hospitals, including small rural services. Block-funded payments will be paid to health services by the department through the </w:t>
      </w:r>
      <w:hyperlink r:id="rId64" w:history="1">
        <w:r w:rsidRPr="00795F6A">
          <w:rPr>
            <w:rStyle w:val="Hyperlink"/>
          </w:rPr>
          <w:t>State</w:t>
        </w:r>
        <w:r w:rsidR="004A7294" w:rsidRPr="00795F6A">
          <w:rPr>
            <w:rStyle w:val="Hyperlink"/>
          </w:rPr>
          <w:t xml:space="preserve"> </w:t>
        </w:r>
        <w:r w:rsidRPr="00795F6A">
          <w:rPr>
            <w:rStyle w:val="Hyperlink"/>
          </w:rPr>
          <w:t>Managed Fund</w:t>
        </w:r>
      </w:hyperlink>
      <w:r>
        <w:t xml:space="preserve"> </w:t>
      </w:r>
      <w:r w:rsidR="00795F6A">
        <w:t>&lt;</w:t>
      </w:r>
      <w:r w:rsidR="00795F6A" w:rsidRPr="00795F6A">
        <w:t>https://www.publichospitalfunding.gov.au/public-hospital-funding/pay</w:t>
      </w:r>
      <w:r w:rsidR="00795F6A">
        <w:t xml:space="preserve">&gt;. </w:t>
      </w:r>
    </w:p>
    <w:p w14:paraId="1328BAF2" w14:textId="77777777" w:rsidR="005B699B" w:rsidRDefault="005B699B" w:rsidP="00A528F7">
      <w:pPr>
        <w:pStyle w:val="Bodyafterbullets"/>
        <w:spacing w:before="240"/>
      </w:pPr>
      <w:r>
        <w:t xml:space="preserve">For more information, refer to: </w:t>
      </w:r>
    </w:p>
    <w:p w14:paraId="1C989A8D" w14:textId="77777777" w:rsidR="005B699B" w:rsidRDefault="00000000" w:rsidP="00AF2B1A">
      <w:pPr>
        <w:pStyle w:val="Bullet1"/>
      </w:pPr>
      <w:hyperlink r:id="rId65">
        <w:r w:rsidR="005B699B" w:rsidRPr="00A528F7">
          <w:rPr>
            <w:rStyle w:val="Hyperlink"/>
          </w:rPr>
          <w:t xml:space="preserve">Pricing framework for Australian </w:t>
        </w:r>
        <w:r w:rsidR="005B699B" w:rsidRPr="00A528F7">
          <w:rPr>
            <w:rStyle w:val="Hyperlink"/>
            <w:rFonts w:eastAsia="Arial" w:cs="Arial"/>
          </w:rPr>
          <w:t>public hospital services</w:t>
        </w:r>
      </w:hyperlink>
      <w:r w:rsidR="005B699B">
        <w:t xml:space="preserve"> &lt;</w:t>
      </w:r>
      <w:r w:rsidR="005B699B" w:rsidRPr="002F1A19">
        <w:t>https://</w:t>
      </w:r>
      <w:r w:rsidR="005B699B" w:rsidRPr="00EA18DD">
        <w:t>www</w:t>
      </w:r>
      <w:r w:rsidR="005B699B" w:rsidRPr="002F1A19">
        <w:t>.ihacpa.gov.au/health-care/pricing/pricing-framework-australian-public-hospital-services</w:t>
      </w:r>
      <w:r w:rsidR="005B699B">
        <w:t xml:space="preserve">&gt; </w:t>
      </w:r>
    </w:p>
    <w:p w14:paraId="256DD563" w14:textId="5235AE6C" w:rsidR="005B699B" w:rsidRDefault="00000000" w:rsidP="00EA18DD">
      <w:pPr>
        <w:pStyle w:val="Bullet1"/>
      </w:pPr>
      <w:hyperlink r:id="rId66" w:history="1">
        <w:r w:rsidR="00C47408" w:rsidRPr="000431EB">
          <w:rPr>
            <w:rStyle w:val="Hyperlink"/>
          </w:rPr>
          <w:t xml:space="preserve">National </w:t>
        </w:r>
        <w:r w:rsidR="004B7269">
          <w:rPr>
            <w:rStyle w:val="Hyperlink"/>
          </w:rPr>
          <w:t>E</w:t>
        </w:r>
        <w:r w:rsidR="00C47408" w:rsidRPr="000431EB">
          <w:rPr>
            <w:rStyle w:val="Hyperlink"/>
          </w:rPr>
          <w:t xml:space="preserve">fficient </w:t>
        </w:r>
        <w:r w:rsidR="004B7269">
          <w:rPr>
            <w:rStyle w:val="Hyperlink"/>
          </w:rPr>
          <w:t>P</w:t>
        </w:r>
        <w:r w:rsidR="00C47408" w:rsidRPr="000431EB">
          <w:rPr>
            <w:rStyle w:val="Hyperlink"/>
          </w:rPr>
          <w:t xml:space="preserve">rice </w:t>
        </w:r>
        <w:r w:rsidR="004B7269">
          <w:rPr>
            <w:rStyle w:val="Hyperlink"/>
          </w:rPr>
          <w:t>D</w:t>
        </w:r>
        <w:r w:rsidR="00C47408" w:rsidRPr="000431EB">
          <w:rPr>
            <w:rStyle w:val="Hyperlink"/>
          </w:rPr>
          <w:t>etermination</w:t>
        </w:r>
      </w:hyperlink>
      <w:r w:rsidR="00C47408">
        <w:t xml:space="preserve"> </w:t>
      </w:r>
      <w:r w:rsidR="00A67651" w:rsidRPr="00A528F7">
        <w:fldChar w:fldCharType="begin"/>
      </w:r>
      <w:r w:rsidR="00A67651" w:rsidRPr="00A528F7">
        <w:fldChar w:fldCharType="separate"/>
      </w:r>
      <w:r w:rsidR="00A67651" w:rsidRPr="00A528F7">
        <w:rPr>
          <w:rStyle w:val="Hyperlink"/>
          <w:rFonts w:cs="Arial"/>
        </w:rPr>
        <w:t>NEP determination</w:t>
      </w:r>
      <w:r w:rsidR="00A67651" w:rsidRPr="00A528F7">
        <w:rPr>
          <w:rStyle w:val="Hyperlink"/>
          <w:rFonts w:cs="Arial"/>
        </w:rPr>
        <w:fldChar w:fldCharType="end"/>
      </w:r>
      <w:r w:rsidR="005B699B" w:rsidRPr="00A67651">
        <w:t>&lt;</w:t>
      </w:r>
      <w:r w:rsidR="005B699B" w:rsidRPr="00975297">
        <w:t>https://www.ihacpa.gov.au/health-care/pricing/national-efficient-price-determination</w:t>
      </w:r>
      <w:r w:rsidR="005B699B">
        <w:t>&gt;</w:t>
      </w:r>
    </w:p>
    <w:p w14:paraId="019FF95B" w14:textId="7B685C38" w:rsidR="005B699B" w:rsidRDefault="00000000" w:rsidP="00EA18DD">
      <w:pPr>
        <w:pStyle w:val="Bullet1"/>
      </w:pPr>
      <w:hyperlink r:id="rId67">
        <w:r w:rsidR="005B699B" w:rsidRPr="00A528F7">
          <w:rPr>
            <w:rStyle w:val="Hyperlink"/>
            <w:rFonts w:cs="Arial"/>
          </w:rPr>
          <w:t xml:space="preserve">National </w:t>
        </w:r>
        <w:r w:rsidR="004B7269">
          <w:rPr>
            <w:rStyle w:val="Hyperlink"/>
            <w:rFonts w:cs="Arial"/>
          </w:rPr>
          <w:t>E</w:t>
        </w:r>
        <w:r w:rsidR="005B699B" w:rsidRPr="00A528F7">
          <w:rPr>
            <w:rStyle w:val="Hyperlink"/>
            <w:rFonts w:cs="Arial"/>
          </w:rPr>
          <w:t xml:space="preserve">fficient </w:t>
        </w:r>
        <w:r w:rsidR="004B7269">
          <w:rPr>
            <w:rStyle w:val="Hyperlink"/>
            <w:rFonts w:cs="Arial"/>
          </w:rPr>
          <w:t>C</w:t>
        </w:r>
        <w:r w:rsidR="005B699B" w:rsidRPr="00A528F7">
          <w:rPr>
            <w:rStyle w:val="Hyperlink"/>
            <w:rFonts w:cs="Arial"/>
          </w:rPr>
          <w:t xml:space="preserve">ost </w:t>
        </w:r>
        <w:r w:rsidR="004B7269">
          <w:rPr>
            <w:rStyle w:val="Hyperlink"/>
            <w:rFonts w:cs="Arial"/>
          </w:rPr>
          <w:t>D</w:t>
        </w:r>
        <w:r w:rsidR="005B699B" w:rsidRPr="00A528F7">
          <w:rPr>
            <w:rStyle w:val="Hyperlink"/>
            <w:rFonts w:cs="Arial"/>
          </w:rPr>
          <w:t>etermination</w:t>
        </w:r>
      </w:hyperlink>
      <w:r w:rsidR="005B699B" w:rsidRPr="00A67651">
        <w:t xml:space="preserve"> &lt;https</w:t>
      </w:r>
      <w:r w:rsidR="005B699B" w:rsidRPr="00B93E05">
        <w:t>://www.ihacpa.gov.au/health-care/pricing/national-efficient-cost-determination</w:t>
      </w:r>
      <w:r w:rsidR="005B699B">
        <w:t>&gt;</w:t>
      </w:r>
    </w:p>
    <w:p w14:paraId="712DC8FC" w14:textId="675AB577" w:rsidR="00A67651" w:rsidRPr="00EA18DD" w:rsidRDefault="00000000" w:rsidP="00EA18DD">
      <w:pPr>
        <w:pStyle w:val="Bullet1"/>
      </w:pPr>
      <w:hyperlink r:id="rId68" w:history="1">
        <w:r w:rsidR="005B699B" w:rsidRPr="00EA18DD">
          <w:rPr>
            <w:rStyle w:val="Hyperlink"/>
          </w:rPr>
          <w:t>National pricing model technical specifications</w:t>
        </w:r>
        <w:r w:rsidR="005B699B" w:rsidRPr="00EA18DD">
          <w:rPr>
            <w:rStyle w:val="Hyperlink"/>
            <w:color w:val="auto"/>
            <w:u w:val="none"/>
          </w:rPr>
          <w:t xml:space="preserve"> </w:t>
        </w:r>
      </w:hyperlink>
      <w:r w:rsidR="005B699B" w:rsidRPr="00EA18DD">
        <w:t>&lt;https://www.ihacpa.gov.au/health-care/pricing/national-pricing-model-technical-specifications&gt;.</w:t>
      </w:r>
    </w:p>
    <w:p w14:paraId="1DF095B0" w14:textId="77777777" w:rsidR="00A67651" w:rsidRDefault="00A67651" w:rsidP="00E8437D">
      <w:pPr>
        <w:pStyle w:val="Bullet1"/>
      </w:pPr>
      <w:r>
        <w:br w:type="page"/>
      </w:r>
    </w:p>
    <w:p w14:paraId="04845CD8" w14:textId="4AE4A259" w:rsidR="005B699B" w:rsidRDefault="005B699B" w:rsidP="001E4292">
      <w:pPr>
        <w:pStyle w:val="Heading1"/>
        <w:numPr>
          <w:ilvl w:val="0"/>
          <w:numId w:val="13"/>
        </w:numPr>
        <w:ind w:left="1134" w:hanging="1134"/>
      </w:pPr>
      <w:bookmarkStart w:id="1808" w:name="_Toc167651270"/>
      <w:bookmarkStart w:id="1809" w:name="_Ref142493085"/>
      <w:bookmarkStart w:id="1810" w:name="_Ref142493761"/>
      <w:bookmarkStart w:id="1811" w:name="_Ref143004120"/>
      <w:bookmarkStart w:id="1812" w:name="_Toc165961833"/>
      <w:bookmarkStart w:id="1813" w:name="_Toc178963618"/>
      <w:bookmarkEnd w:id="1808"/>
      <w:r>
        <w:lastRenderedPageBreak/>
        <w:t>Prior-year adjustment: activity-based funding reconciliation</w:t>
      </w:r>
      <w:bookmarkEnd w:id="1809"/>
      <w:bookmarkEnd w:id="1810"/>
      <w:bookmarkEnd w:id="1811"/>
      <w:bookmarkEnd w:id="1812"/>
      <w:bookmarkEnd w:id="1813"/>
    </w:p>
    <w:p w14:paraId="64EA7BB2" w14:textId="77777777" w:rsidR="005B699B" w:rsidRDefault="005B699B" w:rsidP="005B699B">
      <w:pPr>
        <w:pStyle w:val="Body"/>
      </w:pPr>
      <w:bookmarkStart w:id="1814" w:name="_Toc418694970"/>
      <w:bookmarkStart w:id="1815" w:name="_Ref419741339"/>
      <w:bookmarkStart w:id="1816" w:name="_Ref419741349"/>
      <w:r w:rsidRPr="000244B9">
        <w:t xml:space="preserve">The department allocates funding according to expected </w:t>
      </w:r>
      <w:r>
        <w:t>deliverables</w:t>
      </w:r>
      <w:r w:rsidRPr="000244B9">
        <w:t>. In general, funded organisations are cash</w:t>
      </w:r>
      <w:r>
        <w:t>-</w:t>
      </w:r>
      <w:r w:rsidRPr="000244B9">
        <w:t>flowed during the financial year according to their funding allocations. Where required, adjustments to this funding for over- and under-activity are made in the following</w:t>
      </w:r>
      <w:r>
        <w:t xml:space="preserve"> </w:t>
      </w:r>
      <w:r w:rsidRPr="000244B9">
        <w:t>financial year according to the policies set out in this section.</w:t>
      </w:r>
    </w:p>
    <w:p w14:paraId="12984278" w14:textId="7C0575DA" w:rsidR="005B699B" w:rsidRPr="0007156B" w:rsidRDefault="005B699B" w:rsidP="001E4292">
      <w:pPr>
        <w:pStyle w:val="Heading2"/>
        <w:numPr>
          <w:ilvl w:val="1"/>
          <w:numId w:val="13"/>
        </w:numPr>
        <w:ind w:left="1134" w:hanging="1134"/>
      </w:pPr>
      <w:bookmarkStart w:id="1817" w:name="_Toc110950017"/>
      <w:bookmarkStart w:id="1818" w:name="_Toc100263330"/>
      <w:bookmarkStart w:id="1819" w:name="_Ref111538488"/>
      <w:bookmarkStart w:id="1820" w:name="_Ref111538507"/>
      <w:bookmarkStart w:id="1821" w:name="_Toc165961834"/>
      <w:bookmarkStart w:id="1822" w:name="_Toc178963619"/>
      <w:bookmarkEnd w:id="1814"/>
      <w:bookmarkEnd w:id="1815"/>
      <w:bookmarkEnd w:id="1816"/>
      <w:bookmarkEnd w:id="1817"/>
      <w:r w:rsidRPr="0007156B">
        <w:t>Victorian funding recall policy</w:t>
      </w:r>
      <w:bookmarkEnd w:id="1818"/>
      <w:bookmarkEnd w:id="1819"/>
      <w:bookmarkEnd w:id="1820"/>
      <w:bookmarkEnd w:id="1821"/>
      <w:bookmarkEnd w:id="1822"/>
    </w:p>
    <w:p w14:paraId="763AB129" w14:textId="655EBD75" w:rsidR="005B699B" w:rsidRDefault="005B699B" w:rsidP="005B699B">
      <w:pPr>
        <w:pStyle w:val="Body"/>
      </w:pPr>
      <w:r>
        <w:t xml:space="preserve">Funding recall will be triggered when activity is below target levels. Recall rates are set out in </w:t>
      </w:r>
      <w:r>
        <w:fldChar w:fldCharType="begin"/>
      </w:r>
      <w:r>
        <w:instrText>REF _Ref170115643</w:instrText>
      </w:r>
      <w:r>
        <w:fldChar w:fldCharType="separate"/>
      </w:r>
      <w:r w:rsidR="00F30C16">
        <w:t>Table 1.</w:t>
      </w:r>
      <w:r w:rsidR="00F30C16">
        <w:rPr>
          <w:noProof/>
        </w:rPr>
        <w:t>4</w:t>
      </w:r>
      <w:r w:rsidR="00F30C16">
        <w:t xml:space="preserve">: </w:t>
      </w:r>
      <w:r w:rsidR="00F30C16" w:rsidRPr="00E36558">
        <w:t>Victorian funding recall rates 2024–25</w:t>
      </w:r>
      <w:r>
        <w:fldChar w:fldCharType="end"/>
      </w:r>
      <w:r w:rsidR="00F30C16">
        <w:t xml:space="preserve">. </w:t>
      </w:r>
    </w:p>
    <w:p w14:paraId="44AB5B3E" w14:textId="6A0CD160" w:rsidR="005B699B" w:rsidRPr="007229CD" w:rsidRDefault="005B699B" w:rsidP="005B699B">
      <w:pPr>
        <w:pStyle w:val="Body"/>
      </w:pPr>
      <w:r>
        <w:t xml:space="preserve">Recalling funds depends on accurate and timely data submission. Funded organisations should </w:t>
      </w:r>
      <w:r w:rsidRPr="007229CD">
        <w:t xml:space="preserve">ensure they adhere to the data requirements specified in these guidelines. Significant under- or overactivity should be discussed with the department </w:t>
      </w:r>
      <w:r w:rsidR="00D96A4B">
        <w:t>before the end of the year</w:t>
      </w:r>
      <w:r w:rsidRPr="007229CD">
        <w:t>.</w:t>
      </w:r>
    </w:p>
    <w:p w14:paraId="7CD84232" w14:textId="03872B5D" w:rsidR="005B699B" w:rsidRPr="007229CD" w:rsidRDefault="005B699B" w:rsidP="005B699B">
      <w:pPr>
        <w:pStyle w:val="Body"/>
      </w:pPr>
      <w:r w:rsidRPr="006C7F5F" w:rsidDel="00BD3D1D">
        <w:t xml:space="preserve">In </w:t>
      </w:r>
      <w:r w:rsidR="00A67651" w:rsidRPr="006C7F5F">
        <w:t>2024</w:t>
      </w:r>
      <w:r w:rsidRPr="006C7F5F">
        <w:t>–</w:t>
      </w:r>
      <w:r w:rsidR="00A67651" w:rsidRPr="006C7F5F">
        <w:t>2</w:t>
      </w:r>
      <w:r w:rsidR="00A67651">
        <w:t>5</w:t>
      </w:r>
      <w:r w:rsidRPr="007229CD">
        <w:t>,</w:t>
      </w:r>
      <w:r w:rsidRPr="007229CD">
        <w:rPr>
          <w:lang w:val="en-US"/>
        </w:rPr>
        <w:t xml:space="preserve"> </w:t>
      </w:r>
      <w:r w:rsidRPr="007229CD">
        <w:t>based on the rates detailed</w:t>
      </w:r>
      <w:r>
        <w:t xml:space="preserve"> in </w:t>
      </w:r>
      <w:r>
        <w:fldChar w:fldCharType="begin"/>
      </w:r>
      <w:r>
        <w:instrText>REF _Ref170115693</w:instrText>
      </w:r>
      <w:r>
        <w:fldChar w:fldCharType="separate"/>
      </w:r>
      <w:r w:rsidR="00F30C16">
        <w:t>Table 1.</w:t>
      </w:r>
      <w:r w:rsidR="00F30C16">
        <w:rPr>
          <w:noProof/>
        </w:rPr>
        <w:t>4</w:t>
      </w:r>
      <w:r w:rsidR="00F30C16">
        <w:t xml:space="preserve">: </w:t>
      </w:r>
      <w:r w:rsidR="00F30C16" w:rsidRPr="00E36558">
        <w:t>Victorian funding recall rates 2024–25</w:t>
      </w:r>
      <w:r>
        <w:fldChar w:fldCharType="end"/>
      </w:r>
      <w:r>
        <w:t>,</w:t>
      </w:r>
      <w:r w:rsidRPr="007229CD">
        <w:t xml:space="preserve"> the marginal</w:t>
      </w:r>
      <w:r w:rsidRPr="007229CD" w:rsidDel="00684BC3">
        <w:t xml:space="preserve"> </w:t>
      </w:r>
      <w:r w:rsidRPr="007229CD">
        <w:t>NWAU policy aims to maintain minimal levels of funding for under-activity in recognition of fixed costs and variable demand</w:t>
      </w:r>
      <w:r w:rsidR="00D96A4B">
        <w:t>,</w:t>
      </w:r>
      <w:r w:rsidRPr="007229CD">
        <w:t xml:space="preserve"> but </w:t>
      </w:r>
      <w:r w:rsidR="00D96A4B">
        <w:t xml:space="preserve">also to </w:t>
      </w:r>
      <w:r w:rsidRPr="007229CD">
        <w:t xml:space="preserve">incentivise efficient service delivery above target where </w:t>
      </w:r>
      <w:r w:rsidR="00D96A4B">
        <w:t>this is</w:t>
      </w:r>
      <w:r w:rsidRPr="007229CD">
        <w:t xml:space="preserve"> cost-effective and up to a capped amount.</w:t>
      </w:r>
    </w:p>
    <w:p w14:paraId="0F706EDB" w14:textId="60981571" w:rsidR="005B699B" w:rsidRPr="007229CD" w:rsidRDefault="005B699B" w:rsidP="005B699B">
      <w:pPr>
        <w:pStyle w:val="Body"/>
      </w:pPr>
      <w:r w:rsidRPr="007229CD">
        <w:t xml:space="preserve">Department of Veterans’ Affairs and </w:t>
      </w:r>
      <w:r w:rsidR="00C37171">
        <w:t>TAC</w:t>
      </w:r>
      <w:r w:rsidRPr="007229CD">
        <w:t xml:space="preserve"> activity will continue to be funded </w:t>
      </w:r>
      <w:r w:rsidR="00D96A4B">
        <w:t>for</w:t>
      </w:r>
      <w:r w:rsidR="00D96A4B" w:rsidRPr="007229CD">
        <w:t xml:space="preserve"> </w:t>
      </w:r>
      <w:r w:rsidRPr="007229CD">
        <w:t xml:space="preserve">actual activity that is approved by the Department of Veterans’ Affairs and the </w:t>
      </w:r>
      <w:r w:rsidR="00C37171">
        <w:t>TAC</w:t>
      </w:r>
      <w:r w:rsidRPr="007229CD">
        <w:t xml:space="preserve"> respectively. Health services are expected to update the VAED for any rejected or denied episodes of care prior to reconciliation. Any denied or rejected records that are not amended will not be paid as either public or Department of Veterans’ Affairs when the </w:t>
      </w:r>
      <w:r w:rsidRPr="006C7F5F">
        <w:t>202</w:t>
      </w:r>
      <w:r w:rsidR="00B30C3C" w:rsidRPr="006C7F5F">
        <w:t>4</w:t>
      </w:r>
      <w:r w:rsidRPr="006C7F5F">
        <w:rPr>
          <w:szCs w:val="21"/>
        </w:rPr>
        <w:t>–</w:t>
      </w:r>
      <w:r w:rsidRPr="006C7F5F">
        <w:t>2</w:t>
      </w:r>
      <w:r w:rsidR="00B30C3C">
        <w:t>5</w:t>
      </w:r>
      <w:r w:rsidRPr="007229CD">
        <w:rPr>
          <w:lang w:val="en-US"/>
        </w:rPr>
        <w:t xml:space="preserve"> </w:t>
      </w:r>
      <w:r w:rsidRPr="007229CD">
        <w:t>prior-year adjustment is calculated.</w:t>
      </w:r>
    </w:p>
    <w:p w14:paraId="6759703E" w14:textId="30D2BAAC" w:rsidR="005B699B" w:rsidRDefault="005B699B" w:rsidP="005B699B">
      <w:pPr>
        <w:pStyle w:val="Body"/>
      </w:pPr>
      <w:r>
        <w:t xml:space="preserve">Recall rates are based on a proportion of the price, rather than a specified dollar value. This enables rates to be applied consistently </w:t>
      </w:r>
      <w:r w:rsidR="00D96A4B">
        <w:t xml:space="preserve">between </w:t>
      </w:r>
      <w:r>
        <w:t>services and</w:t>
      </w:r>
      <w:r w:rsidR="00D96A4B">
        <w:t xml:space="preserve"> to</w:t>
      </w:r>
      <w:r>
        <w:t xml:space="preserve"> reflect price adjustments.</w:t>
      </w:r>
    </w:p>
    <w:p w14:paraId="6D33EC90" w14:textId="457B86E3" w:rsidR="005B699B" w:rsidRDefault="005B699B" w:rsidP="005B699B">
      <w:pPr>
        <w:pStyle w:val="Body"/>
      </w:pPr>
      <w:r>
        <w:t xml:space="preserve">Small rural health services are exempt from the recall policy for acute, subacute, primary health and home and community care. Recall applies to Department of Veterans’ Affairs, </w:t>
      </w:r>
      <w:r w:rsidR="00DE739E">
        <w:t>TAC</w:t>
      </w:r>
      <w:r>
        <w:t>, Aged Care Assessment (Aged Care Assessment Service and Regional Assessment Service), and residential aged care services for small rural health services in the same way as other services.</w:t>
      </w:r>
    </w:p>
    <w:p w14:paraId="7C073BAE" w14:textId="5864E414" w:rsidR="005B699B" w:rsidRPr="003B41AA" w:rsidRDefault="005B699B" w:rsidP="005B699B">
      <w:pPr>
        <w:pStyle w:val="Body"/>
      </w:pPr>
      <w:r>
        <w:t xml:space="preserve">A recall policy also applies to programs funded under the Ageing, Aged and Home Care Services output. This includes </w:t>
      </w:r>
      <w:r w:rsidRPr="008F3AB4">
        <w:t>Home and Community Care Program for Younger People</w:t>
      </w:r>
      <w:r>
        <w:t xml:space="preserve">, and Aged Care and Aged Care Assessment (Aged Care Assessment Service and Regional Assessment Service) as outlined in </w:t>
      </w:r>
      <w:r w:rsidR="00476AAA">
        <w:fldChar w:fldCharType="begin"/>
      </w:r>
      <w:r w:rsidR="00476AAA">
        <w:instrText xml:space="preserve"> REF _Ref170115643 \h </w:instrText>
      </w:r>
      <w:r w:rsidR="00476AAA">
        <w:fldChar w:fldCharType="separate"/>
      </w:r>
      <w:r w:rsidR="00476AAA">
        <w:t>Table 1.</w:t>
      </w:r>
      <w:r w:rsidR="00476AAA">
        <w:rPr>
          <w:noProof/>
        </w:rPr>
        <w:t>4</w:t>
      </w:r>
      <w:r w:rsidR="00476AAA">
        <w:t xml:space="preserve">: </w:t>
      </w:r>
      <w:r w:rsidR="00476AAA" w:rsidRPr="00E36558">
        <w:t>Victorian funding recall rates 2024–25</w:t>
      </w:r>
      <w:r w:rsidR="00476AAA">
        <w:fldChar w:fldCharType="end"/>
      </w:r>
      <w:r w:rsidR="00F30C16">
        <w:t>.</w:t>
      </w:r>
    </w:p>
    <w:p w14:paraId="3C898DA7" w14:textId="58D46491" w:rsidR="005B699B" w:rsidRPr="00B85C7D" w:rsidRDefault="005B699B" w:rsidP="005B699B">
      <w:pPr>
        <w:pStyle w:val="Body"/>
      </w:pPr>
      <w:r>
        <w:t xml:space="preserve">A recall policy has been introduced in 2024–25 for programs funded under the Dental Services </w:t>
      </w:r>
      <w:r w:rsidR="00A67651">
        <w:t>output</w:t>
      </w:r>
      <w:r w:rsidR="00476AAA">
        <w:t xml:space="preserve"> </w:t>
      </w:r>
      <w:r>
        <w:fldChar w:fldCharType="begin"/>
      </w:r>
      <w:r>
        <w:instrText xml:space="preserve"> REF _Ref170115643 \h </w:instrText>
      </w:r>
      <w:r>
        <w:fldChar w:fldCharType="separate"/>
      </w:r>
      <w:r w:rsidR="00476AAA">
        <w:t>Table 1.</w:t>
      </w:r>
      <w:r w:rsidR="00476AAA" w:rsidRPr="1EE277F3">
        <w:rPr>
          <w:noProof/>
        </w:rPr>
        <w:t>4</w:t>
      </w:r>
      <w:r w:rsidR="00476AAA">
        <w:t>: Victorian funding recall rates 2024–25</w:t>
      </w:r>
      <w:r>
        <w:fldChar w:fldCharType="end"/>
      </w:r>
      <w:r>
        <w:t>.</w:t>
      </w:r>
    </w:p>
    <w:p w14:paraId="65079478" w14:textId="21A46285" w:rsidR="005B699B" w:rsidRDefault="005B699B" w:rsidP="005B699B">
      <w:pPr>
        <w:pStyle w:val="Body"/>
      </w:pPr>
      <w:r>
        <w:t>NFCs activity will continue to be funded to actual activity. The</w:t>
      </w:r>
      <w:r w:rsidDel="00684BC3">
        <w:t xml:space="preserve"> </w:t>
      </w:r>
      <w:r>
        <w:t>NWAU associated with the NFCs, including procedures undertaken up to three months post discharge, will not be recognised as public</w:t>
      </w:r>
      <w:r w:rsidR="00D96A4B">
        <w:t>–</w:t>
      </w:r>
      <w:r>
        <w:t>private NWAU for the purposes of calculated funding recall for acute admitted services.</w:t>
      </w:r>
    </w:p>
    <w:p w14:paraId="6ED7BEAB" w14:textId="7F1D2109" w:rsidR="005B699B" w:rsidRPr="00E7554A" w:rsidRDefault="005B699B" w:rsidP="005B699B">
      <w:pPr>
        <w:pStyle w:val="Body"/>
      </w:pPr>
      <w:r>
        <w:t xml:space="preserve">An overview of the calculation process for recall can be found in section </w:t>
      </w:r>
      <w:r>
        <w:fldChar w:fldCharType="begin"/>
      </w:r>
      <w:r>
        <w:instrText xml:space="preserve"> REF _Ref111538889 \r \h </w:instrText>
      </w:r>
      <w:r>
        <w:fldChar w:fldCharType="separate"/>
      </w:r>
      <w:r w:rsidR="00F30C16">
        <w:t>13</w:t>
      </w:r>
      <w:r>
        <w:fldChar w:fldCharType="end"/>
      </w:r>
      <w:r>
        <w:t xml:space="preserve"> </w:t>
      </w:r>
      <w:r>
        <w:fldChar w:fldCharType="begin"/>
      </w:r>
      <w:r>
        <w:instrText xml:space="preserve"> REF _Ref111538889 \h </w:instrText>
      </w:r>
      <w:r>
        <w:fldChar w:fldCharType="separate"/>
      </w:r>
      <w:r w:rsidR="00543255">
        <w:t>Calculating funding recall</w:t>
      </w:r>
      <w:r>
        <w:fldChar w:fldCharType="end"/>
      </w:r>
      <w:r>
        <w:t xml:space="preserve">. </w:t>
      </w:r>
    </w:p>
    <w:p w14:paraId="1CAB7495" w14:textId="266F316F" w:rsidR="0002554E" w:rsidRDefault="0002554E" w:rsidP="0002554E">
      <w:pPr>
        <w:pStyle w:val="Tablecaption"/>
        <w:spacing w:line="250" w:lineRule="atLeast"/>
      </w:pPr>
      <w:bookmarkStart w:id="1823" w:name="_Ref170115643"/>
      <w:bookmarkStart w:id="1824" w:name="_Ref170115693"/>
      <w:bookmarkStart w:id="1825" w:name="_Ref170115711"/>
      <w:bookmarkStart w:id="1826" w:name="_Ref170115731"/>
      <w:bookmarkStart w:id="1827" w:name="_Toc176510395"/>
      <w:r>
        <w:lastRenderedPageBreak/>
        <w:t>Table 1.</w:t>
      </w:r>
      <w:r>
        <w:fldChar w:fldCharType="begin"/>
      </w:r>
      <w:r>
        <w:instrText>SEQ Table \* ARABIC</w:instrText>
      </w:r>
      <w:r>
        <w:fldChar w:fldCharType="separate"/>
      </w:r>
      <w:r w:rsidR="00F30C16">
        <w:rPr>
          <w:noProof/>
        </w:rPr>
        <w:t>4</w:t>
      </w:r>
      <w:r>
        <w:fldChar w:fldCharType="end"/>
      </w:r>
      <w:r>
        <w:t xml:space="preserve">: </w:t>
      </w:r>
      <w:r w:rsidRPr="00E36558">
        <w:t>Victorian funding recall rates 2024–25</w:t>
      </w:r>
      <w:bookmarkEnd w:id="1823"/>
      <w:bookmarkEnd w:id="1824"/>
      <w:bookmarkEnd w:id="1825"/>
      <w:bookmarkEnd w:id="1826"/>
      <w:bookmarkEnd w:id="1827"/>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90"/>
        <w:gridCol w:w="5225"/>
      </w:tblGrid>
      <w:tr w:rsidR="00E8761B" w:rsidRPr="00CC47B2" w14:paraId="4B2E5AAA" w14:textId="77777777" w:rsidTr="00A21959">
        <w:trPr>
          <w:trHeight w:val="300"/>
          <w:tblHeader/>
        </w:trPr>
        <w:tc>
          <w:tcPr>
            <w:tcW w:w="4390" w:type="dxa"/>
            <w:shd w:val="clear" w:color="auto" w:fill="auto"/>
          </w:tcPr>
          <w:p w14:paraId="279E3FC9" w14:textId="77777777" w:rsidR="00E8761B" w:rsidRPr="00685B35" w:rsidRDefault="00E8761B" w:rsidP="00A21959">
            <w:pPr>
              <w:pStyle w:val="Tablecolhead"/>
            </w:pPr>
            <w:r w:rsidRPr="00685B35">
              <w:t>Service</w:t>
            </w:r>
          </w:p>
        </w:tc>
        <w:tc>
          <w:tcPr>
            <w:tcW w:w="5225" w:type="dxa"/>
            <w:shd w:val="clear" w:color="auto" w:fill="auto"/>
          </w:tcPr>
          <w:p w14:paraId="7D01DAA8" w14:textId="77777777" w:rsidR="00E8761B" w:rsidRPr="00685B35" w:rsidRDefault="00E8761B" w:rsidP="00A21959">
            <w:pPr>
              <w:pStyle w:val="Tablecolhead"/>
            </w:pPr>
            <w:r w:rsidRPr="00685B35">
              <w:t>Funding recall policy</w:t>
            </w:r>
          </w:p>
        </w:tc>
      </w:tr>
      <w:tr w:rsidR="00E8761B" w:rsidRPr="005D4304" w14:paraId="37C1D17F" w14:textId="77777777" w:rsidTr="00A21959">
        <w:trPr>
          <w:trHeight w:val="300"/>
        </w:trPr>
        <w:tc>
          <w:tcPr>
            <w:tcW w:w="4390" w:type="dxa"/>
          </w:tcPr>
          <w:p w14:paraId="4C58FA82" w14:textId="77777777" w:rsidR="00E8761B" w:rsidRPr="006F1365" w:rsidRDefault="00E8761B" w:rsidP="00A21959">
            <w:pPr>
              <w:pStyle w:val="Tabletext"/>
            </w:pPr>
            <w:r w:rsidRPr="006F1365">
              <w:t>Acute admitted services</w:t>
            </w:r>
            <w:r>
              <w:t xml:space="preserve"> (including mental health)</w:t>
            </w:r>
          </w:p>
          <w:p w14:paraId="0C8F2366" w14:textId="77777777" w:rsidR="00E8761B" w:rsidRPr="006F1365" w:rsidRDefault="00E8761B" w:rsidP="00A21959">
            <w:pPr>
              <w:pStyle w:val="Tabletext"/>
            </w:pPr>
            <w:r w:rsidRPr="006F1365">
              <w:t>Subacute admitted services (wrap includes GEM, rehabilitation and palliative care)</w:t>
            </w:r>
          </w:p>
          <w:p w14:paraId="6A4DAF2F" w14:textId="77777777" w:rsidR="00E8761B" w:rsidRPr="006F1365" w:rsidRDefault="00E8761B" w:rsidP="00A21959">
            <w:pPr>
              <w:pStyle w:val="Tabletext"/>
            </w:pPr>
            <w:r w:rsidRPr="006F1365">
              <w:t>Non</w:t>
            </w:r>
            <w:r>
              <w:t>-</w:t>
            </w:r>
            <w:r w:rsidRPr="006F1365">
              <w:t>admitted services (includes HIP</w:t>
            </w:r>
            <w:r>
              <w:t>, genomics</w:t>
            </w:r>
            <w:r w:rsidRPr="006F1365">
              <w:t xml:space="preserve"> and </w:t>
            </w:r>
            <w:r>
              <w:t>s</w:t>
            </w:r>
            <w:r w:rsidRPr="006F1365">
              <w:t xml:space="preserve">pecialist </w:t>
            </w:r>
            <w:r>
              <w:t>c</w:t>
            </w:r>
            <w:r w:rsidRPr="006F1365">
              <w:t xml:space="preserve">linics) </w:t>
            </w:r>
          </w:p>
          <w:p w14:paraId="41468194" w14:textId="77777777" w:rsidR="00E8761B" w:rsidRPr="004C68C1" w:rsidRDefault="00E8761B" w:rsidP="00A21959">
            <w:pPr>
              <w:pStyle w:val="Tabletext"/>
            </w:pPr>
            <w:r w:rsidRPr="001D10B4">
              <w:t>Emergency non-admitted</w:t>
            </w:r>
          </w:p>
        </w:tc>
        <w:tc>
          <w:tcPr>
            <w:tcW w:w="5225" w:type="dxa"/>
          </w:tcPr>
          <w:p w14:paraId="235FF6DC" w14:textId="77777777" w:rsidR="00E8761B" w:rsidRDefault="00E8761B" w:rsidP="00A21959">
            <w:pPr>
              <w:pStyle w:val="Tabletext"/>
            </w:pPr>
            <w:r w:rsidRPr="001375BD">
              <w:t xml:space="preserve">Activity delivered below </w:t>
            </w:r>
            <w:r w:rsidRPr="00335308">
              <w:t>99</w:t>
            </w:r>
            <w:r w:rsidRPr="001375BD">
              <w:t xml:space="preserve">% </w:t>
            </w:r>
            <w:r>
              <w:t xml:space="preserve">of NWAU target </w:t>
            </w:r>
            <w:r w:rsidRPr="001375BD">
              <w:t>is recalled at a rate of 100%</w:t>
            </w:r>
            <w:r>
              <w:t xml:space="preserve"> of VEP</w:t>
            </w:r>
            <w:r w:rsidR="003639CA">
              <w:t xml:space="preserve">. </w:t>
            </w:r>
          </w:p>
          <w:p w14:paraId="2E7B3017" w14:textId="77777777" w:rsidR="003639CA" w:rsidRDefault="003639CA" w:rsidP="00A21959">
            <w:pPr>
              <w:pStyle w:val="Tabletext"/>
            </w:pPr>
          </w:p>
          <w:p w14:paraId="142B4DD3" w14:textId="56BDC5F5" w:rsidR="00E8761B" w:rsidRPr="00674F20" w:rsidRDefault="4D8C8796" w:rsidP="00A21959">
            <w:pPr>
              <w:pStyle w:val="Tabletext"/>
            </w:pPr>
            <w:r>
              <w:t xml:space="preserve">Where a health service </w:t>
            </w:r>
            <w:r w:rsidR="4BFE41B1">
              <w:t>received</w:t>
            </w:r>
            <w:r>
              <w:t xml:space="preserve"> a negative</w:t>
            </w:r>
            <w:r w:rsidR="5AAB6F77">
              <w:t xml:space="preserve"> transition</w:t>
            </w:r>
            <w:r>
              <w:t xml:space="preserve"> grant in the 2024-25 modelled budget process, the Department will take this into account an</w:t>
            </w:r>
            <w:r w:rsidR="68AF7EDB">
              <w:t>d may recall activity at a rate lower than 100% of the VEP.</w:t>
            </w:r>
          </w:p>
          <w:p w14:paraId="6587B403" w14:textId="080BD27A" w:rsidR="00E8761B" w:rsidRPr="00674F20" w:rsidRDefault="00E8761B" w:rsidP="00A21959">
            <w:pPr>
              <w:pStyle w:val="Tabletext"/>
            </w:pPr>
          </w:p>
          <w:p w14:paraId="48E5ECFF" w14:textId="1A84FB28" w:rsidR="00E8761B" w:rsidRPr="00674F20" w:rsidRDefault="00E8761B" w:rsidP="00A21959">
            <w:pPr>
              <w:pStyle w:val="Tabletext"/>
            </w:pPr>
          </w:p>
        </w:tc>
      </w:tr>
      <w:tr w:rsidR="00E8761B" w:rsidRPr="00E63D9B" w14:paraId="723C8791" w14:textId="77777777" w:rsidTr="00A21959">
        <w:trPr>
          <w:trHeight w:val="300"/>
        </w:trPr>
        <w:tc>
          <w:tcPr>
            <w:tcW w:w="4390" w:type="dxa"/>
          </w:tcPr>
          <w:p w14:paraId="218ECD54" w14:textId="2CEE6AF2" w:rsidR="00E8761B" w:rsidRPr="00674F20" w:rsidRDefault="00E8761B" w:rsidP="00A21959">
            <w:pPr>
              <w:pStyle w:val="Tabletext"/>
            </w:pPr>
            <w:r w:rsidRPr="00674F20">
              <w:t>Nationally funded centres</w:t>
            </w:r>
          </w:p>
        </w:tc>
        <w:tc>
          <w:tcPr>
            <w:tcW w:w="5225" w:type="dxa"/>
          </w:tcPr>
          <w:p w14:paraId="7E67E155" w14:textId="77777777" w:rsidR="00E8761B" w:rsidRPr="00674F20" w:rsidRDefault="00E8761B" w:rsidP="00A21959">
            <w:pPr>
              <w:pStyle w:val="Tabletext"/>
            </w:pPr>
            <w:r w:rsidRPr="00674F20">
              <w:t xml:space="preserve">Full recall of under-activity at the NFC </w:t>
            </w:r>
            <w:r w:rsidRPr="00674F20">
              <w:rPr>
                <w:rFonts w:cs="Arial"/>
              </w:rPr>
              <w:t>determined cost per procedur</w:t>
            </w:r>
            <w:r>
              <w:rPr>
                <w:rFonts w:cs="Arial"/>
              </w:rPr>
              <w:t>e</w:t>
            </w:r>
          </w:p>
        </w:tc>
      </w:tr>
      <w:tr w:rsidR="00E8761B" w:rsidRPr="00E63D9B" w14:paraId="79733A5F" w14:textId="77777777" w:rsidTr="00A21959">
        <w:trPr>
          <w:trHeight w:val="300"/>
        </w:trPr>
        <w:tc>
          <w:tcPr>
            <w:tcW w:w="4390" w:type="dxa"/>
          </w:tcPr>
          <w:p w14:paraId="1729B21A" w14:textId="77777777" w:rsidR="00E8761B" w:rsidRPr="00674F20" w:rsidRDefault="00E8761B" w:rsidP="00A21959">
            <w:pPr>
              <w:pStyle w:val="Tabletext"/>
            </w:pPr>
            <w:r w:rsidRPr="00674F20">
              <w:t>Department of Veterans</w:t>
            </w:r>
            <w:r>
              <w:t>’</w:t>
            </w:r>
            <w:r w:rsidRPr="00674F20">
              <w:t xml:space="preserve"> Affairs</w:t>
            </w:r>
          </w:p>
          <w:p w14:paraId="35A23CA1" w14:textId="77777777" w:rsidR="00E8761B" w:rsidRPr="006F1365" w:rsidRDefault="00E8761B" w:rsidP="00E8761B">
            <w:pPr>
              <w:pStyle w:val="Tablebullet1"/>
              <w:numPr>
                <w:ilvl w:val="0"/>
                <w:numId w:val="3"/>
              </w:numPr>
              <w:ind w:left="357" w:hanging="357"/>
            </w:pPr>
            <w:r w:rsidRPr="006F1365">
              <w:t>Acute admitted services</w:t>
            </w:r>
          </w:p>
          <w:p w14:paraId="2BFCB445" w14:textId="77777777" w:rsidR="00E8761B" w:rsidRPr="006F1365" w:rsidRDefault="00E8761B" w:rsidP="00E8761B">
            <w:pPr>
              <w:pStyle w:val="Tablebullet1"/>
              <w:numPr>
                <w:ilvl w:val="0"/>
                <w:numId w:val="3"/>
              </w:numPr>
              <w:ind w:left="357" w:hanging="357"/>
            </w:pPr>
            <w:r w:rsidRPr="006F1365">
              <w:t>Subacute admitted services (wrap includes GEM, rehabilitation, and palliative care)</w:t>
            </w:r>
          </w:p>
          <w:p w14:paraId="189C955C" w14:textId="77777777" w:rsidR="00E8761B" w:rsidRPr="00B64179" w:rsidRDefault="00E8761B" w:rsidP="00E8761B">
            <w:pPr>
              <w:pStyle w:val="Tablebullet1"/>
              <w:numPr>
                <w:ilvl w:val="0"/>
                <w:numId w:val="3"/>
              </w:numPr>
              <w:ind w:left="357" w:hanging="357"/>
            </w:pPr>
            <w:r w:rsidRPr="006F1365">
              <w:t>Non-admitted (acute) services</w:t>
            </w:r>
            <w:r>
              <w:t xml:space="preserve"> </w:t>
            </w:r>
          </w:p>
        </w:tc>
        <w:tc>
          <w:tcPr>
            <w:tcW w:w="5225" w:type="dxa"/>
          </w:tcPr>
          <w:p w14:paraId="10D4C52C" w14:textId="227B929E" w:rsidR="00E8761B" w:rsidRPr="00081CC5" w:rsidRDefault="00E8761B" w:rsidP="00A21959">
            <w:pPr>
              <w:pStyle w:val="Tabletext"/>
            </w:pPr>
            <w:r w:rsidRPr="00674F20">
              <w:t>Full recall of underactivity</w:t>
            </w:r>
            <w:r w:rsidR="00D859D2">
              <w:t xml:space="preserve"> </w:t>
            </w:r>
            <w:r w:rsidR="00D859D2" w:rsidRPr="00081CC5">
              <w:t>and rejected claims</w:t>
            </w:r>
          </w:p>
          <w:p w14:paraId="4A1A992D" w14:textId="5DCD80B6" w:rsidR="00E8761B" w:rsidRPr="006F1365" w:rsidRDefault="008B2C47" w:rsidP="008B2C47">
            <w:pPr>
              <w:pStyle w:val="Tablebullet1"/>
              <w:numPr>
                <w:ilvl w:val="0"/>
                <w:numId w:val="3"/>
              </w:numPr>
              <w:ind w:left="357" w:hanging="357"/>
            </w:pPr>
            <w:r w:rsidRPr="00081CC5">
              <w:t>Activity must meet Department of Veterans’ Affairs requirements</w:t>
            </w:r>
          </w:p>
        </w:tc>
      </w:tr>
      <w:tr w:rsidR="00E8761B" w:rsidRPr="00E63D9B" w14:paraId="47AB679C" w14:textId="77777777" w:rsidTr="00A21959">
        <w:trPr>
          <w:trHeight w:val="300"/>
        </w:trPr>
        <w:tc>
          <w:tcPr>
            <w:tcW w:w="4390" w:type="dxa"/>
          </w:tcPr>
          <w:p w14:paraId="54934559" w14:textId="57C74A64" w:rsidR="00E8761B" w:rsidRPr="006F1365" w:rsidRDefault="00E8761B" w:rsidP="00A21959">
            <w:pPr>
              <w:pStyle w:val="Tabletext"/>
            </w:pPr>
            <w:r>
              <w:t>Transport Accident Commission</w:t>
            </w:r>
            <w:r w:rsidRPr="00674F20">
              <w:t xml:space="preserve"> and WorkSafe</w:t>
            </w:r>
          </w:p>
          <w:p w14:paraId="30D84478" w14:textId="77777777" w:rsidR="00E8761B" w:rsidRPr="00CA6A8D" w:rsidRDefault="00E8761B" w:rsidP="00E8761B">
            <w:pPr>
              <w:pStyle w:val="Tablebullet1"/>
              <w:numPr>
                <w:ilvl w:val="0"/>
                <w:numId w:val="3"/>
              </w:numPr>
              <w:ind w:left="357" w:hanging="357"/>
            </w:pPr>
            <w:r>
              <w:t xml:space="preserve">Acute admitted </w:t>
            </w:r>
            <w:r w:rsidRPr="006F1365">
              <w:t>services</w:t>
            </w:r>
          </w:p>
        </w:tc>
        <w:tc>
          <w:tcPr>
            <w:tcW w:w="5225" w:type="dxa"/>
          </w:tcPr>
          <w:p w14:paraId="6478591A" w14:textId="048F4C44" w:rsidR="00E8761B" w:rsidRPr="00081CC5" w:rsidRDefault="00E8761B" w:rsidP="00A21959">
            <w:pPr>
              <w:pStyle w:val="Tabletext"/>
            </w:pPr>
            <w:r w:rsidRPr="00674F20">
              <w:t>Full recall of underactivity</w:t>
            </w:r>
            <w:r w:rsidR="00D859D2">
              <w:t xml:space="preserve"> </w:t>
            </w:r>
            <w:r w:rsidR="00D859D2" w:rsidRPr="00081CC5">
              <w:t>and rejected claims</w:t>
            </w:r>
          </w:p>
          <w:p w14:paraId="73C780F7" w14:textId="5AF9CCE0" w:rsidR="00E8761B" w:rsidRPr="006F1365" w:rsidRDefault="008B2C47" w:rsidP="003E7375">
            <w:pPr>
              <w:pStyle w:val="Tablebullet1"/>
              <w:numPr>
                <w:ilvl w:val="0"/>
                <w:numId w:val="3"/>
              </w:numPr>
              <w:ind w:left="357" w:hanging="357"/>
            </w:pPr>
            <w:r w:rsidRPr="00081CC5">
              <w:t>Activity must meet Transport Accident Commission and WorkSafe requirements</w:t>
            </w:r>
          </w:p>
        </w:tc>
      </w:tr>
      <w:tr w:rsidR="00D8753C" w:rsidRPr="00E63D9B" w14:paraId="6EE4BE09" w14:textId="77777777" w:rsidTr="00A21959">
        <w:trPr>
          <w:trHeight w:val="300"/>
        </w:trPr>
        <w:tc>
          <w:tcPr>
            <w:tcW w:w="4390" w:type="dxa"/>
          </w:tcPr>
          <w:p w14:paraId="2814CFD5" w14:textId="7ECF9E21" w:rsidR="00D8753C" w:rsidRPr="003D3A5F" w:rsidRDefault="00D8753C" w:rsidP="00A21959">
            <w:pPr>
              <w:pStyle w:val="Tabletext"/>
            </w:pPr>
            <w:r w:rsidRPr="003D3A5F">
              <w:t xml:space="preserve">High </w:t>
            </w:r>
            <w:r w:rsidR="006154BE" w:rsidRPr="003D3A5F">
              <w:t>cost, highly specialised therapies</w:t>
            </w:r>
          </w:p>
          <w:p w14:paraId="65AF0ECA" w14:textId="77777777" w:rsidR="00CE3B46" w:rsidRPr="003D3A5F" w:rsidRDefault="00CE3B46" w:rsidP="00A21959">
            <w:pPr>
              <w:pStyle w:val="Tabletext"/>
            </w:pPr>
          </w:p>
          <w:p w14:paraId="58BDA993" w14:textId="09AFD38E" w:rsidR="00D8753C" w:rsidRPr="003D3A5F" w:rsidRDefault="00D8753C" w:rsidP="00A21959">
            <w:pPr>
              <w:pStyle w:val="Tabletext"/>
            </w:pPr>
          </w:p>
        </w:tc>
        <w:tc>
          <w:tcPr>
            <w:tcW w:w="5225" w:type="dxa"/>
          </w:tcPr>
          <w:p w14:paraId="3B57C504" w14:textId="77777777" w:rsidR="009B3F45" w:rsidRPr="003D3A5F" w:rsidRDefault="009B3F45" w:rsidP="003D3A5F">
            <w:pPr>
              <w:pStyle w:val="Tablebullet1"/>
              <w:numPr>
                <w:ilvl w:val="0"/>
                <w:numId w:val="0"/>
              </w:numPr>
            </w:pPr>
            <w:r w:rsidRPr="003D3A5F">
              <w:t>Funding will be reconciled to</w:t>
            </w:r>
            <w:r w:rsidR="0059590E" w:rsidRPr="003D3A5F">
              <w:t xml:space="preserve"> actual </w:t>
            </w:r>
            <w:r w:rsidR="00336FFB" w:rsidRPr="003D3A5F">
              <w:t>costs</w:t>
            </w:r>
            <w:r w:rsidR="0059590E" w:rsidRPr="003D3A5F">
              <w:t xml:space="preserve"> as per </w:t>
            </w:r>
            <w:r w:rsidR="00336FFB" w:rsidRPr="003D3A5F">
              <w:t xml:space="preserve">acquittal </w:t>
            </w:r>
            <w:r w:rsidRPr="003D3A5F">
              <w:t>(</w:t>
            </w:r>
            <w:r w:rsidR="00336FFB" w:rsidRPr="003D3A5F">
              <w:t>process outlined in section 2.11.1</w:t>
            </w:r>
            <w:r w:rsidRPr="003D3A5F">
              <w:t>)</w:t>
            </w:r>
          </w:p>
          <w:p w14:paraId="7F1F4D48" w14:textId="09A934B5" w:rsidR="00D8753C" w:rsidRPr="003D3A5F" w:rsidRDefault="00D8753C" w:rsidP="00336FFB">
            <w:pPr>
              <w:pStyle w:val="Tablebullet1"/>
              <w:numPr>
                <w:ilvl w:val="0"/>
                <w:numId w:val="0"/>
              </w:numPr>
              <w:ind w:left="360" w:hanging="360"/>
            </w:pPr>
          </w:p>
        </w:tc>
      </w:tr>
      <w:tr w:rsidR="00E8761B" w:rsidRPr="006F501A" w14:paraId="3C9E7C8B" w14:textId="77777777" w:rsidTr="00A21959">
        <w:trPr>
          <w:cantSplit/>
          <w:trHeight w:val="300"/>
        </w:trPr>
        <w:tc>
          <w:tcPr>
            <w:tcW w:w="4390" w:type="dxa"/>
          </w:tcPr>
          <w:p w14:paraId="15B2AA76" w14:textId="77777777" w:rsidR="00E8761B" w:rsidRPr="006F1365" w:rsidRDefault="00E8761B" w:rsidP="00A21959">
            <w:pPr>
              <w:pStyle w:val="Tabletext"/>
            </w:pPr>
            <w:r>
              <w:t>Small rural health services</w:t>
            </w:r>
          </w:p>
        </w:tc>
        <w:tc>
          <w:tcPr>
            <w:tcW w:w="5225" w:type="dxa"/>
          </w:tcPr>
          <w:p w14:paraId="02421BBB" w14:textId="77777777" w:rsidR="00E8761B" w:rsidRPr="00674F20" w:rsidRDefault="00E8761B" w:rsidP="00A21959">
            <w:pPr>
              <w:pStyle w:val="Tabletext"/>
            </w:pPr>
            <w:r w:rsidRPr="00674F20">
              <w:t xml:space="preserve">Recall </w:t>
            </w:r>
            <w:r w:rsidRPr="006F1365">
              <w:t>applies</w:t>
            </w:r>
            <w:r w:rsidRPr="00674F20">
              <w:t xml:space="preserve"> to ACAS</w:t>
            </w:r>
            <w:r>
              <w:t>, Department of Veterans’ Affairs, TAC</w:t>
            </w:r>
            <w:r w:rsidRPr="00674F20">
              <w:t xml:space="preserve"> and residential aged care services</w:t>
            </w:r>
            <w:r>
              <w:t>.</w:t>
            </w:r>
          </w:p>
          <w:p w14:paraId="3D2E8483" w14:textId="77777777" w:rsidR="00E8761B" w:rsidRPr="00674F20" w:rsidRDefault="00E8761B" w:rsidP="00A21959">
            <w:pPr>
              <w:pStyle w:val="Tabletext"/>
            </w:pPr>
            <w:r w:rsidRPr="00674F20">
              <w:t xml:space="preserve">No recall applies </w:t>
            </w:r>
            <w:r w:rsidRPr="00C11B7E">
              <w:t>for public and private acute, subacute, primary health</w:t>
            </w:r>
            <w:r>
              <w:t xml:space="preserve"> and Home and Community Care</w:t>
            </w:r>
            <w:r w:rsidRPr="00C11B7E">
              <w:t>.</w:t>
            </w:r>
          </w:p>
        </w:tc>
      </w:tr>
      <w:tr w:rsidR="00E8761B" w:rsidRPr="00E63D9B" w14:paraId="4B9928AA" w14:textId="77777777" w:rsidTr="00A21959">
        <w:trPr>
          <w:trHeight w:val="300"/>
        </w:trPr>
        <w:tc>
          <w:tcPr>
            <w:tcW w:w="4390" w:type="dxa"/>
          </w:tcPr>
          <w:p w14:paraId="271CC101" w14:textId="77777777" w:rsidR="00E8761B" w:rsidRPr="00CA6A8D" w:rsidRDefault="00E8761B" w:rsidP="00A21959">
            <w:pPr>
              <w:pStyle w:val="Tabletext"/>
            </w:pPr>
            <w:r>
              <w:t>Acquired brain injury unit</w:t>
            </w:r>
          </w:p>
        </w:tc>
        <w:tc>
          <w:tcPr>
            <w:tcW w:w="5225" w:type="dxa"/>
          </w:tcPr>
          <w:p w14:paraId="15251B68" w14:textId="77777777" w:rsidR="00E8761B" w:rsidRPr="00674F20" w:rsidRDefault="00E8761B" w:rsidP="00A21959">
            <w:pPr>
              <w:pStyle w:val="Tabletext"/>
            </w:pPr>
            <w:r w:rsidRPr="00674F20">
              <w:t>Full recall of under</w:t>
            </w:r>
            <w:r>
              <w:t>-</w:t>
            </w:r>
            <w:r w:rsidRPr="00674F20">
              <w:t>activity</w:t>
            </w:r>
            <w:r>
              <w:t xml:space="preserve"> at the full rate</w:t>
            </w:r>
          </w:p>
        </w:tc>
      </w:tr>
      <w:tr w:rsidR="00E8761B" w:rsidRPr="006F501A" w14:paraId="75EBE876" w14:textId="77777777" w:rsidTr="00A21959">
        <w:trPr>
          <w:cantSplit/>
          <w:trHeight w:val="300"/>
        </w:trPr>
        <w:tc>
          <w:tcPr>
            <w:tcW w:w="4390" w:type="dxa"/>
          </w:tcPr>
          <w:p w14:paraId="4DB9F153" w14:textId="77777777" w:rsidR="00E8761B" w:rsidRPr="00674F20" w:rsidRDefault="00E8761B" w:rsidP="00A21959">
            <w:pPr>
              <w:pStyle w:val="Tabletext"/>
            </w:pPr>
            <w:r>
              <w:t>Mental health subacute and residential services</w:t>
            </w:r>
          </w:p>
        </w:tc>
        <w:tc>
          <w:tcPr>
            <w:tcW w:w="5225" w:type="dxa"/>
          </w:tcPr>
          <w:p w14:paraId="716BE8BF" w14:textId="77777777" w:rsidR="00E8761B" w:rsidRDefault="00E8761B" w:rsidP="00A21959">
            <w:pPr>
              <w:pStyle w:val="Tabletext"/>
            </w:pPr>
            <w:r w:rsidRPr="00674F20">
              <w:t>The department may recall funds associated with funded beds, which remain unopened or have been temporarily closed.</w:t>
            </w:r>
          </w:p>
          <w:p w14:paraId="53CCE14B" w14:textId="77777777" w:rsidR="00E8761B" w:rsidRPr="00674F20" w:rsidRDefault="00E8761B" w:rsidP="00A21959">
            <w:pPr>
              <w:pStyle w:val="Tabletext"/>
            </w:pPr>
            <w:r w:rsidRPr="00674F20">
              <w:t xml:space="preserve">Recall will depend on </w:t>
            </w:r>
            <w:r>
              <w:t>statewide</w:t>
            </w:r>
            <w:r w:rsidRPr="00674F20">
              <w:t xml:space="preserve"> priorities and the need for funding redistribution to achieve these priorities as defined by the department</w:t>
            </w:r>
            <w:r>
              <w:t>.</w:t>
            </w:r>
          </w:p>
        </w:tc>
      </w:tr>
      <w:tr w:rsidR="00E8761B" w14:paraId="4D65D6AD" w14:textId="77777777" w:rsidTr="00A21959">
        <w:trPr>
          <w:trHeight w:val="300"/>
        </w:trPr>
        <w:tc>
          <w:tcPr>
            <w:tcW w:w="4390" w:type="dxa"/>
          </w:tcPr>
          <w:p w14:paraId="7641FE7C" w14:textId="63E44A2F" w:rsidR="00E8761B" w:rsidRDefault="00E8761B" w:rsidP="00A21959">
            <w:pPr>
              <w:pStyle w:val="Tabletext"/>
            </w:pPr>
            <w:r>
              <w:t>Mental health non-admitted services</w:t>
            </w:r>
          </w:p>
        </w:tc>
        <w:tc>
          <w:tcPr>
            <w:tcW w:w="5225" w:type="dxa"/>
          </w:tcPr>
          <w:p w14:paraId="5CCCD28E" w14:textId="77777777" w:rsidR="00E8761B" w:rsidRDefault="00E8761B" w:rsidP="00E8761B">
            <w:pPr>
              <w:pStyle w:val="Tablebullet1"/>
              <w:numPr>
                <w:ilvl w:val="0"/>
                <w:numId w:val="3"/>
              </w:numPr>
              <w:ind w:left="357" w:hanging="357"/>
              <w:rPr>
                <w:rFonts w:asciiTheme="minorHAnsi" w:eastAsiaTheme="minorEastAsia" w:hAnsiTheme="minorHAnsi"/>
              </w:rPr>
            </w:pPr>
            <w:r w:rsidRPr="781D0035">
              <w:t>0</w:t>
            </w:r>
            <w:r>
              <w:t>–</w:t>
            </w:r>
            <w:r w:rsidRPr="781D0035">
              <w:t>3</w:t>
            </w:r>
            <w:r>
              <w:t>%</w:t>
            </w:r>
            <w:r w:rsidRPr="781D0035">
              <w:t xml:space="preserve"> below target: recall at 50</w:t>
            </w:r>
            <w:r>
              <w:t>%</w:t>
            </w:r>
            <w:r w:rsidRPr="781D0035">
              <w:t xml:space="preserve"> of the relevant price</w:t>
            </w:r>
          </w:p>
          <w:p w14:paraId="38B68700" w14:textId="77777777" w:rsidR="00E8761B" w:rsidRPr="0032371A" w:rsidRDefault="00E8761B" w:rsidP="00E8761B">
            <w:pPr>
              <w:pStyle w:val="Tablebullet1"/>
              <w:numPr>
                <w:ilvl w:val="0"/>
                <w:numId w:val="3"/>
              </w:numPr>
              <w:ind w:left="357" w:hanging="357"/>
            </w:pPr>
            <w:r w:rsidRPr="781D0035">
              <w:t>&gt; 3</w:t>
            </w:r>
            <w:r>
              <w:t>%</w:t>
            </w:r>
            <w:r w:rsidRPr="781D0035">
              <w:t xml:space="preserve"> below target: recall at 100</w:t>
            </w:r>
            <w:r>
              <w:t>%</w:t>
            </w:r>
            <w:r w:rsidRPr="781D0035">
              <w:t xml:space="preserve"> of the relevant price</w:t>
            </w:r>
          </w:p>
        </w:tc>
      </w:tr>
      <w:tr w:rsidR="00E8761B" w:rsidRPr="006F501A" w14:paraId="1937A27D" w14:textId="77777777" w:rsidTr="00A21959">
        <w:trPr>
          <w:cantSplit/>
          <w:trHeight w:val="300"/>
        </w:trPr>
        <w:tc>
          <w:tcPr>
            <w:tcW w:w="4390" w:type="dxa"/>
          </w:tcPr>
          <w:p w14:paraId="56E99638" w14:textId="77777777" w:rsidR="00E8761B" w:rsidRPr="00674F20" w:rsidRDefault="00E8761B" w:rsidP="00A21959">
            <w:pPr>
              <w:pStyle w:val="Tabletext"/>
            </w:pPr>
            <w:r>
              <w:lastRenderedPageBreak/>
              <w:t>Transition Care Program</w:t>
            </w:r>
            <w:r>
              <w:br/>
            </w:r>
            <w:r w:rsidRPr="00674F20">
              <w:t xml:space="preserve">(bed-based </w:t>
            </w:r>
            <w:r w:rsidRPr="006F1365">
              <w:t>and</w:t>
            </w:r>
            <w:r w:rsidRPr="00674F20">
              <w:t xml:space="preserve"> home-based wrapped)</w:t>
            </w:r>
          </w:p>
        </w:tc>
        <w:tc>
          <w:tcPr>
            <w:tcW w:w="5225" w:type="dxa"/>
          </w:tcPr>
          <w:p w14:paraId="5A34C759" w14:textId="77777777" w:rsidR="00E8761B" w:rsidRPr="00674F20" w:rsidRDefault="00E8761B" w:rsidP="00E8761B">
            <w:pPr>
              <w:pStyle w:val="Tablebullet1"/>
              <w:numPr>
                <w:ilvl w:val="0"/>
                <w:numId w:val="3"/>
              </w:numPr>
              <w:ind w:left="357" w:hanging="357"/>
            </w:pPr>
            <w:r w:rsidRPr="00674F20">
              <w:t>0–5</w:t>
            </w:r>
            <w:r>
              <w:t>%</w:t>
            </w:r>
            <w:r w:rsidRPr="00674F20">
              <w:t xml:space="preserve"> below target: </w:t>
            </w:r>
            <w:r>
              <w:t>n</w:t>
            </w:r>
            <w:r w:rsidRPr="00674F20">
              <w:t xml:space="preserve">o </w:t>
            </w:r>
            <w:r w:rsidRPr="006F1365">
              <w:t>recall</w:t>
            </w:r>
          </w:p>
          <w:p w14:paraId="35D0757A" w14:textId="77777777" w:rsidR="00E8761B" w:rsidRPr="00674F20" w:rsidRDefault="00E8761B" w:rsidP="00E8761B">
            <w:pPr>
              <w:pStyle w:val="Tablebullet1"/>
              <w:numPr>
                <w:ilvl w:val="0"/>
                <w:numId w:val="3"/>
              </w:numPr>
              <w:ind w:left="357" w:hanging="357"/>
            </w:pPr>
            <w:r w:rsidRPr="00674F20">
              <w:t>&gt; 5</w:t>
            </w:r>
            <w:r>
              <w:t>%</w:t>
            </w:r>
            <w:r w:rsidRPr="00674F20">
              <w:t xml:space="preserve"> below target: </w:t>
            </w:r>
            <w:r>
              <w:t>t</w:t>
            </w:r>
            <w:r w:rsidRPr="00674F20">
              <w:t xml:space="preserve">he department may </w:t>
            </w:r>
            <w:r>
              <w:t>apply recall</w:t>
            </w:r>
            <w:r w:rsidRPr="00674F20">
              <w:t xml:space="preserve">. The amount subject to recall is that beyond the </w:t>
            </w:r>
            <w:r>
              <w:t>5%</w:t>
            </w:r>
            <w:r w:rsidRPr="00674F20">
              <w:t xml:space="preserve"> underperformance</w:t>
            </w:r>
            <w:r>
              <w:t>.</w:t>
            </w:r>
          </w:p>
        </w:tc>
      </w:tr>
      <w:tr w:rsidR="00E8761B" w:rsidRPr="006F501A" w14:paraId="14D7A194" w14:textId="77777777" w:rsidTr="00A21959">
        <w:trPr>
          <w:trHeight w:val="300"/>
        </w:trPr>
        <w:tc>
          <w:tcPr>
            <w:tcW w:w="4390" w:type="dxa"/>
          </w:tcPr>
          <w:p w14:paraId="06614EBC" w14:textId="77777777" w:rsidR="00E8761B" w:rsidRPr="006F1365" w:rsidRDefault="00E8761B" w:rsidP="00A21959">
            <w:pPr>
              <w:pStyle w:val="Tabletext"/>
            </w:pPr>
            <w:r w:rsidRPr="006F1365">
              <w:t>Non-admitted radiotherapy</w:t>
            </w:r>
          </w:p>
        </w:tc>
        <w:tc>
          <w:tcPr>
            <w:tcW w:w="5225" w:type="dxa"/>
          </w:tcPr>
          <w:p w14:paraId="5E16340C" w14:textId="77777777" w:rsidR="00E8761B" w:rsidRPr="006F1365" w:rsidRDefault="00E8761B" w:rsidP="00A21959">
            <w:pPr>
              <w:pStyle w:val="Tabletext"/>
            </w:pPr>
            <w:r w:rsidRPr="006F1365">
              <w:t>Funding will be recalled at the full rate for performance below target.</w:t>
            </w:r>
          </w:p>
        </w:tc>
      </w:tr>
      <w:tr w:rsidR="00E8761B" w:rsidRPr="006F501A" w14:paraId="736585DB" w14:textId="77777777" w:rsidTr="00A21959">
        <w:trPr>
          <w:cantSplit/>
          <w:trHeight w:val="300"/>
        </w:trPr>
        <w:tc>
          <w:tcPr>
            <w:tcW w:w="4390" w:type="dxa"/>
          </w:tcPr>
          <w:p w14:paraId="2F5E6FDA" w14:textId="77777777" w:rsidR="00E8761B" w:rsidRPr="006F1365" w:rsidRDefault="00E8761B" w:rsidP="00A21959">
            <w:pPr>
              <w:pStyle w:val="Tabletext"/>
            </w:pPr>
            <w:r w:rsidRPr="006F1365">
              <w:t>Integrated cancer services</w:t>
            </w:r>
          </w:p>
        </w:tc>
        <w:tc>
          <w:tcPr>
            <w:tcW w:w="5225" w:type="dxa"/>
          </w:tcPr>
          <w:p w14:paraId="54F5C3CE" w14:textId="77777777" w:rsidR="00E8761B" w:rsidRPr="006F1365" w:rsidRDefault="00E8761B" w:rsidP="00A21959">
            <w:pPr>
              <w:pStyle w:val="Tabletext"/>
            </w:pPr>
            <w:r w:rsidRPr="006F1365">
              <w:t>The department may recall unexpended integrated cancer services funds. Recall will depend on statewide cancer reform priorities and the need for funding redistribution to achieve these priorities as defined by the department.</w:t>
            </w:r>
          </w:p>
        </w:tc>
      </w:tr>
      <w:tr w:rsidR="00E8761B" w:rsidRPr="006F501A" w14:paraId="41256A7D" w14:textId="77777777" w:rsidTr="00A21959">
        <w:trPr>
          <w:trHeight w:val="300"/>
        </w:trPr>
        <w:tc>
          <w:tcPr>
            <w:tcW w:w="4390" w:type="dxa"/>
          </w:tcPr>
          <w:p w14:paraId="18CD2277" w14:textId="167BEB4D" w:rsidR="00E8761B" w:rsidRPr="00674F20" w:rsidRDefault="00E8761B" w:rsidP="00A21959">
            <w:pPr>
              <w:pStyle w:val="Tabletext"/>
            </w:pPr>
            <w:r>
              <w:t xml:space="preserve">Community Health Care Program </w:t>
            </w:r>
          </w:p>
        </w:tc>
        <w:tc>
          <w:tcPr>
            <w:tcW w:w="5225" w:type="dxa"/>
          </w:tcPr>
          <w:p w14:paraId="10AFE51B" w14:textId="77777777" w:rsidR="00E8761B" w:rsidRPr="00674F20" w:rsidRDefault="00E8761B" w:rsidP="00E8761B">
            <w:pPr>
              <w:pStyle w:val="Tablebullet1"/>
              <w:numPr>
                <w:ilvl w:val="0"/>
                <w:numId w:val="3"/>
              </w:numPr>
              <w:ind w:left="357" w:hanging="357"/>
            </w:pPr>
            <w:r w:rsidRPr="00674F20">
              <w:t>0–5</w:t>
            </w:r>
            <w:r>
              <w:t>%</w:t>
            </w:r>
            <w:r w:rsidRPr="00674F20">
              <w:t xml:space="preserve"> below target: </w:t>
            </w:r>
            <w:r>
              <w:t>n</w:t>
            </w:r>
            <w:r w:rsidRPr="00674F20">
              <w:t>o recall</w:t>
            </w:r>
          </w:p>
          <w:p w14:paraId="46F5074A" w14:textId="77777777" w:rsidR="00E8761B" w:rsidRPr="00674F20" w:rsidRDefault="00E8761B" w:rsidP="00E8761B">
            <w:pPr>
              <w:pStyle w:val="Tablebullet1"/>
              <w:numPr>
                <w:ilvl w:val="0"/>
                <w:numId w:val="3"/>
              </w:numPr>
              <w:ind w:left="357" w:hanging="357"/>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1BD440DE" w14:textId="77777777" w:rsidTr="00A21959">
        <w:trPr>
          <w:cantSplit/>
          <w:trHeight w:val="300"/>
        </w:trPr>
        <w:tc>
          <w:tcPr>
            <w:tcW w:w="4390" w:type="dxa"/>
          </w:tcPr>
          <w:p w14:paraId="5373179F" w14:textId="77777777" w:rsidR="00E8761B" w:rsidRDefault="00E8761B" w:rsidP="00A21959">
            <w:pPr>
              <w:pStyle w:val="Tabletext"/>
            </w:pPr>
            <w:r w:rsidRPr="006F1365">
              <w:t>Home and Community Care Program for Younger People</w:t>
            </w:r>
          </w:p>
        </w:tc>
        <w:tc>
          <w:tcPr>
            <w:tcW w:w="5225" w:type="dxa"/>
          </w:tcPr>
          <w:p w14:paraId="015E2348" w14:textId="77777777" w:rsidR="00E8761B" w:rsidRPr="00674F20" w:rsidRDefault="00E8761B" w:rsidP="00E8761B">
            <w:pPr>
              <w:pStyle w:val="Tablebullet1"/>
              <w:numPr>
                <w:ilvl w:val="0"/>
                <w:numId w:val="3"/>
              </w:numPr>
              <w:ind w:left="357" w:hanging="357"/>
            </w:pPr>
            <w:r w:rsidRPr="00674F20">
              <w:t>0–5</w:t>
            </w:r>
            <w:r>
              <w:t>%</w:t>
            </w:r>
            <w:r w:rsidRPr="00674F20">
              <w:t xml:space="preserve"> below target: </w:t>
            </w:r>
            <w:r>
              <w:t>n</w:t>
            </w:r>
            <w:r w:rsidRPr="00674F20">
              <w:t>o recall</w:t>
            </w:r>
          </w:p>
          <w:p w14:paraId="137C1F95" w14:textId="77777777" w:rsidR="00E8761B" w:rsidRPr="00674F20" w:rsidRDefault="00E8761B" w:rsidP="00E8761B">
            <w:pPr>
              <w:pStyle w:val="Tablebullet1"/>
              <w:numPr>
                <w:ilvl w:val="0"/>
                <w:numId w:val="3"/>
              </w:numPr>
              <w:ind w:left="357" w:hanging="357"/>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481FBD55" w14:textId="77777777" w:rsidTr="00A21959">
        <w:trPr>
          <w:cantSplit/>
          <w:trHeight w:val="300"/>
        </w:trPr>
        <w:tc>
          <w:tcPr>
            <w:tcW w:w="4390" w:type="dxa"/>
          </w:tcPr>
          <w:p w14:paraId="38C94A4C" w14:textId="77777777" w:rsidR="00E8761B" w:rsidRPr="006F1365" w:rsidRDefault="00E8761B" w:rsidP="00A21959">
            <w:pPr>
              <w:pStyle w:val="Tabletext"/>
            </w:pPr>
            <w:r>
              <w:t xml:space="preserve">Community Health – </w:t>
            </w:r>
            <w:r w:rsidDel="008F470B">
              <w:t xml:space="preserve">Health </w:t>
            </w:r>
            <w:r>
              <w:t xml:space="preserve">Promotion </w:t>
            </w:r>
          </w:p>
        </w:tc>
        <w:tc>
          <w:tcPr>
            <w:tcW w:w="5225" w:type="dxa"/>
          </w:tcPr>
          <w:p w14:paraId="1D3405F0" w14:textId="77777777" w:rsidR="00E8761B" w:rsidRPr="00674F20" w:rsidRDefault="00E8761B" w:rsidP="00E8761B">
            <w:pPr>
              <w:pStyle w:val="Tablebullet1"/>
              <w:numPr>
                <w:ilvl w:val="0"/>
                <w:numId w:val="3"/>
              </w:numPr>
              <w:ind w:left="357" w:hanging="357"/>
            </w:pPr>
            <w:r w:rsidRPr="00674F20">
              <w:t>0–5</w:t>
            </w:r>
            <w:r>
              <w:t>%</w:t>
            </w:r>
            <w:r w:rsidRPr="00674F20">
              <w:t xml:space="preserve"> below target: </w:t>
            </w:r>
            <w:r>
              <w:t>n</w:t>
            </w:r>
            <w:r w:rsidRPr="00674F20">
              <w:t>o recall</w:t>
            </w:r>
          </w:p>
          <w:p w14:paraId="6FD48C85" w14:textId="77777777" w:rsidR="00E8761B" w:rsidRPr="00674F20" w:rsidRDefault="00E8761B" w:rsidP="00E8761B">
            <w:pPr>
              <w:pStyle w:val="Tablebullet1"/>
              <w:numPr>
                <w:ilvl w:val="0"/>
                <w:numId w:val="3"/>
              </w:numPr>
              <w:ind w:left="357" w:hanging="357"/>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4C9C678A" w14:textId="77777777" w:rsidTr="00A21959">
        <w:trPr>
          <w:cantSplit/>
          <w:trHeight w:val="300"/>
        </w:trPr>
        <w:tc>
          <w:tcPr>
            <w:tcW w:w="4390" w:type="dxa"/>
          </w:tcPr>
          <w:p w14:paraId="04AF38D4" w14:textId="77777777" w:rsidR="00E8761B" w:rsidRPr="00674F20" w:rsidRDefault="00E8761B" w:rsidP="00A21959">
            <w:pPr>
              <w:pStyle w:val="Tabletext"/>
            </w:pPr>
            <w:r>
              <w:t>Dental Health services</w:t>
            </w:r>
          </w:p>
        </w:tc>
        <w:tc>
          <w:tcPr>
            <w:tcW w:w="5225" w:type="dxa"/>
          </w:tcPr>
          <w:p w14:paraId="5123D36A" w14:textId="77777777" w:rsidR="00E8761B" w:rsidRPr="00674F20" w:rsidRDefault="00E8761B" w:rsidP="00E8761B">
            <w:pPr>
              <w:pStyle w:val="Tablebullet1"/>
              <w:numPr>
                <w:ilvl w:val="0"/>
                <w:numId w:val="3"/>
              </w:numPr>
              <w:ind w:left="357" w:hanging="357"/>
            </w:pPr>
            <w:r w:rsidRPr="00674F20">
              <w:t>0–5</w:t>
            </w:r>
            <w:r>
              <w:t>%</w:t>
            </w:r>
            <w:r w:rsidRPr="00674F20">
              <w:t xml:space="preserve"> below target: </w:t>
            </w:r>
            <w:r>
              <w:t>n</w:t>
            </w:r>
            <w:r w:rsidRPr="00674F20">
              <w:t>o recall</w:t>
            </w:r>
          </w:p>
          <w:p w14:paraId="66725E66" w14:textId="77777777" w:rsidR="00E8761B" w:rsidRPr="00F97016" w:rsidRDefault="00E8761B" w:rsidP="00E8761B">
            <w:pPr>
              <w:pStyle w:val="Tablebullet1"/>
              <w:numPr>
                <w:ilvl w:val="0"/>
                <w:numId w:val="3"/>
              </w:numPr>
              <w:ind w:left="357" w:hanging="357"/>
            </w:pPr>
            <w:r w:rsidRPr="00674F20">
              <w:t>&gt; 5</w:t>
            </w:r>
            <w:r>
              <w:t>%</w:t>
            </w:r>
            <w:r w:rsidRPr="00674F20">
              <w:t xml:space="preserve"> below target: </w:t>
            </w:r>
            <w:r>
              <w:t>t</w:t>
            </w:r>
            <w:r w:rsidRPr="00674F20">
              <w:t xml:space="preserve">he department may recall at the full rate. The amount subject to recall is that beyond the </w:t>
            </w:r>
            <w:r>
              <w:t>5%</w:t>
            </w:r>
            <w:r w:rsidRPr="00674F20">
              <w:t xml:space="preserve"> under</w:t>
            </w:r>
            <w:r>
              <w:t>-</w:t>
            </w:r>
            <w:r w:rsidRPr="00674F20">
              <w:t>performance</w:t>
            </w:r>
            <w:r>
              <w:t>.</w:t>
            </w:r>
          </w:p>
        </w:tc>
      </w:tr>
      <w:tr w:rsidR="00E8761B" w:rsidRPr="006F501A" w14:paraId="2B580A93" w14:textId="77777777" w:rsidTr="00A21959">
        <w:trPr>
          <w:cantSplit/>
          <w:trHeight w:val="300"/>
        </w:trPr>
        <w:tc>
          <w:tcPr>
            <w:tcW w:w="4390" w:type="dxa"/>
          </w:tcPr>
          <w:p w14:paraId="273CF5F9" w14:textId="77777777" w:rsidR="00E8761B" w:rsidRPr="00674F20" w:rsidRDefault="00E8761B" w:rsidP="00A21959">
            <w:pPr>
              <w:pStyle w:val="Tabletext"/>
            </w:pPr>
            <w:r w:rsidRPr="00674F20">
              <w:t xml:space="preserve">BreastScreen Victoria </w:t>
            </w:r>
            <w:r>
              <w:t>services</w:t>
            </w:r>
          </w:p>
        </w:tc>
        <w:tc>
          <w:tcPr>
            <w:tcW w:w="5225" w:type="dxa"/>
          </w:tcPr>
          <w:p w14:paraId="68B506F4" w14:textId="77777777" w:rsidR="00E8761B" w:rsidRDefault="00E8761B" w:rsidP="00A21959">
            <w:pPr>
              <w:pStyle w:val="Tabletext"/>
            </w:pPr>
            <w:r w:rsidRPr="00F97016">
              <w:t xml:space="preserve">Funding will be recalled at the full rate for performance below </w:t>
            </w:r>
            <w:r>
              <w:t xml:space="preserve">the department funded </w:t>
            </w:r>
            <w:r w:rsidRPr="00F97016">
              <w:t>target.</w:t>
            </w:r>
          </w:p>
          <w:p w14:paraId="03D8B302" w14:textId="77777777" w:rsidR="00E8761B" w:rsidRPr="00674F20" w:rsidRDefault="00E8761B" w:rsidP="00E8761B">
            <w:pPr>
              <w:pStyle w:val="Tablebullet1"/>
              <w:numPr>
                <w:ilvl w:val="0"/>
                <w:numId w:val="3"/>
              </w:numPr>
              <w:ind w:left="357" w:hanging="357"/>
            </w:pPr>
            <w:r>
              <w:t>Recall policy is subject to the terms and conditions of BreastScreen Victoria’s Funding and Service Agreement with the department.</w:t>
            </w:r>
          </w:p>
        </w:tc>
      </w:tr>
      <w:tr w:rsidR="00E8761B" w:rsidRPr="006F501A" w14:paraId="78E3B77E" w14:textId="77777777" w:rsidTr="00A21959">
        <w:trPr>
          <w:trHeight w:val="300"/>
        </w:trPr>
        <w:tc>
          <w:tcPr>
            <w:tcW w:w="4390" w:type="dxa"/>
          </w:tcPr>
          <w:p w14:paraId="6B9A81BE" w14:textId="77777777" w:rsidR="00E8761B" w:rsidRPr="006F1365" w:rsidRDefault="00E8761B" w:rsidP="00A21959">
            <w:pPr>
              <w:pStyle w:val="Tabletext"/>
            </w:pPr>
            <w:r w:rsidRPr="006F1365">
              <w:t>Aged Care Assessment Service</w:t>
            </w:r>
          </w:p>
        </w:tc>
        <w:tc>
          <w:tcPr>
            <w:tcW w:w="5225" w:type="dxa"/>
          </w:tcPr>
          <w:p w14:paraId="217035C9" w14:textId="77777777" w:rsidR="00E8761B" w:rsidRDefault="00E8761B" w:rsidP="00A21959">
            <w:pPr>
              <w:pStyle w:val="Tabletext"/>
            </w:pPr>
            <w:r w:rsidRPr="006F1365">
              <w:t>While</w:t>
            </w:r>
            <w:r>
              <w:t xml:space="preserve"> the department recognises that</w:t>
            </w:r>
            <w:r w:rsidRPr="006F1365">
              <w:t xml:space="preserve"> ACAS may find it difficult to meet the exact annual targets for the number of assessments, in the case of sustained under</w:t>
            </w:r>
            <w:r>
              <w:t>-</w:t>
            </w:r>
            <w:r w:rsidRPr="006F1365">
              <w:t xml:space="preserve">performance compared with annual targets of more than </w:t>
            </w:r>
            <w:r>
              <w:t>5%</w:t>
            </w:r>
            <w:r w:rsidRPr="006F1365">
              <w:t xml:space="preserve"> for two years or longer, a funding reduction may be applied that corresponds to the level of under</w:t>
            </w:r>
            <w:r>
              <w:t>-</w:t>
            </w:r>
            <w:r w:rsidRPr="006F1365">
              <w:t>performance.</w:t>
            </w:r>
          </w:p>
          <w:p w14:paraId="68CC18E3" w14:textId="77777777" w:rsidR="00E8761B" w:rsidRPr="006F1365" w:rsidRDefault="00E8761B" w:rsidP="00A21959">
            <w:pPr>
              <w:pStyle w:val="Tabletext"/>
            </w:pPr>
            <w:r>
              <w:t>ACAS will transition to the single assessment model during 2024–25. Updated guidance for the new model will be provided to support implementation.</w:t>
            </w:r>
          </w:p>
        </w:tc>
      </w:tr>
      <w:tr w:rsidR="00E8761B" w:rsidRPr="006F501A" w14:paraId="3F67C4D2" w14:textId="77777777" w:rsidTr="00A21959">
        <w:trPr>
          <w:trHeight w:val="300"/>
        </w:trPr>
        <w:tc>
          <w:tcPr>
            <w:tcW w:w="4390" w:type="dxa"/>
          </w:tcPr>
          <w:p w14:paraId="530366B7" w14:textId="77777777" w:rsidR="00E8761B" w:rsidRPr="006F1365" w:rsidRDefault="00E8761B" w:rsidP="00A21959">
            <w:pPr>
              <w:pStyle w:val="Tabletext"/>
            </w:pPr>
            <w:r w:rsidRPr="006F1365">
              <w:t>Diabetes prevention</w:t>
            </w:r>
          </w:p>
        </w:tc>
        <w:tc>
          <w:tcPr>
            <w:tcW w:w="5225" w:type="dxa"/>
          </w:tcPr>
          <w:p w14:paraId="448863C1" w14:textId="77777777" w:rsidR="00E8761B" w:rsidRPr="006F1365" w:rsidRDefault="00E8761B" w:rsidP="00A21959">
            <w:pPr>
              <w:pStyle w:val="Tabletext"/>
            </w:pPr>
            <w:r w:rsidRPr="00AE6427">
              <w:t>Program funding recalled per participant target not met</w:t>
            </w:r>
            <w:r>
              <w:t xml:space="preserve"> </w:t>
            </w:r>
            <w:r>
              <w:rPr>
                <w:color w:val="000000"/>
                <w:shd w:val="clear" w:color="auto" w:fill="FFFFFF"/>
              </w:rPr>
              <w:t>or when program deliverables are not met.</w:t>
            </w:r>
          </w:p>
        </w:tc>
      </w:tr>
      <w:tr w:rsidR="00E8761B" w:rsidRPr="006F501A" w14:paraId="263B71A8" w14:textId="77777777" w:rsidTr="00A21959">
        <w:trPr>
          <w:trHeight w:val="300"/>
        </w:trPr>
        <w:tc>
          <w:tcPr>
            <w:tcW w:w="4390" w:type="dxa"/>
          </w:tcPr>
          <w:p w14:paraId="0AF680BD" w14:textId="77777777" w:rsidR="00E8761B" w:rsidRPr="006F1365" w:rsidRDefault="00E8761B" w:rsidP="00A21959">
            <w:pPr>
              <w:pStyle w:val="Tabletext"/>
            </w:pPr>
            <w:r w:rsidRPr="006F1365">
              <w:lastRenderedPageBreak/>
              <w:t>Residential aged care</w:t>
            </w:r>
          </w:p>
        </w:tc>
        <w:tc>
          <w:tcPr>
            <w:tcW w:w="5225" w:type="dxa"/>
          </w:tcPr>
          <w:p w14:paraId="2DB57AF9" w14:textId="77777777" w:rsidR="00E8761B" w:rsidRPr="006F1365" w:rsidRDefault="00E8761B" w:rsidP="00A21959">
            <w:pPr>
              <w:pStyle w:val="Tabletext"/>
            </w:pPr>
            <w:r w:rsidRPr="006F1365">
              <w:t>Recurrent funds may be recalled from service providers, including small rural residential aged care services where they reduce the number of operational places. As funding is calculated on the basis of operational places any reduction will result in a corresponding adjustment to funding.</w:t>
            </w:r>
          </w:p>
        </w:tc>
      </w:tr>
      <w:tr w:rsidR="00E8761B" w14:paraId="682FE658" w14:textId="77777777" w:rsidTr="00A21959">
        <w:trPr>
          <w:trHeight w:val="300"/>
        </w:trPr>
        <w:tc>
          <w:tcPr>
            <w:tcW w:w="4390" w:type="dxa"/>
          </w:tcPr>
          <w:p w14:paraId="518413A5" w14:textId="77777777" w:rsidR="00E8761B" w:rsidRDefault="00E8761B" w:rsidP="00A21959">
            <w:pPr>
              <w:pStyle w:val="Tabletext"/>
            </w:pPr>
            <w:r>
              <w:t>LPHU</w:t>
            </w:r>
            <w:r w:rsidRPr="00105642">
              <w:t xml:space="preserve"> core</w:t>
            </w:r>
            <w:r>
              <w:t xml:space="preserve"> </w:t>
            </w:r>
            <w:r w:rsidRPr="00105642">
              <w:t>operations</w:t>
            </w:r>
          </w:p>
        </w:tc>
        <w:tc>
          <w:tcPr>
            <w:tcW w:w="5225" w:type="dxa"/>
          </w:tcPr>
          <w:p w14:paraId="52F28412" w14:textId="77777777" w:rsidR="00E8761B" w:rsidRPr="00B802ED" w:rsidRDefault="00E8761B" w:rsidP="00A21959">
            <w:pPr>
              <w:pStyle w:val="Tabletext"/>
            </w:pPr>
            <w:r>
              <w:t>The application</w:t>
            </w:r>
            <w:r w:rsidRPr="00105642">
              <w:t xml:space="preserve"> of </w:t>
            </w:r>
            <w:r>
              <w:t>r</w:t>
            </w:r>
            <w:r w:rsidRPr="00105642">
              <w:t>ecall f</w:t>
            </w:r>
            <w:r>
              <w:t>or</w:t>
            </w:r>
            <w:r w:rsidRPr="00105642">
              <w:t xml:space="preserve"> underspend</w:t>
            </w:r>
            <w:r>
              <w:t xml:space="preserve"> is</w:t>
            </w:r>
            <w:r w:rsidRPr="00105642">
              <w:t xml:space="preserve"> dependent on whether there is a need for funding redistribution within the LPHU to achieve statewide and/or catchment public health and health protection priorities.</w:t>
            </w:r>
          </w:p>
          <w:p w14:paraId="3CC18C4B" w14:textId="77777777" w:rsidR="00E8761B" w:rsidRPr="00B802ED" w:rsidRDefault="00E8761B" w:rsidP="00A21959">
            <w:pPr>
              <w:pStyle w:val="Tabletext"/>
            </w:pPr>
            <w:r w:rsidRPr="00B802ED">
              <w:t xml:space="preserve">Recall and redistribution of funds will be </w:t>
            </w:r>
            <w:r>
              <w:t xml:space="preserve">undertaken </w:t>
            </w:r>
            <w:r w:rsidRPr="00B802ED">
              <w:t xml:space="preserve">in consultation with </w:t>
            </w:r>
            <w:r>
              <w:t>health services</w:t>
            </w:r>
            <w:r w:rsidRPr="00B802ED">
              <w:t>.</w:t>
            </w:r>
          </w:p>
        </w:tc>
      </w:tr>
      <w:tr w:rsidR="00E8761B" w14:paraId="077AE890" w14:textId="77777777" w:rsidTr="00A21959">
        <w:trPr>
          <w:trHeight w:val="300"/>
        </w:trPr>
        <w:tc>
          <w:tcPr>
            <w:tcW w:w="4390" w:type="dxa"/>
          </w:tcPr>
          <w:p w14:paraId="10A4BAA7" w14:textId="77777777" w:rsidR="00E8761B" w:rsidRPr="00B802ED" w:rsidRDefault="00E8761B" w:rsidP="00A21959">
            <w:pPr>
              <w:pStyle w:val="Tabletext"/>
            </w:pPr>
            <w:r>
              <w:t>Health advancement</w:t>
            </w:r>
          </w:p>
        </w:tc>
        <w:tc>
          <w:tcPr>
            <w:tcW w:w="5225" w:type="dxa"/>
          </w:tcPr>
          <w:p w14:paraId="1A9955BD" w14:textId="77777777" w:rsidR="00E8761B" w:rsidRPr="00B802ED" w:rsidRDefault="00E8761B" w:rsidP="00A21959">
            <w:pPr>
              <w:pStyle w:val="Tabletext"/>
            </w:pPr>
            <w:r>
              <w:t>Full recall for underactivity</w:t>
            </w:r>
          </w:p>
        </w:tc>
      </w:tr>
      <w:tr w:rsidR="00E8761B" w14:paraId="5E594D99" w14:textId="77777777" w:rsidTr="00A21959">
        <w:trPr>
          <w:trHeight w:val="300"/>
        </w:trPr>
        <w:tc>
          <w:tcPr>
            <w:tcW w:w="4390" w:type="dxa"/>
          </w:tcPr>
          <w:p w14:paraId="6A7A1348" w14:textId="77777777" w:rsidR="00E8761B" w:rsidRDefault="00E8761B" w:rsidP="00A21959">
            <w:pPr>
              <w:pStyle w:val="Tabletext"/>
              <w:rPr>
                <w:rFonts w:eastAsia="Arial"/>
              </w:rPr>
            </w:pPr>
            <w:r>
              <w:rPr>
                <w:rFonts w:eastAsia="Arial"/>
              </w:rPr>
              <w:t>Victorian Virtual Emergency Department</w:t>
            </w:r>
          </w:p>
        </w:tc>
        <w:tc>
          <w:tcPr>
            <w:tcW w:w="5225" w:type="dxa"/>
          </w:tcPr>
          <w:p w14:paraId="68429BA1" w14:textId="77777777" w:rsidR="00E8761B" w:rsidRDefault="00E8761B" w:rsidP="00A21959">
            <w:pPr>
              <w:pStyle w:val="Body"/>
              <w:rPr>
                <w:rFonts w:eastAsia="Arial"/>
              </w:rPr>
            </w:pPr>
            <w:r w:rsidRPr="007F03EF">
              <w:t>A recall</w:t>
            </w:r>
            <w:r>
              <w:t xml:space="preserve"> </w:t>
            </w:r>
            <w:r w:rsidRPr="007F03EF">
              <w:t>adjustment will be applied at</w:t>
            </w:r>
            <w:r>
              <w:t xml:space="preserve"> an agreed partial </w:t>
            </w:r>
            <w:r w:rsidRPr="007F03EF">
              <w:t>rate at the end of 202</w:t>
            </w:r>
            <w:r>
              <w:t>4–</w:t>
            </w:r>
            <w:r w:rsidRPr="007F03EF">
              <w:t>2</w:t>
            </w:r>
            <w:r>
              <w:t>5</w:t>
            </w:r>
            <w:r w:rsidRPr="003650CF">
              <w:t xml:space="preserve"> </w:t>
            </w:r>
            <w:r>
              <w:t>for Northern Health based on overall call volumes.</w:t>
            </w:r>
          </w:p>
        </w:tc>
      </w:tr>
    </w:tbl>
    <w:p w14:paraId="012236CC" w14:textId="77777777" w:rsidR="005B699B" w:rsidRPr="000244B9" w:rsidRDefault="005B699B" w:rsidP="001E4292">
      <w:pPr>
        <w:pStyle w:val="Heading3"/>
        <w:numPr>
          <w:ilvl w:val="2"/>
          <w:numId w:val="13"/>
        </w:numPr>
      </w:pPr>
      <w:r w:rsidRPr="000244B9">
        <w:t xml:space="preserve">Exceptional </w:t>
      </w:r>
      <w:r w:rsidRPr="00790025">
        <w:t>events</w:t>
      </w:r>
    </w:p>
    <w:p w14:paraId="189CDC9F" w14:textId="77777777" w:rsidR="005B699B" w:rsidRPr="000244B9" w:rsidRDefault="005B699B" w:rsidP="005B699B">
      <w:pPr>
        <w:pStyle w:val="Body"/>
      </w:pPr>
      <w:r w:rsidRPr="000244B9">
        <w:t xml:space="preserve">There may be circumstances (including industrial action and natural disasters) beyond the reasonable control of </w:t>
      </w:r>
      <w:r w:rsidRPr="008A7D13">
        <w:t>health</w:t>
      </w:r>
      <w:r w:rsidRPr="000244B9">
        <w:t xml:space="preserve"> service management that prevent targeted throughput being met. At its discretion, and on a case-by-case basis, the department will consider submissions to adjust funding to health services, irrespective of throughput, for </w:t>
      </w:r>
      <w:r>
        <w:t>as</w:t>
      </w:r>
      <w:r w:rsidRPr="000244B9">
        <w:t xml:space="preserve"> long as such events continue.</w:t>
      </w:r>
    </w:p>
    <w:p w14:paraId="54C86F31" w14:textId="77777777" w:rsidR="005B699B" w:rsidRPr="000244B9" w:rsidRDefault="005B699B" w:rsidP="005B699B">
      <w:pPr>
        <w:pStyle w:val="Body"/>
      </w:pPr>
      <w:r w:rsidRPr="000244B9">
        <w:t>Health services are expected to actively mitigate their financial exposure and throughput decline during and following such events.</w:t>
      </w:r>
    </w:p>
    <w:p w14:paraId="285E8F52" w14:textId="77777777" w:rsidR="005B699B" w:rsidRPr="000244B9" w:rsidRDefault="005B699B" w:rsidP="005B699B">
      <w:pPr>
        <w:pStyle w:val="Body"/>
      </w:pPr>
      <w:r w:rsidRPr="000244B9">
        <w:t>The department will take into consideration the net change to health service finances and resources caused by exceptional events. However, health services will not receive additional funding for catch-up throughput</w:t>
      </w:r>
      <w:r>
        <w:t>,</w:t>
      </w:r>
      <w:r w:rsidRPr="000244B9">
        <w:t xml:space="preserve"> nor will health services receive funding for additional throughput in service areas not directly affected by these events. The department assesses the net impact of such events by assessing the data it collects on health service performance and other indicators.</w:t>
      </w:r>
    </w:p>
    <w:p w14:paraId="4EACF6DC" w14:textId="77777777" w:rsidR="005B699B" w:rsidRDefault="005B699B" w:rsidP="001E4292">
      <w:pPr>
        <w:pStyle w:val="Heading2"/>
        <w:numPr>
          <w:ilvl w:val="1"/>
          <w:numId w:val="13"/>
        </w:numPr>
        <w:ind w:left="1134" w:hanging="1134"/>
      </w:pPr>
      <w:bookmarkStart w:id="1828" w:name="_Toc418694971"/>
      <w:bookmarkStart w:id="1829" w:name="_Toc6215625"/>
      <w:bookmarkStart w:id="1830" w:name="_Toc10199698"/>
      <w:bookmarkStart w:id="1831" w:name="_Toc52892598"/>
      <w:bookmarkStart w:id="1832" w:name="_Toc100263331"/>
      <w:bookmarkStart w:id="1833" w:name="_Toc165961835"/>
      <w:bookmarkStart w:id="1834" w:name="_Toc178963620"/>
      <w:r>
        <w:t>Funding for throughput above target</w:t>
      </w:r>
      <w:bookmarkEnd w:id="1828"/>
      <w:bookmarkEnd w:id="1829"/>
      <w:bookmarkEnd w:id="1830"/>
      <w:bookmarkEnd w:id="1831"/>
      <w:bookmarkEnd w:id="1832"/>
      <w:bookmarkEnd w:id="1833"/>
      <w:bookmarkEnd w:id="1834"/>
    </w:p>
    <w:p w14:paraId="5C8726FE" w14:textId="05E6FAE1" w:rsidR="005B699B" w:rsidRDefault="005B699B" w:rsidP="005B699B">
      <w:pPr>
        <w:pStyle w:val="Body"/>
      </w:pPr>
      <w:r>
        <w:t xml:space="preserve">Funding for health service throughput above target will be based on a proportion of the funding rate (refer to </w:t>
      </w:r>
      <w:r>
        <w:fldChar w:fldCharType="begin"/>
      </w:r>
      <w:r>
        <w:instrText>REF _Ref170115761</w:instrText>
      </w:r>
      <w:r>
        <w:fldChar w:fldCharType="separate"/>
      </w:r>
      <w:r w:rsidR="00F30C16">
        <w:t>Table 1.</w:t>
      </w:r>
      <w:r w:rsidR="00F30C16">
        <w:rPr>
          <w:noProof/>
        </w:rPr>
        <w:t>5</w:t>
      </w:r>
      <w:r w:rsidR="00F30C16">
        <w:t xml:space="preserve">: </w:t>
      </w:r>
      <w:r w:rsidR="00F30C16" w:rsidRPr="00592817">
        <w:t>Funding for throughput above target 202</w:t>
      </w:r>
      <w:r w:rsidR="00F30C16">
        <w:t>4</w:t>
      </w:r>
      <w:r w:rsidR="00F30C16" w:rsidRPr="00592817">
        <w:t>–2</w:t>
      </w:r>
      <w:r w:rsidR="00F30C16">
        <w:t>5</w:t>
      </w:r>
      <w:r>
        <w:fldChar w:fldCharType="end"/>
      </w:r>
      <w:r>
        <w:t>)</w:t>
      </w:r>
      <w:r w:rsidRPr="00801262">
        <w:t>.</w:t>
      </w:r>
    </w:p>
    <w:p w14:paraId="47EFCCA5" w14:textId="2A761894" w:rsidR="005B699B" w:rsidRDefault="005B699B" w:rsidP="005B699B">
      <w:pPr>
        <w:pStyle w:val="Body"/>
      </w:pPr>
      <w:r>
        <w:t xml:space="preserve">The </w:t>
      </w:r>
      <w:r w:rsidRPr="001A31E2">
        <w:t xml:space="preserve">Department of Veterans’ Affairs </w:t>
      </w:r>
      <w:r>
        <w:t xml:space="preserve">and the </w:t>
      </w:r>
      <w:r w:rsidR="004F5FA5">
        <w:t>TAC</w:t>
      </w:r>
      <w:r>
        <w:t xml:space="preserve"> will continue to be funded to actual activity and will therefore attract additional funding for throughout above target.</w:t>
      </w:r>
    </w:p>
    <w:p w14:paraId="558A9EC5" w14:textId="603C7846" w:rsidR="005B699B" w:rsidRDefault="005B699B" w:rsidP="0075347D">
      <w:pPr>
        <w:pStyle w:val="Body"/>
      </w:pPr>
      <w:r>
        <w:t>Significant under- or overactivity should be discussed with the department. TCP, nursing-home-type activity and non-</w:t>
      </w:r>
      <w:r w:rsidRPr="00E84319">
        <w:t>admitted</w:t>
      </w:r>
      <w:r>
        <w:t xml:space="preserve"> services are not included in the subacute wrap.</w:t>
      </w:r>
    </w:p>
    <w:p w14:paraId="41F9DAAF" w14:textId="77777777" w:rsidR="005B699B" w:rsidRDefault="005B699B" w:rsidP="005B699B">
      <w:pPr>
        <w:pStyle w:val="Body"/>
      </w:pPr>
      <w:r>
        <w:t>There is no funding for any over-activity for non-acute care (Community Health Program, Home and Community Care Program for Younger People, TCP, or nursing home activity).</w:t>
      </w:r>
    </w:p>
    <w:p w14:paraId="3C2D24BF" w14:textId="13974AA5" w:rsidR="0002554E" w:rsidRDefault="0002554E" w:rsidP="0002554E">
      <w:pPr>
        <w:pStyle w:val="Tablecaption"/>
        <w:spacing w:line="250" w:lineRule="atLeast"/>
      </w:pPr>
      <w:bookmarkStart w:id="1835" w:name="_Ref170115761"/>
      <w:bookmarkStart w:id="1836" w:name="_Toc176510396"/>
      <w:r>
        <w:lastRenderedPageBreak/>
        <w:t>Table 1.</w:t>
      </w:r>
      <w:r>
        <w:fldChar w:fldCharType="begin"/>
      </w:r>
      <w:r>
        <w:instrText>SEQ Table \* ARABIC</w:instrText>
      </w:r>
      <w:r>
        <w:fldChar w:fldCharType="separate"/>
      </w:r>
      <w:r w:rsidR="00F30C16">
        <w:rPr>
          <w:noProof/>
        </w:rPr>
        <w:t>5</w:t>
      </w:r>
      <w:r>
        <w:fldChar w:fldCharType="end"/>
      </w:r>
      <w:r>
        <w:t xml:space="preserve">: </w:t>
      </w:r>
      <w:r w:rsidRPr="00592817">
        <w:t>Funding for throughput above target 202</w:t>
      </w:r>
      <w:r>
        <w:t>4</w:t>
      </w:r>
      <w:r w:rsidRPr="00592817">
        <w:t>–2</w:t>
      </w:r>
      <w:r>
        <w:t>5</w:t>
      </w:r>
      <w:bookmarkEnd w:id="1835"/>
      <w:bookmarkEnd w:id="1836"/>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7"/>
        <w:gridCol w:w="4892"/>
      </w:tblGrid>
      <w:tr w:rsidR="00E8761B" w:rsidRPr="00CC47B2" w14:paraId="0FDF3407" w14:textId="77777777" w:rsidTr="00A21959">
        <w:trPr>
          <w:tblHeader/>
        </w:trPr>
        <w:tc>
          <w:tcPr>
            <w:tcW w:w="4407" w:type="dxa"/>
            <w:shd w:val="clear" w:color="auto" w:fill="auto"/>
          </w:tcPr>
          <w:p w14:paraId="045EADC1" w14:textId="77777777" w:rsidR="00E8761B" w:rsidRPr="00D45E11" w:rsidRDefault="00E8761B" w:rsidP="00A21959">
            <w:pPr>
              <w:pStyle w:val="Tablecolhead"/>
            </w:pPr>
            <w:r w:rsidRPr="00D45E11">
              <w:t>Service</w:t>
            </w:r>
          </w:p>
        </w:tc>
        <w:tc>
          <w:tcPr>
            <w:tcW w:w="4892" w:type="dxa"/>
            <w:shd w:val="clear" w:color="auto" w:fill="auto"/>
          </w:tcPr>
          <w:p w14:paraId="3F3C85A0" w14:textId="77777777" w:rsidR="00E8761B" w:rsidRPr="00D45E11" w:rsidRDefault="00E8761B" w:rsidP="00A21959">
            <w:pPr>
              <w:pStyle w:val="Tablecolhead"/>
            </w:pPr>
            <w:r w:rsidRPr="00D45E11">
              <w:t xml:space="preserve">Funding </w:t>
            </w:r>
            <w:r>
              <w:t>for throughout above target</w:t>
            </w:r>
          </w:p>
        </w:tc>
      </w:tr>
      <w:tr w:rsidR="00E8761B" w:rsidRPr="005D4304" w14:paraId="37B8BB46" w14:textId="77777777" w:rsidTr="00A21959">
        <w:tc>
          <w:tcPr>
            <w:tcW w:w="4407" w:type="dxa"/>
          </w:tcPr>
          <w:p w14:paraId="00DBAF69" w14:textId="77777777" w:rsidR="00E8761B" w:rsidRPr="00881D12" w:rsidRDefault="00E8761B" w:rsidP="00A21959">
            <w:pPr>
              <w:pStyle w:val="Tabletext"/>
            </w:pPr>
            <w:r w:rsidRPr="00881D12">
              <w:t>Acute admitted services</w:t>
            </w:r>
            <w:r>
              <w:t xml:space="preserve"> (including mental health)</w:t>
            </w:r>
          </w:p>
          <w:p w14:paraId="06E511D6" w14:textId="77777777" w:rsidR="00E8761B" w:rsidRPr="006F1365" w:rsidRDefault="00E8761B" w:rsidP="00A21959">
            <w:pPr>
              <w:pStyle w:val="Tabletext"/>
            </w:pPr>
            <w:r w:rsidRPr="006F1365">
              <w:t>Subacute admitted services (wrap includes GEM, rehabilitation and palliative care)</w:t>
            </w:r>
          </w:p>
          <w:p w14:paraId="1CE9E52F" w14:textId="77777777" w:rsidR="00E8761B" w:rsidRPr="006F1365" w:rsidRDefault="00E8761B" w:rsidP="00A21959">
            <w:pPr>
              <w:pStyle w:val="Tabletext"/>
            </w:pPr>
            <w:r w:rsidRPr="006F1365">
              <w:t>Non</w:t>
            </w:r>
            <w:r>
              <w:t>-</w:t>
            </w:r>
            <w:r w:rsidRPr="006F1365">
              <w:t>admitted services (includes HIP</w:t>
            </w:r>
            <w:r>
              <w:t>, genomics</w:t>
            </w:r>
            <w:r w:rsidRPr="006F1365">
              <w:t xml:space="preserve"> and </w:t>
            </w:r>
            <w:r>
              <w:t>s</w:t>
            </w:r>
            <w:r w:rsidRPr="006F1365">
              <w:t xml:space="preserve">pecialist </w:t>
            </w:r>
            <w:r>
              <w:t>c</w:t>
            </w:r>
            <w:r w:rsidRPr="006F1365">
              <w:t xml:space="preserve">linics) </w:t>
            </w:r>
          </w:p>
          <w:p w14:paraId="540A0205" w14:textId="77777777" w:rsidR="00E8761B" w:rsidRPr="00881D12" w:rsidRDefault="00E8761B" w:rsidP="00A21959">
            <w:pPr>
              <w:pStyle w:val="Tabletext"/>
            </w:pPr>
            <w:r w:rsidRPr="09E24029">
              <w:t>Emergency non-admitted planned (elective) surgery base activity</w:t>
            </w:r>
          </w:p>
        </w:tc>
        <w:tc>
          <w:tcPr>
            <w:tcW w:w="4892" w:type="dxa"/>
          </w:tcPr>
          <w:p w14:paraId="641D0C9A" w14:textId="77777777" w:rsidR="00A172AE" w:rsidRPr="00A172AE" w:rsidRDefault="00A172AE" w:rsidP="00A172AE">
            <w:pPr>
              <w:pStyle w:val="Tabletext"/>
            </w:pPr>
            <w:r w:rsidRPr="0044382F">
              <w:t>Funding at 50% of the VEP for activity in excess of targets up to a cap of 102%</w:t>
            </w:r>
          </w:p>
          <w:p w14:paraId="517CB1AB" w14:textId="4A1C71FD" w:rsidR="00E8761B" w:rsidRPr="00881D12" w:rsidRDefault="00A172AE" w:rsidP="00A21959">
            <w:pPr>
              <w:pStyle w:val="Tabletext"/>
            </w:pPr>
            <w:r w:rsidRPr="00A172AE">
              <w:t>Noting that this policy may be reviewed during the year depending on how activity levels are tracking with respect to targets</w:t>
            </w:r>
            <w:r w:rsidR="00814FE3">
              <w:t>.</w:t>
            </w:r>
          </w:p>
        </w:tc>
      </w:tr>
      <w:tr w:rsidR="00336FFB" w:rsidRPr="005D4304" w14:paraId="55006DD1" w14:textId="77777777" w:rsidTr="00A21959">
        <w:tc>
          <w:tcPr>
            <w:tcW w:w="4407" w:type="dxa"/>
          </w:tcPr>
          <w:p w14:paraId="0E4F04FA" w14:textId="6452A77C" w:rsidR="00336FFB" w:rsidRPr="003D3A5F" w:rsidRDefault="00336FFB" w:rsidP="00336FFB">
            <w:pPr>
              <w:pStyle w:val="Tabletext"/>
            </w:pPr>
            <w:r w:rsidRPr="003D3A5F">
              <w:t>High cost, highly specialised therapies</w:t>
            </w:r>
          </w:p>
          <w:p w14:paraId="087EB348" w14:textId="77777777" w:rsidR="00336FFB" w:rsidRPr="003D3A5F" w:rsidRDefault="00336FFB" w:rsidP="00336FFB">
            <w:pPr>
              <w:pStyle w:val="Tabletext"/>
            </w:pPr>
          </w:p>
          <w:p w14:paraId="08155BB2" w14:textId="77777777" w:rsidR="00336FFB" w:rsidRPr="003D3A5F" w:rsidRDefault="00336FFB" w:rsidP="00336FFB">
            <w:pPr>
              <w:pStyle w:val="Tabletext"/>
            </w:pPr>
          </w:p>
        </w:tc>
        <w:tc>
          <w:tcPr>
            <w:tcW w:w="4892" w:type="dxa"/>
          </w:tcPr>
          <w:p w14:paraId="2FD4C3EF" w14:textId="1936D7A0" w:rsidR="00336FFB" w:rsidRPr="003D3A5F" w:rsidRDefault="00336FFB" w:rsidP="003D3A5F">
            <w:pPr>
              <w:pStyle w:val="Tablebullet1"/>
              <w:numPr>
                <w:ilvl w:val="0"/>
                <w:numId w:val="0"/>
              </w:numPr>
            </w:pPr>
            <w:r w:rsidRPr="003D3A5F">
              <w:t>Funding will be reconciled to actual costs as per</w:t>
            </w:r>
            <w:r w:rsidR="003D3A5F">
              <w:t xml:space="preserve"> </w:t>
            </w:r>
            <w:r w:rsidRPr="003D3A5F">
              <w:t>ac</w:t>
            </w:r>
            <w:r w:rsidR="009B3F45" w:rsidRPr="003D3A5F">
              <w:t>quittal (process outlined in section 2.11.1)</w:t>
            </w:r>
          </w:p>
          <w:p w14:paraId="366B7F53" w14:textId="77777777" w:rsidR="00336FFB" w:rsidRPr="003D3A5F" w:rsidRDefault="00336FFB" w:rsidP="00336FFB">
            <w:pPr>
              <w:pStyle w:val="Tabletext"/>
            </w:pPr>
          </w:p>
        </w:tc>
      </w:tr>
      <w:tr w:rsidR="00E8761B" w14:paraId="4A7A6EC6" w14:textId="77777777" w:rsidTr="00A21959">
        <w:trPr>
          <w:trHeight w:val="300"/>
        </w:trPr>
        <w:tc>
          <w:tcPr>
            <w:tcW w:w="4407" w:type="dxa"/>
          </w:tcPr>
          <w:p w14:paraId="44F53137" w14:textId="77777777" w:rsidR="00E8761B" w:rsidRDefault="00E8761B" w:rsidP="00A21959">
            <w:pPr>
              <w:pStyle w:val="Tabletext"/>
            </w:pPr>
            <w:r>
              <w:t>Acute admitted Hospital Acquired Complications</w:t>
            </w:r>
          </w:p>
        </w:tc>
        <w:tc>
          <w:tcPr>
            <w:tcW w:w="4892" w:type="dxa"/>
          </w:tcPr>
          <w:p w14:paraId="0D6DDB15" w14:textId="77777777" w:rsidR="00E8761B" w:rsidRDefault="00E8761B" w:rsidP="00A21959">
            <w:pPr>
              <w:pStyle w:val="Tabletext"/>
            </w:pPr>
            <w:r>
              <w:t>Full payment at VEP for an annual decrease in the HAC NWAU adjustment</w:t>
            </w:r>
          </w:p>
        </w:tc>
      </w:tr>
      <w:tr w:rsidR="00E8761B" w:rsidRPr="00E63D9B" w14:paraId="23AF3E2D" w14:textId="77777777" w:rsidTr="00A21959">
        <w:tc>
          <w:tcPr>
            <w:tcW w:w="4407" w:type="dxa"/>
          </w:tcPr>
          <w:p w14:paraId="55F879F8" w14:textId="77777777" w:rsidR="00E8761B" w:rsidRPr="00881D12" w:rsidRDefault="00E8761B" w:rsidP="00A21959">
            <w:pPr>
              <w:pStyle w:val="Tabletext"/>
            </w:pPr>
            <w:r w:rsidRPr="00881D12">
              <w:t xml:space="preserve">Nationally </w:t>
            </w:r>
            <w:r>
              <w:t>f</w:t>
            </w:r>
            <w:r w:rsidRPr="00881D12">
              <w:t xml:space="preserve">unded </w:t>
            </w:r>
            <w:r>
              <w:t>c</w:t>
            </w:r>
            <w:r w:rsidRPr="00881D12">
              <w:t xml:space="preserve">entres </w:t>
            </w:r>
          </w:p>
        </w:tc>
        <w:tc>
          <w:tcPr>
            <w:tcW w:w="4892" w:type="dxa"/>
          </w:tcPr>
          <w:p w14:paraId="386C0958" w14:textId="77777777" w:rsidR="00E8761B" w:rsidRPr="00881D12" w:rsidRDefault="00E8761B" w:rsidP="00A21959">
            <w:pPr>
              <w:pStyle w:val="Tabletext"/>
            </w:pPr>
            <w:r w:rsidRPr="00881D12">
              <w:t>Funding will be reconciled to actual activity.</w:t>
            </w:r>
          </w:p>
        </w:tc>
      </w:tr>
      <w:tr w:rsidR="00E8761B" w:rsidRPr="00E63D9B" w14:paraId="1E131BF4" w14:textId="77777777" w:rsidTr="00A21959">
        <w:tc>
          <w:tcPr>
            <w:tcW w:w="4407" w:type="dxa"/>
          </w:tcPr>
          <w:p w14:paraId="14F10996" w14:textId="77777777" w:rsidR="00E8761B" w:rsidRPr="00881D12" w:rsidRDefault="00E8761B" w:rsidP="00A21959">
            <w:pPr>
              <w:pStyle w:val="Tabletext"/>
            </w:pPr>
            <w:r w:rsidRPr="00881D12">
              <w:t>T</w:t>
            </w:r>
            <w:r>
              <w:t xml:space="preserve">ransport </w:t>
            </w:r>
            <w:r w:rsidRPr="00881D12">
              <w:t>A</w:t>
            </w:r>
            <w:r>
              <w:t xml:space="preserve">ccident </w:t>
            </w:r>
            <w:r w:rsidRPr="00881D12">
              <w:t>C</w:t>
            </w:r>
            <w:r>
              <w:t>ommission</w:t>
            </w:r>
          </w:p>
          <w:p w14:paraId="7E096CAC" w14:textId="77777777" w:rsidR="00E8761B" w:rsidRPr="00674F20" w:rsidRDefault="00E8761B" w:rsidP="00A21959">
            <w:pPr>
              <w:pStyle w:val="Tabletext"/>
            </w:pPr>
            <w:r w:rsidRPr="00881D12">
              <w:t>WorkSafe</w:t>
            </w:r>
          </w:p>
        </w:tc>
        <w:tc>
          <w:tcPr>
            <w:tcW w:w="4892" w:type="dxa"/>
          </w:tcPr>
          <w:p w14:paraId="4A9AF0A1" w14:textId="77777777" w:rsidR="00E8761B" w:rsidRPr="0075347D" w:rsidRDefault="00E8761B" w:rsidP="00A21959">
            <w:pPr>
              <w:pStyle w:val="Tabletext"/>
            </w:pPr>
            <w:r>
              <w:t xml:space="preserve">Funding will be reconciled to actual activity </w:t>
            </w:r>
            <w:r w:rsidRPr="0075347D">
              <w:t>for:</w:t>
            </w:r>
          </w:p>
          <w:p w14:paraId="350E2AED" w14:textId="77777777" w:rsidR="00E8761B" w:rsidRPr="00252924" w:rsidRDefault="00E8761B" w:rsidP="00E8761B">
            <w:pPr>
              <w:pStyle w:val="Tablebullet1"/>
              <w:numPr>
                <w:ilvl w:val="0"/>
                <w:numId w:val="3"/>
              </w:numPr>
              <w:ind w:left="357" w:hanging="357"/>
            </w:pPr>
            <w:r>
              <w:t>acute admitted services</w:t>
            </w:r>
          </w:p>
          <w:p w14:paraId="7B91A926" w14:textId="77777777" w:rsidR="00E8761B" w:rsidRPr="00252924" w:rsidRDefault="00E8761B" w:rsidP="00E8761B">
            <w:pPr>
              <w:pStyle w:val="Tablebullet1"/>
              <w:numPr>
                <w:ilvl w:val="0"/>
                <w:numId w:val="3"/>
              </w:numPr>
              <w:ind w:left="357" w:hanging="357"/>
            </w:pPr>
            <w:r>
              <w:t>subacute admitted services (wrap includes GEM, rehabilitation, and palliative care).</w:t>
            </w:r>
          </w:p>
        </w:tc>
      </w:tr>
      <w:tr w:rsidR="00E8761B" w:rsidRPr="00022E60" w14:paraId="5DBA03A6" w14:textId="77777777" w:rsidTr="00A21959">
        <w:tc>
          <w:tcPr>
            <w:tcW w:w="4407" w:type="dxa"/>
          </w:tcPr>
          <w:p w14:paraId="5E2430F0" w14:textId="77777777" w:rsidR="00E8761B" w:rsidRPr="00252924" w:rsidRDefault="00E8761B" w:rsidP="00A21959">
            <w:pPr>
              <w:pStyle w:val="Tabletext"/>
            </w:pPr>
            <w:r w:rsidRPr="00252924">
              <w:t>Department of Veterans’ Affairs</w:t>
            </w:r>
          </w:p>
          <w:p w14:paraId="2D76441A" w14:textId="77777777" w:rsidR="00E8761B" w:rsidRPr="00022E60" w:rsidRDefault="00E8761B" w:rsidP="00A21959">
            <w:pPr>
              <w:pStyle w:val="Tabletext9pt"/>
              <w:keepNext/>
              <w:rPr>
                <w:color w:val="000000" w:themeColor="text1"/>
              </w:rPr>
            </w:pPr>
          </w:p>
        </w:tc>
        <w:tc>
          <w:tcPr>
            <w:tcW w:w="4892" w:type="dxa"/>
          </w:tcPr>
          <w:p w14:paraId="2D1F55EA" w14:textId="77777777" w:rsidR="00E8761B" w:rsidRPr="00252924" w:rsidRDefault="00E8761B" w:rsidP="00A21959">
            <w:pPr>
              <w:pStyle w:val="Tabletext"/>
            </w:pPr>
            <w:r w:rsidRPr="00252924">
              <w:t>Funding will be reconciled to actual activity for:</w:t>
            </w:r>
          </w:p>
          <w:p w14:paraId="262FBBE4" w14:textId="77777777" w:rsidR="00E8761B" w:rsidRPr="00252924" w:rsidRDefault="00E8761B" w:rsidP="00E8761B">
            <w:pPr>
              <w:pStyle w:val="Tablebullet1"/>
              <w:numPr>
                <w:ilvl w:val="0"/>
                <w:numId w:val="3"/>
              </w:numPr>
              <w:ind w:left="357" w:hanging="357"/>
            </w:pPr>
            <w:r>
              <w:t>acute admitted services</w:t>
            </w:r>
          </w:p>
          <w:p w14:paraId="1047D10E" w14:textId="77777777" w:rsidR="00E8761B" w:rsidRPr="00252924" w:rsidRDefault="00E8761B" w:rsidP="00E8761B">
            <w:pPr>
              <w:pStyle w:val="Tablebullet1"/>
              <w:numPr>
                <w:ilvl w:val="0"/>
                <w:numId w:val="3"/>
              </w:numPr>
              <w:ind w:left="357" w:hanging="357"/>
            </w:pPr>
            <w:r>
              <w:t>subacute admitted services (wrap includes GEM, rehabilitation, and palliative care)</w:t>
            </w:r>
          </w:p>
          <w:p w14:paraId="2E2BB48B" w14:textId="77777777" w:rsidR="00E8761B" w:rsidRPr="00252924" w:rsidRDefault="00E8761B" w:rsidP="00E8761B">
            <w:pPr>
              <w:pStyle w:val="Tablebullet1"/>
              <w:numPr>
                <w:ilvl w:val="0"/>
                <w:numId w:val="3"/>
              </w:numPr>
              <w:ind w:left="357" w:hanging="357"/>
            </w:pPr>
            <w:r>
              <w:t>non-admitted (acute) services.</w:t>
            </w:r>
          </w:p>
        </w:tc>
      </w:tr>
    </w:tbl>
    <w:p w14:paraId="2D2F5651" w14:textId="77777777" w:rsidR="005B699B" w:rsidRDefault="005B699B" w:rsidP="001E4292">
      <w:pPr>
        <w:pStyle w:val="Heading2"/>
        <w:numPr>
          <w:ilvl w:val="1"/>
          <w:numId w:val="13"/>
        </w:numPr>
        <w:ind w:left="1134" w:hanging="1134"/>
      </w:pPr>
      <w:bookmarkStart w:id="1837" w:name="_Toc165961836"/>
      <w:bookmarkStart w:id="1838" w:name="_Toc178963621"/>
      <w:bookmarkStart w:id="1839" w:name="_Toc455836075"/>
      <w:bookmarkStart w:id="1840" w:name="_Toc6215626"/>
      <w:bookmarkStart w:id="1841" w:name="_Toc10199699"/>
      <w:bookmarkStart w:id="1842" w:name="_Toc52892599"/>
      <w:bookmarkStart w:id="1843" w:name="_Toc100263332"/>
      <w:r>
        <w:t>Recall with respect to public and private activity mix changes</w:t>
      </w:r>
      <w:bookmarkEnd w:id="1837"/>
      <w:bookmarkEnd w:id="1838"/>
    </w:p>
    <w:p w14:paraId="0C0F23BE" w14:textId="77777777" w:rsidR="005B699B" w:rsidRDefault="005B699B" w:rsidP="005B699B">
      <w:pPr>
        <w:pStyle w:val="Body"/>
      </w:pPr>
      <w:r w:rsidRPr="00E05D10">
        <w:t>The</w:t>
      </w:r>
      <w:r>
        <w:t xml:space="preserve"> </w:t>
      </w:r>
      <w:r w:rsidRPr="00E05D10">
        <w:t xml:space="preserve">recall and throughput </w:t>
      </w:r>
      <w:r>
        <w:t xml:space="preserve">adjustment </w:t>
      </w:r>
      <w:r w:rsidRPr="00E05D10">
        <w:t>will no longer explicit</w:t>
      </w:r>
      <w:r>
        <w:t>ly</w:t>
      </w:r>
      <w:r w:rsidRPr="00E05D10">
        <w:t xml:space="preserve"> account for </w:t>
      </w:r>
      <w:r>
        <w:t xml:space="preserve">changed levels of private patient activity relative to public activity. </w:t>
      </w:r>
      <w:r w:rsidRPr="00E05D10">
        <w:t xml:space="preserve">There is no </w:t>
      </w:r>
      <w:r>
        <w:t xml:space="preserve">differentiation for </w:t>
      </w:r>
      <w:r w:rsidRPr="00E05D10">
        <w:t xml:space="preserve">public </w:t>
      </w:r>
      <w:r>
        <w:t xml:space="preserve">and </w:t>
      </w:r>
      <w:r w:rsidRPr="00E05D10">
        <w:t xml:space="preserve">private activity in the </w:t>
      </w:r>
      <w:r>
        <w:t xml:space="preserve">NWAU </w:t>
      </w:r>
      <w:r w:rsidRPr="00E05D10">
        <w:t>activity target</w:t>
      </w:r>
      <w:r>
        <w:t>. T</w:t>
      </w:r>
      <w:r w:rsidRPr="00E05D10">
        <w:t>herefore</w:t>
      </w:r>
      <w:r>
        <w:t>,</w:t>
      </w:r>
      <w:r w:rsidRPr="00E05D10">
        <w:t xml:space="preserve"> a price</w:t>
      </w:r>
      <w:r>
        <w:t>-</w:t>
      </w:r>
      <w:r w:rsidRPr="00E05D10">
        <w:t>based funding adjustment cannot apply.</w:t>
      </w:r>
    </w:p>
    <w:p w14:paraId="3BDAD9FC" w14:textId="77777777" w:rsidR="005B699B" w:rsidRDefault="005B699B" w:rsidP="005B699B">
      <w:pPr>
        <w:pStyle w:val="Body"/>
      </w:pPr>
      <w:r w:rsidRPr="00E05D10">
        <w:t>If the public to private ratio of activity changes over the course of the year, the resultant impact is to the NWAU per separation yield. A change in yield will impact the speed at which health services achieve thresholds associated with the throughput or recall policies.</w:t>
      </w:r>
      <w:bookmarkStart w:id="1844" w:name="_Toc111713580"/>
      <w:bookmarkEnd w:id="1844"/>
    </w:p>
    <w:p w14:paraId="55E96798" w14:textId="77777777" w:rsidR="005B699B" w:rsidRDefault="005B699B" w:rsidP="001E4292">
      <w:pPr>
        <w:pStyle w:val="Heading2"/>
        <w:numPr>
          <w:ilvl w:val="1"/>
          <w:numId w:val="13"/>
        </w:numPr>
        <w:ind w:left="1134" w:hanging="1134"/>
      </w:pPr>
      <w:bookmarkStart w:id="1845" w:name="_Toc178963622"/>
      <w:bookmarkStart w:id="1846" w:name="_Toc165961837"/>
      <w:r>
        <w:t xml:space="preserve">Reconciliation of </w:t>
      </w:r>
      <w:r w:rsidRPr="00790025">
        <w:t>National</w:t>
      </w:r>
      <w:r>
        <w:t xml:space="preserve"> Health Reform Commonwealth </w:t>
      </w:r>
      <w:bookmarkEnd w:id="1839"/>
      <w:bookmarkEnd w:id="1840"/>
      <w:bookmarkEnd w:id="1841"/>
      <w:bookmarkEnd w:id="1842"/>
      <w:bookmarkEnd w:id="1843"/>
      <w:r>
        <w:t>contributions</w:t>
      </w:r>
      <w:bookmarkEnd w:id="1845"/>
      <w:r>
        <w:t xml:space="preserve"> </w:t>
      </w:r>
      <w:bookmarkEnd w:id="1846"/>
    </w:p>
    <w:p w14:paraId="76382442" w14:textId="77777777" w:rsidR="005B699B" w:rsidRDefault="005B699B" w:rsidP="005B699B">
      <w:pPr>
        <w:pStyle w:val="Body"/>
      </w:pPr>
      <w:bookmarkStart w:id="1847" w:name="_Toc100263333"/>
      <w:r>
        <w:t>The NHRA requires a six-month and annual reconciliation of Commonwealth contributions to activity-based funding. Monthly activity-based funding payments are based on estimated activity (that is, local hospital network activity targets), with the reconciliation process determining funding adjustments to align to actual activity delivered by each local hospital network.</w:t>
      </w:r>
    </w:p>
    <w:p w14:paraId="62D3E359" w14:textId="77777777" w:rsidR="005B699B" w:rsidRDefault="005B699B" w:rsidP="005B699B">
      <w:pPr>
        <w:pStyle w:val="Body"/>
      </w:pPr>
      <w:r>
        <w:lastRenderedPageBreak/>
        <w:t>The Administrator of the National Health Funding Pool calculates reconciliation adjustments and advises the Commonwealth Treasurer, who makes a final determination of Commonwealth national health reform funding entitlements. Adjustment of Commonwealth national health reform funding is spread equally across payments for a subsequent quarter.</w:t>
      </w:r>
    </w:p>
    <w:p w14:paraId="564FAE2B" w14:textId="15E1CCF9" w:rsidR="00413D09" w:rsidRDefault="00712988" w:rsidP="001E4292">
      <w:pPr>
        <w:pStyle w:val="Heading2"/>
        <w:numPr>
          <w:ilvl w:val="1"/>
          <w:numId w:val="13"/>
        </w:numPr>
        <w:ind w:left="1134" w:hanging="1134"/>
      </w:pPr>
      <w:bookmarkStart w:id="1848" w:name="_Toc178963623"/>
      <w:r>
        <w:t xml:space="preserve">Reconciliation </w:t>
      </w:r>
      <w:r w:rsidR="00CA2163">
        <w:t xml:space="preserve">of </w:t>
      </w:r>
      <w:r w:rsidR="00F71EB5">
        <w:t>pricing for safety and quality adjustments</w:t>
      </w:r>
      <w:bookmarkEnd w:id="1848"/>
    </w:p>
    <w:p w14:paraId="2AB7AFE6" w14:textId="421CCAC6" w:rsidR="00E63859" w:rsidRDefault="00E63859" w:rsidP="00E63859">
      <w:pPr>
        <w:pStyle w:val="Body"/>
      </w:pPr>
      <w:r>
        <w:t xml:space="preserve">A funding adjustment will be applied to each NWAU funded </w:t>
      </w:r>
      <w:r w:rsidR="00532A7A">
        <w:t>h</w:t>
      </w:r>
      <w:r>
        <w:t xml:space="preserve">ealth </w:t>
      </w:r>
      <w:r w:rsidR="00532A7A">
        <w:t>s</w:t>
      </w:r>
      <w:r>
        <w:t xml:space="preserve">ervice where there is a change in the number of HACs and/or AHRs relative to the previous year, after adjusting for risk and complexity. </w:t>
      </w:r>
    </w:p>
    <w:p w14:paraId="6D67D43F" w14:textId="5A02DF05" w:rsidR="00F71EB5" w:rsidRDefault="00E63859" w:rsidP="005B699B">
      <w:pPr>
        <w:pStyle w:val="Body"/>
      </w:pPr>
      <w:r>
        <w:t xml:space="preserve">This adjustment will be paid or recalled at the full rate of VEP for the relevant health service for the annual change in HACs and/or AHRs. </w:t>
      </w:r>
      <w:r w:rsidR="000C15E4">
        <w:t>HAC and AHR a</w:t>
      </w:r>
      <w:r w:rsidR="00530211">
        <w:t>djustments w</w:t>
      </w:r>
      <w:r w:rsidR="000C15E4">
        <w:t xml:space="preserve">hile </w:t>
      </w:r>
      <w:r w:rsidR="00530211">
        <w:t>calculated</w:t>
      </w:r>
      <w:r>
        <w:t xml:space="preserve"> individually</w:t>
      </w:r>
      <w:r w:rsidR="00921AFC">
        <w:t xml:space="preserve">, </w:t>
      </w:r>
      <w:r w:rsidR="000C15E4">
        <w:t xml:space="preserve">will be </w:t>
      </w:r>
      <w:r>
        <w:t xml:space="preserve">netted off each other to </w:t>
      </w:r>
      <w:r w:rsidR="000C15E4">
        <w:t>form</w:t>
      </w:r>
      <w:r>
        <w:t xml:space="preserve"> one annual adjustment.</w:t>
      </w:r>
    </w:p>
    <w:p w14:paraId="75C5B268" w14:textId="2AFE9CE6" w:rsidR="005B699B" w:rsidRDefault="005B699B" w:rsidP="001E4292">
      <w:pPr>
        <w:pStyle w:val="Heading2"/>
        <w:numPr>
          <w:ilvl w:val="1"/>
          <w:numId w:val="13"/>
        </w:numPr>
        <w:ind w:left="1134" w:hanging="1134"/>
      </w:pPr>
      <w:bookmarkStart w:id="1849" w:name="_Toc455836076"/>
      <w:bookmarkStart w:id="1850" w:name="_Toc6215627"/>
      <w:bookmarkStart w:id="1851" w:name="_Toc10199700"/>
      <w:bookmarkStart w:id="1852" w:name="_Toc52892600"/>
      <w:bookmarkStart w:id="1853" w:name="_Toc165961838"/>
      <w:bookmarkStart w:id="1854" w:name="_Toc178963624"/>
      <w:r>
        <w:t xml:space="preserve">Hospital activity, NWAU and subacute NWAU </w:t>
      </w:r>
      <w:bookmarkEnd w:id="1847"/>
      <w:bookmarkEnd w:id="1849"/>
      <w:bookmarkEnd w:id="1850"/>
      <w:bookmarkEnd w:id="1851"/>
      <w:bookmarkEnd w:id="1852"/>
      <w:r>
        <w:t>reports</w:t>
      </w:r>
      <w:bookmarkEnd w:id="1853"/>
      <w:bookmarkEnd w:id="1854"/>
    </w:p>
    <w:p w14:paraId="3C5A4142" w14:textId="77777777" w:rsidR="005B699B" w:rsidRPr="0050093F" w:rsidRDefault="005B699B" w:rsidP="005B699B">
      <w:pPr>
        <w:rPr>
          <w:rFonts w:cs="Arial"/>
          <w:szCs w:val="21"/>
          <w:lang w:eastAsia="en-AU"/>
        </w:rPr>
      </w:pPr>
      <w:bookmarkStart w:id="1855" w:name="_Toc418694972"/>
      <w:r w:rsidRPr="0050093F">
        <w:rPr>
          <w:rFonts w:cs="Arial"/>
          <w:szCs w:val="21"/>
          <w:lang w:eastAsia="en-AU"/>
        </w:rPr>
        <w:t>The hospital activity reports and the acute and subacute NWAU reports are provided to all public health services via secure data exchange (M</w:t>
      </w:r>
      <w:r>
        <w:rPr>
          <w:rFonts w:cs="Arial"/>
          <w:szCs w:val="21"/>
          <w:lang w:eastAsia="en-AU"/>
        </w:rPr>
        <w:t xml:space="preserve">anaged </w:t>
      </w:r>
      <w:r w:rsidRPr="0050093F">
        <w:rPr>
          <w:rFonts w:cs="Arial"/>
          <w:szCs w:val="21"/>
          <w:lang w:eastAsia="en-AU"/>
        </w:rPr>
        <w:t>F</w:t>
      </w:r>
      <w:r>
        <w:rPr>
          <w:rFonts w:cs="Arial"/>
          <w:szCs w:val="21"/>
          <w:lang w:eastAsia="en-AU"/>
        </w:rPr>
        <w:t xml:space="preserve">ile </w:t>
      </w:r>
      <w:r w:rsidRPr="0050093F">
        <w:rPr>
          <w:rFonts w:cs="Arial"/>
          <w:szCs w:val="21"/>
          <w:lang w:eastAsia="en-AU"/>
        </w:rPr>
        <w:t>T</w:t>
      </w:r>
      <w:r>
        <w:rPr>
          <w:rFonts w:cs="Arial"/>
          <w:szCs w:val="21"/>
          <w:lang w:eastAsia="en-AU"/>
        </w:rPr>
        <w:t>ransfer</w:t>
      </w:r>
      <w:r w:rsidRPr="0050093F">
        <w:rPr>
          <w:rFonts w:cs="Arial"/>
          <w:szCs w:val="21"/>
          <w:lang w:eastAsia="en-AU"/>
        </w:rPr>
        <w:t xml:space="preserve"> portal) after the VAED consolidation on the 10th day of each month. The reports contain a financial year-to-date summary by month of admitted patient separations, patient days, acute NWAU and subacute NWAU.</w:t>
      </w:r>
    </w:p>
    <w:p w14:paraId="6D865605" w14:textId="77777777" w:rsidR="005B699B" w:rsidRPr="0050093F" w:rsidRDefault="005B699B" w:rsidP="005B699B">
      <w:pPr>
        <w:rPr>
          <w:rFonts w:cs="Arial"/>
          <w:szCs w:val="21"/>
          <w:lang w:eastAsia="en-AU"/>
        </w:rPr>
      </w:pPr>
      <w:r w:rsidRPr="0050093F">
        <w:rPr>
          <w:rFonts w:cs="Arial"/>
          <w:szCs w:val="21"/>
          <w:lang w:eastAsia="en-AU"/>
        </w:rPr>
        <w:t xml:space="preserve">Further information regarding NWAU reports are available at </w:t>
      </w:r>
      <w:hyperlink r:id="rId69" w:history="1">
        <w:r w:rsidRPr="0050093F">
          <w:rPr>
            <w:rStyle w:val="Hyperlink"/>
            <w:rFonts w:cs="Arial"/>
            <w:szCs w:val="21"/>
            <w:lang w:eastAsia="en-AU"/>
          </w:rPr>
          <w:t>National Funding Model implementation resources page</w:t>
        </w:r>
      </w:hyperlink>
      <w:r w:rsidRPr="0050093F">
        <w:rPr>
          <w:rFonts w:cs="Arial"/>
          <w:szCs w:val="21"/>
          <w:lang w:eastAsia="en-AU"/>
        </w:rPr>
        <w:t xml:space="preserve"> </w:t>
      </w:r>
      <w:r>
        <w:rPr>
          <w:rFonts w:cs="Arial"/>
          <w:szCs w:val="21"/>
          <w:lang w:eastAsia="en-AU"/>
        </w:rPr>
        <w:t>&lt;</w:t>
      </w:r>
      <w:r w:rsidRPr="00F20C48">
        <w:rPr>
          <w:rFonts w:cs="Arial"/>
          <w:szCs w:val="21"/>
          <w:lang w:eastAsia="en-AU"/>
        </w:rPr>
        <w:t>https://www.health.vic.gov.au/data-reporting/national-funding-model-implementation-resources</w:t>
      </w:r>
      <w:r>
        <w:rPr>
          <w:rFonts w:cs="Arial"/>
          <w:szCs w:val="21"/>
          <w:lang w:eastAsia="en-AU"/>
        </w:rPr>
        <w:t>&gt;.</w:t>
      </w:r>
    </w:p>
    <w:p w14:paraId="559EDDE0" w14:textId="77777777" w:rsidR="005B699B" w:rsidRDefault="005B699B" w:rsidP="005B699B">
      <w:pPr>
        <w:pStyle w:val="Body"/>
      </w:pPr>
    </w:p>
    <w:p w14:paraId="4AB2AEF8" w14:textId="77777777" w:rsidR="005B699B" w:rsidRDefault="005B699B" w:rsidP="005B699B">
      <w:pPr>
        <w:pStyle w:val="Body"/>
      </w:pPr>
      <w:r>
        <w:br w:type="page"/>
      </w:r>
    </w:p>
    <w:p w14:paraId="483A07BC" w14:textId="042102AF" w:rsidR="005B699B" w:rsidRPr="00F96DD9" w:rsidRDefault="005B699B" w:rsidP="001E4292">
      <w:pPr>
        <w:pStyle w:val="Heading1"/>
        <w:numPr>
          <w:ilvl w:val="0"/>
          <w:numId w:val="13"/>
        </w:numPr>
      </w:pPr>
      <w:bookmarkStart w:id="1856" w:name="_Ref111538889"/>
      <w:bookmarkStart w:id="1857" w:name="_Ref111538897"/>
      <w:bookmarkStart w:id="1858" w:name="_Toc165961840"/>
      <w:bookmarkStart w:id="1859" w:name="_Toc178963625"/>
      <w:r>
        <w:lastRenderedPageBreak/>
        <w:t>Calculating funding recall</w:t>
      </w:r>
      <w:bookmarkEnd w:id="1856"/>
      <w:bookmarkEnd w:id="1857"/>
      <w:bookmarkEnd w:id="1858"/>
      <w:r w:rsidR="004613A4" w:rsidRPr="0013154B">
        <w:t xml:space="preserve"> and adjustment</w:t>
      </w:r>
      <w:bookmarkEnd w:id="1859"/>
    </w:p>
    <w:p w14:paraId="754790AF" w14:textId="77777777" w:rsidR="005B699B" w:rsidRDefault="005B699B" w:rsidP="001E4292">
      <w:pPr>
        <w:pStyle w:val="Heading2"/>
        <w:numPr>
          <w:ilvl w:val="1"/>
          <w:numId w:val="13"/>
        </w:numPr>
        <w:ind w:left="1134" w:hanging="1134"/>
      </w:pPr>
      <w:bookmarkStart w:id="1860" w:name="_Toc487742054"/>
      <w:bookmarkStart w:id="1861" w:name="_Toc14172285"/>
      <w:bookmarkStart w:id="1862" w:name="_Toc55381149"/>
      <w:bookmarkStart w:id="1863" w:name="_Toc100263356"/>
      <w:bookmarkStart w:id="1864" w:name="_Toc165961841"/>
      <w:bookmarkStart w:id="1865" w:name="_Toc178963626"/>
      <w:r>
        <w:t xml:space="preserve">Calculating NWAU funding </w:t>
      </w:r>
      <w:bookmarkEnd w:id="1860"/>
      <w:bookmarkEnd w:id="1861"/>
      <w:bookmarkEnd w:id="1862"/>
      <w:bookmarkEnd w:id="1863"/>
      <w:r>
        <w:t>recall</w:t>
      </w:r>
      <w:bookmarkEnd w:id="1864"/>
      <w:bookmarkEnd w:id="1865"/>
    </w:p>
    <w:p w14:paraId="55867E29" w14:textId="77777777" w:rsidR="005B699B" w:rsidRPr="00F9087B" w:rsidRDefault="005B699B" w:rsidP="008362B2">
      <w:pPr>
        <w:pStyle w:val="Body"/>
      </w:pPr>
      <w:r w:rsidRPr="00F9087B">
        <w:t>Step 1: Calculate the full-year total NWAU activity.</w:t>
      </w:r>
    </w:p>
    <w:p w14:paraId="23A2DD03" w14:textId="77777777" w:rsidR="005B699B" w:rsidRPr="00F9087B" w:rsidRDefault="005B699B" w:rsidP="008362B2">
      <w:pPr>
        <w:pStyle w:val="Body"/>
      </w:pPr>
      <w:r w:rsidRPr="00F9087B">
        <w:t>Step 2: Calculate full-year NWAU activity targets.</w:t>
      </w:r>
    </w:p>
    <w:p w14:paraId="3A058811" w14:textId="77777777" w:rsidR="005B699B" w:rsidRPr="00F9087B" w:rsidRDefault="005B699B" w:rsidP="008362B2">
      <w:pPr>
        <w:pStyle w:val="Body"/>
      </w:pPr>
      <w:r w:rsidRPr="00F9087B" w:rsidDel="00F65C42">
        <w:t xml:space="preserve">Step 3: Calculate the </w:t>
      </w:r>
      <w:r w:rsidRPr="00F9087B">
        <w:t>total performance percentage.</w:t>
      </w:r>
    </w:p>
    <w:p w14:paraId="0141D510" w14:textId="77777777" w:rsidR="005B699B" w:rsidRPr="00AC7D3A" w:rsidRDefault="005B699B" w:rsidP="00EA18DD">
      <w:pPr>
        <w:pStyle w:val="Bullet1"/>
      </w:pPr>
      <w:r>
        <w:t>Express the actual value as a percentage of the revised target value. This will show the extent to which the health service has performed above or below target.</w:t>
      </w:r>
    </w:p>
    <w:p w14:paraId="559774F8" w14:textId="77777777" w:rsidR="005B699B" w:rsidRPr="00631BCD" w:rsidRDefault="005B699B" w:rsidP="002C4282">
      <w:pPr>
        <w:pStyle w:val="Bodyafterbullets"/>
      </w:pPr>
      <w:r w:rsidRPr="00631BCD" w:rsidDel="00F65C42">
        <w:t xml:space="preserve">Step </w:t>
      </w:r>
      <w:r>
        <w:t>4</w:t>
      </w:r>
      <w:r w:rsidRPr="00631BCD">
        <w:t>: Calculate the adjustment.</w:t>
      </w:r>
    </w:p>
    <w:p w14:paraId="2E6F23BD" w14:textId="77777777" w:rsidR="005B699B" w:rsidRPr="00AC7D3A" w:rsidRDefault="005B699B" w:rsidP="005B699B">
      <w:pPr>
        <w:pStyle w:val="Body"/>
      </w:pPr>
      <w:r w:rsidRPr="00AC7D3A">
        <w:t xml:space="preserve">To calculate the dollar amount of the </w:t>
      </w:r>
      <w:r>
        <w:t xml:space="preserve">throughput recall/payment </w:t>
      </w:r>
      <w:r w:rsidRPr="00AC7D3A">
        <w:t>adjustment:</w:t>
      </w:r>
    </w:p>
    <w:p w14:paraId="78BAE033" w14:textId="576BDBA6" w:rsidR="005B699B" w:rsidRDefault="005B699B" w:rsidP="00EA18DD">
      <w:pPr>
        <w:pStyle w:val="Bullet1"/>
      </w:pPr>
      <w:r>
        <w:t xml:space="preserve">Multiply the performance percentage falling within the recall/payment threshold (in section </w:t>
      </w:r>
      <w:r>
        <w:fldChar w:fldCharType="begin"/>
      </w:r>
      <w:r>
        <w:instrText xml:space="preserve"> REF _Ref111538488 \r \h </w:instrText>
      </w:r>
      <w:r>
        <w:fldChar w:fldCharType="separate"/>
      </w:r>
      <w:r w:rsidR="00543255">
        <w:t>12.1</w:t>
      </w:r>
      <w:r>
        <w:fldChar w:fldCharType="end"/>
      </w:r>
      <w:r>
        <w:t xml:space="preserve"> </w:t>
      </w:r>
      <w:r>
        <w:fldChar w:fldCharType="begin"/>
      </w:r>
      <w:r>
        <w:instrText xml:space="preserve"> REF _Ref111538507 \h </w:instrText>
      </w:r>
      <w:r>
        <w:fldChar w:fldCharType="separate"/>
      </w:r>
      <w:r w:rsidR="00543255" w:rsidRPr="0007156B">
        <w:t>Victorian funding recall policy</w:t>
      </w:r>
      <w:r>
        <w:fldChar w:fldCharType="end"/>
      </w:r>
      <w:r>
        <w:t xml:space="preserve">) by the target value (calculated in step 2). </w:t>
      </w:r>
    </w:p>
    <w:p w14:paraId="3437FCDD" w14:textId="18E1869C" w:rsidR="005B699B" w:rsidRPr="00AC7D3A" w:rsidRDefault="005B699B" w:rsidP="00EA18DD">
      <w:pPr>
        <w:pStyle w:val="Bullet1"/>
      </w:pPr>
      <w:r>
        <w:t>Multiply this by the VEP.</w:t>
      </w:r>
    </w:p>
    <w:p w14:paraId="62EC792F" w14:textId="77777777" w:rsidR="005B699B" w:rsidRDefault="005B699B" w:rsidP="00EA18DD">
      <w:pPr>
        <w:pStyle w:val="Bullet1"/>
      </w:pPr>
      <w:r>
        <w:t>Multiply that amount by the recall/payment percentage.</w:t>
      </w:r>
    </w:p>
    <w:p w14:paraId="24F1E42E" w14:textId="77777777" w:rsidR="005B699B" w:rsidRPr="00AC7D3A" w:rsidRDefault="005B699B" w:rsidP="001E4292">
      <w:pPr>
        <w:pStyle w:val="Heading2"/>
        <w:numPr>
          <w:ilvl w:val="1"/>
          <w:numId w:val="13"/>
        </w:numPr>
        <w:ind w:left="1134" w:hanging="1134"/>
      </w:pPr>
      <w:bookmarkStart w:id="1866" w:name="_Ref143004077"/>
      <w:bookmarkStart w:id="1867" w:name="_Toc165961842"/>
      <w:bookmarkStart w:id="1868" w:name="_Toc178963627"/>
      <w:r w:rsidRPr="0084197D">
        <w:t xml:space="preserve">Calculating </w:t>
      </w:r>
      <w:r>
        <w:t>HAC</w:t>
      </w:r>
      <w:r w:rsidRPr="0084197D">
        <w:t xml:space="preserve"> NWAU</w:t>
      </w:r>
      <w:r>
        <w:t xml:space="preserve"> growth-funding adjustment</w:t>
      </w:r>
      <w:bookmarkEnd w:id="1866"/>
      <w:bookmarkEnd w:id="1867"/>
      <w:bookmarkEnd w:id="1868"/>
    </w:p>
    <w:p w14:paraId="6ECB85F6" w14:textId="77777777" w:rsidR="005B699B" w:rsidRDefault="005B699B" w:rsidP="002C4282">
      <w:pPr>
        <w:pStyle w:val="Body"/>
      </w:pPr>
      <w:r w:rsidRPr="68F9D2E4">
        <w:t xml:space="preserve">Step 1: </w:t>
      </w:r>
      <w:r>
        <w:t>For the current year, c</w:t>
      </w:r>
      <w:r w:rsidRPr="68F9D2E4">
        <w:t xml:space="preserve">alculate the full-year total </w:t>
      </w:r>
      <w:r>
        <w:t>HAC</w:t>
      </w:r>
      <w:r w:rsidRPr="68F9D2E4">
        <w:t xml:space="preserve"> NWAU adjustment</w:t>
      </w:r>
      <w:r>
        <w:t>.</w:t>
      </w:r>
    </w:p>
    <w:p w14:paraId="10DF12A0" w14:textId="77777777" w:rsidR="005B699B" w:rsidRDefault="005B699B" w:rsidP="002C4282">
      <w:pPr>
        <w:pStyle w:val="Body"/>
      </w:pPr>
      <w:r w:rsidRPr="68F9D2E4">
        <w:t xml:space="preserve">Step 2: </w:t>
      </w:r>
      <w:r>
        <w:t>For the prior year, c</w:t>
      </w:r>
      <w:r w:rsidRPr="68F9D2E4">
        <w:t xml:space="preserve">alculate </w:t>
      </w:r>
      <w:r>
        <w:t>the full-year HAC</w:t>
      </w:r>
      <w:r w:rsidRPr="68F9D2E4">
        <w:t xml:space="preserve"> NWAU adjustment</w:t>
      </w:r>
      <w:r>
        <w:t xml:space="preserve"> and</w:t>
      </w:r>
      <w:r w:rsidRPr="68F9D2E4">
        <w:t xml:space="preserve"> backcast to </w:t>
      </w:r>
      <w:r>
        <w:t>align NWAU between the current and prior year.</w:t>
      </w:r>
    </w:p>
    <w:p w14:paraId="58DA38F3" w14:textId="77777777" w:rsidR="005B699B" w:rsidRDefault="005B699B" w:rsidP="002C4282">
      <w:pPr>
        <w:pStyle w:val="Body"/>
      </w:pPr>
      <w:r w:rsidRPr="68F9D2E4">
        <w:t xml:space="preserve">Step 3: Calculate the </w:t>
      </w:r>
      <w:r>
        <w:t xml:space="preserve">change </w:t>
      </w:r>
      <w:r w:rsidRPr="68F9D2E4">
        <w:t>in the HAC NWAU adjustment as the difference between Step 1 and Step 2</w:t>
      </w:r>
      <w:r>
        <w:t>.</w:t>
      </w:r>
    </w:p>
    <w:p w14:paraId="46C79E4A" w14:textId="77777777" w:rsidR="005B699B" w:rsidRDefault="005B699B" w:rsidP="002C4282">
      <w:pPr>
        <w:pStyle w:val="Body"/>
      </w:pPr>
      <w:r w:rsidRPr="68F9D2E4">
        <w:t xml:space="preserve">Step 4: Calculate the HAC </w:t>
      </w:r>
      <w:r>
        <w:t>growth-funding</w:t>
      </w:r>
      <w:r w:rsidRPr="68F9D2E4">
        <w:t xml:space="preserve"> adjustment.</w:t>
      </w:r>
    </w:p>
    <w:p w14:paraId="731058D1" w14:textId="77777777" w:rsidR="005B699B" w:rsidRDefault="005B699B" w:rsidP="00EA18DD">
      <w:pPr>
        <w:pStyle w:val="Bullet1"/>
      </w:pPr>
      <w:r>
        <w:t xml:space="preserve">Multiply Step 3 by VEP to derive the HAC NWAU </w:t>
      </w:r>
      <w:r w:rsidRPr="00F9087B">
        <w:t>funding</w:t>
      </w:r>
      <w:r>
        <w:t xml:space="preserve"> adjustment.</w:t>
      </w:r>
    </w:p>
    <w:p w14:paraId="0B297610" w14:textId="1A0A4B5C" w:rsidR="00F640A9" w:rsidRDefault="00FF6B62" w:rsidP="001E4292">
      <w:pPr>
        <w:pStyle w:val="Heading2"/>
        <w:numPr>
          <w:ilvl w:val="1"/>
          <w:numId w:val="13"/>
        </w:numPr>
        <w:ind w:left="1134" w:hanging="1134"/>
      </w:pPr>
      <w:bookmarkStart w:id="1869" w:name="_Ref167781452"/>
      <w:bookmarkStart w:id="1870" w:name="_Toc178963628"/>
      <w:bookmarkStart w:id="1871" w:name="_Toc487742055"/>
      <w:bookmarkStart w:id="1872" w:name="_Toc14172286"/>
      <w:bookmarkStart w:id="1873" w:name="_Toc55381150"/>
      <w:bookmarkStart w:id="1874" w:name="_Toc100263357"/>
      <w:bookmarkStart w:id="1875" w:name="_Toc165961843"/>
      <w:r>
        <w:t>Cal</w:t>
      </w:r>
      <w:r w:rsidR="0063477B">
        <w:t>culating AHR NWAU growth</w:t>
      </w:r>
      <w:r w:rsidR="00582323">
        <w:t xml:space="preserve">-funding </w:t>
      </w:r>
      <w:r w:rsidR="00E356FA">
        <w:t>adjustment</w:t>
      </w:r>
      <w:bookmarkEnd w:id="1869"/>
      <w:bookmarkEnd w:id="1870"/>
    </w:p>
    <w:p w14:paraId="261471B3" w14:textId="21AB323F" w:rsidR="00FF6B62" w:rsidRDefault="00FF6B62" w:rsidP="00FF6B62">
      <w:pPr>
        <w:pStyle w:val="Body"/>
      </w:pPr>
      <w:r w:rsidRPr="68F9D2E4">
        <w:t xml:space="preserve">Step 1: </w:t>
      </w:r>
      <w:r>
        <w:t>For the current year, c</w:t>
      </w:r>
      <w:r w:rsidRPr="68F9D2E4">
        <w:t xml:space="preserve">alculate the full-year total </w:t>
      </w:r>
      <w:r w:rsidR="00C71027">
        <w:t>AHR</w:t>
      </w:r>
      <w:r w:rsidRPr="68F9D2E4">
        <w:t xml:space="preserve"> NWAU adjustment</w:t>
      </w:r>
      <w:r>
        <w:t>.</w:t>
      </w:r>
    </w:p>
    <w:p w14:paraId="795AA7A8" w14:textId="65A4997D" w:rsidR="00FF6B62" w:rsidRDefault="00FF6B62" w:rsidP="00FF6B62">
      <w:pPr>
        <w:pStyle w:val="Body"/>
      </w:pPr>
      <w:r w:rsidRPr="68F9D2E4">
        <w:t xml:space="preserve">Step 2: </w:t>
      </w:r>
      <w:r>
        <w:t>For the prior year, c</w:t>
      </w:r>
      <w:r w:rsidRPr="68F9D2E4">
        <w:t xml:space="preserve">alculate </w:t>
      </w:r>
      <w:r>
        <w:t xml:space="preserve">the full-year </w:t>
      </w:r>
      <w:r w:rsidR="00C71027">
        <w:t>AHR</w:t>
      </w:r>
      <w:r w:rsidRPr="68F9D2E4">
        <w:t xml:space="preserve"> NWAU adjustment</w:t>
      </w:r>
      <w:r>
        <w:t xml:space="preserve"> and</w:t>
      </w:r>
      <w:r w:rsidRPr="68F9D2E4">
        <w:t xml:space="preserve"> backcast to </w:t>
      </w:r>
      <w:r>
        <w:t>align NWAU between the current and prior year.</w:t>
      </w:r>
    </w:p>
    <w:p w14:paraId="25DED640" w14:textId="2006696B" w:rsidR="00FF6B62" w:rsidRDefault="00FF6B62" w:rsidP="00FF6B62">
      <w:pPr>
        <w:pStyle w:val="Body"/>
      </w:pPr>
      <w:r w:rsidRPr="68F9D2E4">
        <w:t xml:space="preserve">Step 3: Calculate the </w:t>
      </w:r>
      <w:r>
        <w:t xml:space="preserve">change </w:t>
      </w:r>
      <w:r w:rsidRPr="68F9D2E4">
        <w:t xml:space="preserve">in the </w:t>
      </w:r>
      <w:r w:rsidR="00C71027">
        <w:t>AHR</w:t>
      </w:r>
      <w:r w:rsidRPr="68F9D2E4">
        <w:t xml:space="preserve"> NWAU adjustment as the difference between Step 1 and Step 2</w:t>
      </w:r>
      <w:r>
        <w:t>.</w:t>
      </w:r>
    </w:p>
    <w:p w14:paraId="70CE1B01" w14:textId="2497278E" w:rsidR="00FF6B62" w:rsidRDefault="00FF6B62" w:rsidP="00FF6B62">
      <w:pPr>
        <w:pStyle w:val="Body"/>
      </w:pPr>
      <w:r w:rsidRPr="68F9D2E4">
        <w:t xml:space="preserve">Step 4: Calculate the </w:t>
      </w:r>
      <w:r w:rsidR="00C71027">
        <w:t>AHR</w:t>
      </w:r>
      <w:r w:rsidRPr="68F9D2E4">
        <w:t xml:space="preserve"> </w:t>
      </w:r>
      <w:r>
        <w:t>growth-funding</w:t>
      </w:r>
      <w:r w:rsidRPr="68F9D2E4">
        <w:t xml:space="preserve"> adjustment.</w:t>
      </w:r>
    </w:p>
    <w:p w14:paraId="0FE5B869" w14:textId="5837AF52" w:rsidR="00F640A9" w:rsidRPr="00F640A9" w:rsidRDefault="00FF6B62" w:rsidP="00EA18DD">
      <w:pPr>
        <w:pStyle w:val="Bullet1"/>
      </w:pPr>
      <w:r>
        <w:t xml:space="preserve">Multiply Step 3 by VEP to derive the </w:t>
      </w:r>
      <w:r w:rsidR="00C71027">
        <w:t>AHR</w:t>
      </w:r>
      <w:r>
        <w:t xml:space="preserve"> NWAU </w:t>
      </w:r>
      <w:r w:rsidRPr="00F9087B">
        <w:t>funding</w:t>
      </w:r>
      <w:r>
        <w:t xml:space="preserve"> adjustment.</w:t>
      </w:r>
    </w:p>
    <w:p w14:paraId="552C4542" w14:textId="45167F96" w:rsidR="005B699B" w:rsidRDefault="005B699B" w:rsidP="001E4292">
      <w:pPr>
        <w:pStyle w:val="Heading2"/>
        <w:numPr>
          <w:ilvl w:val="1"/>
          <w:numId w:val="13"/>
        </w:numPr>
        <w:ind w:left="1134" w:hanging="1134"/>
      </w:pPr>
      <w:bookmarkStart w:id="1876" w:name="_Toc178963629"/>
      <w:r>
        <w:t xml:space="preserve">Calculating TAC or Department of </w:t>
      </w:r>
      <w:r w:rsidRPr="00790025">
        <w:t>Veterans’</w:t>
      </w:r>
      <w:r>
        <w:t xml:space="preserve"> Affairs NWAU funding </w:t>
      </w:r>
      <w:bookmarkEnd w:id="1871"/>
      <w:bookmarkEnd w:id="1872"/>
      <w:bookmarkEnd w:id="1873"/>
      <w:bookmarkEnd w:id="1874"/>
      <w:r>
        <w:t>recall</w:t>
      </w:r>
      <w:bookmarkEnd w:id="1875"/>
      <w:bookmarkEnd w:id="1876"/>
    </w:p>
    <w:p w14:paraId="1E69CE12" w14:textId="77777777" w:rsidR="005B699B" w:rsidRDefault="005B699B" w:rsidP="005B699B">
      <w:pPr>
        <w:pStyle w:val="Body"/>
      </w:pPr>
      <w:r w:rsidRPr="00AC7D3A">
        <w:t>Funding adjustments are calculated as follows</w:t>
      </w:r>
      <w:r>
        <w:t>.</w:t>
      </w:r>
    </w:p>
    <w:p w14:paraId="5C133AE4" w14:textId="61032BCC" w:rsidR="005B699B" w:rsidRPr="00631BCD" w:rsidRDefault="005B699B" w:rsidP="002C4282">
      <w:pPr>
        <w:pStyle w:val="Body"/>
      </w:pPr>
      <w:r w:rsidRPr="00572AF9">
        <w:lastRenderedPageBreak/>
        <w:t>Step 1: Calculate the over</w:t>
      </w:r>
      <w:r>
        <w:t xml:space="preserve">- </w:t>
      </w:r>
      <w:r w:rsidRPr="00572AF9">
        <w:t xml:space="preserve">or </w:t>
      </w:r>
      <w:r w:rsidRPr="00F9087B">
        <w:t>under</w:t>
      </w:r>
      <w:r w:rsidRPr="00572AF9">
        <w:t>activity.</w:t>
      </w:r>
    </w:p>
    <w:p w14:paraId="68C71910" w14:textId="08B91027" w:rsidR="005B699B" w:rsidRPr="00F9087B" w:rsidRDefault="005B699B" w:rsidP="00EA18DD">
      <w:pPr>
        <w:pStyle w:val="Bullet1"/>
      </w:pPr>
      <w:r w:rsidRPr="00F9087B">
        <w:t>Calculate the over- or underactivity</w:t>
      </w:r>
      <w:r w:rsidRPr="002C4282">
        <w:t xml:space="preserve"> </w:t>
      </w:r>
      <w:r w:rsidRPr="00F9087B">
        <w:t>by subtracting the total full-year target from total full-year activity.</w:t>
      </w:r>
    </w:p>
    <w:p w14:paraId="39196BA8" w14:textId="77777777" w:rsidR="005B699B" w:rsidRPr="00F9087B" w:rsidRDefault="005B699B" w:rsidP="00592031">
      <w:pPr>
        <w:pStyle w:val="Bullet1"/>
        <w:spacing w:after="120"/>
        <w:ind w:left="357" w:hanging="357"/>
      </w:pPr>
      <w:r w:rsidRPr="00F9087B">
        <w:t>A negative variance indicates that actual activity is less than the funded target (under-performance), and a positive variance indicated activity is greater than funded performance (over-activity).</w:t>
      </w:r>
    </w:p>
    <w:p w14:paraId="1F43D4A4" w14:textId="77777777" w:rsidR="005B699B" w:rsidRPr="00631BCD" w:rsidRDefault="005B699B" w:rsidP="00593CD6">
      <w:r w:rsidRPr="00631BCD">
        <w:t>Step 2: Calculate the amount of funding to be recalled or paid.</w:t>
      </w:r>
    </w:p>
    <w:p w14:paraId="663CCD4D" w14:textId="278F5A31" w:rsidR="005B699B" w:rsidRDefault="005B699B" w:rsidP="005B699B">
      <w:pPr>
        <w:pStyle w:val="Body"/>
      </w:pPr>
      <w:r>
        <w:t>Calculate the amount of funding to be recalled (health service liability to department) or paid (department liability to health service) by multiplying the variance calculated in step 1 by the TAC / Department of Veterans’ Affairs NWAU unit rate.</w:t>
      </w:r>
    </w:p>
    <w:p w14:paraId="4183E450" w14:textId="77777777" w:rsidR="005D246D" w:rsidRDefault="005D246D">
      <w:pPr>
        <w:spacing w:after="0" w:line="240" w:lineRule="auto"/>
        <w:rPr>
          <w:rFonts w:eastAsia="Times"/>
        </w:rPr>
      </w:pPr>
      <w:bookmarkStart w:id="1877" w:name="_Toc452819097"/>
      <w:bookmarkStart w:id="1878" w:name="_Toc452822067"/>
      <w:bookmarkStart w:id="1879" w:name="_Toc452819098"/>
      <w:bookmarkStart w:id="1880" w:name="_Toc452822068"/>
      <w:bookmarkStart w:id="1881" w:name="_Toc452819099"/>
      <w:bookmarkStart w:id="1882" w:name="_Toc452822069"/>
      <w:bookmarkStart w:id="1883" w:name="_Toc452819100"/>
      <w:bookmarkStart w:id="1884" w:name="_Toc452822070"/>
      <w:bookmarkStart w:id="1885" w:name="_Toc452819101"/>
      <w:bookmarkStart w:id="1886" w:name="_Toc452822071"/>
      <w:bookmarkStart w:id="1887" w:name="_Toc452819102"/>
      <w:bookmarkStart w:id="1888" w:name="_Toc452822072"/>
      <w:bookmarkStart w:id="1889" w:name="_Toc452819103"/>
      <w:bookmarkStart w:id="1890" w:name="_Toc452822073"/>
      <w:bookmarkStart w:id="1891" w:name="_Toc452819104"/>
      <w:bookmarkStart w:id="1892" w:name="_Toc452822074"/>
      <w:bookmarkStart w:id="1893" w:name="_Toc452819105"/>
      <w:bookmarkStart w:id="1894" w:name="_Toc452822075"/>
      <w:bookmarkStart w:id="1895" w:name="_Toc452819106"/>
      <w:bookmarkStart w:id="1896" w:name="_Toc452822076"/>
      <w:bookmarkStart w:id="1897" w:name="_Toc452819107"/>
      <w:bookmarkStart w:id="1898" w:name="_Toc452822077"/>
      <w:bookmarkStart w:id="1899" w:name="_Toc452819108"/>
      <w:bookmarkStart w:id="1900" w:name="_Toc452822078"/>
      <w:bookmarkStart w:id="1901" w:name="_Toc452819109"/>
      <w:bookmarkStart w:id="1902" w:name="_Toc452822079"/>
      <w:bookmarkStart w:id="1903" w:name="_Toc452819110"/>
      <w:bookmarkStart w:id="1904" w:name="_Toc452822080"/>
      <w:bookmarkStart w:id="1905" w:name="_Toc452819111"/>
      <w:bookmarkStart w:id="1906" w:name="_Toc452822081"/>
      <w:bookmarkStart w:id="1907" w:name="_Toc452819112"/>
      <w:bookmarkStart w:id="1908" w:name="_Toc452822082"/>
      <w:bookmarkStart w:id="1909" w:name="_Toc484327540"/>
      <w:bookmarkStart w:id="1910" w:name="_Toc484327542"/>
      <w:bookmarkStart w:id="1911" w:name="_Toc484327544"/>
      <w:bookmarkStart w:id="1912" w:name="_Toc484327545"/>
      <w:bookmarkStart w:id="1913" w:name="_Toc484327547"/>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br w:type="page"/>
      </w:r>
    </w:p>
    <w:p w14:paraId="171E33E4" w14:textId="763B9129" w:rsidR="005B699B" w:rsidRDefault="005B699B" w:rsidP="001E4292">
      <w:pPr>
        <w:pStyle w:val="Heading1"/>
        <w:numPr>
          <w:ilvl w:val="0"/>
          <w:numId w:val="13"/>
        </w:numPr>
      </w:pPr>
      <w:bookmarkStart w:id="1914" w:name="_Toc59472682"/>
      <w:bookmarkStart w:id="1915" w:name="_Toc5810315"/>
      <w:bookmarkStart w:id="1916" w:name="_Toc5810484"/>
      <w:bookmarkStart w:id="1917" w:name="_Toc5871391"/>
      <w:bookmarkStart w:id="1918" w:name="_Toc5871662"/>
      <w:bookmarkStart w:id="1919" w:name="_Toc5810316"/>
      <w:bookmarkStart w:id="1920" w:name="_Toc5810485"/>
      <w:bookmarkStart w:id="1921" w:name="_Toc5871392"/>
      <w:bookmarkStart w:id="1922" w:name="_Toc5871663"/>
      <w:bookmarkStart w:id="1923" w:name="_Toc5810317"/>
      <w:bookmarkStart w:id="1924" w:name="_Toc5810486"/>
      <w:bookmarkStart w:id="1925" w:name="_Toc5871393"/>
      <w:bookmarkStart w:id="1926" w:name="_Toc5871664"/>
      <w:bookmarkStart w:id="1927" w:name="_Toc5810318"/>
      <w:bookmarkStart w:id="1928" w:name="_Toc5810487"/>
      <w:bookmarkStart w:id="1929" w:name="_Toc5871394"/>
      <w:bookmarkStart w:id="1930" w:name="_Toc5871665"/>
      <w:bookmarkStart w:id="1931" w:name="_Toc51061162"/>
      <w:bookmarkStart w:id="1932" w:name="_Toc51062423"/>
      <w:bookmarkStart w:id="1933" w:name="_Toc51082066"/>
      <w:bookmarkStart w:id="1934" w:name="_Toc52897457"/>
      <w:bookmarkStart w:id="1935" w:name="_Toc52898836"/>
      <w:bookmarkStart w:id="1936" w:name="_Toc52900291"/>
      <w:bookmarkStart w:id="1937" w:name="_Toc52901634"/>
      <w:bookmarkStart w:id="1938" w:name="_Toc52903097"/>
      <w:bookmarkStart w:id="1939" w:name="_Toc53058074"/>
      <w:bookmarkStart w:id="1940" w:name="_Toc53059418"/>
      <w:bookmarkStart w:id="1941" w:name="_Toc53060760"/>
      <w:bookmarkStart w:id="1942" w:name="_Toc53062223"/>
      <w:bookmarkStart w:id="1943" w:name="_Toc53063600"/>
      <w:bookmarkStart w:id="1944" w:name="_Toc53064978"/>
      <w:bookmarkStart w:id="1945" w:name="_Toc54261562"/>
      <w:bookmarkStart w:id="1946" w:name="_Toc54615378"/>
      <w:bookmarkStart w:id="1947" w:name="_Toc55380961"/>
      <w:bookmarkStart w:id="1948" w:name="_Toc51061230"/>
      <w:bookmarkStart w:id="1949" w:name="_Toc51062491"/>
      <w:bookmarkStart w:id="1950" w:name="_Toc51082134"/>
      <w:bookmarkStart w:id="1951" w:name="_Toc51061313"/>
      <w:bookmarkStart w:id="1952" w:name="_Toc51062574"/>
      <w:bookmarkStart w:id="1953" w:name="_Toc51082217"/>
      <w:bookmarkStart w:id="1954" w:name="_Toc52897600"/>
      <w:bookmarkStart w:id="1955" w:name="_Toc52898979"/>
      <w:bookmarkStart w:id="1956" w:name="_Toc52900434"/>
      <w:bookmarkStart w:id="1957" w:name="_Toc52901777"/>
      <w:bookmarkStart w:id="1958" w:name="_Toc52903240"/>
      <w:bookmarkStart w:id="1959" w:name="_Toc53058217"/>
      <w:bookmarkStart w:id="1960" w:name="_Toc53059561"/>
      <w:bookmarkStart w:id="1961" w:name="_Toc53060903"/>
      <w:bookmarkStart w:id="1962" w:name="_Toc53062366"/>
      <w:bookmarkStart w:id="1963" w:name="_Toc53063743"/>
      <w:bookmarkStart w:id="1964" w:name="_Toc53065121"/>
      <w:bookmarkStart w:id="1965" w:name="_Toc53387630"/>
      <w:bookmarkStart w:id="1966" w:name="_Toc51062183"/>
      <w:bookmarkStart w:id="1967" w:name="_Toc51063444"/>
      <w:bookmarkStart w:id="1968" w:name="_Toc51083087"/>
      <w:bookmarkStart w:id="1969" w:name="_Toc52898470"/>
      <w:bookmarkStart w:id="1970" w:name="_Toc52899849"/>
      <w:bookmarkStart w:id="1971" w:name="_Toc52901304"/>
      <w:bookmarkStart w:id="1972" w:name="_Toc52902647"/>
      <w:bookmarkStart w:id="1973" w:name="_Toc52904110"/>
      <w:bookmarkStart w:id="1974" w:name="_Toc53059087"/>
      <w:bookmarkStart w:id="1975" w:name="_Toc53060431"/>
      <w:bookmarkStart w:id="1976" w:name="_Toc53061773"/>
      <w:bookmarkStart w:id="1977" w:name="_Toc53063236"/>
      <w:bookmarkStart w:id="1978" w:name="_Toc53064613"/>
      <w:bookmarkStart w:id="1979" w:name="_Toc53065991"/>
      <w:bookmarkStart w:id="1980" w:name="_Toc6408403"/>
      <w:bookmarkStart w:id="1981" w:name="_Toc10199774"/>
      <w:bookmarkStart w:id="1982" w:name="_Toc37862571"/>
      <w:bookmarkStart w:id="1983" w:name="_Toc52892655"/>
      <w:bookmarkStart w:id="1984" w:name="_Toc100263339"/>
      <w:bookmarkStart w:id="1985" w:name="_Toc165961844"/>
      <w:bookmarkStart w:id="1986" w:name="_Toc178963630"/>
      <w:bookmarkEnd w:id="1782"/>
      <w:bookmarkEnd w:id="1783"/>
      <w:bookmarkEnd w:id="1784"/>
      <w:bookmarkEnd w:id="1785"/>
      <w:bookmarkEnd w:id="1786"/>
      <w:bookmarkEnd w:id="1787"/>
      <w:bookmarkEnd w:id="1788"/>
      <w:bookmarkEnd w:id="1855"/>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lastRenderedPageBreak/>
        <w:t xml:space="preserve">Payments </w:t>
      </w:r>
      <w:r w:rsidRPr="00790025">
        <w:t>and</w:t>
      </w:r>
      <w:r>
        <w:t xml:space="preserve"> cash </w:t>
      </w:r>
      <w:bookmarkEnd w:id="1980"/>
      <w:bookmarkEnd w:id="1981"/>
      <w:bookmarkEnd w:id="1982"/>
      <w:bookmarkEnd w:id="1983"/>
      <w:bookmarkEnd w:id="1984"/>
      <w:r>
        <w:t>flow</w:t>
      </w:r>
      <w:bookmarkEnd w:id="1985"/>
      <w:bookmarkEnd w:id="1986"/>
    </w:p>
    <w:p w14:paraId="7CB96C0B" w14:textId="77777777" w:rsidR="005B699B" w:rsidRDefault="005B699B" w:rsidP="001E4292">
      <w:pPr>
        <w:pStyle w:val="Heading2"/>
        <w:numPr>
          <w:ilvl w:val="1"/>
          <w:numId w:val="13"/>
        </w:numPr>
        <w:ind w:left="1134" w:hanging="1134"/>
      </w:pPr>
      <w:bookmarkStart w:id="1987" w:name="_Toc100263341"/>
      <w:bookmarkStart w:id="1988" w:name="_Toc6408406"/>
      <w:bookmarkStart w:id="1989" w:name="_Toc10199777"/>
      <w:bookmarkStart w:id="1990" w:name="_Toc37862574"/>
      <w:bookmarkStart w:id="1991" w:name="_Toc52892658"/>
      <w:bookmarkStart w:id="1992" w:name="_Toc165961845"/>
      <w:bookmarkStart w:id="1993" w:name="_Toc178963631"/>
      <w:r>
        <w:t xml:space="preserve">Use of </w:t>
      </w:r>
      <w:bookmarkEnd w:id="1987"/>
      <w:bookmarkEnd w:id="1988"/>
      <w:bookmarkEnd w:id="1989"/>
      <w:bookmarkEnd w:id="1990"/>
      <w:bookmarkEnd w:id="1991"/>
      <w:r w:rsidRPr="00790025">
        <w:t>contracts</w:t>
      </w:r>
      <w:bookmarkEnd w:id="1992"/>
      <w:bookmarkEnd w:id="1993"/>
    </w:p>
    <w:p w14:paraId="7072E75E" w14:textId="639FC420" w:rsidR="005B699B" w:rsidRDefault="00F9087B" w:rsidP="005B699B">
      <w:pPr>
        <w:pStyle w:val="Body"/>
      </w:pPr>
      <w:r>
        <w:t>Sometimes when</w:t>
      </w:r>
      <w:r w:rsidR="005B699B">
        <w:t xml:space="preserve"> a health service has reduced capacity (for example, due to workforce shortages or capital works)</w:t>
      </w:r>
      <w:r>
        <w:t>,</w:t>
      </w:r>
      <w:r w:rsidR="005B699B">
        <w:t xml:space="preserve"> it may contract with another service to undertake activity for a limited period. Contract arrangements of this type must be approved in advance by the health service’s Performance Lead or Regional Manager.</w:t>
      </w:r>
    </w:p>
    <w:p w14:paraId="0322E748" w14:textId="77777777" w:rsidR="005B699B" w:rsidRDefault="005B699B" w:rsidP="005B699B">
      <w:pPr>
        <w:pStyle w:val="Body"/>
      </w:pPr>
      <w:r>
        <w:t xml:space="preserve">Applications can be received by </w:t>
      </w:r>
      <w:hyperlink r:id="rId70" w:history="1">
        <w:r>
          <w:rPr>
            <w:rStyle w:val="Hyperlink"/>
          </w:rPr>
          <w:t>emailing the HDSS helpdesk</w:t>
        </w:r>
      </w:hyperlink>
      <w:r>
        <w:t xml:space="preserve"> &lt;</w:t>
      </w:r>
      <w:r w:rsidRPr="00CD4BC1">
        <w:t>hdss.helpdesk@health.vic.gov.au</w:t>
      </w:r>
      <w:r>
        <w:t>&gt;.</w:t>
      </w:r>
    </w:p>
    <w:p w14:paraId="7A8B55D0" w14:textId="77777777" w:rsidR="00F9087B" w:rsidRDefault="005B699B" w:rsidP="005B699B">
      <w:pPr>
        <w:pStyle w:val="Body"/>
      </w:pPr>
      <w:r w:rsidRPr="00E678A6">
        <w:t xml:space="preserve">Approval will only be granted where the health service can demonstrate that the capacity reduction is temporary and that the contract is an appropriate use of allocated NWAU, taking into account local demand for services. </w:t>
      </w:r>
    </w:p>
    <w:p w14:paraId="6D0F5872" w14:textId="73A776F4" w:rsidR="005B699B" w:rsidRDefault="005B699B" w:rsidP="005B699B">
      <w:pPr>
        <w:pStyle w:val="Body"/>
      </w:pPr>
      <w:r w:rsidRPr="00E678A6">
        <w:t>Technical information for recording and reporting contract NWAU is available in the VAED manual</w:t>
      </w:r>
      <w:r>
        <w:t>.</w:t>
      </w:r>
    </w:p>
    <w:p w14:paraId="00C0FC77" w14:textId="77777777" w:rsidR="005B699B" w:rsidRDefault="005B699B" w:rsidP="001E4292">
      <w:pPr>
        <w:pStyle w:val="Heading2"/>
        <w:numPr>
          <w:ilvl w:val="1"/>
          <w:numId w:val="13"/>
        </w:numPr>
        <w:ind w:left="1134" w:hanging="1134"/>
      </w:pPr>
      <w:bookmarkStart w:id="1994" w:name="_Toc6408407"/>
      <w:bookmarkStart w:id="1995" w:name="_Ref9933651"/>
      <w:bookmarkStart w:id="1996" w:name="_Ref9933660"/>
      <w:bookmarkStart w:id="1997" w:name="_Toc10199778"/>
      <w:bookmarkStart w:id="1998" w:name="_Toc37862575"/>
      <w:bookmarkStart w:id="1999" w:name="_Toc52892659"/>
      <w:bookmarkStart w:id="2000" w:name="_Toc100263342"/>
      <w:bookmarkStart w:id="2001" w:name="_Ref144128947"/>
      <w:bookmarkStart w:id="2002" w:name="_Toc165961846"/>
      <w:bookmarkStart w:id="2003" w:name="_Toc178963632"/>
      <w:r>
        <w:t>Health service fees and charges</w:t>
      </w:r>
      <w:bookmarkEnd w:id="1994"/>
      <w:bookmarkEnd w:id="1995"/>
      <w:bookmarkEnd w:id="1996"/>
      <w:bookmarkEnd w:id="1997"/>
      <w:bookmarkEnd w:id="1998"/>
      <w:bookmarkEnd w:id="1999"/>
      <w:bookmarkEnd w:id="2000"/>
      <w:bookmarkEnd w:id="2001"/>
      <w:bookmarkEnd w:id="2002"/>
      <w:bookmarkEnd w:id="2003"/>
    </w:p>
    <w:p w14:paraId="11CAC366" w14:textId="5B55E24B" w:rsidR="005B699B" w:rsidRPr="00B61A4E" w:rsidRDefault="005B699B" w:rsidP="005B699B">
      <w:pPr>
        <w:pStyle w:val="Body"/>
      </w:pPr>
      <w:r w:rsidRPr="00B61A4E">
        <w:t xml:space="preserve">Any fees and charges raised by health services must be in accordance with the department’s </w:t>
      </w:r>
      <w:r w:rsidR="004B4264" w:rsidRPr="004B4264">
        <w:rPr>
          <w:rStyle w:val="Emphasis"/>
        </w:rPr>
        <w:t xml:space="preserve">Patient fees </w:t>
      </w:r>
      <w:r w:rsidRPr="00D20B88">
        <w:rPr>
          <w:rStyle w:val="Emphasis"/>
        </w:rPr>
        <w:t xml:space="preserve">and charges for </w:t>
      </w:r>
      <w:r w:rsidR="004B4264" w:rsidRPr="004B4264">
        <w:rPr>
          <w:rStyle w:val="Emphasis"/>
        </w:rPr>
        <w:t xml:space="preserve">public </w:t>
      </w:r>
      <w:r w:rsidRPr="00D20B88">
        <w:rPr>
          <w:rStyle w:val="Emphasis"/>
        </w:rPr>
        <w:t xml:space="preserve">health services </w:t>
      </w:r>
      <w:r w:rsidR="00A25CF8" w:rsidRPr="0013154B">
        <w:rPr>
          <w:rStyle w:val="Emphasis"/>
          <w:i w:val="0"/>
        </w:rPr>
        <w:t>poli</w:t>
      </w:r>
      <w:r w:rsidR="00D35B20" w:rsidRPr="0013154B">
        <w:rPr>
          <w:rStyle w:val="Emphasis"/>
          <w:i w:val="0"/>
        </w:rPr>
        <w:t>cy</w:t>
      </w:r>
      <w:r w:rsidRPr="00940EE5">
        <w:rPr>
          <w:rStyle w:val="Hyperlinkitalic"/>
        </w:rPr>
        <w:t xml:space="preserve"> </w:t>
      </w:r>
      <w:r w:rsidRPr="00940EE5">
        <w:t>&lt;https://www.health.vic.gov.au/hospitals-and-health-services/patient-fees-and-charges-for-public-health-services&gt;.</w:t>
      </w:r>
    </w:p>
    <w:p w14:paraId="2AB6CF4C" w14:textId="77777777" w:rsidR="005B699B" w:rsidRPr="00B61A4E" w:rsidRDefault="005B699B" w:rsidP="005B699B">
      <w:pPr>
        <w:pStyle w:val="Body"/>
        <w:keepNext/>
      </w:pPr>
      <w:r w:rsidRPr="00B61A4E">
        <w:t>Health services are permitted to raise fees for the following non-admitted patient services:</w:t>
      </w:r>
    </w:p>
    <w:p w14:paraId="423B7163" w14:textId="77777777" w:rsidR="005B699B" w:rsidRPr="003D68A7" w:rsidRDefault="005B699B" w:rsidP="003D68A7">
      <w:pPr>
        <w:pStyle w:val="Bullet1"/>
      </w:pPr>
      <w:r w:rsidRPr="003D68A7">
        <w:t>dental services</w:t>
      </w:r>
    </w:p>
    <w:p w14:paraId="7D79ABD4" w14:textId="77777777" w:rsidR="005B699B" w:rsidRPr="003D68A7" w:rsidRDefault="005B699B" w:rsidP="003D68A7">
      <w:pPr>
        <w:pStyle w:val="Bullet1"/>
      </w:pPr>
      <w:r w:rsidRPr="003D68A7">
        <w:t>spectacles and hearing aids</w:t>
      </w:r>
    </w:p>
    <w:p w14:paraId="3FC1E9D6" w14:textId="77777777" w:rsidR="005B699B" w:rsidRPr="003D68A7" w:rsidRDefault="005B699B" w:rsidP="003D68A7">
      <w:pPr>
        <w:pStyle w:val="Bullet1"/>
      </w:pPr>
      <w:r w:rsidRPr="003D68A7">
        <w:t>surgical supplies</w:t>
      </w:r>
    </w:p>
    <w:p w14:paraId="0D34A052" w14:textId="77777777" w:rsidR="005B699B" w:rsidRPr="003D68A7" w:rsidRDefault="005B699B" w:rsidP="003D68A7">
      <w:pPr>
        <w:pStyle w:val="Bullet1"/>
      </w:pPr>
      <w:r w:rsidRPr="003D68A7">
        <w:t>prostheses – however, the following categories of prostheses must be provided free of charge:</w:t>
      </w:r>
    </w:p>
    <w:p w14:paraId="36F71AA5" w14:textId="77777777" w:rsidR="005B699B" w:rsidRPr="00AE6427" w:rsidRDefault="005B699B" w:rsidP="006E3B14">
      <w:pPr>
        <w:pStyle w:val="Bullet2"/>
      </w:pPr>
      <w:r w:rsidRPr="00C369DB">
        <w:t>artificial limbs</w:t>
      </w:r>
    </w:p>
    <w:p w14:paraId="40C5EFE7" w14:textId="77777777" w:rsidR="005B699B" w:rsidRPr="00AE6427" w:rsidRDefault="005B699B" w:rsidP="006E3B14">
      <w:pPr>
        <w:pStyle w:val="Bullet2"/>
      </w:pPr>
      <w:r w:rsidRPr="00C369DB">
        <w:t xml:space="preserve">prostheses that are surgically </w:t>
      </w:r>
      <w:r w:rsidRPr="00790025">
        <w:t>implanted</w:t>
      </w:r>
      <w:r w:rsidRPr="00C369DB">
        <w:t>, either permanently or temporarily, or are directly related to a clinically necessary surgical procedure</w:t>
      </w:r>
    </w:p>
    <w:p w14:paraId="04914118" w14:textId="77777777" w:rsidR="005B699B" w:rsidRPr="00B61A4E" w:rsidRDefault="005B699B" w:rsidP="00CE12D2">
      <w:pPr>
        <w:pStyle w:val="Bullet1"/>
        <w:numPr>
          <w:ilvl w:val="0"/>
          <w:numId w:val="45"/>
        </w:numPr>
      </w:pPr>
      <w:r>
        <w:t>external breast prostheses funded by the National External Breast Prostheses Reimbursement Program</w:t>
      </w:r>
    </w:p>
    <w:p w14:paraId="537AF6D5" w14:textId="77777777" w:rsidR="005B699B" w:rsidRPr="000B2822" w:rsidRDefault="005B699B" w:rsidP="00CE12D2">
      <w:pPr>
        <w:pStyle w:val="Bullet1"/>
        <w:numPr>
          <w:ilvl w:val="0"/>
          <w:numId w:val="45"/>
        </w:numPr>
      </w:pPr>
      <w:r>
        <w:t>aids, appliances, and home modifications</w:t>
      </w:r>
    </w:p>
    <w:p w14:paraId="7BDCD73B" w14:textId="71868180" w:rsidR="005B699B" w:rsidRDefault="005B699B" w:rsidP="00CE12D2">
      <w:pPr>
        <w:pStyle w:val="Bullet1"/>
        <w:numPr>
          <w:ilvl w:val="0"/>
          <w:numId w:val="45"/>
        </w:numPr>
      </w:pPr>
      <w:r>
        <w:t>other services, as agreed between the Commonwealth and Victoria.</w:t>
      </w:r>
    </w:p>
    <w:p w14:paraId="6239DE7A" w14:textId="77777777" w:rsidR="005B699B" w:rsidRPr="00B61A4E" w:rsidRDefault="005B699B" w:rsidP="00123197">
      <w:pPr>
        <w:pStyle w:val="Bodyafterbullets"/>
      </w:pPr>
      <w:r w:rsidRPr="00476F24">
        <w:t xml:space="preserve">Upon an admitted </w:t>
      </w:r>
      <w:r w:rsidRPr="00731B6C">
        <w:t>patient</w:t>
      </w:r>
      <w:r w:rsidRPr="00476F24">
        <w:t xml:space="preserve"> separation, a health service may raise fees for:</w:t>
      </w:r>
    </w:p>
    <w:p w14:paraId="6118EBAC" w14:textId="77777777" w:rsidR="005B699B" w:rsidRPr="000B2822" w:rsidRDefault="005B699B" w:rsidP="00CE12D2">
      <w:pPr>
        <w:pStyle w:val="Bullet1"/>
        <w:numPr>
          <w:ilvl w:val="0"/>
          <w:numId w:val="46"/>
        </w:numPr>
      </w:pPr>
      <w:r>
        <w:t>pharmaceuticals at a level consistent with the PBS statutory co-payments.</w:t>
      </w:r>
    </w:p>
    <w:p w14:paraId="14162145" w14:textId="77777777" w:rsidR="005B699B" w:rsidRPr="000B2822" w:rsidRDefault="005B699B" w:rsidP="005B699B">
      <w:pPr>
        <w:pStyle w:val="Bodyafterbullets"/>
      </w:pPr>
      <w:r w:rsidRPr="000B2822">
        <w:t>This is set out in the business rules schedule of the NHRA.</w:t>
      </w:r>
    </w:p>
    <w:p w14:paraId="30070A3E" w14:textId="77777777" w:rsidR="005B699B" w:rsidRDefault="005B699B" w:rsidP="001E4292">
      <w:pPr>
        <w:pStyle w:val="Heading2"/>
        <w:numPr>
          <w:ilvl w:val="1"/>
          <w:numId w:val="13"/>
        </w:numPr>
        <w:ind w:left="1134" w:hanging="1134"/>
      </w:pPr>
      <w:bookmarkStart w:id="2004" w:name="_Toc37862576"/>
      <w:bookmarkStart w:id="2005" w:name="_Toc37862577"/>
      <w:bookmarkStart w:id="2006" w:name="_Toc37862578"/>
      <w:bookmarkStart w:id="2007" w:name="_Toc37862579"/>
      <w:bookmarkStart w:id="2008" w:name="_Toc37862580"/>
      <w:bookmarkStart w:id="2009" w:name="_Toc6408408"/>
      <w:bookmarkStart w:id="2010" w:name="_Toc10199779"/>
      <w:bookmarkStart w:id="2011" w:name="_Toc37862581"/>
      <w:bookmarkStart w:id="2012" w:name="_Toc52892660"/>
      <w:bookmarkStart w:id="2013" w:name="_Toc100263343"/>
      <w:bookmarkStart w:id="2014" w:name="_Toc165961847"/>
      <w:bookmarkStart w:id="2015" w:name="_Toc178963633"/>
      <w:bookmarkEnd w:id="2004"/>
      <w:bookmarkEnd w:id="2005"/>
      <w:bookmarkEnd w:id="2006"/>
      <w:bookmarkEnd w:id="2007"/>
      <w:bookmarkEnd w:id="2008"/>
      <w:r>
        <w:t xml:space="preserve">Private patient accommodation </w:t>
      </w:r>
      <w:r w:rsidRPr="00731B6C">
        <w:t>charges</w:t>
      </w:r>
      <w:bookmarkEnd w:id="2009"/>
      <w:bookmarkEnd w:id="2010"/>
      <w:bookmarkEnd w:id="2011"/>
      <w:bookmarkEnd w:id="2012"/>
      <w:bookmarkEnd w:id="2013"/>
      <w:bookmarkEnd w:id="2014"/>
      <w:bookmarkEnd w:id="2015"/>
    </w:p>
    <w:p w14:paraId="1920AC84" w14:textId="3D271195" w:rsidR="005B699B" w:rsidRPr="00B61A4E" w:rsidRDefault="005B699B" w:rsidP="005B699B">
      <w:pPr>
        <w:pStyle w:val="Body"/>
      </w:pPr>
      <w:r w:rsidRPr="00B61A4E">
        <w:t xml:space="preserve">Section 72.1(2) of the </w:t>
      </w:r>
      <w:r w:rsidRPr="00D20B88">
        <w:rPr>
          <w:rStyle w:val="Emphasis"/>
        </w:rPr>
        <w:t>Private Health Insurance Act 2007</w:t>
      </w:r>
      <w:r w:rsidRPr="00B61A4E">
        <w:t xml:space="preserve"> states that an insurance policy covering hospital treatment must provide at least the ‘minimum benefit’ for that treatment. The Commonwealth Minister for Health stipulates the minimum benefits payable by private health insurers for </w:t>
      </w:r>
      <w:r w:rsidRPr="00B61A4E" w:rsidDel="00F9087B">
        <w:t>shared</w:t>
      </w:r>
      <w:r w:rsidR="00F9087B">
        <w:t>-</w:t>
      </w:r>
      <w:r w:rsidRPr="00B61A4E">
        <w:t xml:space="preserve">ward accommodation in public hospitals through the private health insurance </w:t>
      </w:r>
      <w:r w:rsidRPr="00B61A4E">
        <w:lastRenderedPageBreak/>
        <w:t xml:space="preserve">(benefit requirements) rules. The </w:t>
      </w:r>
      <w:r>
        <w:t>C</w:t>
      </w:r>
      <w:r w:rsidRPr="00B61A4E">
        <w:t>ommonwealth does not set a minimum benefit for single room accommodation.</w:t>
      </w:r>
    </w:p>
    <w:p w14:paraId="1586FC14" w14:textId="60A6F3FC" w:rsidR="005B699B" w:rsidRPr="00B61A4E" w:rsidRDefault="005B699B" w:rsidP="005B699B">
      <w:pPr>
        <w:pStyle w:val="Body"/>
      </w:pPr>
      <w:r w:rsidRPr="00B61A4E">
        <w:t xml:space="preserve">Health services </w:t>
      </w:r>
      <w:r w:rsidR="00F9087B">
        <w:t>may</w:t>
      </w:r>
      <w:r w:rsidRPr="00B61A4E">
        <w:t xml:space="preserve"> make their own determination on accommodation fees to be charged to private patients who receive treatment at their campuses. In </w:t>
      </w:r>
      <w:r w:rsidR="00F9087B">
        <w:t>setting this fee</w:t>
      </w:r>
      <w:r w:rsidRPr="00B61A4E">
        <w:t>, health services should consider:</w:t>
      </w:r>
    </w:p>
    <w:p w14:paraId="7681409D" w14:textId="77777777" w:rsidR="005B699B" w:rsidRPr="00B61A4E" w:rsidRDefault="005B699B" w:rsidP="00CE12D2">
      <w:pPr>
        <w:pStyle w:val="Bullet1"/>
        <w:numPr>
          <w:ilvl w:val="0"/>
          <w:numId w:val="46"/>
        </w:numPr>
      </w:pPr>
      <w:r>
        <w:t>the benefit that private health insurance funds will assign to the public hospital in their health insurance products</w:t>
      </w:r>
    </w:p>
    <w:p w14:paraId="5798AD76" w14:textId="77777777" w:rsidR="005B699B" w:rsidRPr="00B61A4E" w:rsidRDefault="005B699B" w:rsidP="00CE12D2">
      <w:pPr>
        <w:pStyle w:val="Bullet1"/>
        <w:numPr>
          <w:ilvl w:val="0"/>
          <w:numId w:val="46"/>
        </w:numPr>
      </w:pPr>
      <w:r>
        <w:t>any co-payment a patient may be willing to pay as a private patient</w:t>
      </w:r>
    </w:p>
    <w:p w14:paraId="17436D66" w14:textId="7879915D" w:rsidR="005B699B" w:rsidRPr="00B61A4E" w:rsidRDefault="005B699B" w:rsidP="00CE12D2">
      <w:pPr>
        <w:pStyle w:val="Bullet1"/>
        <w:numPr>
          <w:ilvl w:val="0"/>
          <w:numId w:val="46"/>
        </w:numPr>
      </w:pPr>
      <w:r>
        <w:t>the amount of any co-payment or excess the hospital can viably for</w:t>
      </w:r>
      <w:r w:rsidR="00F9087B">
        <w:t>e</w:t>
      </w:r>
      <w:r>
        <w:t>go.</w:t>
      </w:r>
    </w:p>
    <w:p w14:paraId="10C89A41" w14:textId="77777777" w:rsidR="005B699B" w:rsidRPr="00B61A4E" w:rsidRDefault="005B699B" w:rsidP="005B699B">
      <w:pPr>
        <w:pStyle w:val="Bodyafterbullets"/>
      </w:pPr>
      <w:r w:rsidRPr="00B61A4E">
        <w:t xml:space="preserve">To assist health services with this decision, the department provides a guide to average costs and nominal cost recovery rates for private patient accommodation in the </w:t>
      </w:r>
      <w:r w:rsidRPr="0038163D">
        <w:t xml:space="preserve">department’s </w:t>
      </w:r>
      <w:hyperlink r:id="rId71" w:history="1">
        <w:r w:rsidRPr="0003441E">
          <w:rPr>
            <w:rStyle w:val="Hyperlinkitalic"/>
          </w:rPr>
          <w:t>Fees manual</w:t>
        </w:r>
      </w:hyperlink>
      <w:r w:rsidRPr="00B61A4E">
        <w:t xml:space="preserve"> &lt;</w:t>
      </w:r>
      <w:r w:rsidRPr="0003441E">
        <w:t>https</w:t>
      </w:r>
      <w:r w:rsidRPr="003513C7">
        <w:t>://www.hea</w:t>
      </w:r>
      <w:r>
        <w:t>lth.vic.gov.au/</w:t>
      </w:r>
      <w:r w:rsidRPr="0003441E">
        <w:t>patient-fees-charges/private-patients</w:t>
      </w:r>
      <w:r w:rsidRPr="00B61A4E">
        <w:t>&gt;.</w:t>
      </w:r>
    </w:p>
    <w:p w14:paraId="7AD26BED" w14:textId="77777777" w:rsidR="005B699B" w:rsidRPr="00B61A4E" w:rsidRDefault="005B699B" w:rsidP="005B699B">
      <w:pPr>
        <w:pStyle w:val="Body"/>
      </w:pPr>
      <w:r w:rsidRPr="00B61A4E">
        <w:t>At a minimum, these rates would be reasonable to apply to private patient charges.</w:t>
      </w:r>
    </w:p>
    <w:p w14:paraId="75836BC4" w14:textId="415D2321" w:rsidR="005B699B" w:rsidRPr="00F9087B" w:rsidRDefault="005B699B" w:rsidP="00F9087B">
      <w:pPr>
        <w:pStyle w:val="Body"/>
      </w:pPr>
      <w:r w:rsidRPr="00F9087B">
        <w:t>Health services should note the</w:t>
      </w:r>
      <w:r w:rsidRPr="0039015C">
        <w:t xml:space="preserve"> </w:t>
      </w:r>
      <w:r w:rsidRPr="0013154B">
        <w:rPr>
          <w:i/>
        </w:rPr>
        <w:t>Private Health Insurance (Health Insurance Business) Rules</w:t>
      </w:r>
      <w:r w:rsidRPr="0039015C">
        <w:t xml:space="preserve"> 20</w:t>
      </w:r>
      <w:r w:rsidR="002775A7">
        <w:t>18</w:t>
      </w:r>
      <w:r w:rsidR="006A7CF0">
        <w:t xml:space="preserve"> </w:t>
      </w:r>
      <w:r w:rsidR="002B09EB">
        <w:t>(</w:t>
      </w:r>
      <w:r w:rsidR="006A7CF0">
        <w:t>Cth.)</w:t>
      </w:r>
      <w:r w:rsidRPr="0039015C">
        <w:t>,</w:t>
      </w:r>
      <w:r w:rsidRPr="00F9087B">
        <w:t xml:space="preserve"> </w:t>
      </w:r>
      <w:r w:rsidR="006A7CF0">
        <w:t>Pt</w:t>
      </w:r>
      <w:r w:rsidR="006A7CF0" w:rsidRPr="00F9087B">
        <w:t xml:space="preserve"> </w:t>
      </w:r>
      <w:r w:rsidRPr="00F9087B">
        <w:t>3, s8(b</w:t>
      </w:r>
      <w:r w:rsidR="00F9087B" w:rsidRPr="00F9087B">
        <w:t>)</w:t>
      </w:r>
      <w:r w:rsidR="00F9087B">
        <w:t>.</w:t>
      </w:r>
      <w:r w:rsidRPr="00F9087B" w:rsidDel="00F9087B">
        <w:t xml:space="preserve"> </w:t>
      </w:r>
      <w:r w:rsidR="00F9087B">
        <w:t>This</w:t>
      </w:r>
      <w:r w:rsidR="00F9087B" w:rsidRPr="00F9087B">
        <w:t xml:space="preserve"> </w:t>
      </w:r>
      <w:r w:rsidRPr="00F9087B">
        <w:t>states that treatment provided to a person at an emergency department is excluded treatment for the purposes of private health insurance. Health services should ensure that private health funds are not billed for accommodation or services provided to admitted private patients at an emergency department.</w:t>
      </w:r>
    </w:p>
    <w:p w14:paraId="4DCA2408" w14:textId="77777777" w:rsidR="005B699B" w:rsidRDefault="005B699B" w:rsidP="001E4292">
      <w:pPr>
        <w:pStyle w:val="Heading2"/>
        <w:numPr>
          <w:ilvl w:val="1"/>
          <w:numId w:val="13"/>
        </w:numPr>
        <w:ind w:left="1134" w:hanging="1134"/>
      </w:pPr>
      <w:bookmarkStart w:id="2016" w:name="_Redirection_of_Funds"/>
      <w:bookmarkStart w:id="2017" w:name="_Toc6408409"/>
      <w:bookmarkStart w:id="2018" w:name="_Toc10199780"/>
      <w:bookmarkStart w:id="2019" w:name="_Toc37862582"/>
      <w:bookmarkStart w:id="2020" w:name="_Toc52892661"/>
      <w:bookmarkStart w:id="2021" w:name="_Toc100263344"/>
      <w:bookmarkStart w:id="2022" w:name="_Ref165635389"/>
      <w:bookmarkStart w:id="2023" w:name="_Ref165635415"/>
      <w:bookmarkStart w:id="2024" w:name="_Ref165635428"/>
      <w:bookmarkStart w:id="2025" w:name="_Ref165635440"/>
      <w:bookmarkStart w:id="2026" w:name="_Ref165635445"/>
      <w:bookmarkStart w:id="2027" w:name="_Ref165637265"/>
      <w:bookmarkStart w:id="2028" w:name="_Toc165961848"/>
      <w:bookmarkStart w:id="2029" w:name="_Toc178963634"/>
      <w:bookmarkEnd w:id="2016"/>
      <w:r>
        <w:t xml:space="preserve">Redirection of </w:t>
      </w:r>
      <w:bookmarkEnd w:id="2017"/>
      <w:bookmarkEnd w:id="2018"/>
      <w:bookmarkEnd w:id="2019"/>
      <w:bookmarkEnd w:id="2020"/>
      <w:bookmarkEnd w:id="2021"/>
      <w:r>
        <w:t>funds</w:t>
      </w:r>
      <w:bookmarkEnd w:id="2022"/>
      <w:bookmarkEnd w:id="2023"/>
      <w:bookmarkEnd w:id="2024"/>
      <w:bookmarkEnd w:id="2025"/>
      <w:bookmarkEnd w:id="2026"/>
      <w:bookmarkEnd w:id="2027"/>
      <w:bookmarkEnd w:id="2028"/>
      <w:bookmarkEnd w:id="2029"/>
    </w:p>
    <w:p w14:paraId="5ED51B0D" w14:textId="46A5D1B9" w:rsidR="005B699B" w:rsidRPr="00B61A4E" w:rsidRDefault="005B699B" w:rsidP="005B699B">
      <w:pPr>
        <w:pStyle w:val="Body"/>
      </w:pPr>
      <w:r w:rsidRPr="00B61A4E">
        <w:t xml:space="preserve">If </w:t>
      </w:r>
      <w:r>
        <w:t xml:space="preserve">the </w:t>
      </w:r>
      <w:r w:rsidRPr="00B61A4E">
        <w:t xml:space="preserve">total revenue for a funded program exceeds the expenses incurred in delivering the full quantity of services specified in the </w:t>
      </w:r>
      <w:r w:rsidR="00C46449">
        <w:t>Statement of Priorities</w:t>
      </w:r>
      <w:r w:rsidRPr="00B61A4E">
        <w:t xml:space="preserve"> or service agreement, the</w:t>
      </w:r>
      <w:r w:rsidR="00F9087B">
        <w:t xml:space="preserve"> funded organisation may use the</w:t>
      </w:r>
      <w:r w:rsidRPr="00B61A4E">
        <w:t xml:space="preserve"> surplus for any purpose connected with its agreed function. </w:t>
      </w:r>
      <w:r>
        <w:t xml:space="preserve">The funded organisation must submit the request in writing to the department. </w:t>
      </w:r>
      <w:r w:rsidRPr="00B61A4E">
        <w:t xml:space="preserve">This clause does not apply if </w:t>
      </w:r>
      <w:r>
        <w:t>the</w:t>
      </w:r>
      <w:r w:rsidRPr="00B61A4E">
        <w:t xml:space="preserve"> funding </w:t>
      </w:r>
      <w:r>
        <w:t xml:space="preserve">is </w:t>
      </w:r>
      <w:r w:rsidRPr="00B61A4E">
        <w:t>provided for a specially identified purpose.</w:t>
      </w:r>
    </w:p>
    <w:p w14:paraId="307B9AE3" w14:textId="77777777" w:rsidR="005B699B" w:rsidRPr="00B61A4E" w:rsidRDefault="005B699B" w:rsidP="005B699B">
      <w:pPr>
        <w:pStyle w:val="Body"/>
      </w:pPr>
      <w:r w:rsidRPr="00490E4D">
        <w:t xml:space="preserve">One such specially identified purpose is the operation of a LPHU. Unexpended funding provided to lead health services in connection with LPHU </w:t>
      </w:r>
      <w:r>
        <w:t>o</w:t>
      </w:r>
      <w:r w:rsidRPr="00490E4D">
        <w:t xml:space="preserve">perations and LPHU </w:t>
      </w:r>
      <w:r>
        <w:t>p</w:t>
      </w:r>
      <w:r w:rsidRPr="00490E4D">
        <w:t>revention functions may not be used for any purpose beyond that for which it was granted</w:t>
      </w:r>
      <w:r>
        <w:t xml:space="preserve">, unless clearly defined </w:t>
      </w:r>
      <w:r w:rsidRPr="00A472C6">
        <w:t>and approved by the department</w:t>
      </w:r>
      <w:r w:rsidRPr="00490E4D">
        <w:t>.</w:t>
      </w:r>
    </w:p>
    <w:p w14:paraId="10F1D627" w14:textId="77777777" w:rsidR="005B699B" w:rsidRDefault="005B699B" w:rsidP="001E4292">
      <w:pPr>
        <w:pStyle w:val="Heading2"/>
        <w:numPr>
          <w:ilvl w:val="1"/>
          <w:numId w:val="13"/>
        </w:numPr>
        <w:ind w:left="1134" w:hanging="1134"/>
      </w:pPr>
      <w:bookmarkStart w:id="2030" w:name="_Toc6408410"/>
      <w:bookmarkStart w:id="2031" w:name="_Toc10199781"/>
      <w:bookmarkStart w:id="2032" w:name="_Toc37862583"/>
      <w:bookmarkStart w:id="2033" w:name="_Toc52892662"/>
      <w:bookmarkStart w:id="2034" w:name="_Toc100263345"/>
      <w:bookmarkStart w:id="2035" w:name="_Toc165961849"/>
      <w:bookmarkStart w:id="2036" w:name="_Toc178963635"/>
      <w:r>
        <w:t>Doctors in training secondment arrangements</w:t>
      </w:r>
      <w:bookmarkEnd w:id="2030"/>
      <w:bookmarkEnd w:id="2031"/>
      <w:bookmarkEnd w:id="2032"/>
      <w:bookmarkEnd w:id="2033"/>
      <w:bookmarkEnd w:id="2034"/>
      <w:bookmarkEnd w:id="2035"/>
      <w:bookmarkEnd w:id="2036"/>
    </w:p>
    <w:p w14:paraId="28B147EC" w14:textId="4D7B0346" w:rsidR="005B699B" w:rsidRPr="00B61A4E" w:rsidRDefault="005B699B" w:rsidP="005B699B">
      <w:pPr>
        <w:pStyle w:val="Body"/>
        <w:rPr>
          <w:lang w:eastAsia="en-AU"/>
        </w:rPr>
      </w:pPr>
      <w:r w:rsidRPr="66DFC114">
        <w:rPr>
          <w:lang w:eastAsia="en-AU"/>
        </w:rPr>
        <w:t>Many training programs for junior doctors involve a rotation to a site other than their parent hospital. The parent hospital is responsible for managing and paying the annual leave of doctors in training while on rotation</w:t>
      </w:r>
      <w:r>
        <w:rPr>
          <w:lang w:eastAsia="en-AU"/>
        </w:rPr>
        <w:t>.</w:t>
      </w:r>
      <w:r w:rsidRPr="66DFC114">
        <w:rPr>
          <w:lang w:eastAsia="en-AU"/>
        </w:rPr>
        <w:t xml:space="preserve"> </w:t>
      </w:r>
      <w:r>
        <w:rPr>
          <w:lang w:eastAsia="en-AU"/>
        </w:rPr>
        <w:t>W</w:t>
      </w:r>
      <w:r w:rsidRPr="66DFC114">
        <w:rPr>
          <w:lang w:eastAsia="en-AU"/>
        </w:rPr>
        <w:t xml:space="preserve">here annual (or other) leave is planned within the rotation period, both hospitals should approve this leave. Only the parent hospital is to pay out annual leave, as this is included in the overheads paid to the parent hospital (refer to </w:t>
      </w:r>
      <w:r w:rsidRPr="00F551B9">
        <w:rPr>
          <w:rStyle w:val="Emphasis"/>
        </w:rPr>
        <w:t>Doctors in Training (Victorian Public Health Sector) (AMA Victoria/SMOF) (Single Interest Employers) Enterprise Agreement 2022</w:t>
      </w:r>
      <w:r w:rsidR="00F9087B">
        <w:rPr>
          <w:rStyle w:val="Emphasis"/>
        </w:rPr>
        <w:t>–</w:t>
      </w:r>
      <w:r w:rsidRPr="00F551B9">
        <w:rPr>
          <w:rStyle w:val="Emphasis"/>
        </w:rPr>
        <w:t>2026</w:t>
      </w:r>
      <w:r w:rsidRPr="66DFC114">
        <w:rPr>
          <w:lang w:eastAsia="en-AU"/>
        </w:rPr>
        <w:t>)</w:t>
      </w:r>
      <w:r w:rsidR="00706DF3">
        <w:rPr>
          <w:lang w:eastAsia="en-AU"/>
        </w:rPr>
        <w:t xml:space="preserve"> (2022)</w:t>
      </w:r>
      <w:r w:rsidRPr="66DFC114">
        <w:rPr>
          <w:lang w:eastAsia="en-AU"/>
        </w:rPr>
        <w:t>.</w:t>
      </w:r>
    </w:p>
    <w:p w14:paraId="3420F397" w14:textId="77777777" w:rsidR="003D68A7" w:rsidRDefault="005B699B" w:rsidP="005B699B">
      <w:pPr>
        <w:pStyle w:val="Body"/>
        <w:rPr>
          <w:lang w:eastAsia="en-AU"/>
        </w:rPr>
      </w:pPr>
      <w:r w:rsidRPr="00B61A4E">
        <w:rPr>
          <w:lang w:eastAsia="en-AU"/>
        </w:rPr>
        <w:t>The parent hospital will make every endeavour to organise suitable relief when a doctor in training takes other leave (either planned or unexpected) for a period longer than one week. The parent hospital should also make every endeavour to ensure the relieving doctor has commensurate experience and skills to ensure the expected level of service in the external hospital can continue to be provided.</w:t>
      </w:r>
    </w:p>
    <w:p w14:paraId="46505F29" w14:textId="298583CE" w:rsidR="005B699B" w:rsidRDefault="005B699B" w:rsidP="001E4292">
      <w:pPr>
        <w:pStyle w:val="Heading1"/>
        <w:numPr>
          <w:ilvl w:val="0"/>
          <w:numId w:val="13"/>
        </w:numPr>
        <w:ind w:left="1134" w:hanging="1134"/>
      </w:pPr>
      <w:bookmarkStart w:id="2037" w:name="_Toc450839104"/>
      <w:bookmarkStart w:id="2038" w:name="_Toc451801406"/>
      <w:bookmarkStart w:id="2039" w:name="_Toc451802013"/>
      <w:bookmarkStart w:id="2040" w:name="_Toc452211490"/>
      <w:bookmarkStart w:id="2041" w:name="_Toc452227856"/>
      <w:bookmarkStart w:id="2042" w:name="_Toc13040179"/>
      <w:bookmarkStart w:id="2043" w:name="_Toc13040180"/>
      <w:bookmarkStart w:id="2044" w:name="_Toc13040181"/>
      <w:bookmarkStart w:id="2045" w:name="_Toc13040182"/>
      <w:bookmarkStart w:id="2046" w:name="_Toc13040183"/>
      <w:bookmarkStart w:id="2047" w:name="_Toc13040184"/>
      <w:bookmarkStart w:id="2048" w:name="_Toc13040185"/>
      <w:bookmarkStart w:id="2049" w:name="_Toc13040186"/>
      <w:bookmarkStart w:id="2050" w:name="_Toc13040187"/>
      <w:bookmarkStart w:id="2051" w:name="_Toc13040188"/>
      <w:bookmarkStart w:id="2052" w:name="_Toc13040189"/>
      <w:bookmarkStart w:id="2053" w:name="_Toc13040190"/>
      <w:bookmarkStart w:id="2054" w:name="_Toc13040191"/>
      <w:bookmarkStart w:id="2055" w:name="_Toc13040192"/>
      <w:bookmarkStart w:id="2056" w:name="_Toc13040193"/>
      <w:bookmarkStart w:id="2057" w:name="_Toc13040194"/>
      <w:bookmarkStart w:id="2058" w:name="_Toc13040195"/>
      <w:bookmarkStart w:id="2059" w:name="_Toc13040196"/>
      <w:bookmarkStart w:id="2060" w:name="_Toc13040197"/>
      <w:bookmarkStart w:id="2061" w:name="_Toc13040198"/>
      <w:bookmarkStart w:id="2062" w:name="_Toc13040199"/>
      <w:bookmarkStart w:id="2063" w:name="_Toc13040200"/>
      <w:bookmarkStart w:id="2064" w:name="_Toc13040201"/>
      <w:bookmarkStart w:id="2065" w:name="_Toc13040202"/>
      <w:bookmarkStart w:id="2066" w:name="_Toc13040203"/>
      <w:bookmarkStart w:id="2067" w:name="_Toc13040204"/>
      <w:bookmarkStart w:id="2068" w:name="_Toc13040205"/>
      <w:bookmarkStart w:id="2069" w:name="_Toc13040206"/>
      <w:bookmarkStart w:id="2070" w:name="_Toc13040213"/>
      <w:bookmarkStart w:id="2071" w:name="_Toc13040214"/>
      <w:bookmarkStart w:id="2072" w:name="_Toc13040215"/>
      <w:bookmarkStart w:id="2073" w:name="_Toc13040216"/>
      <w:bookmarkStart w:id="2074" w:name="_Toc13040217"/>
      <w:bookmarkStart w:id="2075" w:name="_Toc13040218"/>
      <w:bookmarkStart w:id="2076" w:name="_Toc13040219"/>
      <w:bookmarkStart w:id="2077" w:name="_Toc13040220"/>
      <w:bookmarkStart w:id="2078" w:name="_Toc13040271"/>
      <w:bookmarkStart w:id="2079" w:name="_Toc13040272"/>
      <w:bookmarkStart w:id="2080" w:name="_Toc13040273"/>
      <w:bookmarkStart w:id="2081" w:name="_Toc13040274"/>
      <w:bookmarkStart w:id="2082" w:name="_Toc13040275"/>
      <w:bookmarkStart w:id="2083" w:name="_Toc13040276"/>
      <w:bookmarkStart w:id="2084" w:name="_Toc13040277"/>
      <w:bookmarkStart w:id="2085" w:name="_Toc13040278"/>
      <w:bookmarkStart w:id="2086" w:name="_Toc13040279"/>
      <w:bookmarkStart w:id="2087" w:name="_Toc13040280"/>
      <w:bookmarkStart w:id="2088" w:name="_Toc13040281"/>
      <w:bookmarkStart w:id="2089" w:name="_Toc13040282"/>
      <w:bookmarkStart w:id="2090" w:name="_Toc13040283"/>
      <w:bookmarkStart w:id="2091" w:name="_Toc13040284"/>
      <w:bookmarkStart w:id="2092" w:name="_Toc13040285"/>
      <w:bookmarkStart w:id="2093" w:name="_Toc13040286"/>
      <w:bookmarkStart w:id="2094" w:name="_Toc13040287"/>
      <w:bookmarkStart w:id="2095" w:name="_Toc13040288"/>
      <w:bookmarkStart w:id="2096" w:name="_Toc13040289"/>
      <w:bookmarkStart w:id="2097" w:name="_Toc13040290"/>
      <w:bookmarkStart w:id="2098" w:name="_Toc13040291"/>
      <w:bookmarkStart w:id="2099" w:name="_Toc13040292"/>
      <w:bookmarkStart w:id="2100" w:name="_Toc13040293"/>
      <w:bookmarkStart w:id="2101" w:name="_Toc13040294"/>
      <w:bookmarkStart w:id="2102" w:name="_Toc13040295"/>
      <w:bookmarkStart w:id="2103" w:name="_Toc13040296"/>
      <w:bookmarkStart w:id="2104" w:name="_Toc13040297"/>
      <w:bookmarkStart w:id="2105" w:name="_Toc13040298"/>
      <w:bookmarkStart w:id="2106" w:name="_Toc13040299"/>
      <w:bookmarkStart w:id="2107" w:name="_Toc13040300"/>
      <w:bookmarkStart w:id="2108" w:name="_Toc13040301"/>
      <w:bookmarkStart w:id="2109" w:name="_Toc13040302"/>
      <w:bookmarkStart w:id="2110" w:name="_Toc13040303"/>
      <w:bookmarkStart w:id="2111" w:name="_Toc13040304"/>
      <w:bookmarkStart w:id="2112" w:name="_Toc13040305"/>
      <w:bookmarkStart w:id="2113" w:name="_Toc13040306"/>
      <w:bookmarkStart w:id="2114" w:name="_Toc13040307"/>
      <w:bookmarkStart w:id="2115" w:name="_Toc13040308"/>
      <w:bookmarkStart w:id="2116" w:name="_Toc13040309"/>
      <w:bookmarkStart w:id="2117" w:name="_Toc13040310"/>
      <w:bookmarkStart w:id="2118" w:name="_Toc13040311"/>
      <w:bookmarkStart w:id="2119" w:name="_Toc13040312"/>
      <w:bookmarkStart w:id="2120" w:name="_Toc13040313"/>
      <w:bookmarkStart w:id="2121" w:name="_Toc13040314"/>
      <w:bookmarkStart w:id="2122" w:name="_Toc13040315"/>
      <w:bookmarkStart w:id="2123" w:name="_Toc13040316"/>
      <w:bookmarkStart w:id="2124" w:name="_Toc13040317"/>
      <w:bookmarkStart w:id="2125" w:name="_Toc13040318"/>
      <w:bookmarkStart w:id="2126" w:name="_Toc13040376"/>
      <w:bookmarkStart w:id="2127" w:name="_Toc13040385"/>
      <w:bookmarkStart w:id="2128" w:name="_Toc13040398"/>
      <w:bookmarkStart w:id="2129" w:name="_Toc13040407"/>
      <w:bookmarkStart w:id="2130" w:name="_Toc13040416"/>
      <w:bookmarkStart w:id="2131" w:name="_Toc13040417"/>
      <w:bookmarkStart w:id="2132" w:name="_Toc13040418"/>
      <w:bookmarkStart w:id="2133" w:name="_Toc13040419"/>
      <w:bookmarkStart w:id="2134" w:name="_Toc13040420"/>
      <w:bookmarkStart w:id="2135" w:name="_Toc418694984"/>
      <w:bookmarkStart w:id="2136" w:name="_Ref423019815"/>
      <w:bookmarkStart w:id="2137" w:name="_Ref423019825"/>
      <w:bookmarkStart w:id="2138" w:name="_Ref423019949"/>
      <w:bookmarkStart w:id="2139" w:name="_Ref423019957"/>
      <w:bookmarkStart w:id="2140" w:name="_Ref423020094"/>
      <w:bookmarkStart w:id="2141" w:name="_Ref423020103"/>
      <w:bookmarkStart w:id="2142" w:name="_Toc487742005"/>
      <w:bookmarkStart w:id="2143" w:name="_Ref12022946"/>
      <w:bookmarkStart w:id="2144" w:name="_Ref12022951"/>
      <w:bookmarkStart w:id="2145" w:name="_Ref12023799"/>
      <w:bookmarkStart w:id="2146" w:name="_Toc14172235"/>
      <w:bookmarkStart w:id="2147" w:name="_Ref70881789"/>
      <w:bookmarkStart w:id="2148" w:name="_Ref70881795"/>
      <w:bookmarkStart w:id="2149" w:name="_Ref70881989"/>
      <w:bookmarkStart w:id="2150" w:name="_Ref70881998"/>
      <w:bookmarkStart w:id="2151" w:name="_Ref70882094"/>
      <w:bookmarkStart w:id="2152" w:name="_Ref70882107"/>
      <w:bookmarkStart w:id="2153" w:name="_Ref70882154"/>
      <w:bookmarkStart w:id="2154" w:name="_Ref70882163"/>
      <w:bookmarkStart w:id="2155" w:name="_Ref70960639"/>
      <w:bookmarkStart w:id="2156" w:name="_Ref70960640"/>
      <w:bookmarkStart w:id="2157" w:name="_Ref77777659"/>
      <w:bookmarkStart w:id="2158" w:name="_Ref77777682"/>
      <w:bookmarkStart w:id="2159" w:name="_Ref88483663"/>
      <w:bookmarkStart w:id="2160" w:name="_Ref96635540"/>
      <w:bookmarkStart w:id="2161" w:name="_Toc100263346"/>
      <w:bookmarkStart w:id="2162" w:name="_Ref144043389"/>
      <w:bookmarkStart w:id="2163" w:name="_Ref165637299"/>
      <w:bookmarkStart w:id="2164" w:name="_Toc165961850"/>
      <w:bookmarkStart w:id="2165" w:name="_Toc178963636"/>
      <w:bookmarkStart w:id="2166" w:name="_Hlk169612630"/>
      <w:bookmarkEnd w:id="1521"/>
      <w:bookmarkEnd w:id="1522"/>
      <w:bookmarkEnd w:id="1523"/>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lastRenderedPageBreak/>
        <w:t xml:space="preserve">Price </w:t>
      </w:r>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r>
        <w:t>tables</w:t>
      </w:r>
      <w:bookmarkEnd w:id="2163"/>
      <w:bookmarkEnd w:id="2164"/>
      <w:bookmarkEnd w:id="2165"/>
    </w:p>
    <w:p w14:paraId="145F77FF" w14:textId="77777777" w:rsidR="005B699B" w:rsidRPr="007E1AE2" w:rsidRDefault="005B699B" w:rsidP="001E4292">
      <w:pPr>
        <w:pStyle w:val="Heading2"/>
        <w:numPr>
          <w:ilvl w:val="1"/>
          <w:numId w:val="13"/>
        </w:numPr>
        <w:ind w:left="1134" w:hanging="1134"/>
      </w:pPr>
      <w:bookmarkStart w:id="2167" w:name="_Toc100263347"/>
      <w:bookmarkStart w:id="2168" w:name="_Toc165961851"/>
      <w:bookmarkStart w:id="2169" w:name="_Toc178963637"/>
      <w:r>
        <w:t>NWAU 202</w:t>
      </w:r>
      <w:bookmarkEnd w:id="2167"/>
      <w:r>
        <w:t>4–25</w:t>
      </w:r>
      <w:bookmarkEnd w:id="2168"/>
      <w:bookmarkEnd w:id="2169"/>
    </w:p>
    <w:p w14:paraId="3283F0EB" w14:textId="250CB3BD" w:rsidR="0002554E" w:rsidRPr="0002554E" w:rsidRDefault="0002554E" w:rsidP="0002554E">
      <w:pPr>
        <w:pStyle w:val="Tablecaption"/>
        <w:spacing w:line="250" w:lineRule="atLeast"/>
      </w:pPr>
      <w:bookmarkStart w:id="2170" w:name="_Toc176510397"/>
      <w:r>
        <w:t>Table 1.</w:t>
      </w:r>
      <w:r>
        <w:fldChar w:fldCharType="begin"/>
      </w:r>
      <w:r>
        <w:instrText>SEQ Table \* ARABIC</w:instrText>
      </w:r>
      <w:r>
        <w:fldChar w:fldCharType="separate"/>
      </w:r>
      <w:r w:rsidR="00F30C16">
        <w:rPr>
          <w:noProof/>
        </w:rPr>
        <w:t>6</w:t>
      </w:r>
      <w:r>
        <w:fldChar w:fldCharType="end"/>
      </w:r>
      <w:r>
        <w:t>: NWAU VEP for growth 2024–25</w:t>
      </w:r>
      <w:bookmarkEnd w:id="2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8"/>
        <w:gridCol w:w="1843"/>
        <w:gridCol w:w="1559"/>
        <w:gridCol w:w="2835"/>
      </w:tblGrid>
      <w:tr w:rsidR="00FF1419" w:rsidRPr="00DA49B0" w14:paraId="04078556" w14:textId="77777777" w:rsidTr="000561C0">
        <w:trPr>
          <w:trHeight w:val="386"/>
          <w:tblHeader/>
        </w:trPr>
        <w:tc>
          <w:tcPr>
            <w:tcW w:w="1838" w:type="dxa"/>
            <w:shd w:val="clear" w:color="auto" w:fill="auto"/>
          </w:tcPr>
          <w:p w14:paraId="6F8E89C8" w14:textId="77777777" w:rsidR="00FF1419" w:rsidRPr="00F717FB" w:rsidRDefault="00FF1419" w:rsidP="00A21959">
            <w:pPr>
              <w:pStyle w:val="Tablecolhead"/>
              <w:rPr>
                <w:szCs w:val="21"/>
              </w:rPr>
            </w:pPr>
            <w:r w:rsidRPr="00F717FB">
              <w:rPr>
                <w:rFonts w:eastAsia="Arial"/>
                <w:szCs w:val="21"/>
              </w:rPr>
              <w:t>Payment</w:t>
            </w:r>
          </w:p>
        </w:tc>
        <w:tc>
          <w:tcPr>
            <w:tcW w:w="1843" w:type="dxa"/>
            <w:shd w:val="clear" w:color="auto" w:fill="auto"/>
          </w:tcPr>
          <w:p w14:paraId="4A48C1C1" w14:textId="77777777" w:rsidR="00FF1419" w:rsidRPr="00F717FB" w:rsidRDefault="00FF1419" w:rsidP="00A21959">
            <w:pPr>
              <w:pStyle w:val="Tablecolhead"/>
              <w:rPr>
                <w:rFonts w:eastAsia="Arial"/>
                <w:szCs w:val="21"/>
              </w:rPr>
            </w:pPr>
            <w:r w:rsidRPr="00F717FB">
              <w:rPr>
                <w:rFonts w:eastAsia="Arial"/>
                <w:szCs w:val="21"/>
              </w:rPr>
              <w:t xml:space="preserve">Metropolitan ($) </w:t>
            </w:r>
          </w:p>
        </w:tc>
        <w:tc>
          <w:tcPr>
            <w:tcW w:w="1559" w:type="dxa"/>
            <w:shd w:val="clear" w:color="auto" w:fill="auto"/>
          </w:tcPr>
          <w:p w14:paraId="643DEBF1" w14:textId="77777777" w:rsidR="00FF1419" w:rsidRPr="00F717FB" w:rsidRDefault="00FF1419" w:rsidP="00A21959">
            <w:pPr>
              <w:pStyle w:val="Tablecolhead"/>
              <w:rPr>
                <w:rFonts w:eastAsia="Arial"/>
                <w:szCs w:val="21"/>
              </w:rPr>
            </w:pPr>
            <w:r w:rsidRPr="00F717FB">
              <w:rPr>
                <w:rFonts w:eastAsia="Arial"/>
                <w:szCs w:val="21"/>
              </w:rPr>
              <w:t>Regional ($)</w:t>
            </w:r>
          </w:p>
        </w:tc>
        <w:tc>
          <w:tcPr>
            <w:tcW w:w="2835" w:type="dxa"/>
            <w:shd w:val="clear" w:color="auto" w:fill="auto"/>
          </w:tcPr>
          <w:p w14:paraId="36916CCB" w14:textId="77777777" w:rsidR="00FF1419" w:rsidRPr="00F717FB" w:rsidRDefault="00FF1419" w:rsidP="00A21959">
            <w:pPr>
              <w:pStyle w:val="Tablecolhead"/>
              <w:rPr>
                <w:rFonts w:eastAsia="Arial"/>
                <w:szCs w:val="21"/>
              </w:rPr>
            </w:pPr>
            <w:r w:rsidRPr="00F717FB">
              <w:rPr>
                <w:rFonts w:eastAsia="Arial"/>
                <w:szCs w:val="21"/>
              </w:rPr>
              <w:t>Subregional and local ($)</w:t>
            </w:r>
          </w:p>
        </w:tc>
      </w:tr>
      <w:tr w:rsidR="00FF1419" w:rsidRPr="00DA49B0" w14:paraId="69662631" w14:textId="77777777" w:rsidTr="000561C0">
        <w:tc>
          <w:tcPr>
            <w:tcW w:w="1838" w:type="dxa"/>
          </w:tcPr>
          <w:p w14:paraId="2F92E2B3" w14:textId="77777777" w:rsidR="00FF1419" w:rsidRPr="00390309" w:rsidRDefault="00FF1419" w:rsidP="00A21959">
            <w:pPr>
              <w:pStyle w:val="Tabletext9pt"/>
            </w:pPr>
            <w:r w:rsidRPr="00390309">
              <w:rPr>
                <w:rFonts w:eastAsia="Arial"/>
              </w:rPr>
              <w:t>VEP NWAU</w:t>
            </w:r>
          </w:p>
        </w:tc>
        <w:tc>
          <w:tcPr>
            <w:tcW w:w="1843" w:type="dxa"/>
          </w:tcPr>
          <w:p w14:paraId="310FB82F" w14:textId="1FB1C583" w:rsidR="00FF1419" w:rsidRPr="00390309" w:rsidRDefault="00FF1419" w:rsidP="00A21959">
            <w:pPr>
              <w:pStyle w:val="Tabletext9pt"/>
              <w:jc w:val="right"/>
              <w:rPr>
                <w:rFonts w:eastAsia="Arial"/>
                <w:highlight w:val="yellow"/>
              </w:rPr>
            </w:pPr>
            <w:r w:rsidRPr="00F00C73">
              <w:rPr>
                <w:rFonts w:eastAsia="Arial"/>
              </w:rPr>
              <w:t xml:space="preserve"> 6,253</w:t>
            </w:r>
          </w:p>
        </w:tc>
        <w:tc>
          <w:tcPr>
            <w:tcW w:w="1559" w:type="dxa"/>
          </w:tcPr>
          <w:p w14:paraId="43199DAB" w14:textId="77777777" w:rsidR="00FF1419" w:rsidRPr="00390309" w:rsidRDefault="00FF1419" w:rsidP="00A21959">
            <w:pPr>
              <w:pStyle w:val="Tabletext9pt"/>
              <w:jc w:val="right"/>
              <w:rPr>
                <w:rFonts w:eastAsia="Arial"/>
                <w:highlight w:val="yellow"/>
              </w:rPr>
            </w:pPr>
            <w:r w:rsidRPr="5E1F88CF">
              <w:rPr>
                <w:rFonts w:eastAsia="Arial"/>
              </w:rPr>
              <w:t xml:space="preserve"> 5,827</w:t>
            </w:r>
          </w:p>
        </w:tc>
        <w:tc>
          <w:tcPr>
            <w:tcW w:w="2835" w:type="dxa"/>
          </w:tcPr>
          <w:p w14:paraId="48C2849C" w14:textId="77777777" w:rsidR="00FF1419" w:rsidRPr="00390309" w:rsidRDefault="00FF1419" w:rsidP="00A21959">
            <w:pPr>
              <w:pStyle w:val="Tabletext9pt"/>
              <w:jc w:val="right"/>
              <w:rPr>
                <w:rFonts w:eastAsia="Arial"/>
                <w:highlight w:val="yellow"/>
              </w:rPr>
            </w:pPr>
            <w:r w:rsidRPr="5E1F88CF">
              <w:rPr>
                <w:rFonts w:eastAsia="Arial"/>
              </w:rPr>
              <w:t xml:space="preserve"> 6,883</w:t>
            </w:r>
          </w:p>
        </w:tc>
      </w:tr>
    </w:tbl>
    <w:p w14:paraId="53053B5A" w14:textId="60D2008F" w:rsidR="0002554E" w:rsidRPr="0002554E" w:rsidRDefault="0002554E" w:rsidP="0002554E">
      <w:pPr>
        <w:pStyle w:val="Tablecaption"/>
        <w:spacing w:line="250" w:lineRule="atLeast"/>
      </w:pPr>
      <w:bookmarkStart w:id="2171" w:name="_Toc110944644"/>
      <w:bookmarkStart w:id="2172" w:name="_Toc176510398"/>
      <w:bookmarkEnd w:id="2171"/>
      <w:r>
        <w:t>Table 1.</w:t>
      </w:r>
      <w:r>
        <w:fldChar w:fldCharType="begin"/>
      </w:r>
      <w:r>
        <w:instrText>SEQ Table \* ARABIC</w:instrText>
      </w:r>
      <w:r>
        <w:fldChar w:fldCharType="separate"/>
      </w:r>
      <w:r w:rsidR="00F30C16">
        <w:rPr>
          <w:noProof/>
        </w:rPr>
        <w:t>7</w:t>
      </w:r>
      <w:r>
        <w:fldChar w:fldCharType="end"/>
      </w:r>
      <w:r>
        <w:t xml:space="preserve">: </w:t>
      </w:r>
      <w:r w:rsidRPr="00C14F8D">
        <w:t xml:space="preserve">NWAU </w:t>
      </w:r>
      <w:r>
        <w:t>c</w:t>
      </w:r>
      <w:r w:rsidRPr="00C14F8D">
        <w:t xml:space="preserve">ompensable </w:t>
      </w:r>
      <w:r>
        <w:t>p</w:t>
      </w:r>
      <w:r w:rsidRPr="00C14F8D">
        <w:t xml:space="preserve">rice </w:t>
      </w:r>
      <w:r>
        <w:t>r</w:t>
      </w:r>
      <w:r w:rsidRPr="00C14F8D">
        <w:t>ates 202</w:t>
      </w:r>
      <w:r>
        <w:t>4</w:t>
      </w:r>
      <w:r w:rsidRPr="00C14F8D">
        <w:t>–2</w:t>
      </w:r>
      <w:r>
        <w:t>5</w:t>
      </w:r>
      <w:bookmarkEnd w:id="2172"/>
    </w:p>
    <w:tbl>
      <w:tblPr>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098"/>
        <w:gridCol w:w="2561"/>
      </w:tblGrid>
      <w:tr w:rsidR="00FF1419" w:rsidRPr="0090298C" w14:paraId="681BF8E1" w14:textId="77777777" w:rsidTr="00A21959">
        <w:trPr>
          <w:tblHeader/>
        </w:trPr>
        <w:tc>
          <w:tcPr>
            <w:tcW w:w="5098" w:type="dxa"/>
            <w:shd w:val="clear" w:color="auto" w:fill="auto"/>
          </w:tcPr>
          <w:p w14:paraId="60C1A501" w14:textId="77777777" w:rsidR="00FF1419" w:rsidRPr="00F717FB" w:rsidRDefault="00FF1419" w:rsidP="00A21959">
            <w:pPr>
              <w:pStyle w:val="Tablecolhead"/>
              <w:rPr>
                <w:rFonts w:eastAsia="Arial"/>
                <w:szCs w:val="21"/>
              </w:rPr>
            </w:pPr>
            <w:r w:rsidRPr="00F717FB">
              <w:rPr>
                <w:rFonts w:eastAsia="Arial"/>
                <w:szCs w:val="21"/>
              </w:rPr>
              <w:t>Payment</w:t>
            </w:r>
          </w:p>
        </w:tc>
        <w:tc>
          <w:tcPr>
            <w:tcW w:w="2561" w:type="dxa"/>
            <w:shd w:val="clear" w:color="auto" w:fill="auto"/>
          </w:tcPr>
          <w:p w14:paraId="7FE3FADD"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rsidRPr="00100C88" w14:paraId="254B16A5" w14:textId="77777777" w:rsidTr="00A21959">
        <w:tc>
          <w:tcPr>
            <w:tcW w:w="5098" w:type="dxa"/>
            <w:noWrap/>
          </w:tcPr>
          <w:p w14:paraId="1427AEAD" w14:textId="77777777" w:rsidR="00FF1419" w:rsidRDefault="00FF1419" w:rsidP="00A21959">
            <w:pPr>
              <w:pStyle w:val="Tabletext9pt"/>
            </w:pPr>
            <w:r w:rsidRPr="31E98B47">
              <w:rPr>
                <w:rFonts w:eastAsia="Arial" w:cs="Arial"/>
                <w:szCs w:val="18"/>
              </w:rPr>
              <w:t>Department of Veterans’ Affairs</w:t>
            </w:r>
            <w:r>
              <w:rPr>
                <w:rFonts w:eastAsia="Arial" w:cs="Arial"/>
                <w:szCs w:val="18"/>
              </w:rPr>
              <w:t>: acute and subacute</w:t>
            </w:r>
            <w:r w:rsidRPr="31E98B47">
              <w:rPr>
                <w:rFonts w:eastAsia="Arial" w:cs="Arial"/>
                <w:szCs w:val="18"/>
              </w:rPr>
              <w:t xml:space="preserve"> NWAU </w:t>
            </w:r>
          </w:p>
        </w:tc>
        <w:tc>
          <w:tcPr>
            <w:tcW w:w="2561" w:type="dxa"/>
          </w:tcPr>
          <w:p w14:paraId="5164DBA4" w14:textId="315AA95A" w:rsidR="00FF1419" w:rsidRPr="139BB5A8" w:rsidRDefault="00FF1419" w:rsidP="00A21959">
            <w:pPr>
              <w:pStyle w:val="Tabletext9pt"/>
              <w:jc w:val="right"/>
              <w:rPr>
                <w:rFonts w:eastAsia="Arial" w:cs="Arial"/>
                <w:sz w:val="21"/>
                <w:szCs w:val="21"/>
              </w:rPr>
            </w:pPr>
            <w:r w:rsidRPr="621B21E3">
              <w:rPr>
                <w:rFonts w:eastAsia="Arial" w:cs="Arial"/>
              </w:rPr>
              <w:t xml:space="preserve"> </w:t>
            </w:r>
            <w:r w:rsidRPr="009D074E">
              <w:rPr>
                <w:rFonts w:eastAsia="Arial" w:cs="Arial"/>
              </w:rPr>
              <w:t>6,4</w:t>
            </w:r>
            <w:r w:rsidR="009D074E" w:rsidRPr="009D074E">
              <w:rPr>
                <w:rFonts w:eastAsia="Arial" w:cs="Arial"/>
              </w:rPr>
              <w:t>6</w:t>
            </w:r>
            <w:r w:rsidRPr="009D074E">
              <w:rPr>
                <w:rFonts w:eastAsia="Arial" w:cs="Arial"/>
              </w:rPr>
              <w:t>5</w:t>
            </w:r>
          </w:p>
        </w:tc>
      </w:tr>
      <w:tr w:rsidR="00FF1419" w:rsidRPr="00100C88" w14:paraId="385E68A9" w14:textId="77777777" w:rsidTr="00A21959">
        <w:tc>
          <w:tcPr>
            <w:tcW w:w="5098" w:type="dxa"/>
            <w:noWrap/>
          </w:tcPr>
          <w:p w14:paraId="4CB07947" w14:textId="4020DF74" w:rsidR="00FF1419" w:rsidRPr="003A53CD" w:rsidRDefault="00FF1419" w:rsidP="00A21959">
            <w:pPr>
              <w:pStyle w:val="Tabletext9pt"/>
              <w:rPr>
                <w:szCs w:val="18"/>
                <w:lang w:eastAsia="en-AU"/>
              </w:rPr>
            </w:pPr>
            <w:r w:rsidRPr="31E98B47">
              <w:rPr>
                <w:rFonts w:eastAsia="Arial" w:cs="Arial"/>
                <w:szCs w:val="18"/>
              </w:rPr>
              <w:t>T</w:t>
            </w:r>
            <w:r>
              <w:rPr>
                <w:rFonts w:eastAsia="Arial" w:cs="Arial"/>
                <w:szCs w:val="18"/>
              </w:rPr>
              <w:t xml:space="preserve">ransport </w:t>
            </w:r>
            <w:r w:rsidRPr="31E98B47">
              <w:rPr>
                <w:rFonts w:eastAsia="Arial" w:cs="Arial"/>
                <w:szCs w:val="18"/>
              </w:rPr>
              <w:t>A</w:t>
            </w:r>
            <w:r>
              <w:rPr>
                <w:rFonts w:eastAsia="Arial" w:cs="Arial"/>
                <w:szCs w:val="18"/>
              </w:rPr>
              <w:t xml:space="preserve">ccident </w:t>
            </w:r>
            <w:r w:rsidRPr="31E98B47">
              <w:rPr>
                <w:rFonts w:eastAsia="Arial" w:cs="Arial"/>
                <w:szCs w:val="18"/>
              </w:rPr>
              <w:t>C</w:t>
            </w:r>
            <w:r>
              <w:rPr>
                <w:rFonts w:eastAsia="Arial" w:cs="Arial"/>
                <w:szCs w:val="18"/>
              </w:rPr>
              <w:t>ommission</w:t>
            </w:r>
            <w:r w:rsidRPr="31E98B47">
              <w:rPr>
                <w:rFonts w:eastAsia="Arial" w:cs="Arial"/>
                <w:szCs w:val="18"/>
              </w:rPr>
              <w:t xml:space="preserve"> </w:t>
            </w:r>
            <w:r>
              <w:rPr>
                <w:rFonts w:eastAsia="Arial" w:cs="Arial"/>
                <w:szCs w:val="18"/>
              </w:rPr>
              <w:t>a</w:t>
            </w:r>
            <w:r w:rsidRPr="31E98B47">
              <w:rPr>
                <w:rFonts w:eastAsia="Arial" w:cs="Arial"/>
                <w:szCs w:val="18"/>
              </w:rPr>
              <w:t xml:space="preserve">dmitted NWAU </w:t>
            </w:r>
          </w:p>
        </w:tc>
        <w:tc>
          <w:tcPr>
            <w:tcW w:w="2561" w:type="dxa"/>
          </w:tcPr>
          <w:p w14:paraId="2929819F" w14:textId="77777777" w:rsidR="00FF1419" w:rsidRPr="00AA4546" w:rsidRDefault="00FF1419" w:rsidP="00A21959">
            <w:pPr>
              <w:pStyle w:val="Tabletext9pt"/>
              <w:jc w:val="right"/>
              <w:rPr>
                <w:rFonts w:eastAsia="Arial" w:cs="Arial"/>
                <w:lang w:eastAsia="en-AU"/>
              </w:rPr>
            </w:pPr>
            <w:r>
              <w:rPr>
                <w:rFonts w:eastAsia="Arial" w:cs="Arial"/>
                <w:lang w:eastAsia="en-AU"/>
              </w:rPr>
              <w:t>5,589</w:t>
            </w:r>
          </w:p>
        </w:tc>
      </w:tr>
      <w:tr w:rsidR="00FF1419" w:rsidRPr="00100C88" w14:paraId="6B3254C1" w14:textId="77777777" w:rsidTr="00A21959">
        <w:tc>
          <w:tcPr>
            <w:tcW w:w="5098" w:type="dxa"/>
            <w:noWrap/>
          </w:tcPr>
          <w:p w14:paraId="18E1E234" w14:textId="77777777" w:rsidR="00FF1419" w:rsidRPr="31E98B47" w:rsidRDefault="00FF1419" w:rsidP="00A21959">
            <w:pPr>
              <w:pStyle w:val="Tabletext9pt"/>
              <w:rPr>
                <w:rFonts w:eastAsia="Arial" w:cs="Arial"/>
                <w:szCs w:val="18"/>
              </w:rPr>
            </w:pPr>
            <w:r>
              <w:rPr>
                <w:rFonts w:eastAsia="Arial" w:cs="Arial"/>
                <w:szCs w:val="18"/>
              </w:rPr>
              <w:t>WorkSafe NWAU</w:t>
            </w:r>
          </w:p>
        </w:tc>
        <w:tc>
          <w:tcPr>
            <w:tcW w:w="2561" w:type="dxa"/>
          </w:tcPr>
          <w:p w14:paraId="2CAFB152" w14:textId="77777777" w:rsidR="00FF1419" w:rsidRPr="61404400" w:rsidRDefault="00FF1419" w:rsidP="00A21959">
            <w:pPr>
              <w:pStyle w:val="Tabletext9pt"/>
              <w:jc w:val="right"/>
              <w:rPr>
                <w:rFonts w:eastAsia="Arial" w:cs="Arial"/>
              </w:rPr>
            </w:pPr>
            <w:r>
              <w:rPr>
                <w:rFonts w:eastAsia="Arial" w:cs="Arial"/>
              </w:rPr>
              <w:t>5,253</w:t>
            </w:r>
          </w:p>
        </w:tc>
      </w:tr>
    </w:tbl>
    <w:p w14:paraId="59170D8B" w14:textId="1896060D" w:rsidR="0002554E" w:rsidRDefault="0002554E" w:rsidP="0002554E">
      <w:pPr>
        <w:pStyle w:val="Tablecaption"/>
        <w:spacing w:line="250" w:lineRule="atLeast"/>
      </w:pPr>
      <w:bookmarkStart w:id="2173" w:name="_Toc176510399"/>
      <w:r>
        <w:t>Table 1.</w:t>
      </w:r>
      <w:r>
        <w:fldChar w:fldCharType="begin"/>
      </w:r>
      <w:r>
        <w:instrText>SEQ Table \* ARABIC</w:instrText>
      </w:r>
      <w:r>
        <w:fldChar w:fldCharType="separate"/>
      </w:r>
      <w:r w:rsidR="00F30C16">
        <w:rPr>
          <w:noProof/>
        </w:rPr>
        <w:t>8</w:t>
      </w:r>
      <w:r>
        <w:fldChar w:fldCharType="end"/>
      </w:r>
      <w:r>
        <w:t xml:space="preserve">: </w:t>
      </w:r>
      <w:r w:rsidRPr="00A510B3">
        <w:t xml:space="preserve">Transitional Care </w:t>
      </w:r>
      <w:r w:rsidRPr="007E1AE2">
        <w:t>Program 202</w:t>
      </w:r>
      <w:r>
        <w:t>4</w:t>
      </w:r>
      <w:r w:rsidRPr="00DA49B0">
        <w:t>–</w:t>
      </w:r>
      <w:r w:rsidRPr="007E1AE2">
        <w:t>2</w:t>
      </w:r>
      <w:r>
        <w:t>5</w:t>
      </w:r>
      <w:bookmarkEnd w:id="2173"/>
    </w:p>
    <w:tbl>
      <w:tblPr>
        <w:tblW w:w="5524" w:type="dxa"/>
        <w:tblLook w:val="06A0" w:firstRow="1" w:lastRow="0" w:firstColumn="1" w:lastColumn="0" w:noHBand="1" w:noVBand="1"/>
      </w:tblPr>
      <w:tblGrid>
        <w:gridCol w:w="2972"/>
        <w:gridCol w:w="2552"/>
      </w:tblGrid>
      <w:tr w:rsidR="00FF1419" w14:paraId="04393BFC" w14:textId="77777777" w:rsidTr="00A21959">
        <w:trPr>
          <w:tblHead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1D25353A" w14:textId="77777777" w:rsidR="00FF1419" w:rsidRPr="00F717FB" w:rsidRDefault="00FF1419" w:rsidP="00A21959">
            <w:pPr>
              <w:pStyle w:val="Tablecolhead"/>
              <w:rPr>
                <w:rFonts w:eastAsia="Arial"/>
                <w:szCs w:val="21"/>
              </w:rPr>
            </w:pPr>
            <w:r w:rsidRPr="00F717FB">
              <w:rPr>
                <w:rFonts w:eastAsia="Arial"/>
                <w:szCs w:val="21"/>
              </w:rPr>
              <w:t>Payment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777A672"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73A7E26B" w14:textId="77777777" w:rsidTr="00A21959">
        <w:tc>
          <w:tcPr>
            <w:tcW w:w="2972" w:type="dxa"/>
            <w:tcBorders>
              <w:top w:val="single" w:sz="4" w:space="0" w:color="auto"/>
              <w:left w:val="single" w:sz="4" w:space="0" w:color="auto"/>
              <w:bottom w:val="single" w:sz="4" w:space="0" w:color="auto"/>
              <w:right w:val="single" w:sz="4" w:space="0" w:color="auto"/>
            </w:tcBorders>
            <w:noWrap/>
            <w:hideMark/>
          </w:tcPr>
          <w:p w14:paraId="22BEDA7C" w14:textId="77777777" w:rsidR="00FF1419" w:rsidRDefault="00FF1419" w:rsidP="00A21959">
            <w:pPr>
              <w:pStyle w:val="Tabletext9pt"/>
              <w:rPr>
                <w:lang w:eastAsia="en-AU"/>
              </w:rPr>
            </w:pPr>
            <w:r>
              <w:rPr>
                <w:lang w:eastAsia="en-AU"/>
              </w:rPr>
              <w:t>TCP bed places</w:t>
            </w:r>
            <w:r w:rsidRPr="00AE3E4D">
              <w:rPr>
                <w:szCs w:val="18"/>
                <w:vertAlign w:val="superscript"/>
                <w:lang w:eastAsia="en-AU"/>
              </w:rPr>
              <w:footnoteReference w:id="5"/>
            </w:r>
            <w:r>
              <w:rPr>
                <w:lang w:eastAsia="en-AU"/>
              </w:rPr>
              <w:t xml:space="preserve"> (per diem rate)</w:t>
            </w:r>
          </w:p>
        </w:tc>
        <w:tc>
          <w:tcPr>
            <w:tcW w:w="2552" w:type="dxa"/>
            <w:tcBorders>
              <w:top w:val="single" w:sz="4" w:space="0" w:color="auto"/>
              <w:left w:val="single" w:sz="4" w:space="0" w:color="auto"/>
              <w:bottom w:val="single" w:sz="4" w:space="0" w:color="auto"/>
              <w:right w:val="single" w:sz="4" w:space="0" w:color="auto"/>
            </w:tcBorders>
            <w:hideMark/>
          </w:tcPr>
          <w:p w14:paraId="0ED099C5"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173.80</w:t>
            </w:r>
          </w:p>
        </w:tc>
      </w:tr>
      <w:tr w:rsidR="00FF1419" w14:paraId="0998D0B6" w14:textId="77777777" w:rsidTr="00A21959">
        <w:tc>
          <w:tcPr>
            <w:tcW w:w="2972" w:type="dxa"/>
            <w:tcBorders>
              <w:top w:val="single" w:sz="4" w:space="0" w:color="auto"/>
              <w:left w:val="single" w:sz="4" w:space="0" w:color="auto"/>
              <w:bottom w:val="single" w:sz="4" w:space="0" w:color="auto"/>
              <w:right w:val="single" w:sz="4" w:space="0" w:color="auto"/>
            </w:tcBorders>
            <w:noWrap/>
            <w:hideMark/>
          </w:tcPr>
          <w:p w14:paraId="0AA62A7F" w14:textId="77777777" w:rsidR="00FF1419" w:rsidRDefault="00FF1419" w:rsidP="00A21959">
            <w:pPr>
              <w:pStyle w:val="Tabletext9pt"/>
              <w:rPr>
                <w:lang w:eastAsia="en-AU"/>
              </w:rPr>
            </w:pPr>
            <w:r>
              <w:rPr>
                <w:lang w:eastAsia="en-AU"/>
              </w:rPr>
              <w:t>TCP home places (per diem rate)</w:t>
            </w:r>
          </w:p>
        </w:tc>
        <w:tc>
          <w:tcPr>
            <w:tcW w:w="2552" w:type="dxa"/>
            <w:tcBorders>
              <w:top w:val="single" w:sz="4" w:space="0" w:color="auto"/>
              <w:left w:val="single" w:sz="4" w:space="0" w:color="auto"/>
              <w:bottom w:val="single" w:sz="4" w:space="0" w:color="auto"/>
              <w:right w:val="single" w:sz="4" w:space="0" w:color="auto"/>
            </w:tcBorders>
            <w:hideMark/>
          </w:tcPr>
          <w:p w14:paraId="23B8F4EC"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63.73</w:t>
            </w:r>
          </w:p>
        </w:tc>
      </w:tr>
    </w:tbl>
    <w:p w14:paraId="71A54458" w14:textId="7486F971" w:rsidR="0002554E" w:rsidRDefault="0002554E" w:rsidP="0002554E">
      <w:pPr>
        <w:pStyle w:val="Tablecaption"/>
        <w:spacing w:line="250" w:lineRule="atLeast"/>
      </w:pPr>
      <w:bookmarkStart w:id="2174" w:name="_Toc110944646"/>
      <w:bookmarkStart w:id="2175" w:name="_Toc176510400"/>
      <w:bookmarkStart w:id="2176" w:name="_Toc419644511"/>
      <w:bookmarkStart w:id="2177" w:name="_Toc487742067"/>
      <w:bookmarkEnd w:id="2174"/>
      <w:r>
        <w:t>Table 1.</w:t>
      </w:r>
      <w:r>
        <w:fldChar w:fldCharType="begin"/>
      </w:r>
      <w:r>
        <w:instrText>SEQ Table \* ARABIC</w:instrText>
      </w:r>
      <w:r>
        <w:fldChar w:fldCharType="separate"/>
      </w:r>
      <w:r w:rsidR="00F30C16">
        <w:rPr>
          <w:noProof/>
        </w:rPr>
        <w:t>9</w:t>
      </w:r>
      <w:r>
        <w:fldChar w:fldCharType="end"/>
      </w:r>
      <w:r>
        <w:t xml:space="preserve">: </w:t>
      </w:r>
      <w:r w:rsidRPr="007E1AE2">
        <w:t>Non-admitted radiotherapy 202</w:t>
      </w:r>
      <w:r>
        <w:t>4</w:t>
      </w:r>
      <w:r w:rsidRPr="00DA49B0">
        <w:rPr>
          <w:szCs w:val="21"/>
        </w:rPr>
        <w:t>–</w:t>
      </w:r>
      <w:r w:rsidRPr="007E1AE2">
        <w:t>2</w:t>
      </w:r>
      <w:r>
        <w:t>5</w:t>
      </w:r>
      <w:bookmarkEnd w:id="2175"/>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05"/>
        <w:gridCol w:w="3036"/>
      </w:tblGrid>
      <w:tr w:rsidR="00FF1419" w14:paraId="0041622D" w14:textId="77777777" w:rsidTr="00A21959">
        <w:trPr>
          <w:tblHeader/>
        </w:trPr>
        <w:tc>
          <w:tcPr>
            <w:tcW w:w="3905" w:type="dxa"/>
            <w:shd w:val="clear" w:color="auto" w:fill="auto"/>
            <w:hideMark/>
          </w:tcPr>
          <w:p w14:paraId="5D2E4552" w14:textId="77777777" w:rsidR="00FF1419" w:rsidRPr="00F717FB" w:rsidRDefault="00FF1419" w:rsidP="00A21959">
            <w:pPr>
              <w:pStyle w:val="Tablecolhead"/>
              <w:rPr>
                <w:rFonts w:eastAsia="Arial"/>
                <w:szCs w:val="21"/>
              </w:rPr>
            </w:pPr>
            <w:r w:rsidRPr="00F717FB">
              <w:rPr>
                <w:rFonts w:eastAsia="Arial"/>
                <w:szCs w:val="21"/>
              </w:rPr>
              <w:t>Payment</w:t>
            </w:r>
          </w:p>
        </w:tc>
        <w:tc>
          <w:tcPr>
            <w:tcW w:w="3036" w:type="dxa"/>
            <w:shd w:val="clear" w:color="auto" w:fill="auto"/>
            <w:hideMark/>
          </w:tcPr>
          <w:p w14:paraId="532652C0"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46E44DDD" w14:textId="77777777" w:rsidTr="00A21959">
        <w:tc>
          <w:tcPr>
            <w:tcW w:w="3905" w:type="dxa"/>
            <w:hideMark/>
          </w:tcPr>
          <w:p w14:paraId="67600454" w14:textId="77777777" w:rsidR="00FF1419" w:rsidRDefault="00FF1419" w:rsidP="00A21959">
            <w:pPr>
              <w:pStyle w:val="Tabletext9pt"/>
            </w:pPr>
            <w:r>
              <w:rPr>
                <w:rFonts w:eastAsia="Arial"/>
              </w:rPr>
              <w:t>WAU</w:t>
            </w:r>
          </w:p>
        </w:tc>
        <w:tc>
          <w:tcPr>
            <w:tcW w:w="3036" w:type="dxa"/>
            <w:hideMark/>
          </w:tcPr>
          <w:p w14:paraId="6992FC42"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265.34</w:t>
            </w:r>
          </w:p>
        </w:tc>
      </w:tr>
      <w:tr w:rsidR="00FF1419" w14:paraId="67A9DFA1" w14:textId="77777777" w:rsidTr="00A21959">
        <w:tc>
          <w:tcPr>
            <w:tcW w:w="3905" w:type="dxa"/>
            <w:hideMark/>
          </w:tcPr>
          <w:p w14:paraId="3F8BE19D" w14:textId="77777777" w:rsidR="00FF1419" w:rsidRDefault="00FF1419" w:rsidP="00A21959">
            <w:pPr>
              <w:pStyle w:val="Tabletext9pt"/>
            </w:pPr>
            <w:r>
              <w:rPr>
                <w:rFonts w:eastAsia="Arial"/>
              </w:rPr>
              <w:t>Department of Veterans’ Affairs WAU</w:t>
            </w:r>
          </w:p>
        </w:tc>
        <w:tc>
          <w:tcPr>
            <w:tcW w:w="3036" w:type="dxa"/>
          </w:tcPr>
          <w:p w14:paraId="745B251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327.91</w:t>
            </w:r>
          </w:p>
        </w:tc>
      </w:tr>
      <w:tr w:rsidR="00FF1419" w14:paraId="4C9A69ED" w14:textId="77777777" w:rsidTr="00A21959">
        <w:tc>
          <w:tcPr>
            <w:tcW w:w="3905" w:type="dxa"/>
            <w:hideMark/>
          </w:tcPr>
          <w:p w14:paraId="7AF51766" w14:textId="77777777" w:rsidR="00FF1419" w:rsidRDefault="00FF1419" w:rsidP="00A21959">
            <w:pPr>
              <w:pStyle w:val="Tabletext9pt"/>
            </w:pPr>
            <w:r>
              <w:rPr>
                <w:rFonts w:eastAsia="Arial"/>
              </w:rPr>
              <w:t>Shared care</w:t>
            </w:r>
          </w:p>
        </w:tc>
        <w:tc>
          <w:tcPr>
            <w:tcW w:w="3036" w:type="dxa"/>
          </w:tcPr>
          <w:p w14:paraId="278FA42F"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1,888.00</w:t>
            </w:r>
          </w:p>
        </w:tc>
      </w:tr>
    </w:tbl>
    <w:p w14:paraId="7E4B94CF" w14:textId="6B8C09E4" w:rsidR="0002554E" w:rsidRDefault="0002554E" w:rsidP="0002554E">
      <w:pPr>
        <w:pStyle w:val="Tablecaption"/>
        <w:spacing w:line="250" w:lineRule="atLeast"/>
      </w:pPr>
      <w:bookmarkStart w:id="2178" w:name="_Toc110944648"/>
      <w:bookmarkStart w:id="2179" w:name="_Toc110944649"/>
      <w:bookmarkStart w:id="2180" w:name="_Toc176510401"/>
      <w:bookmarkStart w:id="2181" w:name="_Toc487742069"/>
      <w:bookmarkStart w:id="2182" w:name="_Toc418694986"/>
      <w:bookmarkEnd w:id="2176"/>
      <w:bookmarkEnd w:id="2177"/>
      <w:bookmarkEnd w:id="2178"/>
      <w:bookmarkEnd w:id="2179"/>
      <w:r>
        <w:t>Table 1.</w:t>
      </w:r>
      <w:r>
        <w:fldChar w:fldCharType="begin"/>
      </w:r>
      <w:r>
        <w:instrText>SEQ Table \* ARABIC</w:instrText>
      </w:r>
      <w:r>
        <w:fldChar w:fldCharType="separate"/>
      </w:r>
      <w:r w:rsidR="00F30C16">
        <w:rPr>
          <w:noProof/>
        </w:rPr>
        <w:t>10</w:t>
      </w:r>
      <w:r>
        <w:fldChar w:fldCharType="end"/>
      </w:r>
      <w:r>
        <w:t xml:space="preserve">: </w:t>
      </w:r>
      <w:r w:rsidRPr="005D4343">
        <w:t>Nationally</w:t>
      </w:r>
      <w:r>
        <w:t xml:space="preserve"> Funded Centres Program </w:t>
      </w:r>
      <w:r w:rsidRPr="008F2ED0">
        <w:t>202</w:t>
      </w:r>
      <w:r>
        <w:t>4</w:t>
      </w:r>
      <w:r w:rsidRPr="008F2ED0">
        <w:rPr>
          <w:szCs w:val="21"/>
        </w:rPr>
        <w:t>–</w:t>
      </w:r>
      <w:r w:rsidRPr="008F2ED0">
        <w:t>2</w:t>
      </w:r>
      <w:r>
        <w:t>5</w:t>
      </w:r>
      <w:bookmarkEnd w:id="2180"/>
    </w:p>
    <w:tbl>
      <w:tblPr>
        <w:tblW w:w="8500" w:type="dxa"/>
        <w:tblLook w:val="06A0" w:firstRow="1" w:lastRow="0" w:firstColumn="1" w:lastColumn="0" w:noHBand="1" w:noVBand="1"/>
      </w:tblPr>
      <w:tblGrid>
        <w:gridCol w:w="5524"/>
        <w:gridCol w:w="2976"/>
      </w:tblGrid>
      <w:tr w:rsidR="005B699B" w14:paraId="0BB7F119" w14:textId="77777777" w:rsidTr="00785BA1">
        <w:trPr>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74E2AB00" w14:textId="77777777" w:rsidR="005B699B" w:rsidRPr="00F717FB" w:rsidRDefault="005B699B" w:rsidP="00785BA1">
            <w:pPr>
              <w:pStyle w:val="Tablecolhead"/>
              <w:rPr>
                <w:rFonts w:eastAsia="Arial"/>
                <w:szCs w:val="21"/>
              </w:rPr>
            </w:pPr>
            <w:r w:rsidRPr="00F717FB">
              <w:rPr>
                <w:rFonts w:eastAsia="Arial"/>
                <w:szCs w:val="21"/>
              </w:rPr>
              <w:t>Payment</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6C70281" w14:textId="3486FA19" w:rsidR="005B699B" w:rsidRPr="00F717FB" w:rsidRDefault="005B699B" w:rsidP="00785BA1">
            <w:pPr>
              <w:pStyle w:val="Tablecolhead"/>
              <w:rPr>
                <w:rFonts w:eastAsia="Arial"/>
                <w:szCs w:val="21"/>
              </w:rPr>
            </w:pPr>
            <w:r w:rsidRPr="00F717FB">
              <w:rPr>
                <w:rFonts w:eastAsia="Arial"/>
                <w:szCs w:val="21"/>
              </w:rPr>
              <w:t>Hosting health service ($)</w:t>
            </w:r>
          </w:p>
        </w:tc>
      </w:tr>
      <w:tr w:rsidR="005B699B" w14:paraId="6C507DD3"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2AA90494" w14:textId="77777777" w:rsidR="005B699B" w:rsidRDefault="005B699B" w:rsidP="00785BA1">
            <w:pPr>
              <w:pStyle w:val="Tabletext9pt"/>
              <w:rPr>
                <w:szCs w:val="18"/>
                <w:lang w:eastAsia="en-AU"/>
              </w:rPr>
            </w:pPr>
            <w:r>
              <w:rPr>
                <w:szCs w:val="18"/>
              </w:rPr>
              <w:t>Islet cell transplantation</w:t>
            </w:r>
          </w:p>
        </w:tc>
        <w:tc>
          <w:tcPr>
            <w:tcW w:w="2976" w:type="dxa"/>
            <w:tcBorders>
              <w:top w:val="single" w:sz="4" w:space="0" w:color="auto"/>
              <w:left w:val="single" w:sz="4" w:space="0" w:color="auto"/>
              <w:bottom w:val="single" w:sz="4" w:space="0" w:color="auto"/>
              <w:right w:val="single" w:sz="4" w:space="0" w:color="auto"/>
            </w:tcBorders>
            <w:hideMark/>
          </w:tcPr>
          <w:p w14:paraId="312179F5" w14:textId="1180CEBD" w:rsidR="005B699B" w:rsidRDefault="00F63A67" w:rsidP="00785BA1">
            <w:pPr>
              <w:pStyle w:val="Tabletext9pt"/>
              <w:jc w:val="right"/>
              <w:rPr>
                <w:lang w:eastAsia="en-AU"/>
              </w:rPr>
            </w:pPr>
            <w:r>
              <w:rPr>
                <w:lang w:eastAsia="en-AU"/>
              </w:rPr>
              <w:t>228,258</w:t>
            </w:r>
          </w:p>
        </w:tc>
      </w:tr>
      <w:tr w:rsidR="005B699B" w14:paraId="6C75F2FE"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66F7EEFA" w14:textId="77777777" w:rsidR="005B699B" w:rsidRDefault="005B699B" w:rsidP="00785BA1">
            <w:pPr>
              <w:pStyle w:val="Tabletext9pt"/>
              <w:rPr>
                <w:szCs w:val="18"/>
                <w:lang w:eastAsia="en-AU"/>
              </w:rPr>
            </w:pPr>
            <w:r>
              <w:rPr>
                <w:szCs w:val="18"/>
              </w:rPr>
              <w:t>Paediatric heart transplantation – no ventricular assist device</w:t>
            </w:r>
          </w:p>
        </w:tc>
        <w:tc>
          <w:tcPr>
            <w:tcW w:w="2976" w:type="dxa"/>
            <w:tcBorders>
              <w:top w:val="single" w:sz="4" w:space="0" w:color="auto"/>
              <w:left w:val="single" w:sz="4" w:space="0" w:color="auto"/>
              <w:bottom w:val="single" w:sz="4" w:space="0" w:color="auto"/>
              <w:right w:val="single" w:sz="4" w:space="0" w:color="auto"/>
            </w:tcBorders>
            <w:hideMark/>
          </w:tcPr>
          <w:p w14:paraId="5097D93E" w14:textId="7717BA43" w:rsidR="005B699B" w:rsidRDefault="005B699B" w:rsidP="00785BA1">
            <w:pPr>
              <w:pStyle w:val="Tabletext9pt"/>
              <w:jc w:val="right"/>
              <w:rPr>
                <w:lang w:eastAsia="en-AU"/>
              </w:rPr>
            </w:pPr>
            <w:r w:rsidRPr="334F4DE5">
              <w:rPr>
                <w:lang w:eastAsia="en-AU"/>
              </w:rPr>
              <w:t>4</w:t>
            </w:r>
            <w:r w:rsidR="00F63A67">
              <w:rPr>
                <w:lang w:eastAsia="en-AU"/>
              </w:rPr>
              <w:t>69, 238</w:t>
            </w:r>
          </w:p>
        </w:tc>
      </w:tr>
      <w:tr w:rsidR="005B699B" w14:paraId="6A9F010D"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03F7E174" w14:textId="77777777" w:rsidR="005B699B" w:rsidRDefault="005B699B" w:rsidP="00785BA1">
            <w:pPr>
              <w:pStyle w:val="Tabletext9pt"/>
              <w:rPr>
                <w:szCs w:val="18"/>
                <w:lang w:eastAsia="en-AU"/>
              </w:rPr>
            </w:pPr>
            <w:r>
              <w:rPr>
                <w:szCs w:val="18"/>
              </w:rPr>
              <w:t>Paediatric heart transplantation – with ventricular assist device</w:t>
            </w:r>
          </w:p>
        </w:tc>
        <w:tc>
          <w:tcPr>
            <w:tcW w:w="2976" w:type="dxa"/>
            <w:tcBorders>
              <w:top w:val="single" w:sz="4" w:space="0" w:color="auto"/>
              <w:left w:val="single" w:sz="4" w:space="0" w:color="auto"/>
              <w:bottom w:val="single" w:sz="4" w:space="0" w:color="auto"/>
              <w:right w:val="single" w:sz="4" w:space="0" w:color="auto"/>
            </w:tcBorders>
            <w:hideMark/>
          </w:tcPr>
          <w:p w14:paraId="5790D743" w14:textId="6E6EF401" w:rsidR="005B699B" w:rsidRDefault="005B699B" w:rsidP="00785BA1">
            <w:pPr>
              <w:pStyle w:val="Tabletext9pt"/>
              <w:jc w:val="right"/>
              <w:rPr>
                <w:lang w:eastAsia="en-AU"/>
              </w:rPr>
            </w:pPr>
            <w:r>
              <w:rPr>
                <w:lang w:eastAsia="en-AU"/>
              </w:rPr>
              <w:t>1,</w:t>
            </w:r>
            <w:r w:rsidRPr="334F4DE5">
              <w:rPr>
                <w:lang w:eastAsia="en-AU"/>
              </w:rPr>
              <w:t>0</w:t>
            </w:r>
            <w:r w:rsidR="00F63A67">
              <w:rPr>
                <w:lang w:eastAsia="en-AU"/>
              </w:rPr>
              <w:t>87</w:t>
            </w:r>
            <w:r w:rsidRPr="334F4DE5">
              <w:rPr>
                <w:lang w:eastAsia="en-AU"/>
              </w:rPr>
              <w:t>,</w:t>
            </w:r>
            <w:r w:rsidR="00F63A67">
              <w:rPr>
                <w:lang w:eastAsia="en-AU"/>
              </w:rPr>
              <w:t>829</w:t>
            </w:r>
          </w:p>
        </w:tc>
      </w:tr>
      <w:tr w:rsidR="005B699B" w14:paraId="7001FC91"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70F83626" w14:textId="77777777" w:rsidR="005B699B" w:rsidRDefault="005B699B" w:rsidP="00785BA1">
            <w:pPr>
              <w:pStyle w:val="Tabletext9pt"/>
              <w:rPr>
                <w:szCs w:val="18"/>
                <w:lang w:eastAsia="en-AU"/>
              </w:rPr>
            </w:pPr>
            <w:r>
              <w:rPr>
                <w:szCs w:val="18"/>
              </w:rPr>
              <w:t>Paediatric liver transplantation</w:t>
            </w:r>
          </w:p>
        </w:tc>
        <w:tc>
          <w:tcPr>
            <w:tcW w:w="2976" w:type="dxa"/>
            <w:tcBorders>
              <w:top w:val="single" w:sz="4" w:space="0" w:color="auto"/>
              <w:left w:val="single" w:sz="4" w:space="0" w:color="auto"/>
              <w:bottom w:val="single" w:sz="4" w:space="0" w:color="auto"/>
              <w:right w:val="single" w:sz="4" w:space="0" w:color="auto"/>
            </w:tcBorders>
            <w:hideMark/>
          </w:tcPr>
          <w:p w14:paraId="7D423541" w14:textId="0958BA39" w:rsidR="005B699B" w:rsidRDefault="005B699B" w:rsidP="00785BA1">
            <w:pPr>
              <w:pStyle w:val="Tabletext9pt"/>
              <w:jc w:val="right"/>
              <w:rPr>
                <w:lang w:eastAsia="en-AU"/>
              </w:rPr>
            </w:pPr>
            <w:r w:rsidRPr="334F4DE5">
              <w:rPr>
                <w:lang w:eastAsia="en-AU"/>
              </w:rPr>
              <w:t>3</w:t>
            </w:r>
            <w:r w:rsidR="00F63A67">
              <w:rPr>
                <w:lang w:eastAsia="en-AU"/>
              </w:rPr>
              <w:t>83</w:t>
            </w:r>
            <w:r w:rsidRPr="334F4DE5">
              <w:rPr>
                <w:lang w:eastAsia="en-AU"/>
              </w:rPr>
              <w:t>,</w:t>
            </w:r>
            <w:r w:rsidR="00F63A67">
              <w:rPr>
                <w:lang w:eastAsia="en-AU"/>
              </w:rPr>
              <w:t>1</w:t>
            </w:r>
            <w:r w:rsidRPr="334F4DE5">
              <w:rPr>
                <w:lang w:eastAsia="en-AU"/>
              </w:rPr>
              <w:t>9</w:t>
            </w:r>
            <w:r w:rsidR="00F63A67">
              <w:rPr>
                <w:lang w:eastAsia="en-AU"/>
              </w:rPr>
              <w:t>8</w:t>
            </w:r>
          </w:p>
        </w:tc>
      </w:tr>
      <w:tr w:rsidR="005B699B" w14:paraId="72E5615C"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17432D8E" w14:textId="77777777" w:rsidR="005B699B" w:rsidRDefault="005B699B" w:rsidP="00785BA1">
            <w:pPr>
              <w:pStyle w:val="Tabletext9pt"/>
              <w:rPr>
                <w:szCs w:val="18"/>
              </w:rPr>
            </w:pPr>
            <w:r>
              <w:rPr>
                <w:szCs w:val="18"/>
              </w:rPr>
              <w:t>Paediatric lung/heart-lung transplantation</w:t>
            </w:r>
          </w:p>
        </w:tc>
        <w:tc>
          <w:tcPr>
            <w:tcW w:w="2976" w:type="dxa"/>
            <w:tcBorders>
              <w:top w:val="single" w:sz="4" w:space="0" w:color="auto"/>
              <w:left w:val="single" w:sz="4" w:space="0" w:color="auto"/>
              <w:bottom w:val="single" w:sz="4" w:space="0" w:color="auto"/>
              <w:right w:val="single" w:sz="4" w:space="0" w:color="auto"/>
            </w:tcBorders>
            <w:hideMark/>
          </w:tcPr>
          <w:p w14:paraId="07376333" w14:textId="00781B53" w:rsidR="005B699B" w:rsidRDefault="005B699B" w:rsidP="00785BA1">
            <w:pPr>
              <w:pStyle w:val="Tabletext9pt"/>
              <w:jc w:val="right"/>
              <w:rPr>
                <w:lang w:eastAsia="en-AU"/>
              </w:rPr>
            </w:pPr>
            <w:r w:rsidRPr="334F4DE5">
              <w:rPr>
                <w:lang w:eastAsia="en-AU"/>
              </w:rPr>
              <w:t>3</w:t>
            </w:r>
            <w:r w:rsidR="00F63A67">
              <w:rPr>
                <w:lang w:eastAsia="en-AU"/>
              </w:rPr>
              <w:t>34,570</w:t>
            </w:r>
          </w:p>
        </w:tc>
      </w:tr>
      <w:tr w:rsidR="005B699B" w14:paraId="0C3F302C" w14:textId="77777777" w:rsidTr="00E544C9">
        <w:tc>
          <w:tcPr>
            <w:tcW w:w="5524" w:type="dxa"/>
            <w:tcBorders>
              <w:top w:val="single" w:sz="4" w:space="0" w:color="auto"/>
              <w:left w:val="single" w:sz="4" w:space="0" w:color="auto"/>
              <w:bottom w:val="single" w:sz="4" w:space="0" w:color="auto"/>
              <w:right w:val="single" w:sz="4" w:space="0" w:color="auto"/>
            </w:tcBorders>
            <w:noWrap/>
            <w:hideMark/>
          </w:tcPr>
          <w:p w14:paraId="64D4EB59" w14:textId="77777777" w:rsidR="005B699B" w:rsidRDefault="005B699B" w:rsidP="00785BA1">
            <w:pPr>
              <w:pStyle w:val="Tabletext9pt"/>
              <w:rPr>
                <w:szCs w:val="18"/>
              </w:rPr>
            </w:pPr>
            <w:r>
              <w:rPr>
                <w:szCs w:val="18"/>
              </w:rPr>
              <w:t>Pancreas transplantation</w:t>
            </w:r>
          </w:p>
        </w:tc>
        <w:tc>
          <w:tcPr>
            <w:tcW w:w="2976" w:type="dxa"/>
            <w:tcBorders>
              <w:top w:val="single" w:sz="4" w:space="0" w:color="auto"/>
              <w:left w:val="single" w:sz="4" w:space="0" w:color="auto"/>
              <w:bottom w:val="single" w:sz="4" w:space="0" w:color="auto"/>
              <w:right w:val="single" w:sz="4" w:space="0" w:color="auto"/>
            </w:tcBorders>
            <w:hideMark/>
          </w:tcPr>
          <w:p w14:paraId="5755A8F2" w14:textId="07EC2A51" w:rsidR="005B699B" w:rsidRDefault="005B699B" w:rsidP="00785BA1">
            <w:pPr>
              <w:pStyle w:val="Tabletext9pt"/>
              <w:jc w:val="right"/>
              <w:rPr>
                <w:lang w:eastAsia="en-AU"/>
              </w:rPr>
            </w:pPr>
            <w:r>
              <w:rPr>
                <w:lang w:eastAsia="en-AU"/>
              </w:rPr>
              <w:t>2</w:t>
            </w:r>
            <w:r w:rsidR="00F63A67">
              <w:rPr>
                <w:lang w:eastAsia="en-AU"/>
              </w:rPr>
              <w:t>10,651</w:t>
            </w:r>
          </w:p>
        </w:tc>
      </w:tr>
    </w:tbl>
    <w:p w14:paraId="5D6A4C8D" w14:textId="77777777" w:rsidR="005B699B" w:rsidRPr="00C70724" w:rsidRDefault="005B699B" w:rsidP="001E4292">
      <w:pPr>
        <w:pStyle w:val="Heading2"/>
        <w:numPr>
          <w:ilvl w:val="1"/>
          <w:numId w:val="13"/>
        </w:numPr>
        <w:ind w:left="1134" w:hanging="1134"/>
      </w:pPr>
      <w:bookmarkStart w:id="2183" w:name="_Toc167651295"/>
      <w:bookmarkStart w:id="2184" w:name="_Toc167651294"/>
      <w:bookmarkStart w:id="2185" w:name="_Toc487742007"/>
      <w:bookmarkStart w:id="2186" w:name="_Toc14172237"/>
      <w:bookmarkStart w:id="2187" w:name="_Toc100263348"/>
      <w:bookmarkStart w:id="2188" w:name="_Toc165961852"/>
      <w:bookmarkStart w:id="2189" w:name="_Toc178963638"/>
      <w:bookmarkEnd w:id="2181"/>
      <w:bookmarkEnd w:id="2183"/>
      <w:bookmarkEnd w:id="2184"/>
      <w:r w:rsidRPr="00C70724">
        <w:lastRenderedPageBreak/>
        <w:t xml:space="preserve">Mental </w:t>
      </w:r>
      <w:r>
        <w:t>h</w:t>
      </w:r>
      <w:r w:rsidRPr="00C70724">
        <w:t xml:space="preserve">ealth </w:t>
      </w:r>
      <w:bookmarkEnd w:id="2182"/>
      <w:bookmarkEnd w:id="2185"/>
      <w:bookmarkEnd w:id="2186"/>
      <w:bookmarkEnd w:id="2187"/>
      <w:r w:rsidRPr="00731B6C">
        <w:t>services</w:t>
      </w:r>
      <w:bookmarkEnd w:id="2188"/>
      <w:bookmarkEnd w:id="2189"/>
    </w:p>
    <w:p w14:paraId="6756B7DE" w14:textId="020059F2" w:rsidR="00A97999" w:rsidRDefault="00A97999" w:rsidP="00A97999">
      <w:pPr>
        <w:pStyle w:val="Tablecaption"/>
        <w:spacing w:line="250" w:lineRule="atLeast"/>
      </w:pPr>
      <w:bookmarkStart w:id="2190" w:name="_Toc176510402"/>
      <w:bookmarkStart w:id="2191" w:name="_Toc419644512"/>
      <w:bookmarkStart w:id="2192" w:name="_Toc487742070"/>
      <w:bookmarkStart w:id="2193" w:name="_Hlk12609501"/>
      <w:r>
        <w:t>Table 1.</w:t>
      </w:r>
      <w:r>
        <w:fldChar w:fldCharType="begin"/>
      </w:r>
      <w:r>
        <w:instrText>SEQ Table \* ARABIC</w:instrText>
      </w:r>
      <w:r>
        <w:fldChar w:fldCharType="separate"/>
      </w:r>
      <w:r w:rsidR="00F30C16">
        <w:rPr>
          <w:noProof/>
        </w:rPr>
        <w:t>11</w:t>
      </w:r>
      <w:r>
        <w:fldChar w:fldCharType="end"/>
      </w:r>
      <w:r>
        <w:t xml:space="preserve">: </w:t>
      </w:r>
      <w:r w:rsidRPr="004B2BBB">
        <w:rPr>
          <w:noProof/>
        </w:rPr>
        <w:t>Mental health</w:t>
      </w:r>
      <w:r w:rsidRPr="004B2BBB">
        <w:t xml:space="preserve"> – funded units </w:t>
      </w:r>
      <w:r w:rsidRPr="00710043">
        <w:t xml:space="preserve">applicable to </w:t>
      </w:r>
      <w:r w:rsidRPr="003A1A20">
        <w:t>clinical bed-based services</w:t>
      </w:r>
      <w:r w:rsidRPr="00710043">
        <w:t xml:space="preserve"> 202</w:t>
      </w:r>
      <w:r>
        <w:t>4</w:t>
      </w:r>
      <w:r w:rsidRPr="00710043">
        <w:rPr>
          <w:szCs w:val="21"/>
        </w:rPr>
        <w:t>–</w:t>
      </w:r>
      <w:r w:rsidRPr="004B2BBB">
        <w:t>2</w:t>
      </w:r>
      <w:r>
        <w:t>5</w:t>
      </w:r>
      <w:r w:rsidRPr="00710043">
        <w:rPr>
          <w:szCs w:val="21"/>
        </w:rPr>
        <w:t xml:space="preserve"> </w:t>
      </w:r>
      <w:r w:rsidRPr="00710043">
        <w:t>– n</w:t>
      </w:r>
      <w:r w:rsidRPr="00710043">
        <w:rPr>
          <w:lang w:eastAsia="en-AU"/>
        </w:rPr>
        <w:t>on-admitted care</w:t>
      </w:r>
      <w:bookmarkEnd w:id="2190"/>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68"/>
        <w:gridCol w:w="2526"/>
        <w:gridCol w:w="2491"/>
      </w:tblGrid>
      <w:tr w:rsidR="00FF1419" w14:paraId="325F04CE" w14:textId="77777777" w:rsidTr="00A21959">
        <w:trPr>
          <w:tblHeader/>
        </w:trPr>
        <w:tc>
          <w:tcPr>
            <w:tcW w:w="4268" w:type="dxa"/>
            <w:shd w:val="clear" w:color="auto" w:fill="auto"/>
            <w:hideMark/>
          </w:tcPr>
          <w:p w14:paraId="1657EA75"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526" w:type="dxa"/>
            <w:shd w:val="clear" w:color="auto" w:fill="auto"/>
            <w:hideMark/>
          </w:tcPr>
          <w:p w14:paraId="45CA37E9" w14:textId="77777777" w:rsidR="00FF1419" w:rsidRPr="00F717FB" w:rsidRDefault="00FF1419" w:rsidP="00A21959">
            <w:pPr>
              <w:pStyle w:val="Tablecolhead"/>
              <w:rPr>
                <w:rFonts w:eastAsia="Arial"/>
                <w:szCs w:val="21"/>
              </w:rPr>
            </w:pPr>
            <w:r w:rsidRPr="00F717FB">
              <w:rPr>
                <w:rFonts w:eastAsia="Arial"/>
                <w:szCs w:val="21"/>
              </w:rPr>
              <w:t>Funded unit</w:t>
            </w:r>
          </w:p>
        </w:tc>
        <w:tc>
          <w:tcPr>
            <w:tcW w:w="2491" w:type="dxa"/>
            <w:shd w:val="clear" w:color="auto" w:fill="auto"/>
            <w:hideMark/>
          </w:tcPr>
          <w:p w14:paraId="79CFC254"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14C55041" w14:textId="77777777" w:rsidTr="00A21959">
        <w:tc>
          <w:tcPr>
            <w:tcW w:w="4268" w:type="dxa"/>
            <w:hideMark/>
          </w:tcPr>
          <w:p w14:paraId="02482915" w14:textId="77777777" w:rsidR="00FF1419" w:rsidRDefault="00FF1419" w:rsidP="00A21959">
            <w:pPr>
              <w:pStyle w:val="Tabletext9pt"/>
            </w:pPr>
            <w:r>
              <w:rPr>
                <w:rFonts w:eastAsia="Arial"/>
              </w:rPr>
              <w:t>Community care unit</w:t>
            </w:r>
          </w:p>
        </w:tc>
        <w:tc>
          <w:tcPr>
            <w:tcW w:w="2526" w:type="dxa"/>
            <w:hideMark/>
          </w:tcPr>
          <w:p w14:paraId="255CC0BB" w14:textId="77777777" w:rsidR="00FF1419" w:rsidRDefault="00FF1419" w:rsidP="00A21959">
            <w:pPr>
              <w:pStyle w:val="Tabletext9pt"/>
            </w:pPr>
            <w:r>
              <w:rPr>
                <w:rFonts w:eastAsia="Arial"/>
              </w:rPr>
              <w:t>Available bed day</w:t>
            </w:r>
          </w:p>
        </w:tc>
        <w:tc>
          <w:tcPr>
            <w:tcW w:w="2491" w:type="dxa"/>
            <w:hideMark/>
          </w:tcPr>
          <w:p w14:paraId="725A7EF4" w14:textId="77777777" w:rsidR="00FF1419" w:rsidRPr="0EC1DC23" w:rsidRDefault="00FF1419" w:rsidP="00A21959">
            <w:pPr>
              <w:jc w:val="right"/>
              <w:rPr>
                <w:rFonts w:eastAsia="Arial" w:cs="Arial"/>
                <w:sz w:val="18"/>
                <w:szCs w:val="18"/>
              </w:rPr>
            </w:pPr>
            <w:r w:rsidRPr="0EC1DC23">
              <w:rPr>
                <w:rFonts w:eastAsia="Arial" w:cs="Arial"/>
                <w:sz w:val="18"/>
                <w:szCs w:val="18"/>
              </w:rPr>
              <w:t>442.60</w:t>
            </w:r>
          </w:p>
        </w:tc>
      </w:tr>
      <w:tr w:rsidR="00FF1419" w14:paraId="3E692497" w14:textId="77777777" w:rsidTr="00A21959">
        <w:tc>
          <w:tcPr>
            <w:tcW w:w="4268" w:type="dxa"/>
            <w:hideMark/>
          </w:tcPr>
          <w:p w14:paraId="70A47998" w14:textId="77777777" w:rsidR="00FF1419" w:rsidRDefault="00FF1419" w:rsidP="00A21959">
            <w:pPr>
              <w:pStyle w:val="Tabletext9pt"/>
            </w:pPr>
            <w:r>
              <w:rPr>
                <w:rFonts w:eastAsia="Arial"/>
              </w:rPr>
              <w:t>Adult PARC</w:t>
            </w:r>
          </w:p>
        </w:tc>
        <w:tc>
          <w:tcPr>
            <w:tcW w:w="2526" w:type="dxa"/>
            <w:hideMark/>
          </w:tcPr>
          <w:p w14:paraId="70D9ADF5" w14:textId="77777777" w:rsidR="00FF1419" w:rsidRDefault="00FF1419" w:rsidP="00A21959">
            <w:pPr>
              <w:pStyle w:val="Tabletext9pt"/>
            </w:pPr>
            <w:r>
              <w:rPr>
                <w:rFonts w:eastAsia="Arial"/>
              </w:rPr>
              <w:t>Available bed day</w:t>
            </w:r>
          </w:p>
        </w:tc>
        <w:tc>
          <w:tcPr>
            <w:tcW w:w="2491" w:type="dxa"/>
            <w:hideMark/>
          </w:tcPr>
          <w:p w14:paraId="69F38604" w14:textId="77777777" w:rsidR="00FF1419" w:rsidRPr="0EC1DC23" w:rsidRDefault="00FF1419" w:rsidP="00A21959">
            <w:pPr>
              <w:jc w:val="right"/>
              <w:rPr>
                <w:rFonts w:eastAsia="Arial" w:cs="Arial"/>
                <w:sz w:val="18"/>
                <w:szCs w:val="18"/>
              </w:rPr>
            </w:pPr>
            <w:r w:rsidRPr="0EC1DC23">
              <w:rPr>
                <w:rFonts w:eastAsia="Arial" w:cs="Arial"/>
                <w:sz w:val="18"/>
                <w:szCs w:val="18"/>
              </w:rPr>
              <w:t>582.86</w:t>
            </w:r>
          </w:p>
        </w:tc>
      </w:tr>
      <w:tr w:rsidR="00FF1419" w14:paraId="5B12AE2A" w14:textId="77777777" w:rsidTr="00A21959">
        <w:tc>
          <w:tcPr>
            <w:tcW w:w="4268" w:type="dxa"/>
            <w:hideMark/>
          </w:tcPr>
          <w:p w14:paraId="62AD863A" w14:textId="77777777" w:rsidR="00FF1419" w:rsidRDefault="00FF1419" w:rsidP="00A21959">
            <w:pPr>
              <w:pStyle w:val="Tabletext9pt"/>
            </w:pPr>
            <w:r>
              <w:rPr>
                <w:rFonts w:eastAsia="Arial"/>
              </w:rPr>
              <w:t>Youth PARC</w:t>
            </w:r>
          </w:p>
        </w:tc>
        <w:tc>
          <w:tcPr>
            <w:tcW w:w="2526" w:type="dxa"/>
            <w:hideMark/>
          </w:tcPr>
          <w:p w14:paraId="360342F3" w14:textId="77777777" w:rsidR="00FF1419" w:rsidRDefault="00FF1419" w:rsidP="00A21959">
            <w:pPr>
              <w:pStyle w:val="Tabletext9pt"/>
            </w:pPr>
            <w:r>
              <w:rPr>
                <w:rFonts w:eastAsia="Arial"/>
              </w:rPr>
              <w:t>Available bed day</w:t>
            </w:r>
          </w:p>
        </w:tc>
        <w:tc>
          <w:tcPr>
            <w:tcW w:w="2491" w:type="dxa"/>
            <w:hideMark/>
          </w:tcPr>
          <w:p w14:paraId="362C42FD" w14:textId="77777777" w:rsidR="00FF1419" w:rsidRPr="0EC1DC23" w:rsidRDefault="00FF1419" w:rsidP="00A21959">
            <w:pPr>
              <w:jc w:val="right"/>
              <w:rPr>
                <w:rFonts w:eastAsia="Arial" w:cs="Arial"/>
                <w:sz w:val="18"/>
                <w:szCs w:val="18"/>
              </w:rPr>
            </w:pPr>
            <w:r w:rsidRPr="0EC1DC23">
              <w:rPr>
                <w:rFonts w:eastAsia="Arial" w:cs="Arial"/>
                <w:sz w:val="18"/>
                <w:szCs w:val="18"/>
              </w:rPr>
              <w:t>695.29</w:t>
            </w:r>
          </w:p>
        </w:tc>
      </w:tr>
      <w:tr w:rsidR="00FF1419" w14:paraId="3A4D5B91" w14:textId="77777777" w:rsidTr="00A21959">
        <w:tc>
          <w:tcPr>
            <w:tcW w:w="4268" w:type="dxa"/>
            <w:hideMark/>
          </w:tcPr>
          <w:p w14:paraId="76B05B52" w14:textId="77777777" w:rsidR="00FF1419" w:rsidRDefault="00FF1419" w:rsidP="00A21959">
            <w:pPr>
              <w:pStyle w:val="Tabletext9pt"/>
            </w:pPr>
            <w:r>
              <w:rPr>
                <w:rFonts w:eastAsia="Arial"/>
              </w:rPr>
              <w:t>Aged persons nursing home supplement</w:t>
            </w:r>
          </w:p>
        </w:tc>
        <w:tc>
          <w:tcPr>
            <w:tcW w:w="2526" w:type="dxa"/>
            <w:hideMark/>
          </w:tcPr>
          <w:p w14:paraId="66AC3F5D" w14:textId="77777777" w:rsidR="00FF1419" w:rsidRDefault="00FF1419" w:rsidP="00A21959">
            <w:pPr>
              <w:pStyle w:val="Tabletext9pt"/>
            </w:pPr>
            <w:r>
              <w:rPr>
                <w:rFonts w:eastAsia="Arial"/>
              </w:rPr>
              <w:t>Available bed day</w:t>
            </w:r>
          </w:p>
        </w:tc>
        <w:tc>
          <w:tcPr>
            <w:tcW w:w="2491" w:type="dxa"/>
            <w:hideMark/>
          </w:tcPr>
          <w:p w14:paraId="7907C63F" w14:textId="77777777" w:rsidR="00FF1419" w:rsidRPr="0EC1DC23" w:rsidRDefault="00FF1419" w:rsidP="00A21959">
            <w:pPr>
              <w:jc w:val="right"/>
              <w:rPr>
                <w:rFonts w:eastAsia="Arial" w:cs="Arial"/>
                <w:sz w:val="18"/>
                <w:szCs w:val="18"/>
              </w:rPr>
            </w:pPr>
            <w:r w:rsidRPr="0EC1DC23">
              <w:rPr>
                <w:rFonts w:eastAsia="Arial" w:cs="Arial"/>
                <w:sz w:val="18"/>
                <w:szCs w:val="18"/>
              </w:rPr>
              <w:t>113.54</w:t>
            </w:r>
          </w:p>
        </w:tc>
      </w:tr>
      <w:tr w:rsidR="00FF1419" w14:paraId="3999A722" w14:textId="77777777" w:rsidTr="00A21959">
        <w:tc>
          <w:tcPr>
            <w:tcW w:w="4268" w:type="dxa"/>
            <w:hideMark/>
          </w:tcPr>
          <w:p w14:paraId="44BEAD1B" w14:textId="77777777" w:rsidR="00FF1419" w:rsidRDefault="00FF1419" w:rsidP="00A21959">
            <w:pPr>
              <w:pStyle w:val="Tabletext9pt"/>
            </w:pPr>
            <w:r>
              <w:rPr>
                <w:rFonts w:eastAsia="Arial"/>
              </w:rPr>
              <w:t>Aged persons hostel supplement</w:t>
            </w:r>
          </w:p>
        </w:tc>
        <w:tc>
          <w:tcPr>
            <w:tcW w:w="2526" w:type="dxa"/>
            <w:hideMark/>
          </w:tcPr>
          <w:p w14:paraId="6203C012" w14:textId="77777777" w:rsidR="00FF1419" w:rsidRDefault="00FF1419" w:rsidP="00A21959">
            <w:pPr>
              <w:pStyle w:val="Tabletext9pt"/>
            </w:pPr>
            <w:r>
              <w:rPr>
                <w:rFonts w:eastAsia="Arial"/>
              </w:rPr>
              <w:t>Available bed day</w:t>
            </w:r>
          </w:p>
        </w:tc>
        <w:tc>
          <w:tcPr>
            <w:tcW w:w="2491" w:type="dxa"/>
            <w:hideMark/>
          </w:tcPr>
          <w:p w14:paraId="44EC5585" w14:textId="77777777" w:rsidR="00FF1419" w:rsidRPr="0EC1DC23" w:rsidRDefault="00FF1419" w:rsidP="00A21959">
            <w:pPr>
              <w:jc w:val="right"/>
              <w:rPr>
                <w:rFonts w:eastAsia="Arial" w:cs="Arial"/>
                <w:sz w:val="18"/>
                <w:szCs w:val="18"/>
              </w:rPr>
            </w:pPr>
            <w:r w:rsidRPr="0EC1DC23">
              <w:rPr>
                <w:rFonts w:eastAsia="Arial" w:cs="Arial"/>
                <w:sz w:val="18"/>
                <w:szCs w:val="18"/>
              </w:rPr>
              <w:t>100.82</w:t>
            </w:r>
          </w:p>
        </w:tc>
      </w:tr>
    </w:tbl>
    <w:p w14:paraId="78D46162" w14:textId="77777777" w:rsidR="00A97999" w:rsidRDefault="00A97999" w:rsidP="00A97999">
      <w:pPr>
        <w:pStyle w:val="Body"/>
        <w:rPr>
          <w:b/>
          <w:bCs/>
        </w:rPr>
      </w:pPr>
    </w:p>
    <w:p w14:paraId="581ABB3D" w14:textId="781A221E" w:rsidR="00A97999" w:rsidRPr="00A97999" w:rsidRDefault="00A97999" w:rsidP="00A97999">
      <w:pPr>
        <w:pStyle w:val="Body"/>
        <w:rPr>
          <w:b/>
          <w:bCs/>
          <w:lang w:eastAsia="en-AU"/>
        </w:rPr>
      </w:pPr>
      <w:r w:rsidRPr="00A97999">
        <w:rPr>
          <w:b/>
          <w:bCs/>
        </w:rPr>
        <w:t>Table 1.</w:t>
      </w:r>
      <w:r w:rsidRPr="00A97999">
        <w:rPr>
          <w:b/>
          <w:bCs/>
        </w:rPr>
        <w:fldChar w:fldCharType="begin"/>
      </w:r>
      <w:r w:rsidRPr="00A97999">
        <w:rPr>
          <w:b/>
          <w:bCs/>
        </w:rPr>
        <w:instrText xml:space="preserve"> SEQ Table \* ARABIC </w:instrText>
      </w:r>
      <w:r w:rsidRPr="00A97999">
        <w:rPr>
          <w:b/>
          <w:bCs/>
        </w:rPr>
        <w:fldChar w:fldCharType="separate"/>
      </w:r>
      <w:r w:rsidR="007A6AF7">
        <w:rPr>
          <w:b/>
          <w:bCs/>
          <w:noProof/>
        </w:rPr>
        <w:t>12</w:t>
      </w:r>
      <w:r w:rsidRPr="00A97999">
        <w:rPr>
          <w:b/>
          <w:bCs/>
        </w:rPr>
        <w:fldChar w:fldCharType="end"/>
      </w:r>
      <w:r w:rsidRPr="00A97999">
        <w:rPr>
          <w:b/>
          <w:bCs/>
        </w:rPr>
        <w:t xml:space="preserve">: Mental health – funded units applicable to clinical bed-based services </w:t>
      </w:r>
      <w:r w:rsidRPr="00A97999">
        <w:rPr>
          <w:b/>
          <w:bCs/>
          <w:szCs w:val="21"/>
        </w:rPr>
        <w:t>2024–25</w:t>
      </w:r>
      <w:r w:rsidRPr="00A97999">
        <w:rPr>
          <w:b/>
          <w:bCs/>
        </w:rPr>
        <w:t xml:space="preserve"> – c</w:t>
      </w:r>
      <w:r w:rsidRPr="00A97999">
        <w:rPr>
          <w:b/>
          <w:bCs/>
          <w:lang w:eastAsia="en-AU"/>
        </w:rPr>
        <w:t xml:space="preserve">linical </w:t>
      </w:r>
      <w:r w:rsidRPr="00A97999">
        <w:rPr>
          <w:b/>
          <w:bCs/>
        </w:rPr>
        <w:t>community</w:t>
      </w:r>
      <w:r w:rsidRPr="00A97999">
        <w:rPr>
          <w:b/>
          <w:bCs/>
          <w:lang w:eastAsia="en-AU"/>
        </w:rPr>
        <w:t xml:space="preserve"> care</w:t>
      </w:r>
    </w:p>
    <w:tbl>
      <w:tblPr>
        <w:tblW w:w="9299" w:type="dxa"/>
        <w:tblLook w:val="06A0" w:firstRow="1" w:lastRow="0" w:firstColumn="1" w:lastColumn="0" w:noHBand="1" w:noVBand="1"/>
      </w:tblPr>
      <w:tblGrid>
        <w:gridCol w:w="4248"/>
        <w:gridCol w:w="2551"/>
        <w:gridCol w:w="2500"/>
      </w:tblGrid>
      <w:tr w:rsidR="00FF1419" w14:paraId="4CF9899F" w14:textId="77777777" w:rsidTr="00A21959">
        <w:trPr>
          <w:trHeight w:val="133"/>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FA970FE"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60B623" w14:textId="77777777" w:rsidR="00FF1419" w:rsidRPr="00F717FB" w:rsidRDefault="00FF1419" w:rsidP="00A21959">
            <w:pPr>
              <w:pStyle w:val="Tablecolhead"/>
              <w:rPr>
                <w:rFonts w:eastAsia="Arial"/>
                <w:szCs w:val="21"/>
              </w:rPr>
            </w:pPr>
            <w:r w:rsidRPr="00F717FB">
              <w:rPr>
                <w:rFonts w:eastAsia="Arial"/>
                <w:szCs w:val="21"/>
              </w:rPr>
              <w:t xml:space="preserve">Funded unit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73382BE9"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4A41A1C0" w14:textId="77777777" w:rsidTr="00A21959">
        <w:trPr>
          <w:trHeight w:val="133"/>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14:paraId="1C217BE5" w14:textId="77777777" w:rsidR="00FF1419" w:rsidRDefault="00FF1419" w:rsidP="00A21959">
            <w:pPr>
              <w:pStyle w:val="Tabletext9pt"/>
              <w:spacing w:before="70" w:after="50"/>
            </w:pPr>
            <w:r>
              <w:t>Ambulatory</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B9ABF95" w14:textId="77777777" w:rsidR="00FF1419" w:rsidRDefault="00FF1419" w:rsidP="00A21959">
            <w:pPr>
              <w:pStyle w:val="Tabletext9pt"/>
              <w:spacing w:before="70" w:after="50"/>
            </w:pPr>
            <w:r>
              <w:rPr>
                <w:szCs w:val="18"/>
                <w:lang w:eastAsia="en-AU"/>
              </w:rPr>
              <w:t>Community service hour</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AB4843C" w14:textId="77777777" w:rsidR="00FF1419" w:rsidRPr="00B93455" w:rsidRDefault="00FF1419" w:rsidP="00A21959">
            <w:pPr>
              <w:pStyle w:val="Tabletext9pt"/>
              <w:spacing w:before="70" w:after="50"/>
              <w:jc w:val="right"/>
            </w:pPr>
            <w:r>
              <w:t>451.88</w:t>
            </w:r>
          </w:p>
        </w:tc>
      </w:tr>
    </w:tbl>
    <w:p w14:paraId="1FA5FA42" w14:textId="341CF9DB" w:rsidR="00A97999" w:rsidRPr="00377487" w:rsidRDefault="00A97999" w:rsidP="00F77982">
      <w:pPr>
        <w:pStyle w:val="Tablecaption"/>
        <w:rPr>
          <w:lang w:eastAsia="en-AU"/>
        </w:rPr>
      </w:pPr>
      <w:bookmarkStart w:id="2194" w:name="_Toc110944654"/>
      <w:bookmarkStart w:id="2195" w:name="_Toc176510403"/>
      <w:bookmarkEnd w:id="2194"/>
      <w:r w:rsidRPr="00A97999">
        <w:t>Table 1.</w:t>
      </w:r>
      <w:r>
        <w:fldChar w:fldCharType="begin"/>
      </w:r>
      <w:r>
        <w:instrText>SEQ Table \* ARABIC</w:instrText>
      </w:r>
      <w:r>
        <w:fldChar w:fldCharType="separate"/>
      </w:r>
      <w:r w:rsidR="00F30C16" w:rsidRPr="00377487">
        <w:t>13</w:t>
      </w:r>
      <w:r>
        <w:fldChar w:fldCharType="end"/>
      </w:r>
      <w:r w:rsidRPr="00377487">
        <w:t>: Mental health community support services unit prices 2024</w:t>
      </w:r>
      <w:r w:rsidRPr="00377487">
        <w:rPr>
          <w:szCs w:val="21"/>
        </w:rPr>
        <w:t>–</w:t>
      </w:r>
      <w:r w:rsidRPr="00377487">
        <w:t>25 – community</w:t>
      </w:r>
      <w:r w:rsidRPr="00377487">
        <w:rPr>
          <w:lang w:eastAsia="en-AU"/>
        </w:rPr>
        <w:t xml:space="preserve"> support services</w:t>
      </w:r>
      <w:bookmarkEnd w:id="2195"/>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48"/>
        <w:gridCol w:w="2551"/>
        <w:gridCol w:w="2486"/>
      </w:tblGrid>
      <w:tr w:rsidR="00FF1419" w14:paraId="1D83DB28" w14:textId="77777777" w:rsidTr="00A21959">
        <w:trPr>
          <w:tblHeader/>
        </w:trPr>
        <w:tc>
          <w:tcPr>
            <w:tcW w:w="4248" w:type="dxa"/>
          </w:tcPr>
          <w:p w14:paraId="32F77472"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551" w:type="dxa"/>
          </w:tcPr>
          <w:p w14:paraId="5A3B0610" w14:textId="77777777" w:rsidR="00FF1419" w:rsidRPr="00F717FB" w:rsidRDefault="00FF1419" w:rsidP="00A21959">
            <w:pPr>
              <w:pStyle w:val="Tablecolhead"/>
              <w:rPr>
                <w:rFonts w:eastAsia="Arial"/>
                <w:szCs w:val="21"/>
              </w:rPr>
            </w:pPr>
            <w:r w:rsidRPr="00F717FB">
              <w:rPr>
                <w:rFonts w:eastAsia="Arial"/>
                <w:szCs w:val="21"/>
              </w:rPr>
              <w:t xml:space="preserve">Funded unit </w:t>
            </w:r>
          </w:p>
        </w:tc>
        <w:tc>
          <w:tcPr>
            <w:tcW w:w="2486" w:type="dxa"/>
          </w:tcPr>
          <w:p w14:paraId="25648D0C"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29BD9E69" w14:textId="77777777" w:rsidTr="00A21959">
        <w:tc>
          <w:tcPr>
            <w:tcW w:w="4248" w:type="dxa"/>
            <w:hideMark/>
          </w:tcPr>
          <w:p w14:paraId="667B402E" w14:textId="77777777" w:rsidR="00FF1419" w:rsidRDefault="00FF1419" w:rsidP="00A21959">
            <w:pPr>
              <w:pStyle w:val="Tabletext9pt"/>
            </w:pPr>
            <w:r>
              <w:rPr>
                <w:rFonts w:eastAsia="Arial"/>
              </w:rPr>
              <w:t>Individualised client support packages</w:t>
            </w:r>
          </w:p>
        </w:tc>
        <w:tc>
          <w:tcPr>
            <w:tcW w:w="2551" w:type="dxa"/>
            <w:hideMark/>
          </w:tcPr>
          <w:p w14:paraId="215A1CD3" w14:textId="77777777" w:rsidR="00FF1419" w:rsidRDefault="00FF1419" w:rsidP="00A21959">
            <w:pPr>
              <w:pStyle w:val="Tabletext9pt"/>
            </w:pPr>
            <w:r>
              <w:rPr>
                <w:rFonts w:eastAsia="Arial"/>
              </w:rPr>
              <w:t>Client support unit</w:t>
            </w:r>
          </w:p>
        </w:tc>
        <w:tc>
          <w:tcPr>
            <w:tcW w:w="2486" w:type="dxa"/>
            <w:hideMark/>
          </w:tcPr>
          <w:p w14:paraId="191084A6"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121.02</w:t>
            </w:r>
          </w:p>
        </w:tc>
      </w:tr>
      <w:tr w:rsidR="00FF1419" w14:paraId="646FB26A" w14:textId="77777777" w:rsidTr="00A21959">
        <w:tc>
          <w:tcPr>
            <w:tcW w:w="4248" w:type="dxa"/>
            <w:hideMark/>
          </w:tcPr>
          <w:p w14:paraId="6A72EE45" w14:textId="77777777" w:rsidR="00FF1419" w:rsidRDefault="00FF1419" w:rsidP="00A21959">
            <w:pPr>
              <w:pStyle w:val="Tabletext9pt"/>
            </w:pPr>
            <w:r>
              <w:rPr>
                <w:rFonts w:eastAsia="Arial"/>
              </w:rPr>
              <w:t>Youth residential rehabilitation – 24-hour</w:t>
            </w:r>
          </w:p>
        </w:tc>
        <w:tc>
          <w:tcPr>
            <w:tcW w:w="2551" w:type="dxa"/>
            <w:hideMark/>
          </w:tcPr>
          <w:p w14:paraId="562BBBE2" w14:textId="77777777" w:rsidR="00FF1419" w:rsidRDefault="00FF1419" w:rsidP="00A21959">
            <w:pPr>
              <w:pStyle w:val="Tabletext9pt"/>
              <w:rPr>
                <w:szCs w:val="18"/>
                <w:lang w:eastAsia="en-AU"/>
              </w:rPr>
            </w:pPr>
            <w:r>
              <w:rPr>
                <w:rFonts w:eastAsia="Arial"/>
              </w:rPr>
              <w:t>Bed day</w:t>
            </w:r>
          </w:p>
        </w:tc>
        <w:tc>
          <w:tcPr>
            <w:tcW w:w="2486" w:type="dxa"/>
            <w:hideMark/>
          </w:tcPr>
          <w:p w14:paraId="66D3BFBD"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291.11</w:t>
            </w:r>
          </w:p>
        </w:tc>
      </w:tr>
      <w:tr w:rsidR="00FF1419" w14:paraId="42ED0026" w14:textId="77777777" w:rsidTr="00A21959">
        <w:tc>
          <w:tcPr>
            <w:tcW w:w="4248" w:type="dxa"/>
            <w:hideMark/>
          </w:tcPr>
          <w:p w14:paraId="2C1C76E8" w14:textId="77777777" w:rsidR="00FF1419" w:rsidRDefault="00FF1419" w:rsidP="00A21959">
            <w:pPr>
              <w:pStyle w:val="Tabletext9pt"/>
            </w:pPr>
            <w:bookmarkStart w:id="2196" w:name="_Toc110944656"/>
            <w:bookmarkEnd w:id="2196"/>
            <w:r>
              <w:rPr>
                <w:rFonts w:eastAsia="Arial"/>
              </w:rPr>
              <w:t>Youth residential rehabilitation – non-24-hour</w:t>
            </w:r>
          </w:p>
        </w:tc>
        <w:tc>
          <w:tcPr>
            <w:tcW w:w="2551" w:type="dxa"/>
            <w:hideMark/>
          </w:tcPr>
          <w:p w14:paraId="5B0A796C" w14:textId="77777777" w:rsidR="00FF1419" w:rsidRDefault="00FF1419" w:rsidP="00A21959">
            <w:pPr>
              <w:pStyle w:val="Tabletext9pt"/>
            </w:pPr>
            <w:r>
              <w:rPr>
                <w:rFonts w:eastAsia="Arial"/>
              </w:rPr>
              <w:t>Bed day</w:t>
            </w:r>
          </w:p>
        </w:tc>
        <w:tc>
          <w:tcPr>
            <w:tcW w:w="2486" w:type="dxa"/>
            <w:hideMark/>
          </w:tcPr>
          <w:p w14:paraId="3BE10797"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249.94</w:t>
            </w:r>
          </w:p>
        </w:tc>
      </w:tr>
      <w:tr w:rsidR="00FF1419" w14:paraId="75E251B6" w14:textId="77777777" w:rsidTr="00A21959">
        <w:tc>
          <w:tcPr>
            <w:tcW w:w="4248" w:type="dxa"/>
            <w:hideMark/>
          </w:tcPr>
          <w:p w14:paraId="192B98E9" w14:textId="77777777" w:rsidR="00FF1419" w:rsidRDefault="00FF1419" w:rsidP="00A21959">
            <w:pPr>
              <w:pStyle w:val="Tabletext9pt"/>
            </w:pPr>
            <w:r>
              <w:rPr>
                <w:rFonts w:eastAsia="Arial"/>
              </w:rPr>
              <w:t>Continuity of support</w:t>
            </w:r>
          </w:p>
        </w:tc>
        <w:tc>
          <w:tcPr>
            <w:tcW w:w="2551" w:type="dxa"/>
            <w:hideMark/>
          </w:tcPr>
          <w:p w14:paraId="3895D3B9" w14:textId="77777777" w:rsidR="00FF1419" w:rsidRDefault="00FF1419" w:rsidP="00A21959">
            <w:pPr>
              <w:pStyle w:val="Tabletext9pt"/>
            </w:pPr>
            <w:r>
              <w:rPr>
                <w:rFonts w:eastAsia="Arial"/>
              </w:rPr>
              <w:t>Client support unit</w:t>
            </w:r>
          </w:p>
        </w:tc>
        <w:tc>
          <w:tcPr>
            <w:tcW w:w="2486" w:type="dxa"/>
            <w:hideMark/>
          </w:tcPr>
          <w:p w14:paraId="66E83912"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121.02</w:t>
            </w:r>
          </w:p>
        </w:tc>
      </w:tr>
    </w:tbl>
    <w:p w14:paraId="0EA6B5C2" w14:textId="1A6DB887" w:rsidR="00A97999" w:rsidRPr="00377487" w:rsidRDefault="00A97999" w:rsidP="00F77982">
      <w:pPr>
        <w:pStyle w:val="Tablecaption"/>
        <w:rPr>
          <w:lang w:eastAsia="en-AU"/>
        </w:rPr>
      </w:pPr>
      <w:bookmarkStart w:id="2197" w:name="_Toc176510404"/>
      <w:bookmarkStart w:id="2198" w:name="_Toc14194739"/>
      <w:bookmarkStart w:id="2199" w:name="_Toc54261396"/>
      <w:bookmarkStart w:id="2200" w:name="_Toc54616270"/>
      <w:bookmarkStart w:id="2201" w:name="_Toc419623619"/>
      <w:bookmarkStart w:id="2202" w:name="_Toc419623731"/>
      <w:bookmarkStart w:id="2203" w:name="_Toc419644513"/>
      <w:bookmarkStart w:id="2204" w:name="_Toc487742071"/>
      <w:bookmarkEnd w:id="2191"/>
      <w:bookmarkEnd w:id="2192"/>
      <w:bookmarkEnd w:id="2193"/>
      <w:r w:rsidRPr="00A97999">
        <w:t>Table 1.</w:t>
      </w:r>
      <w:r>
        <w:fldChar w:fldCharType="begin"/>
      </w:r>
      <w:r>
        <w:instrText>SEQ Table \* ARABIC</w:instrText>
      </w:r>
      <w:r>
        <w:fldChar w:fldCharType="separate"/>
      </w:r>
      <w:r w:rsidR="00F30C16" w:rsidRPr="00377487">
        <w:t>14</w:t>
      </w:r>
      <w:r>
        <w:fldChar w:fldCharType="end"/>
      </w:r>
      <w:r w:rsidRPr="00377487">
        <w:t>: Mental health community support services unit prices 2024</w:t>
      </w:r>
      <w:r w:rsidRPr="00377487">
        <w:rPr>
          <w:szCs w:val="21"/>
        </w:rPr>
        <w:t>–</w:t>
      </w:r>
      <w:r w:rsidRPr="00377487">
        <w:t>25 – m</w:t>
      </w:r>
      <w:r w:rsidRPr="00377487">
        <w:rPr>
          <w:lang w:eastAsia="en-AU"/>
        </w:rPr>
        <w:t>utual support and self-help services</w:t>
      </w:r>
      <w:bookmarkEnd w:id="2197"/>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48"/>
        <w:gridCol w:w="2551"/>
        <w:gridCol w:w="2486"/>
      </w:tblGrid>
      <w:tr w:rsidR="00FF1419" w14:paraId="3F947FF3" w14:textId="77777777" w:rsidTr="00A21959">
        <w:trPr>
          <w:tblHeader/>
        </w:trPr>
        <w:tc>
          <w:tcPr>
            <w:tcW w:w="4248" w:type="dxa"/>
            <w:shd w:val="clear" w:color="auto" w:fill="auto"/>
            <w:hideMark/>
          </w:tcPr>
          <w:p w14:paraId="5DDDB385"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551" w:type="dxa"/>
            <w:shd w:val="clear" w:color="auto" w:fill="auto"/>
            <w:hideMark/>
          </w:tcPr>
          <w:p w14:paraId="1D3CCA96" w14:textId="77777777" w:rsidR="00FF1419" w:rsidRPr="00F717FB" w:rsidRDefault="00FF1419" w:rsidP="00A21959">
            <w:pPr>
              <w:pStyle w:val="Tablecolhead"/>
              <w:rPr>
                <w:rFonts w:eastAsia="Arial"/>
                <w:szCs w:val="21"/>
              </w:rPr>
            </w:pPr>
            <w:r w:rsidRPr="00F717FB">
              <w:rPr>
                <w:rFonts w:eastAsia="Arial"/>
                <w:szCs w:val="21"/>
              </w:rPr>
              <w:t xml:space="preserve">Funded unit </w:t>
            </w:r>
          </w:p>
        </w:tc>
        <w:tc>
          <w:tcPr>
            <w:tcW w:w="2486" w:type="dxa"/>
            <w:shd w:val="clear" w:color="auto" w:fill="auto"/>
            <w:hideMark/>
          </w:tcPr>
          <w:p w14:paraId="4034AB18"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1AE9F9BC" w14:textId="77777777" w:rsidTr="00A21959">
        <w:tc>
          <w:tcPr>
            <w:tcW w:w="4248" w:type="dxa"/>
            <w:hideMark/>
          </w:tcPr>
          <w:p w14:paraId="3EFD6B03" w14:textId="77777777" w:rsidR="00FF1419" w:rsidRDefault="00FF1419" w:rsidP="00A21959">
            <w:pPr>
              <w:pStyle w:val="Tabletext9pt"/>
            </w:pPr>
            <w:r>
              <w:rPr>
                <w:rFonts w:eastAsia="Arial"/>
              </w:rPr>
              <w:t>Stand-alone (high availability)</w:t>
            </w:r>
          </w:p>
        </w:tc>
        <w:tc>
          <w:tcPr>
            <w:tcW w:w="2551" w:type="dxa"/>
            <w:hideMark/>
          </w:tcPr>
          <w:p w14:paraId="1AFF34D9" w14:textId="77777777" w:rsidR="00FF1419" w:rsidRDefault="00FF1419" w:rsidP="00A21959">
            <w:pPr>
              <w:pStyle w:val="Tabletext9pt"/>
            </w:pPr>
            <w:r>
              <w:rPr>
                <w:rFonts w:eastAsia="Arial"/>
              </w:rPr>
              <w:t>Weighted block grant</w:t>
            </w:r>
          </w:p>
        </w:tc>
        <w:tc>
          <w:tcPr>
            <w:tcW w:w="2486" w:type="dxa"/>
            <w:hideMark/>
          </w:tcPr>
          <w:p w14:paraId="4B9B2BBE"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306,718</w:t>
            </w:r>
          </w:p>
        </w:tc>
      </w:tr>
      <w:tr w:rsidR="00FF1419" w14:paraId="53BB04DE" w14:textId="77777777" w:rsidTr="00A21959">
        <w:tc>
          <w:tcPr>
            <w:tcW w:w="4248" w:type="dxa"/>
            <w:hideMark/>
          </w:tcPr>
          <w:p w14:paraId="1D1E4F61" w14:textId="77777777" w:rsidR="00FF1419" w:rsidRDefault="00FF1419" w:rsidP="00A21959">
            <w:pPr>
              <w:pStyle w:val="Tabletext9pt"/>
            </w:pPr>
            <w:r>
              <w:rPr>
                <w:rFonts w:eastAsia="Arial"/>
              </w:rPr>
              <w:t>Stand-alone (high availability)</w:t>
            </w:r>
          </w:p>
        </w:tc>
        <w:tc>
          <w:tcPr>
            <w:tcW w:w="2551" w:type="dxa"/>
            <w:hideMark/>
          </w:tcPr>
          <w:p w14:paraId="2ED80AEA" w14:textId="77777777" w:rsidR="00FF1419" w:rsidRDefault="00FF1419" w:rsidP="00A21959">
            <w:pPr>
              <w:pStyle w:val="Tabletext9pt"/>
            </w:pPr>
            <w:r>
              <w:rPr>
                <w:rFonts w:eastAsia="Arial"/>
              </w:rPr>
              <w:t>Weighted block grant</w:t>
            </w:r>
          </w:p>
        </w:tc>
        <w:tc>
          <w:tcPr>
            <w:tcW w:w="2486" w:type="dxa"/>
            <w:hideMark/>
          </w:tcPr>
          <w:p w14:paraId="31278235"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Variable</w:t>
            </w:r>
          </w:p>
        </w:tc>
      </w:tr>
      <w:tr w:rsidR="00FF1419" w14:paraId="162D9930" w14:textId="77777777" w:rsidTr="00A21959">
        <w:tc>
          <w:tcPr>
            <w:tcW w:w="4248" w:type="dxa"/>
            <w:hideMark/>
          </w:tcPr>
          <w:p w14:paraId="48B69BC7" w14:textId="77777777" w:rsidR="00FF1419" w:rsidRDefault="00FF1419" w:rsidP="00A21959">
            <w:pPr>
              <w:pStyle w:val="Tabletext9pt"/>
            </w:pPr>
            <w:r>
              <w:rPr>
                <w:rFonts w:eastAsia="Arial"/>
              </w:rPr>
              <w:t>Individual support referral and advocacy</w:t>
            </w:r>
          </w:p>
        </w:tc>
        <w:tc>
          <w:tcPr>
            <w:tcW w:w="2551" w:type="dxa"/>
            <w:hideMark/>
          </w:tcPr>
          <w:p w14:paraId="2083070C" w14:textId="77777777" w:rsidR="00FF1419" w:rsidRDefault="00FF1419" w:rsidP="00A21959">
            <w:pPr>
              <w:pStyle w:val="Tabletext9pt"/>
            </w:pPr>
            <w:r>
              <w:rPr>
                <w:rFonts w:eastAsia="Arial"/>
              </w:rPr>
              <w:t>Contact hour</w:t>
            </w:r>
          </w:p>
        </w:tc>
        <w:tc>
          <w:tcPr>
            <w:tcW w:w="2486" w:type="dxa"/>
            <w:hideMark/>
          </w:tcPr>
          <w:p w14:paraId="5DB22476"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53.08</w:t>
            </w:r>
          </w:p>
        </w:tc>
      </w:tr>
      <w:tr w:rsidR="00FF1419" w14:paraId="473C46DE" w14:textId="77777777" w:rsidTr="00A21959">
        <w:tc>
          <w:tcPr>
            <w:tcW w:w="4248" w:type="dxa"/>
            <w:hideMark/>
          </w:tcPr>
          <w:p w14:paraId="6E5A8380" w14:textId="77777777" w:rsidR="00FF1419" w:rsidRDefault="00FF1419" w:rsidP="00A21959">
            <w:pPr>
              <w:pStyle w:val="Tabletext9pt"/>
            </w:pPr>
            <w:r>
              <w:rPr>
                <w:rFonts w:eastAsia="Arial"/>
              </w:rPr>
              <w:t>Mutual support and self-help (MSSH) group support</w:t>
            </w:r>
          </w:p>
        </w:tc>
        <w:tc>
          <w:tcPr>
            <w:tcW w:w="2551" w:type="dxa"/>
            <w:hideMark/>
          </w:tcPr>
          <w:p w14:paraId="2173C721" w14:textId="77777777" w:rsidR="00FF1419" w:rsidRDefault="00FF1419" w:rsidP="00A21959">
            <w:pPr>
              <w:pStyle w:val="Tabletext9pt"/>
            </w:pPr>
            <w:r>
              <w:rPr>
                <w:rFonts w:eastAsia="Arial"/>
              </w:rPr>
              <w:t>Contact hour (group)</w:t>
            </w:r>
          </w:p>
        </w:tc>
        <w:tc>
          <w:tcPr>
            <w:tcW w:w="2486" w:type="dxa"/>
            <w:hideMark/>
          </w:tcPr>
          <w:p w14:paraId="71AAF9C1"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140.45</w:t>
            </w:r>
          </w:p>
        </w:tc>
      </w:tr>
      <w:tr w:rsidR="00FF1419" w14:paraId="613CBFCB" w14:textId="77777777" w:rsidTr="00A21959">
        <w:tc>
          <w:tcPr>
            <w:tcW w:w="4248" w:type="dxa"/>
            <w:hideMark/>
          </w:tcPr>
          <w:p w14:paraId="6E777FE6" w14:textId="77777777" w:rsidR="00FF1419" w:rsidRDefault="00FF1419" w:rsidP="00A21959">
            <w:pPr>
              <w:pStyle w:val="Tabletext9pt"/>
            </w:pPr>
            <w:r>
              <w:rPr>
                <w:rFonts w:eastAsia="Arial"/>
              </w:rPr>
              <w:t>Group education and training</w:t>
            </w:r>
          </w:p>
        </w:tc>
        <w:tc>
          <w:tcPr>
            <w:tcW w:w="2551" w:type="dxa"/>
            <w:hideMark/>
          </w:tcPr>
          <w:p w14:paraId="79727ECE" w14:textId="77777777" w:rsidR="00FF1419" w:rsidRDefault="00FF1419" w:rsidP="00A21959">
            <w:pPr>
              <w:pStyle w:val="Tabletext9pt"/>
            </w:pPr>
            <w:r>
              <w:rPr>
                <w:rFonts w:eastAsia="Arial"/>
              </w:rPr>
              <w:t>Contact hour (group)</w:t>
            </w:r>
          </w:p>
        </w:tc>
        <w:tc>
          <w:tcPr>
            <w:tcW w:w="2486" w:type="dxa"/>
            <w:hideMark/>
          </w:tcPr>
          <w:p w14:paraId="3877A68A"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478.63</w:t>
            </w:r>
          </w:p>
        </w:tc>
      </w:tr>
      <w:tr w:rsidR="00FF1419" w14:paraId="66C008A1" w14:textId="77777777" w:rsidTr="00A21959">
        <w:tc>
          <w:tcPr>
            <w:tcW w:w="4248" w:type="dxa"/>
            <w:hideMark/>
          </w:tcPr>
          <w:p w14:paraId="7296A968" w14:textId="77777777" w:rsidR="00FF1419" w:rsidRDefault="00FF1419" w:rsidP="00A21959">
            <w:pPr>
              <w:pStyle w:val="Tabletext9pt"/>
            </w:pPr>
            <w:r>
              <w:rPr>
                <w:rFonts w:eastAsia="Arial"/>
              </w:rPr>
              <w:t>Volunteer coordination</w:t>
            </w:r>
          </w:p>
        </w:tc>
        <w:tc>
          <w:tcPr>
            <w:tcW w:w="2551" w:type="dxa"/>
            <w:hideMark/>
          </w:tcPr>
          <w:p w14:paraId="18EDF2BF" w14:textId="77777777" w:rsidR="00FF1419" w:rsidRDefault="00FF1419" w:rsidP="00A21959">
            <w:pPr>
              <w:pStyle w:val="Tabletext9pt"/>
            </w:pPr>
            <w:r>
              <w:rPr>
                <w:rFonts w:eastAsia="Arial"/>
              </w:rPr>
              <w:t>Hour</w:t>
            </w:r>
          </w:p>
        </w:tc>
        <w:tc>
          <w:tcPr>
            <w:tcW w:w="2486" w:type="dxa"/>
            <w:hideMark/>
          </w:tcPr>
          <w:p w14:paraId="7B863584"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61.52</w:t>
            </w:r>
          </w:p>
        </w:tc>
      </w:tr>
    </w:tbl>
    <w:p w14:paraId="5A4C3EF3" w14:textId="2A5F4C91" w:rsidR="00A97999" w:rsidRPr="00377487" w:rsidRDefault="00A97999" w:rsidP="00F77982">
      <w:pPr>
        <w:pStyle w:val="Tablecaption"/>
        <w:rPr>
          <w:lang w:eastAsia="en-AU"/>
        </w:rPr>
      </w:pPr>
      <w:bookmarkStart w:id="2205" w:name="_Toc110944658"/>
      <w:bookmarkStart w:id="2206" w:name="_Toc110944660"/>
      <w:bookmarkStart w:id="2207" w:name="_Toc176510405"/>
      <w:bookmarkStart w:id="2208" w:name="_Hlk12612393"/>
      <w:bookmarkEnd w:id="2198"/>
      <w:bookmarkEnd w:id="2199"/>
      <w:bookmarkEnd w:id="2200"/>
      <w:bookmarkEnd w:id="2205"/>
      <w:bookmarkEnd w:id="2206"/>
      <w:r w:rsidRPr="00A97999">
        <w:lastRenderedPageBreak/>
        <w:t>Table 1.</w:t>
      </w:r>
      <w:r>
        <w:fldChar w:fldCharType="begin"/>
      </w:r>
      <w:r>
        <w:instrText>SEQ Table \* ARABIC</w:instrText>
      </w:r>
      <w:r>
        <w:fldChar w:fldCharType="separate"/>
      </w:r>
      <w:r w:rsidR="00F30C16" w:rsidRPr="00377487">
        <w:t>15</w:t>
      </w:r>
      <w:r>
        <w:fldChar w:fldCharType="end"/>
      </w:r>
      <w:r w:rsidRPr="00377487">
        <w:t>: Mental health – funded units applicable to clinical bed-based services 2024</w:t>
      </w:r>
      <w:r w:rsidRPr="00377487">
        <w:rPr>
          <w:szCs w:val="21"/>
        </w:rPr>
        <w:t>–</w:t>
      </w:r>
      <w:r w:rsidRPr="00377487">
        <w:t>25</w:t>
      </w:r>
      <w:r w:rsidRPr="00377487">
        <w:rPr>
          <w:szCs w:val="21"/>
        </w:rPr>
        <w:t xml:space="preserve"> </w:t>
      </w:r>
      <w:r w:rsidRPr="00377487">
        <w:t>– n</w:t>
      </w:r>
      <w:r w:rsidRPr="00377487">
        <w:rPr>
          <w:lang w:eastAsia="en-AU"/>
        </w:rPr>
        <w:t>on-admitted care</w:t>
      </w:r>
      <w:bookmarkEnd w:id="2207"/>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48"/>
        <w:gridCol w:w="2551"/>
        <w:gridCol w:w="2486"/>
      </w:tblGrid>
      <w:tr w:rsidR="00FF1419" w14:paraId="0FCBFF51" w14:textId="77777777" w:rsidTr="00A21959">
        <w:trPr>
          <w:tblHeader/>
        </w:trPr>
        <w:tc>
          <w:tcPr>
            <w:tcW w:w="4248" w:type="dxa"/>
            <w:shd w:val="clear" w:color="auto" w:fill="auto"/>
            <w:hideMark/>
          </w:tcPr>
          <w:p w14:paraId="60A48256"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551" w:type="dxa"/>
            <w:shd w:val="clear" w:color="auto" w:fill="auto"/>
            <w:hideMark/>
          </w:tcPr>
          <w:p w14:paraId="22291129" w14:textId="77777777" w:rsidR="00FF1419" w:rsidRPr="00F717FB" w:rsidRDefault="00FF1419" w:rsidP="00A21959">
            <w:pPr>
              <w:pStyle w:val="Tablecolhead"/>
              <w:rPr>
                <w:rFonts w:eastAsia="Arial"/>
                <w:szCs w:val="21"/>
              </w:rPr>
            </w:pPr>
            <w:r w:rsidRPr="00F717FB">
              <w:rPr>
                <w:rFonts w:eastAsia="Arial"/>
                <w:szCs w:val="21"/>
              </w:rPr>
              <w:t>Funded unit</w:t>
            </w:r>
          </w:p>
        </w:tc>
        <w:tc>
          <w:tcPr>
            <w:tcW w:w="2486" w:type="dxa"/>
            <w:shd w:val="clear" w:color="auto" w:fill="auto"/>
            <w:hideMark/>
          </w:tcPr>
          <w:p w14:paraId="1C84054C"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34B26F0C" w14:textId="77777777" w:rsidTr="00A21959">
        <w:tc>
          <w:tcPr>
            <w:tcW w:w="4248" w:type="dxa"/>
            <w:hideMark/>
          </w:tcPr>
          <w:p w14:paraId="200E7D93" w14:textId="77777777" w:rsidR="00FF1419" w:rsidRDefault="00FF1419" w:rsidP="00A21959">
            <w:pPr>
              <w:pStyle w:val="Tabletext9pt"/>
            </w:pPr>
            <w:r>
              <w:rPr>
                <w:rFonts w:eastAsia="Arial"/>
              </w:rPr>
              <w:t>In home</w:t>
            </w:r>
          </w:p>
        </w:tc>
        <w:tc>
          <w:tcPr>
            <w:tcW w:w="2551" w:type="dxa"/>
            <w:hideMark/>
          </w:tcPr>
          <w:p w14:paraId="66F43E40" w14:textId="77777777" w:rsidR="00FF1419" w:rsidRDefault="00FF1419" w:rsidP="00A21959">
            <w:pPr>
              <w:pStyle w:val="Tabletext9pt"/>
            </w:pPr>
            <w:r>
              <w:rPr>
                <w:rFonts w:eastAsia="Arial"/>
              </w:rPr>
              <w:t>Client contact hour</w:t>
            </w:r>
          </w:p>
        </w:tc>
        <w:tc>
          <w:tcPr>
            <w:tcW w:w="2486" w:type="dxa"/>
            <w:hideMark/>
          </w:tcPr>
          <w:p w14:paraId="430512E3"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47.96</w:t>
            </w:r>
          </w:p>
        </w:tc>
      </w:tr>
      <w:tr w:rsidR="00FF1419" w14:paraId="433E8F96" w14:textId="77777777" w:rsidTr="00A21959">
        <w:tc>
          <w:tcPr>
            <w:tcW w:w="4248" w:type="dxa"/>
            <w:hideMark/>
          </w:tcPr>
          <w:p w14:paraId="3C5AFE5E" w14:textId="77777777" w:rsidR="00FF1419" w:rsidRDefault="00FF1419" w:rsidP="00A21959">
            <w:pPr>
              <w:pStyle w:val="Tabletext9pt"/>
            </w:pPr>
            <w:r>
              <w:rPr>
                <w:rFonts w:eastAsia="Arial"/>
              </w:rPr>
              <w:t>Community</w:t>
            </w:r>
          </w:p>
        </w:tc>
        <w:tc>
          <w:tcPr>
            <w:tcW w:w="2551" w:type="dxa"/>
            <w:hideMark/>
          </w:tcPr>
          <w:p w14:paraId="09DD4248" w14:textId="77777777" w:rsidR="00FF1419" w:rsidRDefault="00FF1419" w:rsidP="00A21959">
            <w:pPr>
              <w:pStyle w:val="Tabletext9pt"/>
            </w:pPr>
            <w:r>
              <w:rPr>
                <w:rFonts w:eastAsia="Arial"/>
              </w:rPr>
              <w:t>Client contact hour</w:t>
            </w:r>
          </w:p>
        </w:tc>
        <w:tc>
          <w:tcPr>
            <w:tcW w:w="2486" w:type="dxa"/>
            <w:hideMark/>
          </w:tcPr>
          <w:p w14:paraId="0844676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47.96</w:t>
            </w:r>
          </w:p>
        </w:tc>
      </w:tr>
      <w:tr w:rsidR="00FF1419" w14:paraId="6006F748" w14:textId="77777777" w:rsidTr="00A21959">
        <w:tc>
          <w:tcPr>
            <w:tcW w:w="4248" w:type="dxa"/>
            <w:hideMark/>
          </w:tcPr>
          <w:p w14:paraId="521752CB" w14:textId="77777777" w:rsidR="00FF1419" w:rsidRDefault="00FF1419" w:rsidP="00A21959">
            <w:pPr>
              <w:pStyle w:val="Tabletext9pt"/>
            </w:pPr>
            <w:r>
              <w:rPr>
                <w:rFonts w:eastAsia="Arial"/>
              </w:rPr>
              <w:t>Residential</w:t>
            </w:r>
          </w:p>
        </w:tc>
        <w:tc>
          <w:tcPr>
            <w:tcW w:w="2551" w:type="dxa"/>
            <w:hideMark/>
          </w:tcPr>
          <w:p w14:paraId="63D025C3" w14:textId="77777777" w:rsidR="00FF1419" w:rsidRDefault="00FF1419" w:rsidP="00A21959">
            <w:pPr>
              <w:pStyle w:val="Tabletext9pt"/>
            </w:pPr>
            <w:r>
              <w:rPr>
                <w:rFonts w:eastAsia="Arial"/>
              </w:rPr>
              <w:t>Client contact hour</w:t>
            </w:r>
          </w:p>
        </w:tc>
        <w:tc>
          <w:tcPr>
            <w:tcW w:w="2486" w:type="dxa"/>
            <w:hideMark/>
          </w:tcPr>
          <w:p w14:paraId="434598E2"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47.96</w:t>
            </w:r>
          </w:p>
        </w:tc>
      </w:tr>
    </w:tbl>
    <w:p w14:paraId="566812EA" w14:textId="6621C624" w:rsidR="00A97999" w:rsidRPr="00377487" w:rsidRDefault="00A97999" w:rsidP="00F77982">
      <w:pPr>
        <w:pStyle w:val="Tablecaption"/>
        <w:rPr>
          <w:lang w:eastAsia="en-AU"/>
        </w:rPr>
      </w:pPr>
      <w:bookmarkStart w:id="2209" w:name="_Toc110944662"/>
      <w:bookmarkStart w:id="2210" w:name="_Toc176510406"/>
      <w:bookmarkEnd w:id="2209"/>
      <w:r w:rsidRPr="00A97999">
        <w:t>Table 1.</w:t>
      </w:r>
      <w:r>
        <w:fldChar w:fldCharType="begin"/>
      </w:r>
      <w:r>
        <w:instrText>SEQ Table \* ARABIC</w:instrText>
      </w:r>
      <w:r>
        <w:fldChar w:fldCharType="separate"/>
      </w:r>
      <w:r w:rsidR="00F30C16" w:rsidRPr="00377487">
        <w:t>16</w:t>
      </w:r>
      <w:r>
        <w:fldChar w:fldCharType="end"/>
      </w:r>
      <w:r w:rsidRPr="00377487">
        <w:t>: Mental health community support services unit prices 2024</w:t>
      </w:r>
      <w:r w:rsidRPr="00377487">
        <w:rPr>
          <w:szCs w:val="21"/>
        </w:rPr>
        <w:t>–</w:t>
      </w:r>
      <w:r w:rsidRPr="00377487">
        <w:t>25</w:t>
      </w:r>
      <w:r w:rsidRPr="00377487">
        <w:rPr>
          <w:szCs w:val="21"/>
        </w:rPr>
        <w:t xml:space="preserve"> </w:t>
      </w:r>
      <w:r w:rsidRPr="00377487">
        <w:t>– supported accommodation</w:t>
      </w:r>
      <w:bookmarkEnd w:id="2210"/>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0"/>
        <w:gridCol w:w="2409"/>
        <w:gridCol w:w="2486"/>
      </w:tblGrid>
      <w:tr w:rsidR="00FF1419" w14:paraId="3FED8AE0" w14:textId="77777777" w:rsidTr="00A21959">
        <w:trPr>
          <w:tblHeader/>
        </w:trPr>
        <w:tc>
          <w:tcPr>
            <w:tcW w:w="4390" w:type="dxa"/>
            <w:shd w:val="clear" w:color="auto" w:fill="auto"/>
            <w:hideMark/>
          </w:tcPr>
          <w:p w14:paraId="4E822ACF" w14:textId="77777777" w:rsidR="00FF1419" w:rsidRPr="00F717FB" w:rsidRDefault="00FF1419" w:rsidP="00A21959">
            <w:pPr>
              <w:pStyle w:val="Tablecolhead"/>
              <w:rPr>
                <w:rFonts w:eastAsia="Arial"/>
                <w:szCs w:val="21"/>
              </w:rPr>
            </w:pPr>
            <w:r w:rsidRPr="00F717FB">
              <w:rPr>
                <w:rFonts w:eastAsia="Arial"/>
                <w:szCs w:val="21"/>
              </w:rPr>
              <w:t>Service element</w:t>
            </w:r>
          </w:p>
        </w:tc>
        <w:tc>
          <w:tcPr>
            <w:tcW w:w="2409" w:type="dxa"/>
            <w:shd w:val="clear" w:color="auto" w:fill="auto"/>
            <w:hideMark/>
          </w:tcPr>
          <w:p w14:paraId="72B11AD1" w14:textId="77777777" w:rsidR="00FF1419" w:rsidRPr="00F717FB" w:rsidRDefault="00FF1419" w:rsidP="00A21959">
            <w:pPr>
              <w:pStyle w:val="Tablecolhead"/>
              <w:rPr>
                <w:rFonts w:eastAsia="Arial"/>
                <w:szCs w:val="21"/>
              </w:rPr>
            </w:pPr>
            <w:r w:rsidRPr="00F717FB">
              <w:rPr>
                <w:rFonts w:eastAsia="Arial"/>
                <w:szCs w:val="21"/>
              </w:rPr>
              <w:t>Funded unit</w:t>
            </w:r>
          </w:p>
        </w:tc>
        <w:tc>
          <w:tcPr>
            <w:tcW w:w="2486" w:type="dxa"/>
            <w:shd w:val="clear" w:color="auto" w:fill="auto"/>
            <w:hideMark/>
          </w:tcPr>
          <w:p w14:paraId="0F5EB90B" w14:textId="77777777" w:rsidR="00FF1419" w:rsidRPr="00F717FB" w:rsidRDefault="00FF1419" w:rsidP="00A21959">
            <w:pPr>
              <w:pStyle w:val="Tablecolhead"/>
              <w:rPr>
                <w:rFonts w:eastAsia="Arial"/>
                <w:szCs w:val="21"/>
              </w:rPr>
            </w:pPr>
            <w:r w:rsidRPr="00F717FB">
              <w:rPr>
                <w:rFonts w:eastAsia="Arial"/>
                <w:szCs w:val="21"/>
              </w:rPr>
              <w:t>All health services ($)</w:t>
            </w:r>
          </w:p>
        </w:tc>
      </w:tr>
      <w:tr w:rsidR="00FF1419" w14:paraId="0B0FECC6" w14:textId="77777777" w:rsidTr="00A21959">
        <w:tc>
          <w:tcPr>
            <w:tcW w:w="4390" w:type="dxa"/>
            <w:hideMark/>
          </w:tcPr>
          <w:p w14:paraId="16F58FD7" w14:textId="77777777" w:rsidR="00FF1419" w:rsidRDefault="00FF1419" w:rsidP="00A21959">
            <w:pPr>
              <w:pStyle w:val="Tabletext9pt"/>
            </w:pPr>
            <w:r>
              <w:rPr>
                <w:rFonts w:eastAsia="Arial"/>
              </w:rPr>
              <w:t>24-hour on-site small facilities (0–11 beds)</w:t>
            </w:r>
          </w:p>
        </w:tc>
        <w:tc>
          <w:tcPr>
            <w:tcW w:w="2409" w:type="dxa"/>
            <w:hideMark/>
          </w:tcPr>
          <w:p w14:paraId="659BE420" w14:textId="77777777" w:rsidR="00FF1419" w:rsidRDefault="00FF1419" w:rsidP="00A21959">
            <w:pPr>
              <w:pStyle w:val="Tabletext9pt"/>
            </w:pPr>
            <w:r>
              <w:rPr>
                <w:rFonts w:eastAsia="Arial"/>
              </w:rPr>
              <w:t>Available bed day</w:t>
            </w:r>
          </w:p>
        </w:tc>
        <w:tc>
          <w:tcPr>
            <w:tcW w:w="2486" w:type="dxa"/>
            <w:hideMark/>
          </w:tcPr>
          <w:p w14:paraId="288B823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200.97</w:t>
            </w:r>
          </w:p>
        </w:tc>
      </w:tr>
      <w:tr w:rsidR="00FF1419" w14:paraId="30504019" w14:textId="77777777" w:rsidTr="00A21959">
        <w:tc>
          <w:tcPr>
            <w:tcW w:w="4390" w:type="dxa"/>
            <w:hideMark/>
          </w:tcPr>
          <w:p w14:paraId="7CFB2B83" w14:textId="77777777" w:rsidR="00FF1419" w:rsidRDefault="00FF1419" w:rsidP="00A21959">
            <w:pPr>
              <w:pStyle w:val="Tabletext9pt"/>
            </w:pPr>
            <w:r>
              <w:rPr>
                <w:rFonts w:eastAsia="Arial"/>
              </w:rPr>
              <w:t>24-hour on-site small facilities (&gt; 11 beds)</w:t>
            </w:r>
          </w:p>
        </w:tc>
        <w:tc>
          <w:tcPr>
            <w:tcW w:w="2409" w:type="dxa"/>
            <w:hideMark/>
          </w:tcPr>
          <w:p w14:paraId="4AC13AA6" w14:textId="77777777" w:rsidR="00FF1419" w:rsidRDefault="00FF1419" w:rsidP="00A21959">
            <w:pPr>
              <w:pStyle w:val="Tabletext9pt"/>
            </w:pPr>
            <w:r>
              <w:rPr>
                <w:rFonts w:eastAsia="Arial"/>
              </w:rPr>
              <w:t>Available bed day</w:t>
            </w:r>
          </w:p>
        </w:tc>
        <w:tc>
          <w:tcPr>
            <w:tcW w:w="2486" w:type="dxa"/>
            <w:hideMark/>
          </w:tcPr>
          <w:p w14:paraId="71F3C818"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70.33</w:t>
            </w:r>
          </w:p>
        </w:tc>
      </w:tr>
    </w:tbl>
    <w:p w14:paraId="7DE8F103" w14:textId="6BD7B6AE" w:rsidR="00A97999" w:rsidRPr="00377487" w:rsidRDefault="00A97999" w:rsidP="00F77982">
      <w:pPr>
        <w:pStyle w:val="Tablecaption"/>
        <w:rPr>
          <w:lang w:eastAsia="en-AU"/>
        </w:rPr>
      </w:pPr>
      <w:bookmarkStart w:id="2211" w:name="_Toc110944664"/>
      <w:bookmarkStart w:id="2212" w:name="_Toc176510407"/>
      <w:bookmarkStart w:id="2213" w:name="_Toc419623620"/>
      <w:bookmarkStart w:id="2214" w:name="_Toc419623732"/>
      <w:bookmarkStart w:id="2215" w:name="_Toc419644514"/>
      <w:bookmarkStart w:id="2216" w:name="_Toc487742072"/>
      <w:bookmarkEnd w:id="2201"/>
      <w:bookmarkEnd w:id="2202"/>
      <w:bookmarkEnd w:id="2203"/>
      <w:bookmarkEnd w:id="2204"/>
      <w:bookmarkEnd w:id="2208"/>
      <w:bookmarkEnd w:id="2211"/>
      <w:r w:rsidRPr="00A97999">
        <w:t>Table 1.</w:t>
      </w:r>
      <w:r>
        <w:fldChar w:fldCharType="begin"/>
      </w:r>
      <w:r>
        <w:instrText>SEQ Table \* ARABIC</w:instrText>
      </w:r>
      <w:r>
        <w:fldChar w:fldCharType="separate"/>
      </w:r>
      <w:r w:rsidR="00F30C16" w:rsidRPr="00377487">
        <w:t>17</w:t>
      </w:r>
      <w:r>
        <w:fldChar w:fldCharType="end"/>
      </w:r>
      <w:r w:rsidRPr="00377487">
        <w:t>: Drug services – unit prices 2024</w:t>
      </w:r>
      <w:r w:rsidRPr="00377487">
        <w:rPr>
          <w:szCs w:val="21"/>
        </w:rPr>
        <w:t>–</w:t>
      </w:r>
      <w:r w:rsidRPr="00377487">
        <w:t>25</w:t>
      </w:r>
      <w:bookmarkEnd w:id="2212"/>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94"/>
        <w:gridCol w:w="2216"/>
        <w:gridCol w:w="1738"/>
        <w:gridCol w:w="1651"/>
      </w:tblGrid>
      <w:tr w:rsidR="00FF1419" w:rsidRPr="0090298C" w14:paraId="7872C68F" w14:textId="77777777" w:rsidTr="00A21959">
        <w:trPr>
          <w:tblHeader/>
        </w:trPr>
        <w:tc>
          <w:tcPr>
            <w:tcW w:w="3694" w:type="dxa"/>
            <w:shd w:val="clear" w:color="auto" w:fill="auto"/>
          </w:tcPr>
          <w:p w14:paraId="6D57DAFB" w14:textId="77777777" w:rsidR="00FF1419" w:rsidRPr="00F717FB" w:rsidRDefault="00FF1419" w:rsidP="00A21959">
            <w:pPr>
              <w:pStyle w:val="Tablecolhead"/>
              <w:rPr>
                <w:rFonts w:eastAsia="Arial"/>
                <w:szCs w:val="21"/>
              </w:rPr>
            </w:pPr>
            <w:bookmarkStart w:id="2217" w:name="_Toc418694987"/>
            <w:bookmarkStart w:id="2218" w:name="_Ref419741277"/>
            <w:bookmarkStart w:id="2219" w:name="_Ref419741290"/>
            <w:bookmarkStart w:id="2220" w:name="_Ref425436162"/>
            <w:r w:rsidRPr="00F717FB">
              <w:rPr>
                <w:rFonts w:eastAsia="Arial"/>
                <w:szCs w:val="21"/>
              </w:rPr>
              <w:t>Service element</w:t>
            </w:r>
          </w:p>
        </w:tc>
        <w:tc>
          <w:tcPr>
            <w:tcW w:w="2216" w:type="dxa"/>
            <w:shd w:val="clear" w:color="auto" w:fill="auto"/>
          </w:tcPr>
          <w:p w14:paraId="5E78BFE0" w14:textId="77777777" w:rsidR="00FF1419" w:rsidRPr="00F717FB" w:rsidRDefault="00FF1419" w:rsidP="00A21959">
            <w:pPr>
              <w:pStyle w:val="Tablecolhead"/>
              <w:rPr>
                <w:rFonts w:eastAsia="Arial"/>
                <w:szCs w:val="21"/>
              </w:rPr>
            </w:pPr>
            <w:r w:rsidRPr="00F717FB">
              <w:rPr>
                <w:rFonts w:eastAsia="Arial"/>
                <w:szCs w:val="21"/>
              </w:rPr>
              <w:t>Funded unit</w:t>
            </w:r>
          </w:p>
        </w:tc>
        <w:tc>
          <w:tcPr>
            <w:tcW w:w="1738" w:type="dxa"/>
            <w:shd w:val="clear" w:color="auto" w:fill="auto"/>
          </w:tcPr>
          <w:p w14:paraId="5965D568" w14:textId="77777777" w:rsidR="00FF1419" w:rsidRPr="00F717FB" w:rsidRDefault="00FF1419" w:rsidP="00A21959">
            <w:pPr>
              <w:pStyle w:val="Tablecolhead"/>
              <w:rPr>
                <w:rFonts w:eastAsia="Arial"/>
                <w:szCs w:val="21"/>
              </w:rPr>
            </w:pPr>
            <w:r w:rsidRPr="00F717FB">
              <w:rPr>
                <w:rFonts w:eastAsia="Arial"/>
                <w:szCs w:val="21"/>
              </w:rPr>
              <w:t>Metro unit price ($)</w:t>
            </w:r>
          </w:p>
        </w:tc>
        <w:tc>
          <w:tcPr>
            <w:tcW w:w="1651" w:type="dxa"/>
            <w:shd w:val="clear" w:color="auto" w:fill="auto"/>
          </w:tcPr>
          <w:p w14:paraId="32B8D93D" w14:textId="77777777" w:rsidR="00FF1419" w:rsidRPr="00F717FB" w:rsidRDefault="00FF1419" w:rsidP="00A21959">
            <w:pPr>
              <w:pStyle w:val="Tablecolhead"/>
              <w:rPr>
                <w:rFonts w:eastAsia="Arial"/>
                <w:szCs w:val="21"/>
              </w:rPr>
            </w:pPr>
            <w:r w:rsidRPr="00F717FB">
              <w:rPr>
                <w:rFonts w:eastAsia="Arial"/>
                <w:szCs w:val="21"/>
              </w:rPr>
              <w:t>Rural unit price ($)</w:t>
            </w:r>
          </w:p>
        </w:tc>
      </w:tr>
      <w:tr w:rsidR="00FF1419" w:rsidRPr="00C127A3" w14:paraId="2A4DE98A" w14:textId="77777777" w:rsidTr="00A21959">
        <w:tc>
          <w:tcPr>
            <w:tcW w:w="3694" w:type="dxa"/>
          </w:tcPr>
          <w:p w14:paraId="66384E23" w14:textId="77777777" w:rsidR="00FF1419" w:rsidRPr="008E71A0" w:rsidRDefault="00FF1419" w:rsidP="00A21959">
            <w:pPr>
              <w:pStyle w:val="Tabletext9pt"/>
            </w:pPr>
            <w:r w:rsidRPr="008E71A0">
              <w:t xml:space="preserve">Drug treatment services – intake </w:t>
            </w:r>
          </w:p>
        </w:tc>
        <w:tc>
          <w:tcPr>
            <w:tcW w:w="2216" w:type="dxa"/>
          </w:tcPr>
          <w:p w14:paraId="191A8E07" w14:textId="77777777" w:rsidR="00FF1419" w:rsidRPr="008E71A0" w:rsidRDefault="00FF1419" w:rsidP="00A21959">
            <w:pPr>
              <w:pStyle w:val="Tabletext9pt"/>
            </w:pPr>
            <w:r w:rsidRPr="008E71A0">
              <w:t>Drug treatment activity unit</w:t>
            </w:r>
          </w:p>
        </w:tc>
        <w:tc>
          <w:tcPr>
            <w:tcW w:w="1738" w:type="dxa"/>
          </w:tcPr>
          <w:p w14:paraId="2AC758F1"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3CABEA72" w14:textId="77777777" w:rsidR="00FF1419" w:rsidRPr="00C127A3" w:rsidRDefault="00FF1419" w:rsidP="00A21959">
            <w:pPr>
              <w:pStyle w:val="Tabletext9pt"/>
              <w:numPr>
                <w:ilvl w:val="0"/>
                <w:numId w:val="11"/>
              </w:numPr>
              <w:jc w:val="right"/>
              <w:rPr>
                <w:lang w:eastAsia="en-AU"/>
              </w:rPr>
            </w:pPr>
          </w:p>
        </w:tc>
      </w:tr>
      <w:tr w:rsidR="00FF1419" w:rsidRPr="00C127A3" w14:paraId="1EBBFEB1" w14:textId="77777777" w:rsidTr="00A21959">
        <w:tc>
          <w:tcPr>
            <w:tcW w:w="3694" w:type="dxa"/>
          </w:tcPr>
          <w:p w14:paraId="0A05099C" w14:textId="77777777" w:rsidR="00FF1419" w:rsidRPr="008E71A0" w:rsidRDefault="00FF1419" w:rsidP="00A21959">
            <w:pPr>
              <w:pStyle w:val="Tabletext9pt"/>
            </w:pPr>
            <w:r w:rsidRPr="008E71A0">
              <w:t>Drug treatment services – assessment</w:t>
            </w:r>
          </w:p>
        </w:tc>
        <w:tc>
          <w:tcPr>
            <w:tcW w:w="2216" w:type="dxa"/>
          </w:tcPr>
          <w:p w14:paraId="7E4E5B2B" w14:textId="77777777" w:rsidR="00FF1419" w:rsidRPr="008E71A0" w:rsidRDefault="00FF1419" w:rsidP="00A21959">
            <w:pPr>
              <w:pStyle w:val="Tabletext9pt"/>
            </w:pPr>
            <w:r w:rsidRPr="008E71A0">
              <w:t>Drug treatment activity unit</w:t>
            </w:r>
          </w:p>
        </w:tc>
        <w:tc>
          <w:tcPr>
            <w:tcW w:w="1738" w:type="dxa"/>
          </w:tcPr>
          <w:p w14:paraId="1F0C74FD"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3BF0C4D5" w14:textId="77777777" w:rsidR="00FF1419" w:rsidRPr="00C127A3" w:rsidRDefault="00FF1419" w:rsidP="00A21959">
            <w:pPr>
              <w:pStyle w:val="Tabletext9pt"/>
              <w:numPr>
                <w:ilvl w:val="0"/>
                <w:numId w:val="11"/>
              </w:numPr>
              <w:jc w:val="right"/>
              <w:rPr>
                <w:lang w:eastAsia="en-AU"/>
              </w:rPr>
            </w:pPr>
          </w:p>
        </w:tc>
      </w:tr>
      <w:tr w:rsidR="00FF1419" w:rsidRPr="00C127A3" w14:paraId="1D9FE205" w14:textId="77777777" w:rsidTr="00A21959">
        <w:tc>
          <w:tcPr>
            <w:tcW w:w="3694" w:type="dxa"/>
          </w:tcPr>
          <w:p w14:paraId="2D268194" w14:textId="77777777" w:rsidR="00FF1419" w:rsidRPr="008E71A0" w:rsidRDefault="00FF1419" w:rsidP="00A21959">
            <w:pPr>
              <w:pStyle w:val="Tabletext9pt"/>
            </w:pPr>
            <w:r w:rsidRPr="008E71A0">
              <w:t>Drug treatment services – care and recovery coordination</w:t>
            </w:r>
          </w:p>
        </w:tc>
        <w:tc>
          <w:tcPr>
            <w:tcW w:w="2216" w:type="dxa"/>
          </w:tcPr>
          <w:p w14:paraId="3945C3DD" w14:textId="77777777" w:rsidR="00FF1419" w:rsidRPr="008E71A0" w:rsidRDefault="00FF1419" w:rsidP="00A21959">
            <w:pPr>
              <w:pStyle w:val="Tabletext9pt"/>
            </w:pPr>
            <w:r w:rsidRPr="008E71A0">
              <w:t>Drug treatment activity unit</w:t>
            </w:r>
          </w:p>
        </w:tc>
        <w:tc>
          <w:tcPr>
            <w:tcW w:w="1738" w:type="dxa"/>
          </w:tcPr>
          <w:p w14:paraId="4477B87F" w14:textId="77777777" w:rsidR="00FF1419" w:rsidRPr="0EC1DC23" w:rsidRDefault="00FF1419" w:rsidP="00A21959">
            <w:pPr>
              <w:spacing w:before="80" w:after="60" w:line="257" w:lineRule="auto"/>
              <w:jc w:val="right"/>
              <w:rPr>
                <w:rFonts w:eastAsia="Arial" w:cs="Arial"/>
                <w:sz w:val="18"/>
                <w:szCs w:val="18"/>
              </w:rPr>
            </w:pPr>
            <w:r w:rsidRPr="0EC1DC23">
              <w:rPr>
                <w:rFonts w:eastAsia="Arial" w:cs="Arial"/>
                <w:sz w:val="18"/>
                <w:szCs w:val="18"/>
              </w:rPr>
              <w:t>985.89</w:t>
            </w:r>
          </w:p>
        </w:tc>
        <w:tc>
          <w:tcPr>
            <w:tcW w:w="1651" w:type="dxa"/>
          </w:tcPr>
          <w:p w14:paraId="3FEDB75B" w14:textId="77777777" w:rsidR="00FF1419" w:rsidRPr="00C127A3" w:rsidRDefault="00FF1419" w:rsidP="00A21959">
            <w:pPr>
              <w:pStyle w:val="Tabletext9pt"/>
              <w:numPr>
                <w:ilvl w:val="0"/>
                <w:numId w:val="11"/>
              </w:numPr>
              <w:jc w:val="right"/>
              <w:rPr>
                <w:lang w:eastAsia="en-AU"/>
              </w:rPr>
            </w:pPr>
          </w:p>
        </w:tc>
      </w:tr>
      <w:tr w:rsidR="00FF1419" w:rsidRPr="00C127A3" w14:paraId="14310C42" w14:textId="77777777" w:rsidTr="00A21959">
        <w:tc>
          <w:tcPr>
            <w:tcW w:w="3694" w:type="dxa"/>
          </w:tcPr>
          <w:p w14:paraId="19AEA9FE" w14:textId="77777777" w:rsidR="00FF1419" w:rsidRPr="008E71A0" w:rsidRDefault="00FF1419" w:rsidP="00A21959">
            <w:pPr>
              <w:pStyle w:val="Tabletext9pt"/>
            </w:pPr>
            <w:r w:rsidRPr="008E71A0">
              <w:t>Drug treatment services – counselling</w:t>
            </w:r>
          </w:p>
        </w:tc>
        <w:tc>
          <w:tcPr>
            <w:tcW w:w="2216" w:type="dxa"/>
          </w:tcPr>
          <w:p w14:paraId="5CBC3662" w14:textId="77777777" w:rsidR="00FF1419" w:rsidRPr="008E71A0" w:rsidRDefault="00FF1419" w:rsidP="00A21959">
            <w:pPr>
              <w:pStyle w:val="Tabletext9pt"/>
            </w:pPr>
            <w:r w:rsidRPr="008E71A0">
              <w:t>Drug treatment activity unit</w:t>
            </w:r>
          </w:p>
        </w:tc>
        <w:tc>
          <w:tcPr>
            <w:tcW w:w="1738" w:type="dxa"/>
          </w:tcPr>
          <w:p w14:paraId="3B7F47E3"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1CF593BA" w14:textId="77777777" w:rsidR="00FF1419" w:rsidRPr="00C127A3" w:rsidRDefault="00FF1419" w:rsidP="00A21959">
            <w:pPr>
              <w:pStyle w:val="Tabletext9pt"/>
              <w:numPr>
                <w:ilvl w:val="0"/>
                <w:numId w:val="11"/>
              </w:numPr>
              <w:jc w:val="right"/>
              <w:rPr>
                <w:lang w:eastAsia="en-AU"/>
              </w:rPr>
            </w:pPr>
          </w:p>
        </w:tc>
      </w:tr>
      <w:tr w:rsidR="00FF1419" w:rsidRPr="00C127A3" w14:paraId="3F8DC461" w14:textId="77777777" w:rsidTr="00A21959">
        <w:tc>
          <w:tcPr>
            <w:tcW w:w="3694" w:type="dxa"/>
          </w:tcPr>
          <w:p w14:paraId="38AFF09B" w14:textId="77777777" w:rsidR="00FF1419" w:rsidRPr="008E71A0" w:rsidRDefault="00FF1419" w:rsidP="00A21959">
            <w:pPr>
              <w:pStyle w:val="Tabletext9pt"/>
            </w:pPr>
            <w:r w:rsidRPr="008E71A0">
              <w:t>Drug treatment services – non-residential withdrawal</w:t>
            </w:r>
          </w:p>
        </w:tc>
        <w:tc>
          <w:tcPr>
            <w:tcW w:w="2216" w:type="dxa"/>
          </w:tcPr>
          <w:p w14:paraId="50AE3FBA" w14:textId="77777777" w:rsidR="00FF1419" w:rsidRPr="008E71A0" w:rsidRDefault="00FF1419" w:rsidP="00A21959">
            <w:pPr>
              <w:pStyle w:val="Tabletext9pt"/>
            </w:pPr>
            <w:r w:rsidRPr="008E71A0">
              <w:t>Drug treatment activity unit</w:t>
            </w:r>
          </w:p>
        </w:tc>
        <w:tc>
          <w:tcPr>
            <w:tcW w:w="1738" w:type="dxa"/>
          </w:tcPr>
          <w:p w14:paraId="47CF9F1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0317B52A" w14:textId="77777777" w:rsidR="00FF1419" w:rsidRPr="00C127A3" w:rsidRDefault="00FF1419" w:rsidP="00A21959">
            <w:pPr>
              <w:pStyle w:val="Tabletext9pt"/>
              <w:numPr>
                <w:ilvl w:val="0"/>
                <w:numId w:val="11"/>
              </w:numPr>
              <w:jc w:val="right"/>
              <w:rPr>
                <w:lang w:eastAsia="en-AU"/>
              </w:rPr>
            </w:pPr>
          </w:p>
        </w:tc>
      </w:tr>
      <w:tr w:rsidR="00FF1419" w:rsidRPr="00C127A3" w14:paraId="5774E880" w14:textId="77777777" w:rsidTr="00A21959">
        <w:tc>
          <w:tcPr>
            <w:tcW w:w="3694" w:type="dxa"/>
          </w:tcPr>
          <w:p w14:paraId="3CB398F4" w14:textId="77777777" w:rsidR="00FF1419" w:rsidRPr="008E71A0" w:rsidRDefault="00FF1419" w:rsidP="00A21959">
            <w:pPr>
              <w:pStyle w:val="Tabletext9pt"/>
            </w:pPr>
            <w:r w:rsidRPr="008E71A0">
              <w:t>Drug treatment services – therapeutic day rehabilitation</w:t>
            </w:r>
          </w:p>
        </w:tc>
        <w:tc>
          <w:tcPr>
            <w:tcW w:w="2216" w:type="dxa"/>
          </w:tcPr>
          <w:p w14:paraId="50FF9FB5" w14:textId="77777777" w:rsidR="00FF1419" w:rsidRPr="008E71A0" w:rsidRDefault="00FF1419" w:rsidP="00A21959">
            <w:pPr>
              <w:pStyle w:val="Tabletext9pt"/>
            </w:pPr>
            <w:r w:rsidRPr="008E71A0">
              <w:t>Drug treatment activity unit</w:t>
            </w:r>
          </w:p>
        </w:tc>
        <w:tc>
          <w:tcPr>
            <w:tcW w:w="1738" w:type="dxa"/>
          </w:tcPr>
          <w:p w14:paraId="799EBF23"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5A17A07E" w14:textId="77777777" w:rsidR="00FF1419" w:rsidRPr="00C127A3" w:rsidRDefault="00FF1419" w:rsidP="00A21959">
            <w:pPr>
              <w:pStyle w:val="Tabletext9pt"/>
              <w:numPr>
                <w:ilvl w:val="0"/>
                <w:numId w:val="11"/>
              </w:numPr>
              <w:jc w:val="right"/>
              <w:rPr>
                <w:lang w:eastAsia="en-AU"/>
              </w:rPr>
            </w:pPr>
          </w:p>
        </w:tc>
      </w:tr>
      <w:tr w:rsidR="00FF1419" w:rsidRPr="00C127A3" w14:paraId="6C3D8555" w14:textId="77777777" w:rsidTr="00A21959">
        <w:tc>
          <w:tcPr>
            <w:tcW w:w="3694" w:type="dxa"/>
          </w:tcPr>
          <w:p w14:paraId="3B085177" w14:textId="77777777" w:rsidR="00FF1419" w:rsidRPr="008E71A0" w:rsidRDefault="00FF1419" w:rsidP="00A21959">
            <w:pPr>
              <w:pStyle w:val="Tabletext9pt"/>
            </w:pPr>
            <w:r w:rsidRPr="008E71A0">
              <w:t>Adult residential drug withdrawal</w:t>
            </w:r>
          </w:p>
        </w:tc>
        <w:tc>
          <w:tcPr>
            <w:tcW w:w="2216" w:type="dxa"/>
          </w:tcPr>
          <w:p w14:paraId="492A0956" w14:textId="77777777" w:rsidR="00FF1419" w:rsidRPr="008E71A0" w:rsidRDefault="00FF1419" w:rsidP="00A21959">
            <w:pPr>
              <w:pStyle w:val="Tabletext9pt"/>
            </w:pPr>
            <w:r w:rsidRPr="008E71A0">
              <w:t>Drug treatment activity unit</w:t>
            </w:r>
          </w:p>
        </w:tc>
        <w:tc>
          <w:tcPr>
            <w:tcW w:w="1738" w:type="dxa"/>
          </w:tcPr>
          <w:p w14:paraId="6CB5108A"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79487856" w14:textId="77777777" w:rsidR="00FF1419" w:rsidRDefault="00FF1419" w:rsidP="00A21959">
            <w:pPr>
              <w:pStyle w:val="Tabletext9pt"/>
              <w:numPr>
                <w:ilvl w:val="0"/>
                <w:numId w:val="11"/>
              </w:numPr>
              <w:jc w:val="right"/>
              <w:rPr>
                <w:lang w:eastAsia="en-AU"/>
              </w:rPr>
            </w:pPr>
          </w:p>
        </w:tc>
      </w:tr>
      <w:tr w:rsidR="00FF1419" w:rsidRPr="00C127A3" w14:paraId="71129CC3" w14:textId="77777777" w:rsidTr="00A21959">
        <w:tc>
          <w:tcPr>
            <w:tcW w:w="3694" w:type="dxa"/>
          </w:tcPr>
          <w:p w14:paraId="0F310518" w14:textId="77777777" w:rsidR="00FF1419" w:rsidRPr="00C127A3" w:rsidRDefault="00FF1419" w:rsidP="00A21959">
            <w:pPr>
              <w:pStyle w:val="Tabletext9pt"/>
              <w:numPr>
                <w:ilvl w:val="0"/>
                <w:numId w:val="11"/>
              </w:numPr>
              <w:rPr>
                <w:lang w:eastAsia="en-AU"/>
              </w:rPr>
            </w:pPr>
            <w:r w:rsidRPr="31E98B47">
              <w:rPr>
                <w:lang w:eastAsia="en-AU"/>
              </w:rPr>
              <w:t>Adult residential rehabilitation</w:t>
            </w:r>
          </w:p>
        </w:tc>
        <w:tc>
          <w:tcPr>
            <w:tcW w:w="2216" w:type="dxa"/>
          </w:tcPr>
          <w:p w14:paraId="669D1CE5" w14:textId="77777777" w:rsidR="00FF1419" w:rsidRDefault="00FF1419" w:rsidP="00A21959">
            <w:pPr>
              <w:pStyle w:val="Tabletext9pt"/>
              <w:numPr>
                <w:ilvl w:val="0"/>
                <w:numId w:val="11"/>
              </w:numPr>
              <w:rPr>
                <w:lang w:eastAsia="en-AU"/>
              </w:rPr>
            </w:pPr>
            <w:r w:rsidRPr="31E98B47">
              <w:rPr>
                <w:lang w:eastAsia="en-AU"/>
              </w:rPr>
              <w:t>Drug treatment activity unit</w:t>
            </w:r>
          </w:p>
        </w:tc>
        <w:tc>
          <w:tcPr>
            <w:tcW w:w="1738" w:type="dxa"/>
          </w:tcPr>
          <w:p w14:paraId="346A595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6EF2BB91" w14:textId="77777777" w:rsidR="00FF1419" w:rsidRDefault="00FF1419" w:rsidP="00A21959">
            <w:pPr>
              <w:pStyle w:val="Tabletext9pt"/>
              <w:numPr>
                <w:ilvl w:val="0"/>
                <w:numId w:val="11"/>
              </w:numPr>
              <w:jc w:val="right"/>
              <w:rPr>
                <w:lang w:eastAsia="en-AU"/>
              </w:rPr>
            </w:pPr>
          </w:p>
        </w:tc>
      </w:tr>
      <w:tr w:rsidR="00FF1419" w:rsidRPr="00C127A3" w14:paraId="4BFD73EC" w14:textId="77777777" w:rsidTr="00A21959">
        <w:tc>
          <w:tcPr>
            <w:tcW w:w="3694" w:type="dxa"/>
          </w:tcPr>
          <w:p w14:paraId="7214E50A" w14:textId="77777777" w:rsidR="00FF1419" w:rsidRPr="00C127A3" w:rsidRDefault="00FF1419" w:rsidP="00A21959">
            <w:pPr>
              <w:pStyle w:val="Tabletext9pt"/>
              <w:numPr>
                <w:ilvl w:val="0"/>
                <w:numId w:val="11"/>
              </w:numPr>
              <w:rPr>
                <w:lang w:eastAsia="en-AU"/>
              </w:rPr>
            </w:pPr>
            <w:r w:rsidRPr="31E98B47">
              <w:rPr>
                <w:lang w:eastAsia="en-AU"/>
              </w:rPr>
              <w:t>Youth residential drug withdrawal</w:t>
            </w:r>
          </w:p>
        </w:tc>
        <w:tc>
          <w:tcPr>
            <w:tcW w:w="2216" w:type="dxa"/>
          </w:tcPr>
          <w:p w14:paraId="26A3A8BF" w14:textId="77777777" w:rsidR="00FF1419" w:rsidRDefault="00FF1419" w:rsidP="00A21959">
            <w:pPr>
              <w:pStyle w:val="Tabletext9pt"/>
              <w:numPr>
                <w:ilvl w:val="0"/>
                <w:numId w:val="11"/>
              </w:numPr>
              <w:rPr>
                <w:lang w:eastAsia="en-AU"/>
              </w:rPr>
            </w:pPr>
            <w:r w:rsidRPr="31E98B47">
              <w:rPr>
                <w:lang w:eastAsia="en-AU"/>
              </w:rPr>
              <w:t>Drug treatment activity unit</w:t>
            </w:r>
          </w:p>
        </w:tc>
        <w:tc>
          <w:tcPr>
            <w:tcW w:w="1738" w:type="dxa"/>
          </w:tcPr>
          <w:p w14:paraId="6F8D6174"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1DE09694" w14:textId="77777777" w:rsidR="00FF1419" w:rsidRDefault="00FF1419" w:rsidP="00A21959">
            <w:pPr>
              <w:pStyle w:val="Tabletext9pt"/>
              <w:numPr>
                <w:ilvl w:val="0"/>
                <w:numId w:val="11"/>
              </w:numPr>
              <w:jc w:val="right"/>
              <w:rPr>
                <w:lang w:eastAsia="en-AU"/>
              </w:rPr>
            </w:pPr>
          </w:p>
        </w:tc>
      </w:tr>
      <w:tr w:rsidR="00FF1419" w:rsidRPr="00C127A3" w14:paraId="5142CB94" w14:textId="77777777" w:rsidTr="00A21959">
        <w:tc>
          <w:tcPr>
            <w:tcW w:w="3694" w:type="dxa"/>
          </w:tcPr>
          <w:p w14:paraId="5554FB80" w14:textId="77777777" w:rsidR="00FF1419" w:rsidRPr="00C127A3" w:rsidRDefault="00FF1419" w:rsidP="00A21959">
            <w:pPr>
              <w:pStyle w:val="Tabletext9pt"/>
              <w:numPr>
                <w:ilvl w:val="0"/>
                <w:numId w:val="11"/>
              </w:numPr>
              <w:rPr>
                <w:lang w:eastAsia="en-AU"/>
              </w:rPr>
            </w:pPr>
            <w:r w:rsidRPr="31E98B47">
              <w:rPr>
                <w:lang w:eastAsia="en-AU"/>
              </w:rPr>
              <w:t>Youth residential rehabilitation</w:t>
            </w:r>
          </w:p>
        </w:tc>
        <w:tc>
          <w:tcPr>
            <w:tcW w:w="2216" w:type="dxa"/>
          </w:tcPr>
          <w:p w14:paraId="38414461" w14:textId="77777777" w:rsidR="00FF1419" w:rsidRDefault="00FF1419" w:rsidP="00A21959">
            <w:pPr>
              <w:pStyle w:val="Tabletext9pt"/>
              <w:numPr>
                <w:ilvl w:val="0"/>
                <w:numId w:val="11"/>
              </w:numPr>
              <w:rPr>
                <w:lang w:eastAsia="en-AU"/>
              </w:rPr>
            </w:pPr>
            <w:r w:rsidRPr="31E98B47">
              <w:rPr>
                <w:lang w:eastAsia="en-AU"/>
              </w:rPr>
              <w:t>Drug treatment activity unit</w:t>
            </w:r>
          </w:p>
        </w:tc>
        <w:tc>
          <w:tcPr>
            <w:tcW w:w="1738" w:type="dxa"/>
          </w:tcPr>
          <w:p w14:paraId="3AE8FFC6"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17A93429" w14:textId="77777777" w:rsidR="00FF1419" w:rsidRDefault="00FF1419" w:rsidP="00A21959">
            <w:pPr>
              <w:pStyle w:val="Tabletext9pt"/>
              <w:numPr>
                <w:ilvl w:val="0"/>
                <w:numId w:val="11"/>
              </w:numPr>
              <w:jc w:val="right"/>
              <w:rPr>
                <w:lang w:eastAsia="en-AU"/>
              </w:rPr>
            </w:pPr>
          </w:p>
        </w:tc>
      </w:tr>
      <w:tr w:rsidR="00FF1419" w:rsidRPr="00C127A3" w14:paraId="2B232AF7" w14:textId="77777777" w:rsidTr="00A21959">
        <w:tc>
          <w:tcPr>
            <w:tcW w:w="3694" w:type="dxa"/>
          </w:tcPr>
          <w:p w14:paraId="0A88DFEF" w14:textId="77777777" w:rsidR="00FF1419" w:rsidRPr="00C127A3" w:rsidRDefault="00FF1419" w:rsidP="00A21959">
            <w:pPr>
              <w:pStyle w:val="Tabletext9pt"/>
              <w:numPr>
                <w:ilvl w:val="0"/>
                <w:numId w:val="11"/>
              </w:numPr>
              <w:rPr>
                <w:lang w:eastAsia="en-AU"/>
              </w:rPr>
            </w:pPr>
            <w:r w:rsidRPr="31E98B47">
              <w:rPr>
                <w:lang w:eastAsia="en-AU"/>
              </w:rPr>
              <w:t>Aboriginal residential rehabilitation</w:t>
            </w:r>
          </w:p>
        </w:tc>
        <w:tc>
          <w:tcPr>
            <w:tcW w:w="2216" w:type="dxa"/>
          </w:tcPr>
          <w:p w14:paraId="40038E45" w14:textId="77777777" w:rsidR="00FF1419" w:rsidRDefault="00FF1419" w:rsidP="00A21959">
            <w:pPr>
              <w:pStyle w:val="Tabletext9pt"/>
              <w:numPr>
                <w:ilvl w:val="0"/>
                <w:numId w:val="11"/>
              </w:numPr>
              <w:rPr>
                <w:lang w:eastAsia="en-AU"/>
              </w:rPr>
            </w:pPr>
            <w:r w:rsidRPr="31E98B47">
              <w:rPr>
                <w:lang w:eastAsia="en-AU"/>
              </w:rPr>
              <w:t>Drug treatment activity unit</w:t>
            </w:r>
          </w:p>
        </w:tc>
        <w:tc>
          <w:tcPr>
            <w:tcW w:w="1738" w:type="dxa"/>
          </w:tcPr>
          <w:p w14:paraId="6375BA9E"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985.89</w:t>
            </w:r>
          </w:p>
        </w:tc>
        <w:tc>
          <w:tcPr>
            <w:tcW w:w="1651" w:type="dxa"/>
          </w:tcPr>
          <w:p w14:paraId="3685192A" w14:textId="77777777" w:rsidR="00FF1419" w:rsidRDefault="00FF1419" w:rsidP="00A21959">
            <w:pPr>
              <w:pStyle w:val="Tabletext9pt"/>
              <w:numPr>
                <w:ilvl w:val="0"/>
                <w:numId w:val="11"/>
              </w:numPr>
              <w:jc w:val="right"/>
              <w:rPr>
                <w:lang w:eastAsia="en-AU"/>
              </w:rPr>
            </w:pPr>
          </w:p>
        </w:tc>
      </w:tr>
      <w:tr w:rsidR="00FF1419" w:rsidRPr="00C127A3" w14:paraId="4F36B8F0" w14:textId="77777777" w:rsidTr="00A21959">
        <w:tc>
          <w:tcPr>
            <w:tcW w:w="3694" w:type="dxa"/>
          </w:tcPr>
          <w:p w14:paraId="7F33FCE0" w14:textId="77777777" w:rsidR="00FF1419" w:rsidRPr="00C127A3" w:rsidRDefault="00FF1419" w:rsidP="00A21959">
            <w:pPr>
              <w:pStyle w:val="Tabletext9pt"/>
              <w:numPr>
                <w:ilvl w:val="0"/>
                <w:numId w:val="11"/>
              </w:numPr>
              <w:rPr>
                <w:lang w:eastAsia="en-AU"/>
              </w:rPr>
            </w:pPr>
            <w:r w:rsidRPr="31E98B47">
              <w:rPr>
                <w:lang w:eastAsia="en-AU"/>
              </w:rPr>
              <w:t>Youth alcohol and drug supported accommodation</w:t>
            </w:r>
          </w:p>
        </w:tc>
        <w:tc>
          <w:tcPr>
            <w:tcW w:w="2216" w:type="dxa"/>
          </w:tcPr>
          <w:p w14:paraId="08791198" w14:textId="77777777" w:rsidR="00FF1419" w:rsidRPr="00C127A3" w:rsidRDefault="00FF1419" w:rsidP="00A21959">
            <w:pPr>
              <w:pStyle w:val="Tabletext9pt"/>
              <w:numPr>
                <w:ilvl w:val="0"/>
                <w:numId w:val="11"/>
              </w:numPr>
              <w:rPr>
                <w:lang w:eastAsia="en-AU"/>
              </w:rPr>
            </w:pPr>
            <w:r w:rsidRPr="31E98B47">
              <w:rPr>
                <w:lang w:eastAsia="en-AU"/>
              </w:rPr>
              <w:t>Episodes of care</w:t>
            </w:r>
          </w:p>
        </w:tc>
        <w:tc>
          <w:tcPr>
            <w:tcW w:w="1738" w:type="dxa"/>
          </w:tcPr>
          <w:p w14:paraId="27A49D35"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7,579</w:t>
            </w:r>
          </w:p>
        </w:tc>
        <w:tc>
          <w:tcPr>
            <w:tcW w:w="1651" w:type="dxa"/>
          </w:tcPr>
          <w:p w14:paraId="712FBB70" w14:textId="77777777" w:rsidR="00FF1419" w:rsidRPr="00FF1419" w:rsidRDefault="00FF1419" w:rsidP="00FF1419">
            <w:pPr>
              <w:spacing w:before="80" w:after="60"/>
              <w:jc w:val="right"/>
              <w:rPr>
                <w:rFonts w:eastAsia="Arial" w:cs="Arial"/>
                <w:sz w:val="18"/>
                <w:szCs w:val="18"/>
              </w:rPr>
            </w:pPr>
            <w:r w:rsidRPr="00FF1419">
              <w:rPr>
                <w:rFonts w:eastAsia="Arial" w:cs="Arial"/>
                <w:sz w:val="18"/>
                <w:szCs w:val="18"/>
              </w:rPr>
              <w:t>10,104</w:t>
            </w:r>
          </w:p>
        </w:tc>
      </w:tr>
      <w:tr w:rsidR="00FF1419" w:rsidRPr="00C127A3" w14:paraId="40F95F54" w14:textId="77777777" w:rsidTr="00A21959">
        <w:tc>
          <w:tcPr>
            <w:tcW w:w="3694" w:type="dxa"/>
          </w:tcPr>
          <w:p w14:paraId="0161B5C5" w14:textId="77777777" w:rsidR="00FF1419" w:rsidRPr="00C127A3" w:rsidRDefault="00FF1419" w:rsidP="00A21959">
            <w:pPr>
              <w:pStyle w:val="Tabletext9pt"/>
              <w:numPr>
                <w:ilvl w:val="0"/>
                <w:numId w:val="11"/>
              </w:numPr>
              <w:rPr>
                <w:lang w:eastAsia="en-AU"/>
              </w:rPr>
            </w:pPr>
            <w:r w:rsidRPr="31E98B47">
              <w:rPr>
                <w:lang w:eastAsia="en-AU"/>
              </w:rPr>
              <w:t>Aboriginal alcohol and drug worker</w:t>
            </w:r>
          </w:p>
        </w:tc>
        <w:tc>
          <w:tcPr>
            <w:tcW w:w="2216" w:type="dxa"/>
          </w:tcPr>
          <w:p w14:paraId="1C86ED3B" w14:textId="77777777" w:rsidR="00FF1419" w:rsidRPr="00C127A3" w:rsidRDefault="00FF1419" w:rsidP="00A21959">
            <w:pPr>
              <w:pStyle w:val="Tabletext9pt"/>
              <w:numPr>
                <w:ilvl w:val="0"/>
                <w:numId w:val="11"/>
              </w:numPr>
              <w:rPr>
                <w:lang w:eastAsia="en-AU"/>
              </w:rPr>
            </w:pPr>
            <w:r w:rsidRPr="31E98B47">
              <w:rPr>
                <w:lang w:eastAsia="en-AU"/>
              </w:rPr>
              <w:t>Episodes of care</w:t>
            </w:r>
          </w:p>
        </w:tc>
        <w:tc>
          <w:tcPr>
            <w:tcW w:w="1738" w:type="dxa"/>
          </w:tcPr>
          <w:p w14:paraId="7F47BFC8"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2,551</w:t>
            </w:r>
          </w:p>
        </w:tc>
        <w:tc>
          <w:tcPr>
            <w:tcW w:w="1651" w:type="dxa"/>
          </w:tcPr>
          <w:p w14:paraId="7E954EB5" w14:textId="77777777" w:rsidR="00FF1419" w:rsidRPr="00C127A3" w:rsidRDefault="00FF1419" w:rsidP="00A21959">
            <w:pPr>
              <w:pStyle w:val="Tabletext9pt"/>
              <w:numPr>
                <w:ilvl w:val="0"/>
                <w:numId w:val="11"/>
              </w:numPr>
              <w:jc w:val="right"/>
              <w:rPr>
                <w:lang w:eastAsia="en-AU"/>
              </w:rPr>
            </w:pPr>
          </w:p>
        </w:tc>
      </w:tr>
      <w:tr w:rsidR="00FF1419" w:rsidRPr="00C127A3" w14:paraId="3671FE72" w14:textId="77777777" w:rsidTr="00A21959">
        <w:tc>
          <w:tcPr>
            <w:tcW w:w="3694" w:type="dxa"/>
          </w:tcPr>
          <w:p w14:paraId="39CAF0CF" w14:textId="77777777" w:rsidR="00FF1419" w:rsidRPr="00C127A3" w:rsidRDefault="00FF1419" w:rsidP="00A21959">
            <w:pPr>
              <w:pStyle w:val="Tabletext9pt"/>
            </w:pPr>
            <w:r w:rsidRPr="31E98B47">
              <w:t>Youth outreach</w:t>
            </w:r>
          </w:p>
        </w:tc>
        <w:tc>
          <w:tcPr>
            <w:tcW w:w="2216" w:type="dxa"/>
          </w:tcPr>
          <w:p w14:paraId="39850021" w14:textId="77777777" w:rsidR="00FF1419" w:rsidRPr="00C127A3" w:rsidRDefault="00FF1419" w:rsidP="00A21959">
            <w:pPr>
              <w:pStyle w:val="Tabletext9pt"/>
            </w:pPr>
            <w:r w:rsidRPr="31E98B47">
              <w:t>Episodes of care</w:t>
            </w:r>
          </w:p>
        </w:tc>
        <w:tc>
          <w:tcPr>
            <w:tcW w:w="1738" w:type="dxa"/>
          </w:tcPr>
          <w:p w14:paraId="3E62BE0A"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2,257</w:t>
            </w:r>
          </w:p>
        </w:tc>
        <w:tc>
          <w:tcPr>
            <w:tcW w:w="1651" w:type="dxa"/>
          </w:tcPr>
          <w:p w14:paraId="6D216D7B" w14:textId="77777777" w:rsidR="00FF1419" w:rsidRPr="00C127A3" w:rsidRDefault="00FF1419" w:rsidP="00A21959">
            <w:pPr>
              <w:pStyle w:val="Tabletext9pt"/>
            </w:pPr>
          </w:p>
        </w:tc>
      </w:tr>
      <w:tr w:rsidR="00FF1419" w:rsidRPr="00C127A3" w14:paraId="664DDF76" w14:textId="77777777" w:rsidTr="00A21959">
        <w:tc>
          <w:tcPr>
            <w:tcW w:w="3694" w:type="dxa"/>
          </w:tcPr>
          <w:p w14:paraId="4E3B3182" w14:textId="77777777" w:rsidR="00FF1419" w:rsidRPr="00C127A3" w:rsidRDefault="00FF1419" w:rsidP="00A21959">
            <w:pPr>
              <w:pStyle w:val="Tabletext9pt"/>
            </w:pPr>
            <w:r w:rsidRPr="31E98B47">
              <w:lastRenderedPageBreak/>
              <w:t>Specialist pharmacotherapy program</w:t>
            </w:r>
          </w:p>
        </w:tc>
        <w:tc>
          <w:tcPr>
            <w:tcW w:w="2216" w:type="dxa"/>
          </w:tcPr>
          <w:p w14:paraId="4FE716C0" w14:textId="77777777" w:rsidR="00FF1419" w:rsidRPr="00C127A3" w:rsidRDefault="00FF1419" w:rsidP="00A21959">
            <w:pPr>
              <w:pStyle w:val="Tabletext9pt"/>
            </w:pPr>
            <w:r w:rsidRPr="31E98B47">
              <w:t>Episodes of care</w:t>
            </w:r>
          </w:p>
        </w:tc>
        <w:tc>
          <w:tcPr>
            <w:tcW w:w="1738" w:type="dxa"/>
          </w:tcPr>
          <w:p w14:paraId="6F60AB6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4,130</w:t>
            </w:r>
          </w:p>
        </w:tc>
        <w:tc>
          <w:tcPr>
            <w:tcW w:w="1651" w:type="dxa"/>
          </w:tcPr>
          <w:p w14:paraId="6A9B63BB" w14:textId="77777777" w:rsidR="00FF1419" w:rsidRPr="00C127A3" w:rsidRDefault="00FF1419" w:rsidP="00A21959">
            <w:pPr>
              <w:pStyle w:val="Tabletext9pt"/>
            </w:pPr>
          </w:p>
        </w:tc>
      </w:tr>
      <w:tr w:rsidR="00FF1419" w:rsidRPr="00C127A3" w14:paraId="4C0F8388" w14:textId="77777777" w:rsidTr="00A21959">
        <w:tc>
          <w:tcPr>
            <w:tcW w:w="3694" w:type="dxa"/>
          </w:tcPr>
          <w:p w14:paraId="5482AC99" w14:textId="77777777" w:rsidR="00FF1419" w:rsidRDefault="00FF1419" w:rsidP="00A21959">
            <w:pPr>
              <w:pStyle w:val="Tabletext9pt"/>
            </w:pPr>
            <w:r w:rsidRPr="31E98B47">
              <w:t>Mobile overdose response</w:t>
            </w:r>
          </w:p>
        </w:tc>
        <w:tc>
          <w:tcPr>
            <w:tcW w:w="2216" w:type="dxa"/>
          </w:tcPr>
          <w:p w14:paraId="342457A7" w14:textId="77777777" w:rsidR="00FF1419" w:rsidRDefault="00FF1419" w:rsidP="00A21959">
            <w:pPr>
              <w:pStyle w:val="Tabletext9pt"/>
            </w:pPr>
            <w:r w:rsidRPr="31E98B47">
              <w:t>Episodes of care</w:t>
            </w:r>
          </w:p>
        </w:tc>
        <w:tc>
          <w:tcPr>
            <w:tcW w:w="1738" w:type="dxa"/>
          </w:tcPr>
          <w:p w14:paraId="714374FC"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8,905</w:t>
            </w:r>
          </w:p>
        </w:tc>
        <w:tc>
          <w:tcPr>
            <w:tcW w:w="1651" w:type="dxa"/>
          </w:tcPr>
          <w:p w14:paraId="43EBE726" w14:textId="77777777" w:rsidR="00FF1419" w:rsidRPr="00C127A3" w:rsidRDefault="00FF1419" w:rsidP="00A21959">
            <w:pPr>
              <w:pStyle w:val="Tabletext9pt"/>
            </w:pPr>
          </w:p>
        </w:tc>
      </w:tr>
      <w:tr w:rsidR="00FF1419" w:rsidRPr="00C127A3" w14:paraId="50A8EBAA" w14:textId="77777777" w:rsidTr="00A21959">
        <w:tc>
          <w:tcPr>
            <w:tcW w:w="3694" w:type="dxa"/>
          </w:tcPr>
          <w:p w14:paraId="0A35D35F" w14:textId="77777777" w:rsidR="00FF1419" w:rsidRDefault="00FF1419" w:rsidP="00A21959">
            <w:pPr>
              <w:pStyle w:val="Tabletext9pt"/>
            </w:pPr>
            <w:r w:rsidRPr="31E98B47">
              <w:t>Rural withdrawal</w:t>
            </w:r>
          </w:p>
        </w:tc>
        <w:tc>
          <w:tcPr>
            <w:tcW w:w="2216" w:type="dxa"/>
          </w:tcPr>
          <w:p w14:paraId="4DFAAA9E" w14:textId="77777777" w:rsidR="00FF1419" w:rsidRDefault="00FF1419" w:rsidP="00A21959">
            <w:pPr>
              <w:pStyle w:val="Tabletext9pt"/>
            </w:pPr>
            <w:r w:rsidRPr="31E98B47">
              <w:t>Episodes of care</w:t>
            </w:r>
          </w:p>
        </w:tc>
        <w:tc>
          <w:tcPr>
            <w:tcW w:w="1738" w:type="dxa"/>
          </w:tcPr>
          <w:p w14:paraId="247057B3"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2,286</w:t>
            </w:r>
          </w:p>
        </w:tc>
        <w:tc>
          <w:tcPr>
            <w:tcW w:w="1651" w:type="dxa"/>
          </w:tcPr>
          <w:p w14:paraId="04E141E0" w14:textId="77777777" w:rsidR="00FF1419" w:rsidRPr="00C127A3" w:rsidRDefault="00FF1419" w:rsidP="00A21959">
            <w:pPr>
              <w:pStyle w:val="Tabletext9pt"/>
            </w:pPr>
          </w:p>
        </w:tc>
      </w:tr>
      <w:tr w:rsidR="00FF1419" w:rsidRPr="00C127A3" w14:paraId="78116091" w14:textId="77777777" w:rsidTr="00A21959">
        <w:tc>
          <w:tcPr>
            <w:tcW w:w="3694" w:type="dxa"/>
          </w:tcPr>
          <w:p w14:paraId="7B65C8EC" w14:textId="77777777" w:rsidR="00FF1419" w:rsidRDefault="00FF1419" w:rsidP="00A21959">
            <w:pPr>
              <w:pStyle w:val="Tabletext9pt"/>
            </w:pPr>
            <w:r w:rsidRPr="31E98B47">
              <w:t>Women’s alcohol and drug supported accommodation</w:t>
            </w:r>
          </w:p>
        </w:tc>
        <w:tc>
          <w:tcPr>
            <w:tcW w:w="2216" w:type="dxa"/>
          </w:tcPr>
          <w:p w14:paraId="0ADA02B8" w14:textId="77777777" w:rsidR="00FF1419" w:rsidRDefault="00FF1419" w:rsidP="00A21959">
            <w:pPr>
              <w:pStyle w:val="Tabletext9pt"/>
            </w:pPr>
            <w:r w:rsidRPr="31E98B47">
              <w:t>Episodes of care</w:t>
            </w:r>
          </w:p>
        </w:tc>
        <w:tc>
          <w:tcPr>
            <w:tcW w:w="1738" w:type="dxa"/>
          </w:tcPr>
          <w:p w14:paraId="68A6FF6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7,579</w:t>
            </w:r>
          </w:p>
        </w:tc>
        <w:tc>
          <w:tcPr>
            <w:tcW w:w="1651" w:type="dxa"/>
          </w:tcPr>
          <w:p w14:paraId="69A19D03" w14:textId="77777777" w:rsidR="00FF1419" w:rsidRPr="00C127A3" w:rsidRDefault="00FF1419" w:rsidP="00A21959">
            <w:pPr>
              <w:pStyle w:val="Tabletext9pt"/>
            </w:pPr>
          </w:p>
        </w:tc>
      </w:tr>
      <w:tr w:rsidR="00FF1419" w:rsidRPr="00C127A3" w14:paraId="3F00670E" w14:textId="77777777" w:rsidTr="00A21959">
        <w:tc>
          <w:tcPr>
            <w:tcW w:w="3694" w:type="dxa"/>
          </w:tcPr>
          <w:p w14:paraId="4DB28AC5" w14:textId="77777777" w:rsidR="00FF1419" w:rsidRPr="00C127A3" w:rsidRDefault="00FF1419" w:rsidP="00A21959">
            <w:pPr>
              <w:pStyle w:val="Tabletext9pt"/>
            </w:pPr>
            <w:r w:rsidRPr="31E98B47">
              <w:t xml:space="preserve">ACCO services – community model 1 </w:t>
            </w:r>
          </w:p>
        </w:tc>
        <w:tc>
          <w:tcPr>
            <w:tcW w:w="2216" w:type="dxa"/>
          </w:tcPr>
          <w:p w14:paraId="55827737" w14:textId="77777777" w:rsidR="00FF1419" w:rsidRPr="00C127A3" w:rsidRDefault="00FF1419" w:rsidP="00A21959">
            <w:pPr>
              <w:pStyle w:val="Tabletext9pt"/>
            </w:pPr>
            <w:r w:rsidRPr="31E98B47">
              <w:t>Episodes of care</w:t>
            </w:r>
          </w:p>
        </w:tc>
        <w:tc>
          <w:tcPr>
            <w:tcW w:w="1738" w:type="dxa"/>
          </w:tcPr>
          <w:p w14:paraId="0924560C"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929.28</w:t>
            </w:r>
          </w:p>
        </w:tc>
        <w:tc>
          <w:tcPr>
            <w:tcW w:w="1651" w:type="dxa"/>
          </w:tcPr>
          <w:p w14:paraId="5205AE66" w14:textId="77777777" w:rsidR="00FF1419" w:rsidRPr="00C127A3" w:rsidRDefault="00FF1419" w:rsidP="00A21959">
            <w:pPr>
              <w:pStyle w:val="Tabletext9pt"/>
            </w:pPr>
          </w:p>
        </w:tc>
      </w:tr>
      <w:tr w:rsidR="00FF1419" w:rsidRPr="00C127A3" w14:paraId="761BD253" w14:textId="77777777" w:rsidTr="00A21959">
        <w:tc>
          <w:tcPr>
            <w:tcW w:w="3694" w:type="dxa"/>
          </w:tcPr>
          <w:p w14:paraId="0D7E626D" w14:textId="77777777" w:rsidR="00FF1419" w:rsidRPr="00C127A3" w:rsidRDefault="00FF1419" w:rsidP="00A21959">
            <w:pPr>
              <w:pStyle w:val="Tabletext9pt"/>
            </w:pPr>
            <w:r w:rsidRPr="31E98B47">
              <w:t>ACCO services – community models 2 and 3</w:t>
            </w:r>
          </w:p>
        </w:tc>
        <w:tc>
          <w:tcPr>
            <w:tcW w:w="2216" w:type="dxa"/>
          </w:tcPr>
          <w:p w14:paraId="44929703" w14:textId="77777777" w:rsidR="00FF1419" w:rsidRPr="00C127A3" w:rsidRDefault="00FF1419" w:rsidP="00A21959">
            <w:pPr>
              <w:pStyle w:val="Tabletext9pt"/>
            </w:pPr>
            <w:r w:rsidRPr="31E98B47">
              <w:t>Episodes of care</w:t>
            </w:r>
          </w:p>
        </w:tc>
        <w:tc>
          <w:tcPr>
            <w:tcW w:w="1738" w:type="dxa"/>
          </w:tcPr>
          <w:p w14:paraId="46B81665"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2,871</w:t>
            </w:r>
          </w:p>
        </w:tc>
        <w:tc>
          <w:tcPr>
            <w:tcW w:w="1651" w:type="dxa"/>
          </w:tcPr>
          <w:p w14:paraId="1F400566" w14:textId="77777777" w:rsidR="00FF1419" w:rsidRPr="00C127A3" w:rsidRDefault="00FF1419" w:rsidP="00A21959">
            <w:pPr>
              <w:pStyle w:val="Tabletext9pt"/>
            </w:pPr>
          </w:p>
        </w:tc>
      </w:tr>
      <w:tr w:rsidR="00FF1419" w:rsidRPr="00C127A3" w14:paraId="7AA27666" w14:textId="77777777" w:rsidTr="00A21959">
        <w:tc>
          <w:tcPr>
            <w:tcW w:w="3694" w:type="dxa"/>
          </w:tcPr>
          <w:p w14:paraId="2460A3CE" w14:textId="77777777" w:rsidR="00FF1419" w:rsidRPr="00C127A3" w:rsidRDefault="00FF1419" w:rsidP="00A21959">
            <w:pPr>
              <w:pStyle w:val="Tabletext9pt"/>
            </w:pPr>
            <w:r w:rsidRPr="31E98B47">
              <w:t>ACCO services – community alcohol and drug worker</w:t>
            </w:r>
          </w:p>
        </w:tc>
        <w:tc>
          <w:tcPr>
            <w:tcW w:w="2216" w:type="dxa"/>
          </w:tcPr>
          <w:p w14:paraId="2A78CDCF" w14:textId="77777777" w:rsidR="00FF1419" w:rsidRPr="00C127A3" w:rsidRDefault="00FF1419" w:rsidP="00A21959">
            <w:pPr>
              <w:pStyle w:val="Tabletext9pt"/>
            </w:pPr>
            <w:r w:rsidRPr="31E98B47">
              <w:t>Episodes of care</w:t>
            </w:r>
          </w:p>
        </w:tc>
        <w:tc>
          <w:tcPr>
            <w:tcW w:w="1738" w:type="dxa"/>
          </w:tcPr>
          <w:p w14:paraId="777C4BF9"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2,551</w:t>
            </w:r>
          </w:p>
        </w:tc>
        <w:tc>
          <w:tcPr>
            <w:tcW w:w="1651" w:type="dxa"/>
          </w:tcPr>
          <w:p w14:paraId="767B7E20" w14:textId="77777777" w:rsidR="00FF1419" w:rsidRPr="00C127A3" w:rsidRDefault="00FF1419" w:rsidP="00A21959">
            <w:pPr>
              <w:pStyle w:val="Tabletext9pt"/>
            </w:pPr>
          </w:p>
        </w:tc>
      </w:tr>
      <w:bookmarkEnd w:id="2217"/>
      <w:bookmarkEnd w:id="2218"/>
      <w:bookmarkEnd w:id="2219"/>
      <w:bookmarkEnd w:id="2220"/>
    </w:tbl>
    <w:p w14:paraId="0C3BCDEE" w14:textId="77777777" w:rsidR="00FF1419" w:rsidRPr="00FF1419" w:rsidRDefault="00FF1419" w:rsidP="00FF1419">
      <w:pPr>
        <w:pStyle w:val="Body"/>
      </w:pPr>
    </w:p>
    <w:p w14:paraId="7DCDABD4" w14:textId="77777777" w:rsidR="005B699B" w:rsidRDefault="005B699B" w:rsidP="001E4292">
      <w:pPr>
        <w:pStyle w:val="Heading2"/>
        <w:numPr>
          <w:ilvl w:val="1"/>
          <w:numId w:val="13"/>
        </w:numPr>
        <w:ind w:left="1134" w:hanging="1134"/>
      </w:pPr>
      <w:bookmarkStart w:id="2221" w:name="_Toc110950040"/>
      <w:bookmarkStart w:id="2222" w:name="_Toc38365181"/>
      <w:bookmarkStart w:id="2223" w:name="_Toc38365306"/>
      <w:bookmarkStart w:id="2224" w:name="_Toc51058185"/>
      <w:bookmarkStart w:id="2225" w:name="_Toc52898482"/>
      <w:bookmarkStart w:id="2226" w:name="_Toc52899860"/>
      <w:bookmarkStart w:id="2227" w:name="_Toc52901315"/>
      <w:bookmarkStart w:id="2228" w:name="_Toc52902658"/>
      <w:bookmarkStart w:id="2229" w:name="_Toc52904121"/>
      <w:bookmarkStart w:id="2230" w:name="_Toc53059098"/>
      <w:bookmarkStart w:id="2231" w:name="_Toc53060442"/>
      <w:bookmarkStart w:id="2232" w:name="_Toc53061784"/>
      <w:bookmarkStart w:id="2233" w:name="_Toc53063247"/>
      <w:bookmarkStart w:id="2234" w:name="_Toc53064624"/>
      <w:bookmarkStart w:id="2235" w:name="_Toc53066002"/>
      <w:bookmarkStart w:id="2236" w:name="_Toc54261573"/>
      <w:bookmarkStart w:id="2237" w:name="_Toc54615389"/>
      <w:bookmarkStart w:id="2238" w:name="_Toc55380972"/>
      <w:bookmarkStart w:id="2239" w:name="_Toc38365182"/>
      <w:bookmarkStart w:id="2240" w:name="_Toc38365307"/>
      <w:bookmarkStart w:id="2241" w:name="_Toc51058186"/>
      <w:bookmarkStart w:id="2242" w:name="_Toc52898483"/>
      <w:bookmarkStart w:id="2243" w:name="_Toc52899861"/>
      <w:bookmarkStart w:id="2244" w:name="_Toc52901316"/>
      <w:bookmarkStart w:id="2245" w:name="_Toc52902659"/>
      <w:bookmarkStart w:id="2246" w:name="_Toc52904122"/>
      <w:bookmarkStart w:id="2247" w:name="_Toc53059099"/>
      <w:bookmarkStart w:id="2248" w:name="_Toc53060443"/>
      <w:bookmarkStart w:id="2249" w:name="_Toc53061785"/>
      <w:bookmarkStart w:id="2250" w:name="_Toc53063248"/>
      <w:bookmarkStart w:id="2251" w:name="_Toc53064625"/>
      <w:bookmarkStart w:id="2252" w:name="_Toc53066003"/>
      <w:bookmarkStart w:id="2253" w:name="_Toc54261574"/>
      <w:bookmarkStart w:id="2254" w:name="_Toc54615390"/>
      <w:bookmarkStart w:id="2255" w:name="_Toc55380973"/>
      <w:bookmarkStart w:id="2256" w:name="_Toc38365183"/>
      <w:bookmarkStart w:id="2257" w:name="_Toc38365308"/>
      <w:bookmarkStart w:id="2258" w:name="_Toc51058187"/>
      <w:bookmarkStart w:id="2259" w:name="_Toc52898484"/>
      <w:bookmarkStart w:id="2260" w:name="_Toc52899862"/>
      <w:bookmarkStart w:id="2261" w:name="_Toc52901317"/>
      <w:bookmarkStart w:id="2262" w:name="_Toc52902660"/>
      <w:bookmarkStart w:id="2263" w:name="_Toc52904123"/>
      <w:bookmarkStart w:id="2264" w:name="_Toc53059100"/>
      <w:bookmarkStart w:id="2265" w:name="_Toc53060444"/>
      <w:bookmarkStart w:id="2266" w:name="_Toc53061786"/>
      <w:bookmarkStart w:id="2267" w:name="_Toc53063249"/>
      <w:bookmarkStart w:id="2268" w:name="_Toc53064626"/>
      <w:bookmarkStart w:id="2269" w:name="_Toc53066004"/>
      <w:bookmarkStart w:id="2270" w:name="_Toc54261575"/>
      <w:bookmarkStart w:id="2271" w:name="_Toc54615391"/>
      <w:bookmarkStart w:id="2272" w:name="_Toc55380974"/>
      <w:bookmarkStart w:id="2273" w:name="_Toc38365232"/>
      <w:bookmarkStart w:id="2274" w:name="_Toc38365357"/>
      <w:bookmarkStart w:id="2275" w:name="_Toc51058236"/>
      <w:bookmarkStart w:id="2276" w:name="_Toc54261624"/>
      <w:bookmarkStart w:id="2277" w:name="_Toc55381023"/>
      <w:bookmarkStart w:id="2278" w:name="_Ref423020194"/>
      <w:bookmarkStart w:id="2279" w:name="_Ref423020203"/>
      <w:bookmarkStart w:id="2280" w:name="_Toc487742009"/>
      <w:bookmarkStart w:id="2281" w:name="_Toc14172239"/>
      <w:bookmarkStart w:id="2282" w:name="_Toc100263349"/>
      <w:bookmarkStart w:id="2283" w:name="_Toc165961853"/>
      <w:bookmarkStart w:id="2284" w:name="_Toc178963639"/>
      <w:bookmarkStart w:id="2285" w:name="_Toc418694988"/>
      <w:bookmarkStart w:id="2286" w:name="_Ref419741590"/>
      <w:bookmarkStart w:id="2287" w:name="_Ref419741598"/>
      <w:bookmarkEnd w:id="2213"/>
      <w:bookmarkEnd w:id="2214"/>
      <w:bookmarkEnd w:id="2215"/>
      <w:bookmarkEnd w:id="2216"/>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r>
        <w:t xml:space="preserve">Ageing, aged and home </w:t>
      </w:r>
      <w:bookmarkEnd w:id="2278"/>
      <w:bookmarkEnd w:id="2279"/>
      <w:bookmarkEnd w:id="2280"/>
      <w:bookmarkEnd w:id="2281"/>
      <w:bookmarkEnd w:id="2282"/>
      <w:r w:rsidRPr="00731B6C">
        <w:t>care</w:t>
      </w:r>
      <w:bookmarkEnd w:id="2283"/>
      <w:bookmarkEnd w:id="2284"/>
    </w:p>
    <w:p w14:paraId="17CC6E37" w14:textId="41B12BD3" w:rsidR="00A97999" w:rsidRPr="00377487" w:rsidRDefault="00A97999" w:rsidP="00F77982">
      <w:pPr>
        <w:pStyle w:val="Tablecaption"/>
        <w:rPr>
          <w:lang w:eastAsia="en-AU"/>
        </w:rPr>
      </w:pPr>
      <w:bookmarkStart w:id="2288" w:name="_Toc176510408"/>
      <w:bookmarkStart w:id="2289" w:name="_Toc487742074"/>
      <w:r w:rsidRPr="00A97999">
        <w:t>Table 1.</w:t>
      </w:r>
      <w:r>
        <w:fldChar w:fldCharType="begin"/>
      </w:r>
      <w:r>
        <w:instrText>SEQ Table \* ARABIC</w:instrText>
      </w:r>
      <w:r>
        <w:fldChar w:fldCharType="separate"/>
      </w:r>
      <w:r w:rsidR="00F30C16" w:rsidRPr="00377487">
        <w:t>18</w:t>
      </w:r>
      <w:r>
        <w:fldChar w:fldCharType="end"/>
      </w:r>
      <w:r w:rsidRPr="00377487">
        <w:t>: Ageing, aged and home care 2024–25</w:t>
      </w:r>
      <w:r w:rsidRPr="00377487">
        <w:rPr>
          <w:vertAlign w:val="superscript"/>
        </w:rPr>
        <w:footnoteReference w:id="6"/>
      </w:r>
      <w:bookmarkEnd w:id="2288"/>
    </w:p>
    <w:p w14:paraId="51D84F85" w14:textId="77777777" w:rsidR="005B699B" w:rsidRPr="00340749" w:rsidRDefault="005B699B" w:rsidP="00AC64A0">
      <w:pPr>
        <w:pStyle w:val="Body"/>
      </w:pPr>
      <w:r>
        <w:rPr>
          <w:lang w:eastAsia="en-AU"/>
        </w:rPr>
        <w:t>Program area: Residential aged care</w:t>
      </w:r>
      <w:r w:rsidRPr="00AC64A0">
        <w:rPr>
          <w:szCs w:val="18"/>
          <w:vertAlign w:val="superscript"/>
          <w:lang w:eastAsia="en-AU"/>
        </w:rPr>
        <w:footnoteReference w:id="7"/>
      </w:r>
      <w:r>
        <w:rPr>
          <w:lang w:eastAsia="en-AU"/>
        </w:rPr>
        <w:t xml:space="preserve"> </w:t>
      </w:r>
      <w:r>
        <w:t>–</w:t>
      </w:r>
      <w:r>
        <w:rPr>
          <w:lang w:eastAsia="en-AU"/>
        </w:rPr>
        <w:t xml:space="preserve"> public sector residential aged care supplements</w:t>
      </w:r>
    </w:p>
    <w:tbl>
      <w:tblPr>
        <w:tblW w:w="9359" w:type="dxa"/>
        <w:tblLook w:val="06A0" w:firstRow="1" w:lastRow="0" w:firstColumn="1" w:lastColumn="0" w:noHBand="1" w:noVBand="1"/>
      </w:tblPr>
      <w:tblGrid>
        <w:gridCol w:w="4815"/>
        <w:gridCol w:w="1843"/>
        <w:gridCol w:w="2689"/>
        <w:gridCol w:w="12"/>
      </w:tblGrid>
      <w:tr w:rsidR="00FF1419" w14:paraId="0F719580" w14:textId="77777777" w:rsidTr="00A21959">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49EC644E" w14:textId="77777777" w:rsidR="00FF1419" w:rsidRPr="00F717FB" w:rsidRDefault="00FF1419" w:rsidP="00A21959">
            <w:pPr>
              <w:pStyle w:val="Tablecolhead"/>
              <w:rPr>
                <w:rFonts w:eastAsia="Arial"/>
                <w:szCs w:val="21"/>
              </w:rPr>
            </w:pPr>
            <w:r w:rsidRPr="00F717FB">
              <w:rPr>
                <w:rFonts w:eastAsia="Arial"/>
                <w:szCs w:val="21"/>
              </w:rPr>
              <w:t>Service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0CD0D304" w14:textId="77777777" w:rsidR="00FF1419" w:rsidRPr="00F717FB" w:rsidRDefault="00FF1419" w:rsidP="00A21959">
            <w:pPr>
              <w:pStyle w:val="Tablecolhead"/>
              <w:rPr>
                <w:rFonts w:eastAsia="Arial"/>
                <w:szCs w:val="21"/>
              </w:rPr>
            </w:pPr>
            <w:r w:rsidRPr="00F717FB">
              <w:rPr>
                <w:rFonts w:eastAsia="Arial"/>
                <w:szCs w:val="21"/>
              </w:rPr>
              <w:t>Funded unit</w:t>
            </w:r>
          </w:p>
        </w:tc>
        <w:tc>
          <w:tcPr>
            <w:tcW w:w="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3BE94A" w14:textId="77777777" w:rsidR="00FF1419" w:rsidRPr="00F717FB" w:rsidRDefault="00FF1419" w:rsidP="00A21959">
            <w:pPr>
              <w:pStyle w:val="Tablecolhead"/>
              <w:rPr>
                <w:rFonts w:eastAsia="Arial"/>
                <w:szCs w:val="21"/>
              </w:rPr>
            </w:pPr>
            <w:r w:rsidRPr="00F717FB">
              <w:rPr>
                <w:rFonts w:eastAsia="Arial"/>
                <w:szCs w:val="21"/>
              </w:rPr>
              <w:t>Estimated unit price ($)</w:t>
            </w:r>
          </w:p>
        </w:tc>
      </w:tr>
      <w:tr w:rsidR="00FF1419" w14:paraId="7702A48D" w14:textId="77777777" w:rsidTr="00A21959">
        <w:trPr>
          <w:cantSplit/>
        </w:trPr>
        <w:tc>
          <w:tcPr>
            <w:tcW w:w="4815" w:type="dxa"/>
            <w:tcBorders>
              <w:top w:val="single" w:sz="4" w:space="0" w:color="auto"/>
              <w:left w:val="single" w:sz="4" w:space="0" w:color="auto"/>
              <w:bottom w:val="single" w:sz="4" w:space="0" w:color="auto"/>
              <w:right w:val="single" w:sz="4" w:space="0" w:color="auto"/>
            </w:tcBorders>
            <w:hideMark/>
          </w:tcPr>
          <w:p w14:paraId="13810C45" w14:textId="77777777" w:rsidR="00FF1419" w:rsidRDefault="00FF1419" w:rsidP="00A21959">
            <w:pPr>
              <w:pStyle w:val="Tabletext9pt"/>
              <w:rPr>
                <w:lang w:eastAsia="en-AU"/>
              </w:rPr>
            </w:pPr>
            <w:r>
              <w:rPr>
                <w:lang w:eastAsia="en-AU"/>
              </w:rPr>
              <w:t>Rural small high-care supplement</w:t>
            </w:r>
          </w:p>
          <w:p w14:paraId="58C07274" w14:textId="77777777" w:rsidR="00FF1419" w:rsidRDefault="00FF1419" w:rsidP="00A21959">
            <w:pPr>
              <w:pStyle w:val="Tabletext9pt"/>
              <w:rPr>
                <w:lang w:eastAsia="en-AU"/>
              </w:rPr>
            </w:pPr>
            <w:r>
              <w:rPr>
                <w:lang w:eastAsia="en-AU"/>
              </w:rPr>
              <w:t>1</w:t>
            </w:r>
            <w:r>
              <w:t>–</w:t>
            </w:r>
            <w:r>
              <w:rPr>
                <w:lang w:eastAsia="en-AU"/>
              </w:rPr>
              <w:t>10 places</w:t>
            </w:r>
          </w:p>
        </w:tc>
        <w:tc>
          <w:tcPr>
            <w:tcW w:w="1843" w:type="dxa"/>
            <w:tcBorders>
              <w:top w:val="single" w:sz="4" w:space="0" w:color="auto"/>
              <w:left w:val="single" w:sz="4" w:space="0" w:color="auto"/>
              <w:bottom w:val="single" w:sz="4" w:space="0" w:color="auto"/>
              <w:right w:val="single" w:sz="4" w:space="0" w:color="auto"/>
            </w:tcBorders>
            <w:hideMark/>
          </w:tcPr>
          <w:p w14:paraId="69F3BF9A" w14:textId="77777777" w:rsidR="00FF1419" w:rsidRDefault="00FF1419" w:rsidP="00A21959">
            <w:pPr>
              <w:pStyle w:val="Tabletext9pt"/>
              <w:rPr>
                <w:lang w:eastAsia="en-AU"/>
              </w:rPr>
            </w:pPr>
            <w:r>
              <w:rPr>
                <w:lang w:eastAsia="en-AU"/>
              </w:rPr>
              <w:t>Bed day</w:t>
            </w:r>
          </w:p>
        </w:tc>
        <w:tc>
          <w:tcPr>
            <w:tcW w:w="2701" w:type="dxa"/>
            <w:gridSpan w:val="2"/>
            <w:tcBorders>
              <w:top w:val="single" w:sz="4" w:space="0" w:color="auto"/>
              <w:left w:val="single" w:sz="4" w:space="0" w:color="auto"/>
              <w:bottom w:val="single" w:sz="4" w:space="0" w:color="auto"/>
              <w:right w:val="single" w:sz="4" w:space="0" w:color="auto"/>
            </w:tcBorders>
          </w:tcPr>
          <w:p w14:paraId="470A73A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11.94</w:t>
            </w:r>
          </w:p>
        </w:tc>
      </w:tr>
      <w:tr w:rsidR="00FF1419" w14:paraId="392EE41A"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3B6FB6D9" w14:textId="77777777" w:rsidR="00FF1419" w:rsidRDefault="00FF1419" w:rsidP="00A21959">
            <w:pPr>
              <w:pStyle w:val="Tabletext9pt"/>
              <w:rPr>
                <w:lang w:eastAsia="en-AU"/>
              </w:rPr>
            </w:pPr>
            <w:r>
              <w:rPr>
                <w:lang w:eastAsia="en-AU"/>
              </w:rPr>
              <w:t>Rural small high-care supplement</w:t>
            </w:r>
          </w:p>
          <w:p w14:paraId="47C685F6" w14:textId="77777777" w:rsidR="00FF1419" w:rsidRDefault="00FF1419" w:rsidP="00A21959">
            <w:pPr>
              <w:pStyle w:val="Tabletext9pt"/>
              <w:rPr>
                <w:lang w:eastAsia="en-AU"/>
              </w:rPr>
            </w:pPr>
            <w:r>
              <w:rPr>
                <w:lang w:eastAsia="en-AU"/>
              </w:rPr>
              <w:t>11</w:t>
            </w:r>
            <w:r>
              <w:t>–</w:t>
            </w:r>
            <w:r>
              <w:rPr>
                <w:lang w:eastAsia="en-AU"/>
              </w:rPr>
              <w:t>20 places</w:t>
            </w:r>
          </w:p>
        </w:tc>
        <w:tc>
          <w:tcPr>
            <w:tcW w:w="1843" w:type="dxa"/>
            <w:tcBorders>
              <w:top w:val="single" w:sz="4" w:space="0" w:color="auto"/>
              <w:left w:val="single" w:sz="4" w:space="0" w:color="auto"/>
              <w:bottom w:val="single" w:sz="4" w:space="0" w:color="auto"/>
              <w:right w:val="single" w:sz="4" w:space="0" w:color="auto"/>
            </w:tcBorders>
            <w:hideMark/>
          </w:tcPr>
          <w:p w14:paraId="260E141F"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0526B65E"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8.95</w:t>
            </w:r>
          </w:p>
        </w:tc>
      </w:tr>
      <w:tr w:rsidR="00FF1419" w14:paraId="03DB9B88"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56F19CE0" w14:textId="77777777" w:rsidR="00FF1419" w:rsidRDefault="00FF1419" w:rsidP="00A21959">
            <w:pPr>
              <w:pStyle w:val="Tabletext9pt"/>
              <w:rPr>
                <w:lang w:eastAsia="en-AU"/>
              </w:rPr>
            </w:pPr>
            <w:r>
              <w:rPr>
                <w:lang w:eastAsia="en-AU"/>
              </w:rPr>
              <w:t>Rural small high-care supplement</w:t>
            </w:r>
          </w:p>
          <w:p w14:paraId="0E1C18A4" w14:textId="77777777" w:rsidR="00FF1419" w:rsidRDefault="00FF1419" w:rsidP="00A21959">
            <w:pPr>
              <w:pStyle w:val="Tabletext9pt"/>
              <w:rPr>
                <w:lang w:eastAsia="en-AU"/>
              </w:rPr>
            </w:pPr>
            <w:r>
              <w:rPr>
                <w:lang w:eastAsia="en-AU"/>
              </w:rPr>
              <w:t>21</w:t>
            </w:r>
            <w:r>
              <w:t>–</w:t>
            </w:r>
            <w:r>
              <w:rPr>
                <w:lang w:eastAsia="en-AU"/>
              </w:rPr>
              <w:t>30 places</w:t>
            </w:r>
          </w:p>
        </w:tc>
        <w:tc>
          <w:tcPr>
            <w:tcW w:w="1843" w:type="dxa"/>
            <w:tcBorders>
              <w:top w:val="single" w:sz="4" w:space="0" w:color="auto"/>
              <w:left w:val="single" w:sz="4" w:space="0" w:color="auto"/>
              <w:bottom w:val="single" w:sz="4" w:space="0" w:color="auto"/>
              <w:right w:val="single" w:sz="4" w:space="0" w:color="auto"/>
            </w:tcBorders>
            <w:hideMark/>
          </w:tcPr>
          <w:p w14:paraId="66EA0831"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3B493DF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7.47</w:t>
            </w:r>
          </w:p>
        </w:tc>
      </w:tr>
      <w:tr w:rsidR="00FF1419" w14:paraId="2A11E375"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1AEA5F9D" w14:textId="77777777" w:rsidR="00FF1419" w:rsidRDefault="00FF1419" w:rsidP="00A21959">
            <w:pPr>
              <w:pStyle w:val="Tabletext9pt"/>
              <w:rPr>
                <w:lang w:eastAsia="en-AU"/>
              </w:rPr>
            </w:pPr>
            <w:r>
              <w:rPr>
                <w:lang w:eastAsia="en-AU"/>
              </w:rPr>
              <w:t>Low-care supplement</w:t>
            </w:r>
            <w:r>
              <w:rPr>
                <w:szCs w:val="18"/>
                <w:lang w:eastAsia="en-AU"/>
              </w:rPr>
              <w:footnoteReference w:id="8"/>
            </w:r>
          </w:p>
        </w:tc>
        <w:tc>
          <w:tcPr>
            <w:tcW w:w="1843" w:type="dxa"/>
            <w:tcBorders>
              <w:top w:val="single" w:sz="4" w:space="0" w:color="auto"/>
              <w:left w:val="single" w:sz="4" w:space="0" w:color="auto"/>
              <w:bottom w:val="single" w:sz="4" w:space="0" w:color="auto"/>
              <w:right w:val="single" w:sz="4" w:space="0" w:color="auto"/>
            </w:tcBorders>
            <w:hideMark/>
          </w:tcPr>
          <w:p w14:paraId="2C62CE26"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658B3F8D"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6.84</w:t>
            </w:r>
          </w:p>
        </w:tc>
      </w:tr>
      <w:tr w:rsidR="00FF1419" w14:paraId="507F9C54"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0B4FD42D" w14:textId="77777777" w:rsidR="00FF1419" w:rsidRDefault="00FF1419" w:rsidP="00A21959">
            <w:pPr>
              <w:pStyle w:val="Tabletext9pt"/>
              <w:rPr>
                <w:lang w:eastAsia="en-AU"/>
              </w:rPr>
            </w:pPr>
            <w:r>
              <w:rPr>
                <w:lang w:eastAsia="en-AU"/>
              </w:rPr>
              <w:t>High-care supplement</w:t>
            </w:r>
          </w:p>
        </w:tc>
        <w:tc>
          <w:tcPr>
            <w:tcW w:w="1843" w:type="dxa"/>
            <w:tcBorders>
              <w:top w:val="single" w:sz="4" w:space="0" w:color="auto"/>
              <w:left w:val="single" w:sz="4" w:space="0" w:color="auto"/>
              <w:bottom w:val="single" w:sz="4" w:space="0" w:color="auto"/>
              <w:right w:val="single" w:sz="4" w:space="0" w:color="auto"/>
            </w:tcBorders>
            <w:hideMark/>
          </w:tcPr>
          <w:p w14:paraId="108B7F91"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52A9A083"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73.87</w:t>
            </w:r>
          </w:p>
        </w:tc>
      </w:tr>
      <w:tr w:rsidR="00FF1419" w14:paraId="74558DED"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4A9D1B15" w14:textId="77777777" w:rsidR="00FF1419" w:rsidRDefault="00FF1419" w:rsidP="00A21959">
            <w:pPr>
              <w:pStyle w:val="Tabletext9pt"/>
              <w:rPr>
                <w:lang w:eastAsia="en-AU"/>
              </w:rPr>
            </w:pPr>
            <w:r>
              <w:rPr>
                <w:lang w:eastAsia="en-AU"/>
              </w:rPr>
              <w:t>Public sector residential aged care supplement</w:t>
            </w:r>
          </w:p>
        </w:tc>
        <w:tc>
          <w:tcPr>
            <w:tcW w:w="1843" w:type="dxa"/>
            <w:tcBorders>
              <w:top w:val="single" w:sz="4" w:space="0" w:color="auto"/>
              <w:left w:val="single" w:sz="4" w:space="0" w:color="auto"/>
              <w:bottom w:val="single" w:sz="4" w:space="0" w:color="auto"/>
              <w:right w:val="single" w:sz="4" w:space="0" w:color="auto"/>
            </w:tcBorders>
            <w:hideMark/>
          </w:tcPr>
          <w:p w14:paraId="0824C2EF"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0556F73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13.98</w:t>
            </w:r>
          </w:p>
        </w:tc>
      </w:tr>
      <w:tr w:rsidR="00FF1419" w14:paraId="1595EDF6" w14:textId="77777777" w:rsidTr="00A21959">
        <w:trPr>
          <w:gridAfter w:val="1"/>
          <w:wAfter w:w="12" w:type="dxa"/>
          <w:cantSplit/>
        </w:trPr>
        <w:tc>
          <w:tcPr>
            <w:tcW w:w="4815" w:type="dxa"/>
            <w:tcBorders>
              <w:top w:val="single" w:sz="4" w:space="0" w:color="auto"/>
              <w:left w:val="single" w:sz="4" w:space="0" w:color="auto"/>
              <w:bottom w:val="single" w:sz="4" w:space="0" w:color="auto"/>
              <w:right w:val="single" w:sz="4" w:space="0" w:color="auto"/>
            </w:tcBorders>
            <w:hideMark/>
          </w:tcPr>
          <w:p w14:paraId="1132C4B9" w14:textId="77777777" w:rsidR="00FF1419" w:rsidRDefault="00FF1419" w:rsidP="00A21959">
            <w:pPr>
              <w:pStyle w:val="Tabletext9pt"/>
              <w:rPr>
                <w:lang w:eastAsia="en-AU"/>
              </w:rPr>
            </w:pPr>
            <w:r>
              <w:rPr>
                <w:lang w:eastAsia="en-AU"/>
              </w:rPr>
              <w:t>Complex care supplement</w:t>
            </w:r>
          </w:p>
        </w:tc>
        <w:tc>
          <w:tcPr>
            <w:tcW w:w="1843" w:type="dxa"/>
            <w:tcBorders>
              <w:top w:val="single" w:sz="4" w:space="0" w:color="auto"/>
              <w:left w:val="single" w:sz="4" w:space="0" w:color="auto"/>
              <w:bottom w:val="single" w:sz="4" w:space="0" w:color="auto"/>
              <w:right w:val="single" w:sz="4" w:space="0" w:color="auto"/>
            </w:tcBorders>
            <w:hideMark/>
          </w:tcPr>
          <w:p w14:paraId="63B197FD" w14:textId="77777777" w:rsidR="00FF1419" w:rsidRDefault="00FF1419" w:rsidP="00A21959">
            <w:pPr>
              <w:pStyle w:val="Tabletext9pt"/>
              <w:rPr>
                <w:lang w:eastAsia="en-AU"/>
              </w:rPr>
            </w:pPr>
            <w:r>
              <w:rPr>
                <w:lang w:eastAsia="en-AU"/>
              </w:rPr>
              <w:t>Bed day</w:t>
            </w:r>
          </w:p>
        </w:tc>
        <w:tc>
          <w:tcPr>
            <w:tcW w:w="2689" w:type="dxa"/>
            <w:tcBorders>
              <w:top w:val="single" w:sz="4" w:space="0" w:color="auto"/>
              <w:left w:val="single" w:sz="4" w:space="0" w:color="auto"/>
              <w:bottom w:val="single" w:sz="4" w:space="0" w:color="auto"/>
              <w:right w:val="single" w:sz="4" w:space="0" w:color="auto"/>
            </w:tcBorders>
          </w:tcPr>
          <w:p w14:paraId="2F20BA40"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44.81</w:t>
            </w:r>
          </w:p>
        </w:tc>
      </w:tr>
    </w:tbl>
    <w:p w14:paraId="38FE04AB" w14:textId="77777777" w:rsidR="00F77982" w:rsidRDefault="00F77982" w:rsidP="00AC64A0">
      <w:pPr>
        <w:pStyle w:val="Bodyafterfiguretable"/>
        <w:rPr>
          <w:lang w:eastAsia="en-AU"/>
        </w:rPr>
      </w:pPr>
    </w:p>
    <w:p w14:paraId="70E0520D" w14:textId="77777777" w:rsidR="00F77982" w:rsidRDefault="00F77982">
      <w:pPr>
        <w:spacing w:after="0" w:line="240" w:lineRule="auto"/>
        <w:rPr>
          <w:rFonts w:eastAsia="Times"/>
          <w:lang w:eastAsia="en-AU"/>
        </w:rPr>
      </w:pPr>
      <w:r>
        <w:rPr>
          <w:lang w:eastAsia="en-AU"/>
        </w:rPr>
        <w:br w:type="page"/>
      </w:r>
    </w:p>
    <w:p w14:paraId="56EB704E" w14:textId="0405E2F4" w:rsidR="005B699B" w:rsidRDefault="005B699B" w:rsidP="00AC64A0">
      <w:pPr>
        <w:pStyle w:val="Bodyafterfiguretable"/>
      </w:pPr>
      <w:r>
        <w:rPr>
          <w:lang w:eastAsia="en-AU"/>
        </w:rPr>
        <w:lastRenderedPageBreak/>
        <w:t xml:space="preserve">Program area: </w:t>
      </w:r>
      <w:r w:rsidRPr="00204BA0">
        <w:t>Home and Community Care Program for Younger</w:t>
      </w:r>
      <w:r>
        <w:t xml:space="preserve"> People</w:t>
      </w:r>
    </w:p>
    <w:tbl>
      <w:tblPr>
        <w:tblW w:w="9359" w:type="dxa"/>
        <w:tblLook w:val="06A0" w:firstRow="1" w:lastRow="0" w:firstColumn="1" w:lastColumn="0" w:noHBand="1" w:noVBand="1"/>
      </w:tblPr>
      <w:tblGrid>
        <w:gridCol w:w="4815"/>
        <w:gridCol w:w="1843"/>
        <w:gridCol w:w="2701"/>
      </w:tblGrid>
      <w:tr w:rsidR="00FF1419" w14:paraId="2A95B5B8" w14:textId="77777777" w:rsidTr="00A21959">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6A35E135" w14:textId="77777777" w:rsidR="00FF1419" w:rsidRPr="00F717FB" w:rsidRDefault="00FF1419" w:rsidP="00A21959">
            <w:pPr>
              <w:pStyle w:val="Tablecolhead"/>
              <w:rPr>
                <w:rFonts w:eastAsia="Arial"/>
                <w:szCs w:val="21"/>
              </w:rPr>
            </w:pPr>
            <w:r w:rsidRPr="00F717FB">
              <w:rPr>
                <w:rFonts w:eastAsia="Arial"/>
                <w:szCs w:val="21"/>
              </w:rPr>
              <w:t>Service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300DA8FD" w14:textId="77777777" w:rsidR="00FF1419" w:rsidRPr="00F717FB" w:rsidRDefault="00FF1419" w:rsidP="00A21959">
            <w:pPr>
              <w:pStyle w:val="Tablecolhead"/>
              <w:rPr>
                <w:rFonts w:eastAsia="Arial"/>
                <w:szCs w:val="21"/>
              </w:rPr>
            </w:pPr>
            <w:r w:rsidRPr="00F717FB">
              <w:rPr>
                <w:rFonts w:eastAsia="Arial"/>
                <w:szCs w:val="21"/>
              </w:rPr>
              <w:t>Funded unit</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1718B99F" w14:textId="77777777" w:rsidR="00FF1419" w:rsidRPr="00F717FB" w:rsidRDefault="00FF1419" w:rsidP="00A21959">
            <w:pPr>
              <w:pStyle w:val="Tablecolhead"/>
              <w:rPr>
                <w:rFonts w:eastAsia="Arial"/>
                <w:szCs w:val="21"/>
              </w:rPr>
            </w:pPr>
            <w:r w:rsidRPr="00F717FB">
              <w:rPr>
                <w:rFonts w:eastAsia="Arial"/>
                <w:szCs w:val="21"/>
              </w:rPr>
              <w:t>Estimated unit price ($)</w:t>
            </w:r>
          </w:p>
        </w:tc>
      </w:tr>
      <w:tr w:rsidR="00FF1419" w14:paraId="40C65679"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92D15" w14:textId="77777777" w:rsidR="00FF1419" w:rsidRPr="00001367" w:rsidRDefault="00FF1419" w:rsidP="00A21959">
            <w:pPr>
              <w:pStyle w:val="Tabletext9pt"/>
            </w:pPr>
            <w:r w:rsidRPr="00001367">
              <w:t>HACC-PYP Access and Support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36547" w14:textId="77777777" w:rsidR="00FF1419" w:rsidRPr="00001367" w:rsidRDefault="00FF1419" w:rsidP="00A21959">
            <w:pPr>
              <w:pStyle w:val="Tabletext9pt"/>
            </w:pPr>
            <w:r w:rsidRPr="00001367">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4F28"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78.33</w:t>
            </w:r>
          </w:p>
        </w:tc>
      </w:tr>
      <w:tr w:rsidR="00FF1419" w14:paraId="204D5DE6"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0287E" w14:textId="77777777" w:rsidR="00FF1419" w:rsidRPr="00001367" w:rsidRDefault="00FF1419" w:rsidP="00A21959">
            <w:pPr>
              <w:pStyle w:val="Tabletext9pt"/>
            </w:pPr>
            <w:r w:rsidRPr="00001367">
              <w:t>HACC-PYP Assessment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E16A7" w14:textId="77777777" w:rsidR="00FF1419" w:rsidRPr="00001367" w:rsidRDefault="00FF1419" w:rsidP="00A21959">
            <w:pPr>
              <w:pStyle w:val="Tabletext9pt"/>
            </w:pPr>
            <w:r w:rsidRPr="00001367">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7FD4D"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106.61</w:t>
            </w:r>
          </w:p>
        </w:tc>
      </w:tr>
      <w:tr w:rsidR="00FF1419" w14:paraId="05E3D4D9"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7FBD2" w14:textId="77777777" w:rsidR="00FF1419" w:rsidRPr="00001367" w:rsidRDefault="00FF1419" w:rsidP="00A21959">
            <w:pPr>
              <w:pStyle w:val="Tabletext9pt"/>
            </w:pPr>
            <w:r w:rsidRPr="00001367">
              <w:t>HACC-PYP Counselling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49B20" w14:textId="77777777" w:rsidR="00FF1419" w:rsidRPr="00001367" w:rsidRDefault="00FF1419" w:rsidP="00A21959">
            <w:pPr>
              <w:pStyle w:val="Tabletext9pt"/>
            </w:pPr>
            <w:r w:rsidRPr="00001367">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6013C9"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5993EA10"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693F9C" w14:textId="77777777" w:rsidR="00FF1419" w:rsidRDefault="00FF1419" w:rsidP="00A21959">
            <w:pPr>
              <w:pStyle w:val="Tabletext9pt"/>
            </w:pPr>
            <w:r>
              <w:t>HACC-PYP Delivered Meals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9EEAF" w14:textId="77777777" w:rsidR="00FF1419" w:rsidRDefault="00FF1419" w:rsidP="00A21959">
            <w:pPr>
              <w:pStyle w:val="Tabletext9pt"/>
            </w:pPr>
            <w:r>
              <w:t>Meal</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66D17"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3.86</w:t>
            </w:r>
          </w:p>
        </w:tc>
      </w:tr>
      <w:tr w:rsidR="00FF1419" w14:paraId="61603980"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7586F" w14:textId="77777777" w:rsidR="00FF1419" w:rsidRDefault="00FF1419" w:rsidP="00A21959">
            <w:pPr>
              <w:pStyle w:val="Tabletext9pt"/>
            </w:pPr>
            <w:r>
              <w:t>HACC-PYP Dietetics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84E06"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B622C2"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796871BA"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8AD936" w14:textId="77777777" w:rsidR="00FF1419" w:rsidRDefault="00FF1419" w:rsidP="00A21959">
            <w:pPr>
              <w:pStyle w:val="Tabletext9pt"/>
            </w:pPr>
            <w:r>
              <w:t>HACC-PYP Community Care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BD42B"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C75083"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53.73</w:t>
            </w:r>
          </w:p>
        </w:tc>
      </w:tr>
      <w:tr w:rsidR="00FF1419" w14:paraId="26A8F2FE"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FD8FE" w14:textId="77777777" w:rsidR="00FF1419" w:rsidRDefault="00FF1419" w:rsidP="00A21959">
            <w:pPr>
              <w:pStyle w:val="Tabletext9pt"/>
            </w:pPr>
            <w:r>
              <w:t>HACC-PYP Nursing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4675C"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4DFB28"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106.61</w:t>
            </w:r>
          </w:p>
        </w:tc>
      </w:tr>
      <w:tr w:rsidR="00FF1419" w14:paraId="2AC5B7E4"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7EBC5C" w14:textId="77777777" w:rsidR="00FF1419" w:rsidRDefault="00FF1419" w:rsidP="00A21959">
            <w:pPr>
              <w:pStyle w:val="Tabletext9pt"/>
            </w:pPr>
            <w:r>
              <w:t>HACC-PYP Occupational Therapy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CF734"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74614E"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0AE64609"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C7566" w14:textId="77777777" w:rsidR="00FF1419" w:rsidRDefault="00FF1419" w:rsidP="00A21959">
            <w:pPr>
              <w:pStyle w:val="Tabletext9pt"/>
            </w:pPr>
            <w:r>
              <w:t>HACC-PYP Physiotherapy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A0C684"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5E30"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447F23E0"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97EA4" w14:textId="77777777" w:rsidR="00FF1419" w:rsidRDefault="00FF1419" w:rsidP="00A21959">
            <w:pPr>
              <w:pStyle w:val="Tabletext9pt"/>
            </w:pPr>
            <w:r>
              <w:t>HACC-PYP Planned Activity Group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C3C55" w14:textId="77777777" w:rsidR="00FF1419" w:rsidRDefault="00FF1419" w:rsidP="00A21959">
            <w:pPr>
              <w:pStyle w:val="Tabletext9pt"/>
            </w:pPr>
            <w:r>
              <w:t>Per person</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37227"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18.48</w:t>
            </w:r>
          </w:p>
        </w:tc>
      </w:tr>
      <w:tr w:rsidR="00FF1419" w14:paraId="19975014"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01CD1" w14:textId="77777777" w:rsidR="00FF1419" w:rsidRDefault="00FF1419" w:rsidP="00A21959">
            <w:pPr>
              <w:pStyle w:val="Tabletext9pt"/>
            </w:pPr>
            <w:r>
              <w:t>HACC-PYP Podiatry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E72F7"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7D3CEF"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78DA4EE2"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E7CC09" w14:textId="77777777" w:rsidR="00FF1419" w:rsidRDefault="00FF1419" w:rsidP="00A21959">
            <w:pPr>
              <w:pStyle w:val="Tabletext9pt"/>
            </w:pPr>
            <w:r>
              <w:t>HACC-PYP Property Maintenance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8B4BA9"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E27CCB"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55.72</w:t>
            </w:r>
          </w:p>
        </w:tc>
      </w:tr>
      <w:tr w:rsidR="00FF1419" w14:paraId="1D12CEA9"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13DD1" w14:textId="77777777" w:rsidR="00FF1419" w:rsidRDefault="00FF1419" w:rsidP="00A21959">
            <w:pPr>
              <w:pStyle w:val="Tabletext9pt"/>
            </w:pPr>
            <w:r>
              <w:t>HACC-PYP Speech Therapy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D75BC"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7BFA"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116.32</w:t>
            </w:r>
          </w:p>
        </w:tc>
      </w:tr>
      <w:tr w:rsidR="00FF1419" w14:paraId="3470B338" w14:textId="77777777" w:rsidTr="00A21959">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8EDCA4" w14:textId="77777777" w:rsidR="00FF1419" w:rsidRDefault="00FF1419" w:rsidP="00A21959">
            <w:pPr>
              <w:pStyle w:val="Tabletext9pt"/>
            </w:pPr>
            <w:r>
              <w:t>HACC-PYP Volunteer Coordination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38913" w14:textId="77777777" w:rsidR="00FF1419" w:rsidRDefault="00FF1419" w:rsidP="00A21959">
            <w:pPr>
              <w:pStyle w:val="Tabletext9pt"/>
            </w:pPr>
            <w:r>
              <w:t>Hour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9E5D5D"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45.44</w:t>
            </w:r>
          </w:p>
        </w:tc>
      </w:tr>
    </w:tbl>
    <w:p w14:paraId="59B145BF" w14:textId="77777777" w:rsidR="005B699B" w:rsidRDefault="005B699B" w:rsidP="00AC64A0">
      <w:pPr>
        <w:pStyle w:val="Bodyafterfiguretable"/>
        <w:rPr>
          <w:lang w:eastAsia="en-AU"/>
        </w:rPr>
      </w:pPr>
      <w:r w:rsidRPr="00D24593">
        <w:t xml:space="preserve">Program area: </w:t>
      </w:r>
      <w:r w:rsidRPr="00D24593">
        <w:rPr>
          <w:lang w:eastAsia="en-AU"/>
        </w:rPr>
        <w:t>HACC-PYP ACCO services</w:t>
      </w:r>
    </w:p>
    <w:tbl>
      <w:tblPr>
        <w:tblW w:w="9359" w:type="dxa"/>
        <w:tblLook w:val="06A0" w:firstRow="1" w:lastRow="0" w:firstColumn="1" w:lastColumn="0" w:noHBand="1" w:noVBand="1"/>
      </w:tblPr>
      <w:tblGrid>
        <w:gridCol w:w="3575"/>
        <w:gridCol w:w="2569"/>
        <w:gridCol w:w="3215"/>
      </w:tblGrid>
      <w:tr w:rsidR="00FF1419" w14:paraId="60FF9190" w14:textId="77777777" w:rsidTr="00A21959">
        <w:trPr>
          <w:cantSplit/>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094D5DD3" w14:textId="77777777" w:rsidR="00FF1419" w:rsidRPr="00F717FB" w:rsidRDefault="00FF1419" w:rsidP="00A21959">
            <w:pPr>
              <w:pStyle w:val="Tablecolhead"/>
              <w:rPr>
                <w:rFonts w:eastAsia="Arial"/>
                <w:szCs w:val="21"/>
              </w:rPr>
            </w:pPr>
            <w:r w:rsidRPr="00F717FB">
              <w:rPr>
                <w:rFonts w:eastAsia="Arial"/>
                <w:szCs w:val="21"/>
              </w:rPr>
              <w:t>Service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7815167B" w14:textId="77777777" w:rsidR="00FF1419" w:rsidRPr="00F717FB" w:rsidRDefault="00FF1419" w:rsidP="00A21959">
            <w:pPr>
              <w:pStyle w:val="Tablecolhead"/>
              <w:rPr>
                <w:rFonts w:eastAsia="Arial"/>
                <w:szCs w:val="21"/>
              </w:rPr>
            </w:pPr>
            <w:r w:rsidRPr="00F717FB">
              <w:rPr>
                <w:rFonts w:eastAsia="Arial"/>
                <w:szCs w:val="21"/>
              </w:rPr>
              <w:t>Funded unit</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5C0C5AAD" w14:textId="77777777" w:rsidR="00FF1419" w:rsidRPr="00F717FB" w:rsidRDefault="00FF1419" w:rsidP="00A21959">
            <w:pPr>
              <w:pStyle w:val="Tablecolhead"/>
              <w:rPr>
                <w:rFonts w:eastAsia="Arial"/>
                <w:szCs w:val="21"/>
              </w:rPr>
            </w:pPr>
            <w:r w:rsidRPr="00F717FB">
              <w:rPr>
                <w:rFonts w:eastAsia="Arial"/>
                <w:szCs w:val="21"/>
              </w:rPr>
              <w:t>Estimated unit price ($)</w:t>
            </w:r>
          </w:p>
        </w:tc>
      </w:tr>
      <w:tr w:rsidR="00FF1419" w14:paraId="210BF4E5"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47801EAC" w14:textId="77777777" w:rsidR="00FF1419" w:rsidRDefault="00FF1419" w:rsidP="00A21959">
            <w:pPr>
              <w:pStyle w:val="Tabletext9pt"/>
              <w:rPr>
                <w:szCs w:val="18"/>
                <w:lang w:eastAsia="en-AU"/>
              </w:rPr>
            </w:pPr>
            <w:r>
              <w:rPr>
                <w:szCs w:val="18"/>
                <w:lang w:eastAsia="en-AU"/>
              </w:rPr>
              <w:t>HACC-PYP Access and Support</w:t>
            </w:r>
          </w:p>
        </w:tc>
        <w:tc>
          <w:tcPr>
            <w:tcW w:w="0" w:type="dxa"/>
            <w:tcBorders>
              <w:top w:val="single" w:sz="4" w:space="0" w:color="auto"/>
              <w:left w:val="single" w:sz="4" w:space="0" w:color="auto"/>
              <w:bottom w:val="single" w:sz="4" w:space="0" w:color="auto"/>
              <w:right w:val="single" w:sz="4" w:space="0" w:color="auto"/>
            </w:tcBorders>
            <w:hideMark/>
          </w:tcPr>
          <w:p w14:paraId="192592C4"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517C1A5B"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84.49</w:t>
            </w:r>
          </w:p>
        </w:tc>
      </w:tr>
      <w:tr w:rsidR="00FF1419" w14:paraId="5A342FFD"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62BEB4E1" w14:textId="77777777" w:rsidR="00FF1419" w:rsidRDefault="00FF1419" w:rsidP="00A21959">
            <w:pPr>
              <w:pStyle w:val="Tabletext9pt"/>
              <w:rPr>
                <w:szCs w:val="18"/>
                <w:lang w:eastAsia="en-AU"/>
              </w:rPr>
            </w:pPr>
            <w:r>
              <w:rPr>
                <w:szCs w:val="18"/>
                <w:lang w:eastAsia="en-AU"/>
              </w:rPr>
              <w:t>HACC-PYP Occupational Therapy</w:t>
            </w:r>
          </w:p>
        </w:tc>
        <w:tc>
          <w:tcPr>
            <w:tcW w:w="0" w:type="dxa"/>
            <w:tcBorders>
              <w:top w:val="single" w:sz="4" w:space="0" w:color="auto"/>
              <w:left w:val="single" w:sz="4" w:space="0" w:color="auto"/>
              <w:bottom w:val="single" w:sz="4" w:space="0" w:color="auto"/>
              <w:right w:val="single" w:sz="4" w:space="0" w:color="auto"/>
            </w:tcBorders>
            <w:hideMark/>
          </w:tcPr>
          <w:p w14:paraId="492E04B6"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0577A651"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4D1BE2E6"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1F21F074" w14:textId="77777777" w:rsidR="00FF1419" w:rsidRDefault="00FF1419" w:rsidP="00A21959">
            <w:pPr>
              <w:pStyle w:val="Tabletext9pt"/>
              <w:rPr>
                <w:szCs w:val="18"/>
                <w:lang w:eastAsia="en-AU"/>
              </w:rPr>
            </w:pPr>
            <w:r>
              <w:rPr>
                <w:szCs w:val="18"/>
                <w:lang w:eastAsia="en-AU"/>
              </w:rPr>
              <w:t>HACC-PYP Podiatry</w:t>
            </w:r>
          </w:p>
        </w:tc>
        <w:tc>
          <w:tcPr>
            <w:tcW w:w="0" w:type="dxa"/>
            <w:tcBorders>
              <w:top w:val="single" w:sz="4" w:space="0" w:color="auto"/>
              <w:left w:val="single" w:sz="4" w:space="0" w:color="auto"/>
              <w:bottom w:val="single" w:sz="4" w:space="0" w:color="auto"/>
              <w:right w:val="single" w:sz="4" w:space="0" w:color="auto"/>
            </w:tcBorders>
            <w:hideMark/>
          </w:tcPr>
          <w:p w14:paraId="7412490F"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7C89CA1E"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0E490BFD"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41DC7117" w14:textId="77777777" w:rsidR="00FF1419" w:rsidRDefault="00FF1419" w:rsidP="00A21959">
            <w:pPr>
              <w:pStyle w:val="Tabletext9pt"/>
              <w:rPr>
                <w:szCs w:val="18"/>
                <w:lang w:eastAsia="en-AU"/>
              </w:rPr>
            </w:pPr>
            <w:r>
              <w:rPr>
                <w:szCs w:val="18"/>
                <w:lang w:eastAsia="en-AU"/>
              </w:rPr>
              <w:t>HACC-PYP Dietetics</w:t>
            </w:r>
          </w:p>
        </w:tc>
        <w:tc>
          <w:tcPr>
            <w:tcW w:w="0" w:type="dxa"/>
            <w:tcBorders>
              <w:top w:val="single" w:sz="4" w:space="0" w:color="auto"/>
              <w:left w:val="single" w:sz="4" w:space="0" w:color="auto"/>
              <w:bottom w:val="single" w:sz="4" w:space="0" w:color="auto"/>
              <w:right w:val="single" w:sz="4" w:space="0" w:color="auto"/>
            </w:tcBorders>
            <w:hideMark/>
          </w:tcPr>
          <w:p w14:paraId="40EB4989"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1D70DFDE"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6E507DD8"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235D8F33" w14:textId="77777777" w:rsidR="00FF1419" w:rsidRDefault="00FF1419" w:rsidP="00A21959">
            <w:pPr>
              <w:pStyle w:val="Tabletext9pt"/>
              <w:rPr>
                <w:szCs w:val="18"/>
                <w:lang w:eastAsia="en-AU"/>
              </w:rPr>
            </w:pPr>
            <w:r>
              <w:rPr>
                <w:szCs w:val="18"/>
                <w:lang w:eastAsia="en-AU"/>
              </w:rPr>
              <w:t>HACC-PYP Speech Therapy</w:t>
            </w:r>
          </w:p>
        </w:tc>
        <w:tc>
          <w:tcPr>
            <w:tcW w:w="0" w:type="dxa"/>
            <w:tcBorders>
              <w:top w:val="single" w:sz="4" w:space="0" w:color="auto"/>
              <w:left w:val="single" w:sz="4" w:space="0" w:color="auto"/>
              <w:bottom w:val="single" w:sz="4" w:space="0" w:color="auto"/>
              <w:right w:val="single" w:sz="4" w:space="0" w:color="auto"/>
            </w:tcBorders>
            <w:hideMark/>
          </w:tcPr>
          <w:p w14:paraId="574B6A66"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033DA0DA"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540AA87F"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20F8BF95" w14:textId="77777777" w:rsidR="00FF1419" w:rsidRDefault="00FF1419" w:rsidP="00A21959">
            <w:pPr>
              <w:pStyle w:val="Tabletext9pt"/>
              <w:rPr>
                <w:szCs w:val="18"/>
                <w:lang w:eastAsia="en-AU"/>
              </w:rPr>
            </w:pPr>
            <w:r>
              <w:rPr>
                <w:szCs w:val="18"/>
                <w:lang w:eastAsia="en-AU"/>
              </w:rPr>
              <w:t>HACC-PYP Physiotherapy</w:t>
            </w:r>
          </w:p>
        </w:tc>
        <w:tc>
          <w:tcPr>
            <w:tcW w:w="0" w:type="dxa"/>
            <w:tcBorders>
              <w:top w:val="single" w:sz="4" w:space="0" w:color="auto"/>
              <w:left w:val="single" w:sz="4" w:space="0" w:color="auto"/>
              <w:bottom w:val="single" w:sz="4" w:space="0" w:color="auto"/>
              <w:right w:val="single" w:sz="4" w:space="0" w:color="auto"/>
            </w:tcBorders>
            <w:hideMark/>
          </w:tcPr>
          <w:p w14:paraId="01DA8821"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37A51B07"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19C04C7E"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37EEEF85" w14:textId="77777777" w:rsidR="00FF1419" w:rsidRDefault="00FF1419" w:rsidP="00A21959">
            <w:pPr>
              <w:pStyle w:val="Tabletext9pt"/>
              <w:rPr>
                <w:szCs w:val="18"/>
                <w:lang w:eastAsia="en-AU"/>
              </w:rPr>
            </w:pPr>
            <w:r>
              <w:rPr>
                <w:szCs w:val="18"/>
                <w:lang w:eastAsia="en-AU"/>
              </w:rPr>
              <w:t>HACC-PYP Counselling</w:t>
            </w:r>
          </w:p>
        </w:tc>
        <w:tc>
          <w:tcPr>
            <w:tcW w:w="0" w:type="dxa"/>
            <w:tcBorders>
              <w:top w:val="single" w:sz="4" w:space="0" w:color="auto"/>
              <w:left w:val="single" w:sz="4" w:space="0" w:color="auto"/>
              <w:bottom w:val="single" w:sz="4" w:space="0" w:color="auto"/>
              <w:right w:val="single" w:sz="4" w:space="0" w:color="auto"/>
            </w:tcBorders>
            <w:hideMark/>
          </w:tcPr>
          <w:p w14:paraId="6467A3EC"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77087012"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125.51</w:t>
            </w:r>
          </w:p>
        </w:tc>
      </w:tr>
      <w:tr w:rsidR="00FF1419" w14:paraId="6ADE2D21"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01432B42" w14:textId="77777777" w:rsidR="00FF1419" w:rsidRDefault="00FF1419" w:rsidP="00A21959">
            <w:pPr>
              <w:pStyle w:val="Tabletext9pt"/>
              <w:rPr>
                <w:szCs w:val="18"/>
                <w:lang w:eastAsia="en-AU"/>
              </w:rPr>
            </w:pPr>
            <w:r>
              <w:rPr>
                <w:szCs w:val="18"/>
                <w:lang w:eastAsia="en-AU"/>
              </w:rPr>
              <w:t xml:space="preserve">HACC-PYP Assessment </w:t>
            </w:r>
          </w:p>
        </w:tc>
        <w:tc>
          <w:tcPr>
            <w:tcW w:w="0" w:type="dxa"/>
            <w:tcBorders>
              <w:top w:val="single" w:sz="4" w:space="0" w:color="auto"/>
              <w:left w:val="single" w:sz="4" w:space="0" w:color="auto"/>
              <w:bottom w:val="single" w:sz="4" w:space="0" w:color="auto"/>
              <w:right w:val="single" w:sz="4" w:space="0" w:color="auto"/>
            </w:tcBorders>
            <w:hideMark/>
          </w:tcPr>
          <w:p w14:paraId="08DF4046"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77B160DE"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115.03</w:t>
            </w:r>
          </w:p>
        </w:tc>
      </w:tr>
      <w:tr w:rsidR="00FF1419" w14:paraId="451DA2F1"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6876329D" w14:textId="77777777" w:rsidR="00FF1419" w:rsidRDefault="00FF1419" w:rsidP="00A21959">
            <w:pPr>
              <w:pStyle w:val="Tabletext9pt"/>
              <w:rPr>
                <w:szCs w:val="18"/>
                <w:lang w:eastAsia="en-AU"/>
              </w:rPr>
            </w:pPr>
            <w:r>
              <w:rPr>
                <w:szCs w:val="18"/>
                <w:lang w:eastAsia="en-AU"/>
              </w:rPr>
              <w:t>HACC-PYP Delivered Meals</w:t>
            </w:r>
          </w:p>
        </w:tc>
        <w:tc>
          <w:tcPr>
            <w:tcW w:w="0" w:type="dxa"/>
            <w:tcBorders>
              <w:top w:val="single" w:sz="4" w:space="0" w:color="auto"/>
              <w:left w:val="single" w:sz="4" w:space="0" w:color="auto"/>
              <w:bottom w:val="single" w:sz="4" w:space="0" w:color="auto"/>
              <w:right w:val="single" w:sz="4" w:space="0" w:color="auto"/>
            </w:tcBorders>
            <w:hideMark/>
          </w:tcPr>
          <w:p w14:paraId="198092F8" w14:textId="77777777" w:rsidR="00FF1419" w:rsidRDefault="00FF1419" w:rsidP="00A21959">
            <w:pPr>
              <w:pStyle w:val="Tabletext9pt"/>
              <w:rPr>
                <w:szCs w:val="18"/>
                <w:lang w:eastAsia="en-AU"/>
              </w:rPr>
            </w:pPr>
            <w:r>
              <w:rPr>
                <w:szCs w:val="18"/>
                <w:lang w:eastAsia="en-AU"/>
              </w:rPr>
              <w:t>Meal</w:t>
            </w:r>
          </w:p>
        </w:tc>
        <w:tc>
          <w:tcPr>
            <w:tcW w:w="0" w:type="dxa"/>
            <w:tcBorders>
              <w:top w:val="single" w:sz="4" w:space="0" w:color="auto"/>
              <w:left w:val="single" w:sz="4" w:space="0" w:color="auto"/>
              <w:bottom w:val="single" w:sz="4" w:space="0" w:color="auto"/>
              <w:right w:val="single" w:sz="4" w:space="0" w:color="auto"/>
            </w:tcBorders>
          </w:tcPr>
          <w:p w14:paraId="7492F714"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4.16</w:t>
            </w:r>
          </w:p>
        </w:tc>
      </w:tr>
      <w:tr w:rsidR="00FF1419" w14:paraId="30A3F902"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1D00C7F4" w14:textId="77777777" w:rsidR="00FF1419" w:rsidRDefault="00FF1419" w:rsidP="00A21959">
            <w:pPr>
              <w:pStyle w:val="Tabletext9pt"/>
              <w:rPr>
                <w:szCs w:val="18"/>
                <w:lang w:eastAsia="en-AU"/>
              </w:rPr>
            </w:pPr>
            <w:r>
              <w:rPr>
                <w:szCs w:val="18"/>
                <w:lang w:eastAsia="en-AU"/>
              </w:rPr>
              <w:t>HACC-PYP Community Care</w:t>
            </w:r>
          </w:p>
        </w:tc>
        <w:tc>
          <w:tcPr>
            <w:tcW w:w="0" w:type="dxa"/>
            <w:tcBorders>
              <w:top w:val="single" w:sz="4" w:space="0" w:color="auto"/>
              <w:left w:val="single" w:sz="4" w:space="0" w:color="auto"/>
              <w:bottom w:val="single" w:sz="4" w:space="0" w:color="auto"/>
              <w:right w:val="single" w:sz="4" w:space="0" w:color="auto"/>
            </w:tcBorders>
            <w:hideMark/>
          </w:tcPr>
          <w:p w14:paraId="42038B4C"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1D03AA2B"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57.83</w:t>
            </w:r>
          </w:p>
        </w:tc>
      </w:tr>
      <w:tr w:rsidR="00FF1419" w14:paraId="3FE81A4C"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1D947CD9" w14:textId="77777777" w:rsidR="00FF1419" w:rsidRDefault="00FF1419" w:rsidP="00A21959">
            <w:pPr>
              <w:pStyle w:val="Tabletext9pt"/>
              <w:rPr>
                <w:szCs w:val="18"/>
                <w:lang w:eastAsia="en-AU"/>
              </w:rPr>
            </w:pPr>
            <w:r>
              <w:rPr>
                <w:szCs w:val="18"/>
                <w:lang w:eastAsia="en-AU"/>
              </w:rPr>
              <w:t>HACC-PYP Nursing</w:t>
            </w:r>
          </w:p>
        </w:tc>
        <w:tc>
          <w:tcPr>
            <w:tcW w:w="0" w:type="dxa"/>
            <w:tcBorders>
              <w:top w:val="single" w:sz="4" w:space="0" w:color="auto"/>
              <w:left w:val="single" w:sz="4" w:space="0" w:color="auto"/>
              <w:bottom w:val="single" w:sz="4" w:space="0" w:color="auto"/>
              <w:right w:val="single" w:sz="4" w:space="0" w:color="auto"/>
            </w:tcBorders>
            <w:hideMark/>
          </w:tcPr>
          <w:p w14:paraId="6486505F"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0FC6278E" w14:textId="77777777" w:rsidR="00FF1419" w:rsidRPr="0EC1DC23" w:rsidRDefault="00FF1419" w:rsidP="00A21959">
            <w:pPr>
              <w:spacing w:before="80" w:after="60"/>
              <w:jc w:val="right"/>
              <w:rPr>
                <w:rFonts w:eastAsia="Arial" w:cs="Arial"/>
                <w:color w:val="000000" w:themeColor="text1"/>
                <w:sz w:val="18"/>
                <w:szCs w:val="18"/>
              </w:rPr>
            </w:pPr>
            <w:r w:rsidRPr="0EC1DC23">
              <w:rPr>
                <w:rFonts w:eastAsia="Arial" w:cs="Arial"/>
                <w:color w:val="000000" w:themeColor="text1"/>
                <w:sz w:val="18"/>
                <w:szCs w:val="18"/>
              </w:rPr>
              <w:t>115.03</w:t>
            </w:r>
          </w:p>
        </w:tc>
      </w:tr>
      <w:tr w:rsidR="00FF1419" w14:paraId="6D87BCE7"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4645B9CA" w14:textId="77777777" w:rsidR="00FF1419" w:rsidRDefault="00FF1419" w:rsidP="00A21959">
            <w:pPr>
              <w:pStyle w:val="Tabletext9pt"/>
              <w:rPr>
                <w:szCs w:val="18"/>
                <w:lang w:eastAsia="en-AU"/>
              </w:rPr>
            </w:pPr>
            <w:r>
              <w:rPr>
                <w:szCs w:val="18"/>
                <w:lang w:eastAsia="en-AU"/>
              </w:rPr>
              <w:t>HACC-PYP Planned Activity Group</w:t>
            </w:r>
          </w:p>
        </w:tc>
        <w:tc>
          <w:tcPr>
            <w:tcW w:w="0" w:type="dxa"/>
            <w:tcBorders>
              <w:top w:val="single" w:sz="4" w:space="0" w:color="auto"/>
              <w:left w:val="single" w:sz="4" w:space="0" w:color="auto"/>
              <w:bottom w:val="single" w:sz="4" w:space="0" w:color="auto"/>
              <w:right w:val="single" w:sz="4" w:space="0" w:color="auto"/>
            </w:tcBorders>
            <w:hideMark/>
          </w:tcPr>
          <w:p w14:paraId="7BF54E99" w14:textId="77777777" w:rsidR="00FF1419" w:rsidRDefault="00FF1419" w:rsidP="00A21959">
            <w:pPr>
              <w:pStyle w:val="Tabletext9pt"/>
              <w:rPr>
                <w:szCs w:val="18"/>
                <w:lang w:eastAsia="en-AU"/>
              </w:rPr>
            </w:pPr>
            <w:r>
              <w:rPr>
                <w:szCs w:val="18"/>
                <w:lang w:eastAsia="en-AU"/>
              </w:rPr>
              <w:t>Person-hour</w:t>
            </w:r>
          </w:p>
        </w:tc>
        <w:tc>
          <w:tcPr>
            <w:tcW w:w="0" w:type="dxa"/>
            <w:tcBorders>
              <w:top w:val="single" w:sz="4" w:space="0" w:color="auto"/>
              <w:left w:val="single" w:sz="4" w:space="0" w:color="auto"/>
              <w:bottom w:val="single" w:sz="4" w:space="0" w:color="auto"/>
              <w:right w:val="single" w:sz="4" w:space="0" w:color="auto"/>
            </w:tcBorders>
          </w:tcPr>
          <w:p w14:paraId="0CD54A15"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19.42</w:t>
            </w:r>
          </w:p>
        </w:tc>
      </w:tr>
      <w:tr w:rsidR="00FF1419" w14:paraId="1CECF162"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0B66C961" w14:textId="77777777" w:rsidR="00FF1419" w:rsidRDefault="00FF1419" w:rsidP="00A21959">
            <w:pPr>
              <w:pStyle w:val="Tabletext9pt"/>
              <w:rPr>
                <w:szCs w:val="18"/>
                <w:lang w:eastAsia="en-AU"/>
              </w:rPr>
            </w:pPr>
            <w:r>
              <w:rPr>
                <w:szCs w:val="18"/>
                <w:lang w:eastAsia="en-AU"/>
              </w:rPr>
              <w:t>HACC-PYP Property Maintenance</w:t>
            </w:r>
          </w:p>
        </w:tc>
        <w:tc>
          <w:tcPr>
            <w:tcW w:w="0" w:type="dxa"/>
            <w:tcBorders>
              <w:top w:val="single" w:sz="4" w:space="0" w:color="auto"/>
              <w:left w:val="single" w:sz="4" w:space="0" w:color="auto"/>
              <w:bottom w:val="single" w:sz="4" w:space="0" w:color="auto"/>
              <w:right w:val="single" w:sz="4" w:space="0" w:color="auto"/>
            </w:tcBorders>
            <w:hideMark/>
          </w:tcPr>
          <w:p w14:paraId="0148519A"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4E6F3FBC"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60.09</w:t>
            </w:r>
          </w:p>
        </w:tc>
      </w:tr>
      <w:tr w:rsidR="00FF1419" w14:paraId="5F2432F5" w14:textId="77777777" w:rsidTr="00A21959">
        <w:trPr>
          <w:cantSplit/>
        </w:trPr>
        <w:tc>
          <w:tcPr>
            <w:tcW w:w="0" w:type="dxa"/>
            <w:tcBorders>
              <w:top w:val="single" w:sz="4" w:space="0" w:color="auto"/>
              <w:left w:val="single" w:sz="4" w:space="0" w:color="auto"/>
              <w:bottom w:val="single" w:sz="4" w:space="0" w:color="auto"/>
              <w:right w:val="single" w:sz="4" w:space="0" w:color="auto"/>
            </w:tcBorders>
            <w:hideMark/>
          </w:tcPr>
          <w:p w14:paraId="48F4F2A0" w14:textId="77777777" w:rsidR="00FF1419" w:rsidRDefault="00FF1419" w:rsidP="00A21959">
            <w:pPr>
              <w:pStyle w:val="Tabletext9pt"/>
              <w:rPr>
                <w:szCs w:val="18"/>
                <w:lang w:eastAsia="en-AU"/>
              </w:rPr>
            </w:pPr>
            <w:r>
              <w:rPr>
                <w:szCs w:val="18"/>
                <w:lang w:eastAsia="en-AU"/>
              </w:rPr>
              <w:lastRenderedPageBreak/>
              <w:t>HACC-PYP Volunteer Coordination</w:t>
            </w:r>
          </w:p>
        </w:tc>
        <w:tc>
          <w:tcPr>
            <w:tcW w:w="0" w:type="dxa"/>
            <w:tcBorders>
              <w:top w:val="single" w:sz="4" w:space="0" w:color="auto"/>
              <w:left w:val="single" w:sz="4" w:space="0" w:color="auto"/>
              <w:bottom w:val="single" w:sz="4" w:space="0" w:color="auto"/>
              <w:right w:val="single" w:sz="4" w:space="0" w:color="auto"/>
            </w:tcBorders>
            <w:hideMark/>
          </w:tcPr>
          <w:p w14:paraId="780CBC8A" w14:textId="77777777" w:rsidR="00FF1419" w:rsidRDefault="00FF1419" w:rsidP="00A21959">
            <w:pPr>
              <w:pStyle w:val="Tabletext9pt"/>
              <w:rPr>
                <w:szCs w:val="18"/>
                <w:lang w:eastAsia="en-AU"/>
              </w:rPr>
            </w:pPr>
            <w:r>
              <w:rPr>
                <w:szCs w:val="18"/>
                <w:lang w:eastAsia="en-AU"/>
              </w:rPr>
              <w:t>Hour</w:t>
            </w:r>
          </w:p>
        </w:tc>
        <w:tc>
          <w:tcPr>
            <w:tcW w:w="0" w:type="dxa"/>
            <w:tcBorders>
              <w:top w:val="single" w:sz="4" w:space="0" w:color="auto"/>
              <w:left w:val="single" w:sz="4" w:space="0" w:color="auto"/>
              <w:bottom w:val="single" w:sz="4" w:space="0" w:color="auto"/>
              <w:right w:val="single" w:sz="4" w:space="0" w:color="auto"/>
            </w:tcBorders>
          </w:tcPr>
          <w:p w14:paraId="1BA9E0DD" w14:textId="77777777" w:rsidR="00FF1419" w:rsidRPr="0EC1DC23" w:rsidRDefault="00FF1419" w:rsidP="00A21959">
            <w:pPr>
              <w:spacing w:before="80" w:after="60"/>
              <w:jc w:val="right"/>
              <w:rPr>
                <w:rFonts w:eastAsia="Arial" w:cs="Arial"/>
                <w:sz w:val="18"/>
                <w:szCs w:val="18"/>
              </w:rPr>
            </w:pPr>
            <w:r w:rsidRPr="0EC1DC23">
              <w:rPr>
                <w:rFonts w:eastAsia="Arial" w:cs="Arial"/>
                <w:sz w:val="18"/>
                <w:szCs w:val="18"/>
              </w:rPr>
              <w:t>49.00</w:t>
            </w:r>
          </w:p>
        </w:tc>
      </w:tr>
    </w:tbl>
    <w:p w14:paraId="573E01B9" w14:textId="77777777" w:rsidR="00FF1419" w:rsidRDefault="00FF1419" w:rsidP="00AC64A0">
      <w:pPr>
        <w:pStyle w:val="Bodyafterfiguretable"/>
        <w:rPr>
          <w:lang w:eastAsia="en-AU"/>
        </w:rPr>
      </w:pPr>
    </w:p>
    <w:p w14:paraId="24A1D09C" w14:textId="77777777" w:rsidR="005B699B" w:rsidRDefault="005B699B" w:rsidP="001E4292">
      <w:pPr>
        <w:pStyle w:val="Heading2"/>
        <w:numPr>
          <w:ilvl w:val="1"/>
          <w:numId w:val="13"/>
        </w:numPr>
        <w:ind w:left="1134" w:hanging="1134"/>
      </w:pPr>
      <w:bookmarkStart w:id="2290" w:name="_Toc167651298"/>
      <w:bookmarkStart w:id="2291" w:name="_Toc165961854"/>
      <w:bookmarkStart w:id="2292" w:name="_Toc178963640"/>
      <w:bookmarkEnd w:id="2290"/>
      <w:r w:rsidRPr="00530623">
        <w:t xml:space="preserve">Small rural </w:t>
      </w:r>
      <w:r w:rsidRPr="00731B6C">
        <w:t>health</w:t>
      </w:r>
      <w:r w:rsidRPr="00530623">
        <w:t xml:space="preserve"> services </w:t>
      </w:r>
      <w:r>
        <w:t>–</w:t>
      </w:r>
      <w:r w:rsidRPr="00530623">
        <w:t xml:space="preserve"> ageing,</w:t>
      </w:r>
      <w:r>
        <w:t xml:space="preserve"> </w:t>
      </w:r>
      <w:r w:rsidRPr="00530623">
        <w:t>aged and home care</w:t>
      </w:r>
      <w:bookmarkEnd w:id="2291"/>
      <w:bookmarkEnd w:id="2292"/>
    </w:p>
    <w:p w14:paraId="2CB2FB51" w14:textId="211A389A" w:rsidR="00A97999" w:rsidRPr="00A97999" w:rsidRDefault="00A97999" w:rsidP="00F77982">
      <w:pPr>
        <w:pStyle w:val="Tablecaption"/>
      </w:pPr>
      <w:bookmarkStart w:id="2293" w:name="_Toc419623621"/>
      <w:bookmarkStart w:id="2294" w:name="_Toc419623733"/>
      <w:bookmarkStart w:id="2295" w:name="_Toc176510409"/>
      <w:bookmarkEnd w:id="2285"/>
      <w:bookmarkEnd w:id="2286"/>
      <w:bookmarkEnd w:id="2287"/>
      <w:bookmarkEnd w:id="2289"/>
      <w:bookmarkEnd w:id="2293"/>
      <w:bookmarkEnd w:id="2294"/>
      <w:r w:rsidRPr="00A97999">
        <w:t>Table 1.</w:t>
      </w:r>
      <w:r>
        <w:fldChar w:fldCharType="begin"/>
      </w:r>
      <w:r>
        <w:instrText>SEQ Table \* ARABIC</w:instrText>
      </w:r>
      <w:r>
        <w:fldChar w:fldCharType="separate"/>
      </w:r>
      <w:r w:rsidR="00F30C16" w:rsidRPr="00377487">
        <w:t>19</w:t>
      </w:r>
      <w:r>
        <w:fldChar w:fldCharType="end"/>
      </w:r>
      <w:r w:rsidRPr="00377487">
        <w:t>: Small Rural Health Services 2024–25</w:t>
      </w:r>
      <w:bookmarkEnd w:id="2295"/>
    </w:p>
    <w:p w14:paraId="3CDBCACE" w14:textId="77777777" w:rsidR="005B699B" w:rsidRDefault="005B699B" w:rsidP="00593CD6">
      <w:r>
        <w:t>Program area: Small rural health services – Home and Community Care</w:t>
      </w:r>
    </w:p>
    <w:tbl>
      <w:tblPr>
        <w:tblW w:w="9299" w:type="dxa"/>
        <w:tblLook w:val="06A0" w:firstRow="1" w:lastRow="0" w:firstColumn="1" w:lastColumn="0" w:noHBand="1" w:noVBand="1"/>
      </w:tblPr>
      <w:tblGrid>
        <w:gridCol w:w="3878"/>
        <w:gridCol w:w="2360"/>
        <w:gridCol w:w="3061"/>
      </w:tblGrid>
      <w:tr w:rsidR="00361611" w14:paraId="13B98C98" w14:textId="77777777" w:rsidTr="00A21959">
        <w:trPr>
          <w:tblHeader/>
        </w:trPr>
        <w:tc>
          <w:tcPr>
            <w:tcW w:w="3878" w:type="dxa"/>
            <w:tcBorders>
              <w:top w:val="single" w:sz="4" w:space="0" w:color="auto"/>
              <w:left w:val="single" w:sz="4" w:space="0" w:color="auto"/>
              <w:bottom w:val="single" w:sz="4" w:space="0" w:color="auto"/>
              <w:right w:val="single" w:sz="4" w:space="0" w:color="auto"/>
            </w:tcBorders>
            <w:shd w:val="clear" w:color="auto" w:fill="auto"/>
            <w:hideMark/>
          </w:tcPr>
          <w:p w14:paraId="45FB1CDF" w14:textId="77777777" w:rsidR="00361611" w:rsidRPr="00F717FB" w:rsidRDefault="00361611" w:rsidP="00A21959">
            <w:pPr>
              <w:pStyle w:val="Tablecolhead"/>
              <w:rPr>
                <w:rFonts w:eastAsia="Arial"/>
                <w:szCs w:val="21"/>
              </w:rPr>
            </w:pPr>
            <w:r w:rsidRPr="00F717FB">
              <w:rPr>
                <w:rFonts w:eastAsia="Arial"/>
                <w:szCs w:val="21"/>
              </w:rPr>
              <w:t>Service</w:t>
            </w:r>
          </w:p>
        </w:tc>
        <w:tc>
          <w:tcPr>
            <w:tcW w:w="2360" w:type="dxa"/>
            <w:tcBorders>
              <w:top w:val="single" w:sz="4" w:space="0" w:color="auto"/>
              <w:left w:val="single" w:sz="4" w:space="0" w:color="auto"/>
              <w:bottom w:val="single" w:sz="4" w:space="0" w:color="auto"/>
              <w:right w:val="single" w:sz="4" w:space="0" w:color="auto"/>
            </w:tcBorders>
            <w:shd w:val="clear" w:color="auto" w:fill="auto"/>
            <w:hideMark/>
          </w:tcPr>
          <w:p w14:paraId="4D8F83CF" w14:textId="77777777" w:rsidR="00361611" w:rsidRPr="00F717FB" w:rsidRDefault="00361611" w:rsidP="00A21959">
            <w:pPr>
              <w:pStyle w:val="Tablecolhead"/>
              <w:rPr>
                <w:rFonts w:eastAsia="Arial"/>
                <w:szCs w:val="21"/>
              </w:rPr>
            </w:pPr>
            <w:r w:rsidRPr="00F717FB">
              <w:rPr>
                <w:rFonts w:eastAsia="Arial"/>
                <w:szCs w:val="21"/>
              </w:rPr>
              <w:t>Funded unit</w:t>
            </w:r>
          </w:p>
        </w:tc>
        <w:tc>
          <w:tcPr>
            <w:tcW w:w="3061" w:type="dxa"/>
            <w:tcBorders>
              <w:top w:val="single" w:sz="4" w:space="0" w:color="auto"/>
              <w:left w:val="single" w:sz="4" w:space="0" w:color="auto"/>
              <w:bottom w:val="single" w:sz="4" w:space="0" w:color="auto"/>
              <w:right w:val="single" w:sz="4" w:space="0" w:color="auto"/>
            </w:tcBorders>
            <w:shd w:val="clear" w:color="auto" w:fill="auto"/>
            <w:hideMark/>
          </w:tcPr>
          <w:p w14:paraId="15C0779D" w14:textId="77777777" w:rsidR="00361611" w:rsidRPr="00F717FB" w:rsidRDefault="00361611" w:rsidP="00A21959">
            <w:pPr>
              <w:pStyle w:val="Tablecolhead"/>
              <w:rPr>
                <w:rFonts w:eastAsia="Arial"/>
                <w:szCs w:val="21"/>
              </w:rPr>
            </w:pPr>
            <w:r w:rsidRPr="00F717FB">
              <w:rPr>
                <w:rFonts w:eastAsia="Arial"/>
                <w:szCs w:val="21"/>
              </w:rPr>
              <w:t>Estimated unit price ($)</w:t>
            </w:r>
          </w:p>
        </w:tc>
      </w:tr>
      <w:tr w:rsidR="00361611" w14:paraId="0C68114D"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50534C6E" w14:textId="77777777" w:rsidR="00361611" w:rsidRDefault="00361611" w:rsidP="00A21959">
            <w:pPr>
              <w:pStyle w:val="Tabletext9pt"/>
            </w:pPr>
            <w:r>
              <w:t>HACC-PYP access and support</w:t>
            </w:r>
          </w:p>
        </w:tc>
        <w:tc>
          <w:tcPr>
            <w:tcW w:w="2360" w:type="dxa"/>
            <w:tcBorders>
              <w:top w:val="single" w:sz="4" w:space="0" w:color="auto"/>
              <w:left w:val="single" w:sz="4" w:space="0" w:color="auto"/>
              <w:bottom w:val="single" w:sz="4" w:space="0" w:color="auto"/>
              <w:right w:val="single" w:sz="4" w:space="0" w:color="auto"/>
            </w:tcBorders>
            <w:hideMark/>
          </w:tcPr>
          <w:p w14:paraId="26A7EE0E"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13645D9D"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78.33</w:t>
            </w:r>
          </w:p>
        </w:tc>
      </w:tr>
      <w:tr w:rsidR="00361611" w14:paraId="5823AD8B"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0F6C7278" w14:textId="77777777" w:rsidR="00361611" w:rsidRDefault="00361611" w:rsidP="00A21959">
            <w:pPr>
              <w:pStyle w:val="Tabletext9pt"/>
            </w:pPr>
            <w:r>
              <w:t>HACC-PYP occupational therapy</w:t>
            </w:r>
          </w:p>
        </w:tc>
        <w:tc>
          <w:tcPr>
            <w:tcW w:w="2360" w:type="dxa"/>
            <w:tcBorders>
              <w:top w:val="single" w:sz="4" w:space="0" w:color="auto"/>
              <w:left w:val="single" w:sz="4" w:space="0" w:color="auto"/>
              <w:bottom w:val="single" w:sz="4" w:space="0" w:color="auto"/>
              <w:right w:val="single" w:sz="4" w:space="0" w:color="auto"/>
            </w:tcBorders>
            <w:hideMark/>
          </w:tcPr>
          <w:p w14:paraId="4E70219C"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3EC64A78"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16BE8C7C"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6BC58011" w14:textId="77777777" w:rsidR="00361611" w:rsidRDefault="00361611" w:rsidP="00A21959">
            <w:pPr>
              <w:pStyle w:val="Tabletext9pt"/>
            </w:pPr>
            <w:r>
              <w:t>HACC-PYP podiatry</w:t>
            </w:r>
          </w:p>
        </w:tc>
        <w:tc>
          <w:tcPr>
            <w:tcW w:w="2360" w:type="dxa"/>
            <w:tcBorders>
              <w:top w:val="single" w:sz="4" w:space="0" w:color="auto"/>
              <w:left w:val="single" w:sz="4" w:space="0" w:color="auto"/>
              <w:bottom w:val="single" w:sz="4" w:space="0" w:color="auto"/>
              <w:right w:val="single" w:sz="4" w:space="0" w:color="auto"/>
            </w:tcBorders>
            <w:hideMark/>
          </w:tcPr>
          <w:p w14:paraId="12CEEC76"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27522E14"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6E5D8ED3"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27203502" w14:textId="77777777" w:rsidR="00361611" w:rsidRDefault="00361611" w:rsidP="00A21959">
            <w:pPr>
              <w:pStyle w:val="Tabletext9pt"/>
            </w:pPr>
            <w:r>
              <w:t>HACC-PYP dietetics</w:t>
            </w:r>
          </w:p>
        </w:tc>
        <w:tc>
          <w:tcPr>
            <w:tcW w:w="2360" w:type="dxa"/>
            <w:tcBorders>
              <w:top w:val="single" w:sz="4" w:space="0" w:color="auto"/>
              <w:left w:val="single" w:sz="4" w:space="0" w:color="auto"/>
              <w:bottom w:val="single" w:sz="4" w:space="0" w:color="auto"/>
              <w:right w:val="single" w:sz="4" w:space="0" w:color="auto"/>
            </w:tcBorders>
            <w:hideMark/>
          </w:tcPr>
          <w:p w14:paraId="199E5DE7"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6B852807"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23978B60"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163D1F47" w14:textId="77777777" w:rsidR="00361611" w:rsidRDefault="00361611" w:rsidP="00A21959">
            <w:pPr>
              <w:pStyle w:val="Tabletext9pt"/>
            </w:pPr>
            <w:r>
              <w:t>HACC-PYP speech therapy</w:t>
            </w:r>
          </w:p>
        </w:tc>
        <w:tc>
          <w:tcPr>
            <w:tcW w:w="2360" w:type="dxa"/>
            <w:tcBorders>
              <w:top w:val="single" w:sz="4" w:space="0" w:color="auto"/>
              <w:left w:val="single" w:sz="4" w:space="0" w:color="auto"/>
              <w:bottom w:val="single" w:sz="4" w:space="0" w:color="auto"/>
              <w:right w:val="single" w:sz="4" w:space="0" w:color="auto"/>
            </w:tcBorders>
            <w:hideMark/>
          </w:tcPr>
          <w:p w14:paraId="41E5AC8D"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23197B2F"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1A374EAD"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07CA986D" w14:textId="77777777" w:rsidR="00361611" w:rsidRDefault="00361611" w:rsidP="00A21959">
            <w:pPr>
              <w:pStyle w:val="Tabletext9pt"/>
            </w:pPr>
            <w:r>
              <w:t>HACC-PYP physiotherapy</w:t>
            </w:r>
          </w:p>
        </w:tc>
        <w:tc>
          <w:tcPr>
            <w:tcW w:w="2360" w:type="dxa"/>
            <w:tcBorders>
              <w:top w:val="single" w:sz="4" w:space="0" w:color="auto"/>
              <w:left w:val="single" w:sz="4" w:space="0" w:color="auto"/>
              <w:bottom w:val="single" w:sz="4" w:space="0" w:color="auto"/>
              <w:right w:val="single" w:sz="4" w:space="0" w:color="auto"/>
            </w:tcBorders>
            <w:hideMark/>
          </w:tcPr>
          <w:p w14:paraId="02464A12"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5D94380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12AC13E3"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56D2084E" w14:textId="77777777" w:rsidR="00361611" w:rsidRDefault="00361611" w:rsidP="00A21959">
            <w:pPr>
              <w:pStyle w:val="Tabletext9pt"/>
            </w:pPr>
            <w:r>
              <w:t xml:space="preserve">HACC-PYP assessment </w:t>
            </w:r>
          </w:p>
        </w:tc>
        <w:tc>
          <w:tcPr>
            <w:tcW w:w="2360" w:type="dxa"/>
            <w:tcBorders>
              <w:top w:val="single" w:sz="4" w:space="0" w:color="auto"/>
              <w:left w:val="single" w:sz="4" w:space="0" w:color="auto"/>
              <w:bottom w:val="single" w:sz="4" w:space="0" w:color="auto"/>
              <w:right w:val="single" w:sz="4" w:space="0" w:color="auto"/>
            </w:tcBorders>
            <w:hideMark/>
          </w:tcPr>
          <w:p w14:paraId="529580C9"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4C7A80CD"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106.61</w:t>
            </w:r>
          </w:p>
        </w:tc>
      </w:tr>
      <w:tr w:rsidR="00361611" w14:paraId="1764DC81"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6E83B604" w14:textId="77777777" w:rsidR="00361611" w:rsidRDefault="00361611" w:rsidP="00A21959">
            <w:pPr>
              <w:pStyle w:val="Tabletext9pt"/>
            </w:pPr>
            <w:r>
              <w:t>HACC-PYP counselling</w:t>
            </w:r>
          </w:p>
        </w:tc>
        <w:tc>
          <w:tcPr>
            <w:tcW w:w="2360" w:type="dxa"/>
            <w:tcBorders>
              <w:top w:val="single" w:sz="4" w:space="0" w:color="auto"/>
              <w:left w:val="single" w:sz="4" w:space="0" w:color="auto"/>
              <w:bottom w:val="single" w:sz="4" w:space="0" w:color="auto"/>
              <w:right w:val="single" w:sz="4" w:space="0" w:color="auto"/>
            </w:tcBorders>
            <w:hideMark/>
          </w:tcPr>
          <w:p w14:paraId="4DEAAD64" w14:textId="77777777" w:rsidR="00361611" w:rsidRDefault="00361611" w:rsidP="00A21959">
            <w:pPr>
              <w:pStyle w:val="Tabletext9pt"/>
              <w:rPr>
                <w:rFonts w:cs="Arial"/>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3F0AAB92"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116.32</w:t>
            </w:r>
          </w:p>
        </w:tc>
      </w:tr>
      <w:tr w:rsidR="00361611" w14:paraId="79F1284D"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136BF9E3" w14:textId="77777777" w:rsidR="00361611" w:rsidRDefault="00361611" w:rsidP="00A21959">
            <w:pPr>
              <w:pStyle w:val="Tabletext9pt"/>
            </w:pPr>
            <w:r>
              <w:t>HACC-PYP delivered meals</w:t>
            </w:r>
          </w:p>
        </w:tc>
        <w:tc>
          <w:tcPr>
            <w:tcW w:w="2360" w:type="dxa"/>
            <w:tcBorders>
              <w:top w:val="single" w:sz="4" w:space="0" w:color="auto"/>
              <w:left w:val="single" w:sz="4" w:space="0" w:color="auto"/>
              <w:bottom w:val="single" w:sz="4" w:space="0" w:color="auto"/>
              <w:right w:val="single" w:sz="4" w:space="0" w:color="auto"/>
            </w:tcBorders>
            <w:hideMark/>
          </w:tcPr>
          <w:p w14:paraId="305E35B5" w14:textId="77777777" w:rsidR="00361611" w:rsidRDefault="00361611" w:rsidP="00A21959">
            <w:pPr>
              <w:pStyle w:val="Tabletext9pt"/>
              <w:rPr>
                <w:rFonts w:cs="Arial"/>
                <w:lang w:eastAsia="en-AU"/>
              </w:rPr>
            </w:pPr>
            <w:r>
              <w:rPr>
                <w:rFonts w:cs="Arial"/>
              </w:rPr>
              <w:t>Meal</w:t>
            </w:r>
          </w:p>
        </w:tc>
        <w:tc>
          <w:tcPr>
            <w:tcW w:w="3061" w:type="dxa"/>
            <w:tcBorders>
              <w:top w:val="single" w:sz="4" w:space="0" w:color="auto"/>
              <w:left w:val="single" w:sz="4" w:space="0" w:color="auto"/>
              <w:bottom w:val="single" w:sz="4" w:space="0" w:color="auto"/>
              <w:right w:val="single" w:sz="4" w:space="0" w:color="auto"/>
            </w:tcBorders>
          </w:tcPr>
          <w:p w14:paraId="293F3C18"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3.86</w:t>
            </w:r>
          </w:p>
        </w:tc>
      </w:tr>
      <w:tr w:rsidR="00361611" w14:paraId="7D8077BD"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33A40C08" w14:textId="77777777" w:rsidR="00361611" w:rsidRDefault="00361611" w:rsidP="00A21959">
            <w:pPr>
              <w:pStyle w:val="Tabletext9pt"/>
            </w:pPr>
            <w:r>
              <w:t>HACC-PYP community care</w:t>
            </w:r>
          </w:p>
        </w:tc>
        <w:tc>
          <w:tcPr>
            <w:tcW w:w="2360" w:type="dxa"/>
            <w:tcBorders>
              <w:top w:val="single" w:sz="4" w:space="0" w:color="auto"/>
              <w:left w:val="single" w:sz="4" w:space="0" w:color="auto"/>
              <w:bottom w:val="single" w:sz="4" w:space="0" w:color="auto"/>
              <w:right w:val="single" w:sz="4" w:space="0" w:color="auto"/>
            </w:tcBorders>
            <w:hideMark/>
          </w:tcPr>
          <w:p w14:paraId="376E64B3" w14:textId="77777777" w:rsidR="00361611" w:rsidRDefault="00361611" w:rsidP="00A21959">
            <w:pPr>
              <w:pStyle w:val="Tabletext9pt"/>
              <w:rPr>
                <w:rFonts w:cs="Arial"/>
                <w:lang w:eastAsia="en-AU"/>
              </w:rPr>
            </w:pPr>
            <w:r>
              <w:rPr>
                <w:rFonts w:cs="Arial"/>
                <w:lang w:eastAsia="en-AU"/>
              </w:rPr>
              <w:t>Hour</w:t>
            </w:r>
          </w:p>
        </w:tc>
        <w:tc>
          <w:tcPr>
            <w:tcW w:w="3061" w:type="dxa"/>
            <w:tcBorders>
              <w:top w:val="single" w:sz="4" w:space="0" w:color="auto"/>
              <w:left w:val="single" w:sz="4" w:space="0" w:color="auto"/>
              <w:bottom w:val="single" w:sz="4" w:space="0" w:color="auto"/>
              <w:right w:val="single" w:sz="4" w:space="0" w:color="auto"/>
            </w:tcBorders>
          </w:tcPr>
          <w:p w14:paraId="211A000B"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53.73</w:t>
            </w:r>
          </w:p>
        </w:tc>
      </w:tr>
      <w:tr w:rsidR="00361611" w14:paraId="501DBE57" w14:textId="77777777" w:rsidTr="00A21959">
        <w:trPr>
          <w:trHeight w:val="77"/>
        </w:trPr>
        <w:tc>
          <w:tcPr>
            <w:tcW w:w="3878" w:type="dxa"/>
            <w:tcBorders>
              <w:top w:val="single" w:sz="4" w:space="0" w:color="auto"/>
              <w:left w:val="single" w:sz="4" w:space="0" w:color="auto"/>
              <w:bottom w:val="single" w:sz="4" w:space="0" w:color="auto"/>
              <w:right w:val="single" w:sz="4" w:space="0" w:color="auto"/>
            </w:tcBorders>
            <w:hideMark/>
          </w:tcPr>
          <w:p w14:paraId="447E9462" w14:textId="77777777" w:rsidR="00361611" w:rsidRDefault="00361611" w:rsidP="00A21959">
            <w:pPr>
              <w:pStyle w:val="Tabletext9pt"/>
            </w:pPr>
            <w:r>
              <w:t>HACC-PYP nursing</w:t>
            </w:r>
          </w:p>
        </w:tc>
        <w:tc>
          <w:tcPr>
            <w:tcW w:w="2360" w:type="dxa"/>
            <w:tcBorders>
              <w:top w:val="single" w:sz="4" w:space="0" w:color="auto"/>
              <w:left w:val="single" w:sz="4" w:space="0" w:color="auto"/>
              <w:bottom w:val="single" w:sz="4" w:space="0" w:color="auto"/>
              <w:right w:val="single" w:sz="4" w:space="0" w:color="auto"/>
            </w:tcBorders>
            <w:hideMark/>
          </w:tcPr>
          <w:p w14:paraId="470F3DDB"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2EC4D4A0"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106.61</w:t>
            </w:r>
          </w:p>
        </w:tc>
      </w:tr>
      <w:tr w:rsidR="00361611" w14:paraId="52164827"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201BDCA2" w14:textId="77777777" w:rsidR="00361611" w:rsidRDefault="00361611" w:rsidP="00A21959">
            <w:pPr>
              <w:pStyle w:val="Tabletext9pt"/>
            </w:pPr>
            <w:r>
              <w:t>HACC-PYP planned activity group</w:t>
            </w:r>
          </w:p>
        </w:tc>
        <w:tc>
          <w:tcPr>
            <w:tcW w:w="2360" w:type="dxa"/>
            <w:tcBorders>
              <w:top w:val="single" w:sz="4" w:space="0" w:color="auto"/>
              <w:left w:val="single" w:sz="4" w:space="0" w:color="auto"/>
              <w:bottom w:val="single" w:sz="4" w:space="0" w:color="auto"/>
              <w:right w:val="single" w:sz="4" w:space="0" w:color="auto"/>
            </w:tcBorders>
            <w:hideMark/>
          </w:tcPr>
          <w:p w14:paraId="67EC0233" w14:textId="77777777" w:rsidR="00361611" w:rsidRDefault="00361611" w:rsidP="00A21959">
            <w:pPr>
              <w:pStyle w:val="Tabletext9pt"/>
              <w:rPr>
                <w:rFonts w:cs="Arial"/>
                <w:lang w:eastAsia="en-AU"/>
              </w:rPr>
            </w:pPr>
            <w:r>
              <w:rPr>
                <w:rFonts w:cs="Arial"/>
                <w:lang w:eastAsia="en-AU"/>
              </w:rPr>
              <w:t>Per person</w:t>
            </w:r>
          </w:p>
        </w:tc>
        <w:tc>
          <w:tcPr>
            <w:tcW w:w="3061" w:type="dxa"/>
            <w:tcBorders>
              <w:top w:val="single" w:sz="4" w:space="0" w:color="auto"/>
              <w:left w:val="single" w:sz="4" w:space="0" w:color="auto"/>
              <w:bottom w:val="single" w:sz="4" w:space="0" w:color="auto"/>
              <w:right w:val="single" w:sz="4" w:space="0" w:color="auto"/>
            </w:tcBorders>
          </w:tcPr>
          <w:p w14:paraId="641D4614"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18.48</w:t>
            </w:r>
          </w:p>
        </w:tc>
      </w:tr>
      <w:tr w:rsidR="00361611" w14:paraId="70CBFFE7"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3BDAE6AC" w14:textId="77777777" w:rsidR="00361611" w:rsidRDefault="00361611" w:rsidP="00A21959">
            <w:pPr>
              <w:pStyle w:val="Tabletext9pt"/>
            </w:pPr>
            <w:r>
              <w:t>HACC-PYP property maintenance</w:t>
            </w:r>
          </w:p>
        </w:tc>
        <w:tc>
          <w:tcPr>
            <w:tcW w:w="2360" w:type="dxa"/>
            <w:tcBorders>
              <w:top w:val="single" w:sz="4" w:space="0" w:color="auto"/>
              <w:left w:val="single" w:sz="4" w:space="0" w:color="auto"/>
              <w:bottom w:val="single" w:sz="4" w:space="0" w:color="auto"/>
              <w:right w:val="single" w:sz="4" w:space="0" w:color="auto"/>
            </w:tcBorders>
            <w:hideMark/>
          </w:tcPr>
          <w:p w14:paraId="57D01A8B"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659719F7"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55.72</w:t>
            </w:r>
          </w:p>
        </w:tc>
      </w:tr>
      <w:tr w:rsidR="00361611" w14:paraId="2C83D5BA" w14:textId="77777777" w:rsidTr="00A21959">
        <w:tc>
          <w:tcPr>
            <w:tcW w:w="3878" w:type="dxa"/>
            <w:tcBorders>
              <w:top w:val="single" w:sz="4" w:space="0" w:color="auto"/>
              <w:left w:val="single" w:sz="4" w:space="0" w:color="auto"/>
              <w:bottom w:val="single" w:sz="4" w:space="0" w:color="auto"/>
              <w:right w:val="single" w:sz="4" w:space="0" w:color="auto"/>
            </w:tcBorders>
            <w:hideMark/>
          </w:tcPr>
          <w:p w14:paraId="5D2545B0" w14:textId="77777777" w:rsidR="00361611" w:rsidRDefault="00361611" w:rsidP="00A21959">
            <w:pPr>
              <w:pStyle w:val="Tabletext9pt"/>
            </w:pPr>
            <w:r>
              <w:t>HACC-PYP volunteer coordination</w:t>
            </w:r>
          </w:p>
        </w:tc>
        <w:tc>
          <w:tcPr>
            <w:tcW w:w="2360" w:type="dxa"/>
            <w:tcBorders>
              <w:top w:val="single" w:sz="4" w:space="0" w:color="auto"/>
              <w:left w:val="single" w:sz="4" w:space="0" w:color="auto"/>
              <w:bottom w:val="single" w:sz="4" w:space="0" w:color="auto"/>
              <w:right w:val="single" w:sz="4" w:space="0" w:color="auto"/>
            </w:tcBorders>
            <w:hideMark/>
          </w:tcPr>
          <w:p w14:paraId="79EF6C0B" w14:textId="77777777" w:rsidR="00361611" w:rsidRDefault="00361611" w:rsidP="00A21959">
            <w:pPr>
              <w:pStyle w:val="Tabletext9pt"/>
              <w:rPr>
                <w:rFonts w:cs="Arial"/>
                <w:lang w:eastAsia="en-AU"/>
              </w:rPr>
            </w:pPr>
            <w:r>
              <w:rPr>
                <w:rFonts w:cs="Arial"/>
              </w:rPr>
              <w:t>Hour</w:t>
            </w:r>
          </w:p>
        </w:tc>
        <w:tc>
          <w:tcPr>
            <w:tcW w:w="3061" w:type="dxa"/>
            <w:tcBorders>
              <w:top w:val="single" w:sz="4" w:space="0" w:color="auto"/>
              <w:left w:val="single" w:sz="4" w:space="0" w:color="auto"/>
              <w:bottom w:val="single" w:sz="4" w:space="0" w:color="auto"/>
              <w:right w:val="single" w:sz="4" w:space="0" w:color="auto"/>
            </w:tcBorders>
          </w:tcPr>
          <w:p w14:paraId="7110CC8B"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45.44</w:t>
            </w:r>
          </w:p>
        </w:tc>
      </w:tr>
    </w:tbl>
    <w:p w14:paraId="03034DDB" w14:textId="77777777" w:rsidR="005B699B" w:rsidRDefault="005B699B" w:rsidP="00922A4D">
      <w:pPr>
        <w:pStyle w:val="Bodyafterfiguretable"/>
      </w:pPr>
      <w:r>
        <w:t>Program area: Small rural health services – Primary Health</w:t>
      </w:r>
    </w:p>
    <w:tbl>
      <w:tblPr>
        <w:tblW w:w="9299" w:type="dxa"/>
        <w:tblLook w:val="06A0" w:firstRow="1" w:lastRow="0" w:firstColumn="1" w:lastColumn="0" w:noHBand="1" w:noVBand="1"/>
      </w:tblPr>
      <w:tblGrid>
        <w:gridCol w:w="4402"/>
        <w:gridCol w:w="2145"/>
        <w:gridCol w:w="2752"/>
      </w:tblGrid>
      <w:tr w:rsidR="00361611" w14:paraId="6BCB55A0" w14:textId="77777777" w:rsidTr="00A21959">
        <w:trPr>
          <w:tblHeader/>
        </w:trPr>
        <w:tc>
          <w:tcPr>
            <w:tcW w:w="4402" w:type="dxa"/>
            <w:tcBorders>
              <w:top w:val="single" w:sz="4" w:space="0" w:color="auto"/>
              <w:left w:val="single" w:sz="4" w:space="0" w:color="auto"/>
              <w:bottom w:val="single" w:sz="4" w:space="0" w:color="auto"/>
              <w:right w:val="single" w:sz="4" w:space="0" w:color="auto"/>
            </w:tcBorders>
            <w:shd w:val="clear" w:color="auto" w:fill="auto"/>
            <w:hideMark/>
          </w:tcPr>
          <w:p w14:paraId="4BB427F2" w14:textId="77777777" w:rsidR="00361611" w:rsidRPr="00F717FB" w:rsidRDefault="00361611" w:rsidP="00A21959">
            <w:pPr>
              <w:pStyle w:val="Tablecolhead"/>
              <w:rPr>
                <w:rFonts w:eastAsia="Arial"/>
                <w:szCs w:val="21"/>
              </w:rPr>
            </w:pPr>
            <w:r w:rsidRPr="00F717FB">
              <w:rPr>
                <w:rFonts w:eastAsia="Arial"/>
                <w:szCs w:val="21"/>
              </w:rPr>
              <w:t>Service</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596D489A" w14:textId="77777777" w:rsidR="00361611" w:rsidRPr="00F717FB" w:rsidRDefault="00361611" w:rsidP="00A21959">
            <w:pPr>
              <w:pStyle w:val="Tablecolhead"/>
              <w:rPr>
                <w:rFonts w:eastAsia="Arial"/>
                <w:szCs w:val="21"/>
              </w:rPr>
            </w:pPr>
            <w:r w:rsidRPr="00F717FB">
              <w:rPr>
                <w:rFonts w:eastAsia="Arial"/>
                <w:szCs w:val="21"/>
              </w:rPr>
              <w:t>Funded unit</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14:paraId="5087260B" w14:textId="77777777" w:rsidR="00361611" w:rsidRPr="00F717FB" w:rsidRDefault="00361611" w:rsidP="00A21959">
            <w:pPr>
              <w:pStyle w:val="Tablecolhead"/>
              <w:rPr>
                <w:rFonts w:eastAsia="Arial"/>
                <w:szCs w:val="21"/>
              </w:rPr>
            </w:pPr>
            <w:r w:rsidRPr="00F717FB">
              <w:rPr>
                <w:rFonts w:eastAsia="Arial"/>
                <w:szCs w:val="21"/>
              </w:rPr>
              <w:t>Estimated unit price ($)</w:t>
            </w:r>
          </w:p>
        </w:tc>
      </w:tr>
      <w:tr w:rsidR="00361611" w14:paraId="31472670" w14:textId="77777777" w:rsidTr="00A21959">
        <w:tc>
          <w:tcPr>
            <w:tcW w:w="4402" w:type="dxa"/>
            <w:tcBorders>
              <w:top w:val="single" w:sz="4" w:space="0" w:color="auto"/>
              <w:left w:val="single" w:sz="4" w:space="0" w:color="auto"/>
              <w:bottom w:val="single" w:sz="4" w:space="0" w:color="auto"/>
              <w:right w:val="single" w:sz="4" w:space="0" w:color="auto"/>
            </w:tcBorders>
          </w:tcPr>
          <w:p w14:paraId="72A0CEF6" w14:textId="77777777" w:rsidR="00361611" w:rsidRDefault="00361611" w:rsidP="00A21959">
            <w:pPr>
              <w:pStyle w:val="Tabletext9pt"/>
              <w:spacing w:before="60" w:after="40"/>
            </w:pPr>
            <w:r>
              <w:t>Single unit price (allied health and nursing)</w:t>
            </w:r>
          </w:p>
        </w:tc>
        <w:tc>
          <w:tcPr>
            <w:tcW w:w="2145" w:type="dxa"/>
            <w:tcBorders>
              <w:top w:val="single" w:sz="4" w:space="0" w:color="auto"/>
              <w:left w:val="single" w:sz="4" w:space="0" w:color="auto"/>
              <w:bottom w:val="single" w:sz="4" w:space="0" w:color="auto"/>
              <w:right w:val="single" w:sz="4" w:space="0" w:color="auto"/>
            </w:tcBorders>
          </w:tcPr>
          <w:p w14:paraId="1E30ACAE" w14:textId="77777777" w:rsidR="00361611" w:rsidRDefault="00361611" w:rsidP="00A21959">
            <w:pPr>
              <w:pStyle w:val="Tabletext9pt"/>
              <w:numPr>
                <w:ilvl w:val="0"/>
                <w:numId w:val="12"/>
              </w:numPr>
              <w:spacing w:before="60" w:after="40"/>
              <w:rPr>
                <w:rFonts w:cs="Arial"/>
              </w:rPr>
            </w:pPr>
            <w:r>
              <w:rPr>
                <w:rFonts w:cs="Arial"/>
              </w:rPr>
              <w:t>Hour</w:t>
            </w:r>
          </w:p>
        </w:tc>
        <w:tc>
          <w:tcPr>
            <w:tcW w:w="2752" w:type="dxa"/>
            <w:tcBorders>
              <w:top w:val="single" w:sz="4" w:space="0" w:color="auto"/>
              <w:left w:val="single" w:sz="4" w:space="0" w:color="auto"/>
              <w:bottom w:val="single" w:sz="4" w:space="0" w:color="auto"/>
              <w:right w:val="single" w:sz="4" w:space="0" w:color="auto"/>
            </w:tcBorders>
          </w:tcPr>
          <w:p w14:paraId="4C5D45AF" w14:textId="77777777" w:rsidR="00361611" w:rsidRDefault="00361611" w:rsidP="00A21959">
            <w:pPr>
              <w:pStyle w:val="Tabletext9pt"/>
              <w:numPr>
                <w:ilvl w:val="0"/>
                <w:numId w:val="12"/>
              </w:numPr>
              <w:spacing w:before="60" w:after="40"/>
              <w:jc w:val="right"/>
            </w:pPr>
            <w:r>
              <w:t>122.11</w:t>
            </w:r>
          </w:p>
        </w:tc>
      </w:tr>
    </w:tbl>
    <w:p w14:paraId="72D39D51" w14:textId="77777777" w:rsidR="00F77982" w:rsidRDefault="00F77982" w:rsidP="00922A4D">
      <w:pPr>
        <w:spacing w:before="240"/>
      </w:pPr>
    </w:p>
    <w:p w14:paraId="3570C3B0" w14:textId="77777777" w:rsidR="00F77982" w:rsidRDefault="00F77982">
      <w:pPr>
        <w:spacing w:after="0" w:line="240" w:lineRule="auto"/>
      </w:pPr>
      <w:r>
        <w:br w:type="page"/>
      </w:r>
    </w:p>
    <w:p w14:paraId="15A13A05" w14:textId="3B4732B3" w:rsidR="005B699B" w:rsidRDefault="005B699B" w:rsidP="00922A4D">
      <w:pPr>
        <w:spacing w:before="240"/>
      </w:pPr>
      <w:r>
        <w:lastRenderedPageBreak/>
        <w:t>Program area: Residential aged care</w:t>
      </w:r>
      <w:r w:rsidRPr="00922A4D">
        <w:rPr>
          <w:vertAlign w:val="superscript"/>
        </w:rPr>
        <w:footnoteReference w:id="9"/>
      </w:r>
      <w:r>
        <w:t xml:space="preserve"> – public sector residential aged care supplements</w:t>
      </w:r>
    </w:p>
    <w:tbl>
      <w:tblPr>
        <w:tblW w:w="9299" w:type="dxa"/>
        <w:tblLook w:val="06A0" w:firstRow="1" w:lastRow="0" w:firstColumn="1" w:lastColumn="0" w:noHBand="1" w:noVBand="1"/>
      </w:tblPr>
      <w:tblGrid>
        <w:gridCol w:w="4390"/>
        <w:gridCol w:w="1984"/>
        <w:gridCol w:w="2925"/>
      </w:tblGrid>
      <w:tr w:rsidR="00361611" w14:paraId="496CBD34" w14:textId="77777777" w:rsidTr="00A21959">
        <w:trPr>
          <w:tblHeader/>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14:paraId="263F9475" w14:textId="77777777" w:rsidR="00361611" w:rsidRPr="00F717FB" w:rsidRDefault="00361611" w:rsidP="00A21959">
            <w:pPr>
              <w:pStyle w:val="Tablecolhead"/>
              <w:rPr>
                <w:rFonts w:eastAsia="Arial"/>
                <w:szCs w:val="21"/>
              </w:rPr>
            </w:pPr>
            <w:r w:rsidRPr="00F717FB">
              <w:rPr>
                <w:rFonts w:eastAsia="Arial"/>
                <w:szCs w:val="21"/>
              </w:rPr>
              <w:t>Service</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02F10FC" w14:textId="77777777" w:rsidR="00361611" w:rsidRPr="00F717FB" w:rsidRDefault="00361611" w:rsidP="00A21959">
            <w:pPr>
              <w:pStyle w:val="Tablecolhead"/>
              <w:rPr>
                <w:rFonts w:eastAsia="Arial"/>
                <w:szCs w:val="21"/>
              </w:rPr>
            </w:pPr>
            <w:r w:rsidRPr="00F717FB">
              <w:rPr>
                <w:rFonts w:eastAsia="Arial"/>
                <w:szCs w:val="21"/>
              </w:rPr>
              <w:t>Funded unit</w:t>
            </w:r>
          </w:p>
        </w:tc>
        <w:tc>
          <w:tcPr>
            <w:tcW w:w="2925" w:type="dxa"/>
            <w:tcBorders>
              <w:top w:val="single" w:sz="4" w:space="0" w:color="auto"/>
              <w:left w:val="single" w:sz="4" w:space="0" w:color="auto"/>
              <w:bottom w:val="single" w:sz="4" w:space="0" w:color="auto"/>
              <w:right w:val="single" w:sz="4" w:space="0" w:color="auto"/>
            </w:tcBorders>
            <w:shd w:val="clear" w:color="auto" w:fill="auto"/>
            <w:hideMark/>
          </w:tcPr>
          <w:p w14:paraId="58AB947F" w14:textId="77777777" w:rsidR="00361611" w:rsidRPr="00F717FB" w:rsidRDefault="00361611" w:rsidP="00A21959">
            <w:pPr>
              <w:pStyle w:val="Tablecolhead"/>
              <w:rPr>
                <w:rFonts w:eastAsia="Arial"/>
                <w:szCs w:val="21"/>
              </w:rPr>
            </w:pPr>
            <w:r w:rsidRPr="00F717FB">
              <w:rPr>
                <w:rFonts w:eastAsia="Arial"/>
                <w:szCs w:val="21"/>
              </w:rPr>
              <w:t>Estimated unit price ($)</w:t>
            </w:r>
          </w:p>
        </w:tc>
      </w:tr>
      <w:tr w:rsidR="00361611" w14:paraId="04DF8436"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6BA35166" w14:textId="77777777" w:rsidR="00361611" w:rsidRDefault="00361611" w:rsidP="00A21959">
            <w:pPr>
              <w:pStyle w:val="Tabletext9pt"/>
              <w:numPr>
                <w:ilvl w:val="0"/>
                <w:numId w:val="12"/>
              </w:numPr>
              <w:spacing w:before="60" w:after="40"/>
            </w:pPr>
            <w:r>
              <w:rPr>
                <w:rFonts w:cs="Arial"/>
              </w:rPr>
              <w:t>Rural small high-care supplement</w:t>
            </w:r>
          </w:p>
          <w:p w14:paraId="7376AA44" w14:textId="77777777" w:rsidR="00361611" w:rsidRDefault="00361611" w:rsidP="00A21959">
            <w:pPr>
              <w:pStyle w:val="Tabletext9pt"/>
              <w:numPr>
                <w:ilvl w:val="0"/>
                <w:numId w:val="12"/>
              </w:numPr>
              <w:spacing w:before="60" w:after="40"/>
            </w:pPr>
            <w:r>
              <w:t>1–10 places</w:t>
            </w:r>
          </w:p>
        </w:tc>
        <w:tc>
          <w:tcPr>
            <w:tcW w:w="1984" w:type="dxa"/>
            <w:tcBorders>
              <w:top w:val="single" w:sz="4" w:space="0" w:color="auto"/>
              <w:left w:val="single" w:sz="4" w:space="0" w:color="auto"/>
              <w:bottom w:val="single" w:sz="4" w:space="0" w:color="auto"/>
              <w:right w:val="single" w:sz="4" w:space="0" w:color="auto"/>
            </w:tcBorders>
            <w:hideMark/>
          </w:tcPr>
          <w:p w14:paraId="2A6EE86B"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7BD71221"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11.94</w:t>
            </w:r>
          </w:p>
        </w:tc>
      </w:tr>
      <w:tr w:rsidR="00361611" w14:paraId="29C39019"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0DDFC7CA" w14:textId="77777777" w:rsidR="00361611" w:rsidRDefault="00361611" w:rsidP="00A21959">
            <w:pPr>
              <w:pStyle w:val="Tabletext9pt"/>
              <w:numPr>
                <w:ilvl w:val="0"/>
                <w:numId w:val="12"/>
              </w:numPr>
              <w:spacing w:before="60" w:after="40"/>
            </w:pPr>
            <w:r>
              <w:rPr>
                <w:rFonts w:cs="Arial"/>
              </w:rPr>
              <w:t>Rural small high-care supplement</w:t>
            </w:r>
          </w:p>
          <w:p w14:paraId="5D003E63" w14:textId="77777777" w:rsidR="00361611" w:rsidRDefault="00361611" w:rsidP="00A21959">
            <w:pPr>
              <w:pStyle w:val="Tabletext9pt"/>
              <w:numPr>
                <w:ilvl w:val="0"/>
                <w:numId w:val="12"/>
              </w:numPr>
              <w:spacing w:before="60" w:after="40"/>
            </w:pPr>
            <w:r>
              <w:t>11–20 places</w:t>
            </w:r>
          </w:p>
        </w:tc>
        <w:tc>
          <w:tcPr>
            <w:tcW w:w="1984" w:type="dxa"/>
            <w:tcBorders>
              <w:top w:val="single" w:sz="4" w:space="0" w:color="auto"/>
              <w:left w:val="single" w:sz="4" w:space="0" w:color="auto"/>
              <w:bottom w:val="single" w:sz="4" w:space="0" w:color="auto"/>
              <w:right w:val="single" w:sz="4" w:space="0" w:color="auto"/>
            </w:tcBorders>
            <w:hideMark/>
          </w:tcPr>
          <w:p w14:paraId="6D664A08"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08330E98"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8.95</w:t>
            </w:r>
          </w:p>
        </w:tc>
      </w:tr>
      <w:tr w:rsidR="00361611" w14:paraId="6D758A9D"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4E7BCF5F" w14:textId="77777777" w:rsidR="00361611" w:rsidRDefault="00361611" w:rsidP="00A21959">
            <w:pPr>
              <w:pStyle w:val="Tabletext9pt"/>
              <w:numPr>
                <w:ilvl w:val="0"/>
                <w:numId w:val="12"/>
              </w:numPr>
              <w:spacing w:before="60" w:after="40"/>
            </w:pPr>
            <w:r>
              <w:rPr>
                <w:rFonts w:cs="Arial"/>
              </w:rPr>
              <w:t>Rural small high-care supplement</w:t>
            </w:r>
          </w:p>
          <w:p w14:paraId="7ECF4381" w14:textId="77777777" w:rsidR="00361611" w:rsidRDefault="00361611" w:rsidP="00A21959">
            <w:pPr>
              <w:pStyle w:val="Tabletext9pt"/>
              <w:numPr>
                <w:ilvl w:val="0"/>
                <w:numId w:val="12"/>
              </w:numPr>
              <w:spacing w:before="60" w:after="40"/>
            </w:pPr>
            <w:r>
              <w:t>21–30 places</w:t>
            </w:r>
          </w:p>
        </w:tc>
        <w:tc>
          <w:tcPr>
            <w:tcW w:w="1984" w:type="dxa"/>
            <w:tcBorders>
              <w:top w:val="single" w:sz="4" w:space="0" w:color="auto"/>
              <w:left w:val="single" w:sz="4" w:space="0" w:color="auto"/>
              <w:bottom w:val="single" w:sz="4" w:space="0" w:color="auto"/>
              <w:right w:val="single" w:sz="4" w:space="0" w:color="auto"/>
            </w:tcBorders>
            <w:hideMark/>
          </w:tcPr>
          <w:p w14:paraId="705D9D74"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526E5311"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7.47</w:t>
            </w:r>
          </w:p>
        </w:tc>
      </w:tr>
      <w:tr w:rsidR="00361611" w14:paraId="53FAF2F0"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5153A843" w14:textId="77777777" w:rsidR="00361611" w:rsidRDefault="00361611" w:rsidP="00A21959">
            <w:pPr>
              <w:pStyle w:val="Tabletext9pt"/>
              <w:numPr>
                <w:ilvl w:val="0"/>
                <w:numId w:val="12"/>
              </w:numPr>
              <w:spacing w:before="60" w:after="40"/>
            </w:pPr>
            <w:r>
              <w:t>Low-care supplement</w:t>
            </w:r>
            <w:r w:rsidRPr="00922A4D">
              <w:rPr>
                <w:vertAlign w:val="superscript"/>
              </w:rPr>
              <w:footnoteReference w:id="10"/>
            </w:r>
          </w:p>
        </w:tc>
        <w:tc>
          <w:tcPr>
            <w:tcW w:w="1984" w:type="dxa"/>
            <w:tcBorders>
              <w:top w:val="single" w:sz="4" w:space="0" w:color="auto"/>
              <w:left w:val="single" w:sz="4" w:space="0" w:color="auto"/>
              <w:bottom w:val="single" w:sz="4" w:space="0" w:color="auto"/>
              <w:right w:val="single" w:sz="4" w:space="0" w:color="auto"/>
            </w:tcBorders>
            <w:hideMark/>
          </w:tcPr>
          <w:p w14:paraId="116AFCAB"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506BD5EE"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6.84</w:t>
            </w:r>
          </w:p>
        </w:tc>
      </w:tr>
      <w:tr w:rsidR="00361611" w14:paraId="60E49ADE"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5D46B51B" w14:textId="77777777" w:rsidR="00361611" w:rsidRDefault="00361611" w:rsidP="00A21959">
            <w:pPr>
              <w:pStyle w:val="Tabletext9pt"/>
              <w:numPr>
                <w:ilvl w:val="0"/>
                <w:numId w:val="12"/>
              </w:numPr>
              <w:spacing w:before="60" w:after="40"/>
            </w:pPr>
            <w:r>
              <w:t>High-care supplement</w:t>
            </w:r>
          </w:p>
        </w:tc>
        <w:tc>
          <w:tcPr>
            <w:tcW w:w="1984" w:type="dxa"/>
            <w:tcBorders>
              <w:top w:val="single" w:sz="4" w:space="0" w:color="auto"/>
              <w:left w:val="single" w:sz="4" w:space="0" w:color="auto"/>
              <w:bottom w:val="single" w:sz="4" w:space="0" w:color="auto"/>
              <w:right w:val="single" w:sz="4" w:space="0" w:color="auto"/>
            </w:tcBorders>
            <w:hideMark/>
          </w:tcPr>
          <w:p w14:paraId="7C9EB76E"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6FEFE301"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73.87</w:t>
            </w:r>
          </w:p>
        </w:tc>
      </w:tr>
      <w:tr w:rsidR="00361611" w14:paraId="5DAC4FFF" w14:textId="77777777" w:rsidTr="00A21959">
        <w:tc>
          <w:tcPr>
            <w:tcW w:w="4390" w:type="dxa"/>
            <w:tcBorders>
              <w:top w:val="single" w:sz="4" w:space="0" w:color="auto"/>
              <w:left w:val="single" w:sz="4" w:space="0" w:color="auto"/>
              <w:bottom w:val="single" w:sz="4" w:space="0" w:color="auto"/>
              <w:right w:val="single" w:sz="4" w:space="0" w:color="auto"/>
            </w:tcBorders>
            <w:hideMark/>
          </w:tcPr>
          <w:p w14:paraId="3D161A14" w14:textId="77777777" w:rsidR="00361611" w:rsidRDefault="00361611" w:rsidP="00A21959">
            <w:pPr>
              <w:pStyle w:val="Tabletext9pt"/>
              <w:numPr>
                <w:ilvl w:val="0"/>
                <w:numId w:val="12"/>
              </w:numPr>
              <w:spacing w:before="60" w:after="40"/>
            </w:pPr>
            <w:r>
              <w:t>Public sector residential aged care supplement</w:t>
            </w:r>
          </w:p>
        </w:tc>
        <w:tc>
          <w:tcPr>
            <w:tcW w:w="1984" w:type="dxa"/>
            <w:tcBorders>
              <w:top w:val="single" w:sz="4" w:space="0" w:color="auto"/>
              <w:left w:val="single" w:sz="4" w:space="0" w:color="auto"/>
              <w:bottom w:val="single" w:sz="4" w:space="0" w:color="auto"/>
              <w:right w:val="single" w:sz="4" w:space="0" w:color="auto"/>
            </w:tcBorders>
            <w:hideMark/>
          </w:tcPr>
          <w:p w14:paraId="13F34C88" w14:textId="77777777" w:rsidR="00361611" w:rsidRDefault="00361611" w:rsidP="00A21959">
            <w:pPr>
              <w:pStyle w:val="Tabletext9pt"/>
              <w:numPr>
                <w:ilvl w:val="0"/>
                <w:numId w:val="12"/>
              </w:numPr>
              <w:spacing w:before="60" w:after="40"/>
              <w:rPr>
                <w:rFonts w:cs="Arial"/>
              </w:rPr>
            </w:pPr>
            <w:r>
              <w:rPr>
                <w:rFonts w:cs="Arial"/>
              </w:rPr>
              <w:t>Bed day</w:t>
            </w:r>
          </w:p>
        </w:tc>
        <w:tc>
          <w:tcPr>
            <w:tcW w:w="2925" w:type="dxa"/>
            <w:tcBorders>
              <w:top w:val="single" w:sz="4" w:space="0" w:color="auto"/>
              <w:left w:val="single" w:sz="4" w:space="0" w:color="auto"/>
              <w:bottom w:val="single" w:sz="4" w:space="0" w:color="auto"/>
              <w:right w:val="single" w:sz="4" w:space="0" w:color="auto"/>
            </w:tcBorders>
          </w:tcPr>
          <w:p w14:paraId="77CBBA05"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13.98</w:t>
            </w:r>
          </w:p>
        </w:tc>
      </w:tr>
      <w:tr w:rsidR="00361611" w14:paraId="772C90D0" w14:textId="77777777" w:rsidTr="00A21959">
        <w:trPr>
          <w:trHeight w:val="114"/>
        </w:trPr>
        <w:tc>
          <w:tcPr>
            <w:tcW w:w="4390" w:type="dxa"/>
            <w:tcBorders>
              <w:top w:val="single" w:sz="4" w:space="0" w:color="auto"/>
              <w:left w:val="single" w:sz="4" w:space="0" w:color="auto"/>
              <w:bottom w:val="single" w:sz="4" w:space="0" w:color="auto"/>
              <w:right w:val="single" w:sz="4" w:space="0" w:color="auto"/>
            </w:tcBorders>
            <w:hideMark/>
          </w:tcPr>
          <w:p w14:paraId="3685BEFB" w14:textId="77777777" w:rsidR="00361611" w:rsidRDefault="00361611" w:rsidP="00A21959">
            <w:pPr>
              <w:pStyle w:val="Tabletext9pt"/>
              <w:numPr>
                <w:ilvl w:val="0"/>
                <w:numId w:val="12"/>
              </w:numPr>
              <w:spacing w:before="60" w:after="40"/>
            </w:pPr>
            <w:r>
              <w:t>Complex care supplement</w:t>
            </w:r>
          </w:p>
        </w:tc>
        <w:tc>
          <w:tcPr>
            <w:tcW w:w="1984" w:type="dxa"/>
            <w:tcBorders>
              <w:top w:val="single" w:sz="4" w:space="0" w:color="auto"/>
              <w:left w:val="single" w:sz="4" w:space="0" w:color="auto"/>
              <w:bottom w:val="single" w:sz="4" w:space="0" w:color="auto"/>
              <w:right w:val="single" w:sz="4" w:space="0" w:color="auto"/>
            </w:tcBorders>
            <w:hideMark/>
          </w:tcPr>
          <w:p w14:paraId="43FC78C0" w14:textId="77777777" w:rsidR="00361611" w:rsidRDefault="00361611" w:rsidP="00A21959">
            <w:pPr>
              <w:pStyle w:val="Tabletext9pt"/>
              <w:numPr>
                <w:ilvl w:val="0"/>
                <w:numId w:val="12"/>
              </w:numPr>
              <w:spacing w:before="60" w:after="40"/>
              <w:rPr>
                <w:rFonts w:cs="Arial"/>
              </w:rPr>
            </w:pPr>
            <w:r>
              <w:rPr>
                <w:rFonts w:cs="Arial"/>
              </w:rPr>
              <w:t>Bed day</w:t>
            </w:r>
          </w:p>
        </w:tc>
        <w:tc>
          <w:tcPr>
            <w:tcW w:w="0" w:type="dxa"/>
            <w:tcBorders>
              <w:top w:val="single" w:sz="4" w:space="0" w:color="auto"/>
              <w:left w:val="single" w:sz="4" w:space="0" w:color="auto"/>
              <w:bottom w:val="single" w:sz="4" w:space="0" w:color="auto"/>
              <w:right w:val="single" w:sz="4" w:space="0" w:color="auto"/>
            </w:tcBorders>
          </w:tcPr>
          <w:p w14:paraId="47B14839" w14:textId="77777777" w:rsidR="00361611" w:rsidRPr="0EC1DC23" w:rsidRDefault="00361611" w:rsidP="00A21959">
            <w:pPr>
              <w:spacing w:before="60" w:after="40"/>
              <w:jc w:val="right"/>
              <w:rPr>
                <w:rFonts w:eastAsia="Arial" w:cs="Arial"/>
                <w:sz w:val="18"/>
                <w:szCs w:val="18"/>
              </w:rPr>
            </w:pPr>
            <w:r w:rsidRPr="0EC1DC23">
              <w:rPr>
                <w:rFonts w:eastAsia="Arial" w:cs="Arial"/>
                <w:sz w:val="18"/>
                <w:szCs w:val="18"/>
              </w:rPr>
              <w:t>44.81</w:t>
            </w:r>
          </w:p>
        </w:tc>
      </w:tr>
    </w:tbl>
    <w:p w14:paraId="302EDE5C" w14:textId="77777777" w:rsidR="005B699B" w:rsidRDefault="005B699B" w:rsidP="001E4292">
      <w:pPr>
        <w:pStyle w:val="Heading2"/>
        <w:numPr>
          <w:ilvl w:val="1"/>
          <w:numId w:val="13"/>
        </w:numPr>
        <w:ind w:left="1134" w:hanging="1134"/>
      </w:pPr>
      <w:bookmarkStart w:id="2296" w:name="_Toc110950043"/>
      <w:bookmarkStart w:id="2297" w:name="_Toc418694989"/>
      <w:bookmarkStart w:id="2298" w:name="_Toc487742011"/>
      <w:bookmarkStart w:id="2299" w:name="_Toc14172241"/>
      <w:bookmarkStart w:id="2300" w:name="_Toc100263351"/>
      <w:bookmarkStart w:id="2301" w:name="_Toc165961855"/>
      <w:bookmarkStart w:id="2302" w:name="_Toc178963641"/>
      <w:bookmarkEnd w:id="2296"/>
      <w:r>
        <w:t xml:space="preserve">Primary, </w:t>
      </w:r>
      <w:bookmarkEnd w:id="2297"/>
      <w:r w:rsidRPr="00731B6C">
        <w:t>community</w:t>
      </w:r>
      <w:r>
        <w:t xml:space="preserve"> and dental health output group</w:t>
      </w:r>
      <w:bookmarkEnd w:id="2298"/>
      <w:bookmarkEnd w:id="2299"/>
      <w:bookmarkEnd w:id="2300"/>
      <w:bookmarkEnd w:id="2301"/>
      <w:bookmarkEnd w:id="2302"/>
    </w:p>
    <w:p w14:paraId="0D9575D6" w14:textId="2AB60507" w:rsidR="00A97999" w:rsidRPr="00377487" w:rsidRDefault="00A97999" w:rsidP="00C50CD4">
      <w:pPr>
        <w:pStyle w:val="Tablecaption"/>
      </w:pPr>
      <w:bookmarkStart w:id="2303" w:name="_Toc110944668"/>
      <w:bookmarkStart w:id="2304" w:name="_Toc176510410"/>
      <w:bookmarkStart w:id="2305" w:name="_Toc419644517"/>
      <w:bookmarkStart w:id="2306" w:name="_Toc487742076"/>
      <w:bookmarkEnd w:id="2303"/>
      <w:r w:rsidRPr="00A97999">
        <w:t>Table 1.</w:t>
      </w:r>
      <w:r>
        <w:fldChar w:fldCharType="begin"/>
      </w:r>
      <w:r>
        <w:instrText>SEQ Table \* ARABIC</w:instrText>
      </w:r>
      <w:r>
        <w:fldChar w:fldCharType="separate"/>
      </w:r>
      <w:r w:rsidR="00F30C16" w:rsidRPr="00377487">
        <w:t>20</w:t>
      </w:r>
      <w:r>
        <w:fldChar w:fldCharType="end"/>
      </w:r>
      <w:r w:rsidRPr="00377487">
        <w:t>: Community Health care output 2024–25</w:t>
      </w:r>
      <w:bookmarkEnd w:id="2304"/>
    </w:p>
    <w:tbl>
      <w:tblPr>
        <w:tblW w:w="9299" w:type="dxa"/>
        <w:tblLook w:val="06A0" w:firstRow="1" w:lastRow="0" w:firstColumn="1" w:lastColumn="0" w:noHBand="1" w:noVBand="1"/>
      </w:tblPr>
      <w:tblGrid>
        <w:gridCol w:w="2547"/>
        <w:gridCol w:w="2551"/>
        <w:gridCol w:w="1560"/>
        <w:gridCol w:w="2641"/>
      </w:tblGrid>
      <w:tr w:rsidR="00361611" w14:paraId="3BEC4C8C" w14:textId="77777777" w:rsidTr="00A21959">
        <w:trPr>
          <w:tblHead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7A95A21B" w14:textId="77777777" w:rsidR="00361611" w:rsidRPr="00F717FB" w:rsidRDefault="00361611" w:rsidP="00A21959">
            <w:pPr>
              <w:pStyle w:val="Tablecolhead"/>
              <w:rPr>
                <w:rFonts w:eastAsia="Arial"/>
                <w:szCs w:val="21"/>
              </w:rPr>
            </w:pPr>
            <w:r w:rsidRPr="00F717FB">
              <w:rPr>
                <w:rFonts w:eastAsia="Arial"/>
                <w:szCs w:val="21"/>
              </w:rPr>
              <w:t>Service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978E077" w14:textId="77777777" w:rsidR="00361611" w:rsidRPr="00F717FB" w:rsidRDefault="00361611" w:rsidP="00A21959">
            <w:pPr>
              <w:pStyle w:val="Tablecolhead"/>
              <w:rPr>
                <w:rFonts w:eastAsia="Arial"/>
                <w:szCs w:val="21"/>
              </w:rPr>
            </w:pPr>
            <w:r w:rsidRPr="00F717FB">
              <w:rPr>
                <w:rFonts w:eastAsia="Arial"/>
                <w:szCs w:val="21"/>
              </w:rPr>
              <w:t>Service subsection</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D481C69" w14:textId="77777777" w:rsidR="00361611" w:rsidRPr="00F717FB" w:rsidRDefault="00361611" w:rsidP="00A21959">
            <w:pPr>
              <w:pStyle w:val="Tablecolhead"/>
              <w:rPr>
                <w:rFonts w:eastAsia="Arial"/>
                <w:szCs w:val="21"/>
              </w:rPr>
            </w:pPr>
            <w:r w:rsidRPr="00F717FB">
              <w:rPr>
                <w:rFonts w:eastAsia="Arial"/>
                <w:szCs w:val="21"/>
              </w:rPr>
              <w:t>Funded unit</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14:paraId="2276A031" w14:textId="77777777" w:rsidR="00361611" w:rsidRPr="00F717FB" w:rsidRDefault="00361611" w:rsidP="00A21959">
            <w:pPr>
              <w:pStyle w:val="Tablecolhead"/>
              <w:rPr>
                <w:rFonts w:eastAsia="Arial"/>
                <w:szCs w:val="21"/>
              </w:rPr>
            </w:pPr>
            <w:r w:rsidRPr="00F717FB">
              <w:rPr>
                <w:rFonts w:eastAsia="Arial"/>
                <w:szCs w:val="21"/>
              </w:rPr>
              <w:t>Estimated unit price ($)</w:t>
            </w:r>
          </w:p>
        </w:tc>
      </w:tr>
      <w:tr w:rsidR="00361611" w14:paraId="37AC9E16"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73415B0B" w14:textId="77777777" w:rsidR="00361611" w:rsidRDefault="00361611" w:rsidP="00A21959">
            <w:pPr>
              <w:pStyle w:val="Tabletext9pt"/>
              <w:numPr>
                <w:ilvl w:val="0"/>
                <w:numId w:val="12"/>
              </w:numPr>
            </w:pPr>
            <w:r>
              <w:t>Family and Reproductive Rights Education Program</w:t>
            </w:r>
          </w:p>
        </w:tc>
        <w:tc>
          <w:tcPr>
            <w:tcW w:w="2551" w:type="dxa"/>
            <w:tcBorders>
              <w:top w:val="single" w:sz="4" w:space="0" w:color="auto"/>
              <w:left w:val="single" w:sz="4" w:space="0" w:color="auto"/>
              <w:bottom w:val="single" w:sz="4" w:space="0" w:color="auto"/>
              <w:right w:val="single" w:sz="4" w:space="0" w:color="auto"/>
            </w:tcBorders>
            <w:hideMark/>
          </w:tcPr>
          <w:p w14:paraId="2D4E9A13" w14:textId="77777777" w:rsidR="00361611" w:rsidRDefault="00361611" w:rsidP="00A21959">
            <w:pPr>
              <w:pStyle w:val="Tabletext9pt"/>
              <w:numPr>
                <w:ilvl w:val="0"/>
                <w:numId w:val="12"/>
              </w:numPr>
            </w:pPr>
            <w:r>
              <w:t>Direct care</w:t>
            </w:r>
          </w:p>
        </w:tc>
        <w:tc>
          <w:tcPr>
            <w:tcW w:w="1560" w:type="dxa"/>
            <w:tcBorders>
              <w:top w:val="single" w:sz="4" w:space="0" w:color="auto"/>
              <w:left w:val="single" w:sz="4" w:space="0" w:color="auto"/>
              <w:bottom w:val="single" w:sz="4" w:space="0" w:color="auto"/>
              <w:right w:val="single" w:sz="4" w:space="0" w:color="auto"/>
            </w:tcBorders>
            <w:hideMark/>
          </w:tcPr>
          <w:p w14:paraId="3B79A617"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44E59C5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4721E580"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743986F5" w14:textId="77777777" w:rsidR="00361611" w:rsidRDefault="00361611" w:rsidP="00A21959">
            <w:pPr>
              <w:pStyle w:val="Tabletext9pt"/>
              <w:numPr>
                <w:ilvl w:val="0"/>
                <w:numId w:val="12"/>
              </w:numPr>
            </w:pPr>
            <w:r>
              <w:t>Innovative Health Services for Homeless Youth</w:t>
            </w:r>
          </w:p>
        </w:tc>
        <w:tc>
          <w:tcPr>
            <w:tcW w:w="2551" w:type="dxa"/>
            <w:tcBorders>
              <w:top w:val="single" w:sz="4" w:space="0" w:color="auto"/>
              <w:left w:val="single" w:sz="4" w:space="0" w:color="auto"/>
              <w:bottom w:val="single" w:sz="4" w:space="0" w:color="auto"/>
              <w:right w:val="single" w:sz="4" w:space="0" w:color="auto"/>
            </w:tcBorders>
            <w:hideMark/>
          </w:tcPr>
          <w:p w14:paraId="5DFB6475" w14:textId="77777777" w:rsidR="00361611" w:rsidRDefault="00361611" w:rsidP="00A21959">
            <w:pPr>
              <w:pStyle w:val="Tabletext9pt"/>
              <w:numPr>
                <w:ilvl w:val="0"/>
                <w:numId w:val="12"/>
              </w:numPr>
            </w:pPr>
            <w:r>
              <w:t>Counselling/casework</w:t>
            </w:r>
          </w:p>
        </w:tc>
        <w:tc>
          <w:tcPr>
            <w:tcW w:w="1560" w:type="dxa"/>
            <w:tcBorders>
              <w:top w:val="single" w:sz="4" w:space="0" w:color="auto"/>
              <w:left w:val="single" w:sz="4" w:space="0" w:color="auto"/>
              <w:bottom w:val="single" w:sz="4" w:space="0" w:color="auto"/>
              <w:right w:val="single" w:sz="4" w:space="0" w:color="auto"/>
            </w:tcBorders>
            <w:hideMark/>
          </w:tcPr>
          <w:p w14:paraId="1049B54C"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76BCE173"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7B9660B8"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7A6E288D" w14:textId="77777777" w:rsidR="00361611" w:rsidRDefault="00361611" w:rsidP="00A21959">
            <w:pPr>
              <w:pStyle w:val="Tabletext9pt"/>
              <w:numPr>
                <w:ilvl w:val="0"/>
                <w:numId w:val="12"/>
              </w:numPr>
            </w:pPr>
            <w:r>
              <w:t>Innovative Health Services for Homeless Youth</w:t>
            </w:r>
          </w:p>
        </w:tc>
        <w:tc>
          <w:tcPr>
            <w:tcW w:w="2551" w:type="dxa"/>
            <w:tcBorders>
              <w:top w:val="single" w:sz="4" w:space="0" w:color="auto"/>
              <w:left w:val="single" w:sz="4" w:space="0" w:color="auto"/>
              <w:bottom w:val="single" w:sz="4" w:space="0" w:color="auto"/>
              <w:right w:val="single" w:sz="4" w:space="0" w:color="auto"/>
            </w:tcBorders>
            <w:hideMark/>
          </w:tcPr>
          <w:p w14:paraId="6F16AD3E" w14:textId="77777777" w:rsidR="00361611" w:rsidRDefault="00361611" w:rsidP="00A21959">
            <w:pPr>
              <w:pStyle w:val="Tabletext9pt"/>
              <w:numPr>
                <w:ilvl w:val="0"/>
                <w:numId w:val="12"/>
              </w:numPr>
            </w:pPr>
            <w:r>
              <w:t>Nursing</w:t>
            </w:r>
          </w:p>
        </w:tc>
        <w:tc>
          <w:tcPr>
            <w:tcW w:w="1560" w:type="dxa"/>
            <w:tcBorders>
              <w:top w:val="single" w:sz="4" w:space="0" w:color="auto"/>
              <w:left w:val="single" w:sz="4" w:space="0" w:color="auto"/>
              <w:bottom w:val="single" w:sz="4" w:space="0" w:color="auto"/>
              <w:right w:val="single" w:sz="4" w:space="0" w:color="auto"/>
            </w:tcBorders>
            <w:hideMark/>
          </w:tcPr>
          <w:p w14:paraId="540125D3"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4B14E4B2"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106.87</w:t>
            </w:r>
          </w:p>
        </w:tc>
      </w:tr>
      <w:tr w:rsidR="00361611" w14:paraId="73267BF1"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53096DCD" w14:textId="77777777" w:rsidR="00361611" w:rsidRDefault="00361611" w:rsidP="00A21959">
            <w:pPr>
              <w:pStyle w:val="Tabletext9pt"/>
              <w:numPr>
                <w:ilvl w:val="0"/>
                <w:numId w:val="12"/>
              </w:numPr>
            </w:pPr>
            <w:r>
              <w:t>Family planning</w:t>
            </w:r>
          </w:p>
        </w:tc>
        <w:tc>
          <w:tcPr>
            <w:tcW w:w="2551" w:type="dxa"/>
            <w:tcBorders>
              <w:top w:val="single" w:sz="4" w:space="0" w:color="auto"/>
              <w:left w:val="single" w:sz="4" w:space="0" w:color="auto"/>
              <w:bottom w:val="single" w:sz="4" w:space="0" w:color="auto"/>
              <w:right w:val="single" w:sz="4" w:space="0" w:color="auto"/>
            </w:tcBorders>
            <w:hideMark/>
          </w:tcPr>
          <w:p w14:paraId="2BC62E29" w14:textId="77777777" w:rsidR="00361611" w:rsidRDefault="00361611" w:rsidP="00A21959">
            <w:pPr>
              <w:pStyle w:val="Tabletext9pt"/>
              <w:numPr>
                <w:ilvl w:val="0"/>
                <w:numId w:val="12"/>
              </w:numPr>
            </w:pPr>
            <w:r>
              <w:t>Counselling/casework</w:t>
            </w:r>
          </w:p>
        </w:tc>
        <w:tc>
          <w:tcPr>
            <w:tcW w:w="1560" w:type="dxa"/>
            <w:tcBorders>
              <w:top w:val="single" w:sz="4" w:space="0" w:color="auto"/>
              <w:left w:val="single" w:sz="4" w:space="0" w:color="auto"/>
              <w:bottom w:val="single" w:sz="4" w:space="0" w:color="auto"/>
              <w:right w:val="single" w:sz="4" w:space="0" w:color="auto"/>
            </w:tcBorders>
            <w:hideMark/>
          </w:tcPr>
          <w:p w14:paraId="6CE5A8D1"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418A5688"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55D08171"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266DB2E8" w14:textId="77777777" w:rsidR="00361611" w:rsidRDefault="00361611" w:rsidP="00A21959">
            <w:pPr>
              <w:pStyle w:val="Tabletext9pt"/>
              <w:numPr>
                <w:ilvl w:val="0"/>
                <w:numId w:val="12"/>
              </w:numPr>
            </w:pPr>
            <w:r>
              <w:t>Family planning</w:t>
            </w:r>
          </w:p>
        </w:tc>
        <w:tc>
          <w:tcPr>
            <w:tcW w:w="2551" w:type="dxa"/>
            <w:tcBorders>
              <w:top w:val="single" w:sz="4" w:space="0" w:color="auto"/>
              <w:left w:val="single" w:sz="4" w:space="0" w:color="auto"/>
              <w:bottom w:val="single" w:sz="4" w:space="0" w:color="auto"/>
              <w:right w:val="single" w:sz="4" w:space="0" w:color="auto"/>
            </w:tcBorders>
            <w:hideMark/>
          </w:tcPr>
          <w:p w14:paraId="5975268D" w14:textId="77777777" w:rsidR="00361611" w:rsidRDefault="00361611" w:rsidP="00A21959">
            <w:pPr>
              <w:pStyle w:val="Tabletext9pt"/>
              <w:numPr>
                <w:ilvl w:val="0"/>
                <w:numId w:val="12"/>
              </w:numPr>
            </w:pPr>
            <w:r>
              <w:t>Nursing</w:t>
            </w:r>
          </w:p>
        </w:tc>
        <w:tc>
          <w:tcPr>
            <w:tcW w:w="1560" w:type="dxa"/>
            <w:tcBorders>
              <w:top w:val="single" w:sz="4" w:space="0" w:color="auto"/>
              <w:left w:val="single" w:sz="4" w:space="0" w:color="auto"/>
              <w:bottom w:val="single" w:sz="4" w:space="0" w:color="auto"/>
              <w:right w:val="single" w:sz="4" w:space="0" w:color="auto"/>
            </w:tcBorders>
            <w:hideMark/>
          </w:tcPr>
          <w:p w14:paraId="7E54D8DE"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1810C133"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106.87</w:t>
            </w:r>
          </w:p>
        </w:tc>
      </w:tr>
      <w:tr w:rsidR="00361611" w14:paraId="1F482538"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3B02A391" w14:textId="77777777" w:rsidR="00361611" w:rsidRDefault="00361611" w:rsidP="00A21959">
            <w:pPr>
              <w:pStyle w:val="Tabletext9pt"/>
              <w:numPr>
                <w:ilvl w:val="0"/>
                <w:numId w:val="12"/>
              </w:numPr>
            </w:pPr>
            <w:r>
              <w:t>Aboriginal services and support</w:t>
            </w:r>
          </w:p>
        </w:tc>
        <w:tc>
          <w:tcPr>
            <w:tcW w:w="2551" w:type="dxa"/>
            <w:tcBorders>
              <w:top w:val="single" w:sz="4" w:space="0" w:color="auto"/>
              <w:left w:val="single" w:sz="4" w:space="0" w:color="auto"/>
              <w:bottom w:val="single" w:sz="4" w:space="0" w:color="auto"/>
              <w:right w:val="single" w:sz="4" w:space="0" w:color="auto"/>
            </w:tcBorders>
            <w:hideMark/>
          </w:tcPr>
          <w:p w14:paraId="6F49D182" w14:textId="77777777" w:rsidR="00361611" w:rsidRDefault="00361611" w:rsidP="00A21959">
            <w:pPr>
              <w:pStyle w:val="Tabletext9pt"/>
              <w:numPr>
                <w:ilvl w:val="0"/>
                <w:numId w:val="12"/>
              </w:numPr>
            </w:pPr>
            <w:r>
              <w:t>Case coordination</w:t>
            </w:r>
          </w:p>
        </w:tc>
        <w:tc>
          <w:tcPr>
            <w:tcW w:w="1560" w:type="dxa"/>
            <w:tcBorders>
              <w:top w:val="single" w:sz="4" w:space="0" w:color="auto"/>
              <w:left w:val="single" w:sz="4" w:space="0" w:color="auto"/>
              <w:bottom w:val="single" w:sz="4" w:space="0" w:color="auto"/>
              <w:right w:val="single" w:sz="4" w:space="0" w:color="auto"/>
            </w:tcBorders>
            <w:hideMark/>
          </w:tcPr>
          <w:p w14:paraId="7DF74E47"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1382E2EC"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128.98</w:t>
            </w:r>
          </w:p>
        </w:tc>
      </w:tr>
      <w:tr w:rsidR="00361611" w14:paraId="47A6CC7C"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2DC892A3" w14:textId="77777777" w:rsidR="00361611" w:rsidRDefault="00361611" w:rsidP="00A21959">
            <w:pPr>
              <w:pStyle w:val="Tabletext9pt"/>
              <w:numPr>
                <w:ilvl w:val="0"/>
                <w:numId w:val="12"/>
              </w:numPr>
            </w:pPr>
            <w:r>
              <w:t>Integrated chronic disease management</w:t>
            </w:r>
          </w:p>
        </w:tc>
        <w:tc>
          <w:tcPr>
            <w:tcW w:w="2551" w:type="dxa"/>
            <w:tcBorders>
              <w:top w:val="single" w:sz="4" w:space="0" w:color="auto"/>
              <w:left w:val="single" w:sz="4" w:space="0" w:color="auto"/>
              <w:bottom w:val="single" w:sz="4" w:space="0" w:color="auto"/>
              <w:right w:val="single" w:sz="4" w:space="0" w:color="auto"/>
            </w:tcBorders>
            <w:hideMark/>
          </w:tcPr>
          <w:p w14:paraId="02AE4106" w14:textId="77777777" w:rsidR="00361611" w:rsidRDefault="00361611" w:rsidP="00A21959">
            <w:pPr>
              <w:pStyle w:val="Tabletext9pt"/>
              <w:numPr>
                <w:ilvl w:val="0"/>
                <w:numId w:val="12"/>
              </w:numPr>
            </w:pPr>
            <w:r>
              <w:t>Single unit price (allied health and nursing)</w:t>
            </w:r>
          </w:p>
        </w:tc>
        <w:tc>
          <w:tcPr>
            <w:tcW w:w="1560" w:type="dxa"/>
            <w:tcBorders>
              <w:top w:val="single" w:sz="4" w:space="0" w:color="auto"/>
              <w:left w:val="single" w:sz="4" w:space="0" w:color="auto"/>
              <w:bottom w:val="single" w:sz="4" w:space="0" w:color="auto"/>
              <w:right w:val="single" w:sz="4" w:space="0" w:color="auto"/>
            </w:tcBorders>
            <w:hideMark/>
          </w:tcPr>
          <w:p w14:paraId="7201336E"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331F0244"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06E7B1C6"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64FF8C75" w14:textId="77777777" w:rsidR="00361611" w:rsidRDefault="00361611" w:rsidP="00A21959">
            <w:pPr>
              <w:pStyle w:val="Tabletext9pt"/>
              <w:numPr>
                <w:ilvl w:val="0"/>
                <w:numId w:val="12"/>
              </w:numPr>
            </w:pPr>
            <w:r>
              <w:t>Refugee and asylum seeker health</w:t>
            </w:r>
          </w:p>
        </w:tc>
        <w:tc>
          <w:tcPr>
            <w:tcW w:w="2551" w:type="dxa"/>
            <w:tcBorders>
              <w:top w:val="single" w:sz="4" w:space="0" w:color="auto"/>
              <w:left w:val="single" w:sz="4" w:space="0" w:color="auto"/>
              <w:bottom w:val="single" w:sz="4" w:space="0" w:color="auto"/>
              <w:right w:val="single" w:sz="4" w:space="0" w:color="auto"/>
            </w:tcBorders>
            <w:hideMark/>
          </w:tcPr>
          <w:p w14:paraId="3ABC556C" w14:textId="77777777" w:rsidR="00361611" w:rsidRDefault="00361611" w:rsidP="00A21959">
            <w:pPr>
              <w:pStyle w:val="Tabletext9pt"/>
              <w:numPr>
                <w:ilvl w:val="0"/>
                <w:numId w:val="12"/>
              </w:numPr>
            </w:pPr>
            <w:r>
              <w:t>Allied health</w:t>
            </w:r>
          </w:p>
        </w:tc>
        <w:tc>
          <w:tcPr>
            <w:tcW w:w="1560" w:type="dxa"/>
            <w:tcBorders>
              <w:top w:val="single" w:sz="4" w:space="0" w:color="auto"/>
              <w:left w:val="single" w:sz="4" w:space="0" w:color="auto"/>
              <w:bottom w:val="single" w:sz="4" w:space="0" w:color="auto"/>
              <w:right w:val="single" w:sz="4" w:space="0" w:color="auto"/>
            </w:tcBorders>
            <w:hideMark/>
          </w:tcPr>
          <w:p w14:paraId="6625DFCE"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5607DE4A"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591C7FC9"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019BBA32" w14:textId="77777777" w:rsidR="00361611" w:rsidRDefault="00361611" w:rsidP="00A21959">
            <w:pPr>
              <w:pStyle w:val="Tabletext9pt"/>
              <w:numPr>
                <w:ilvl w:val="0"/>
                <w:numId w:val="12"/>
              </w:numPr>
            </w:pPr>
            <w:r>
              <w:t>Refugee and asylum seeker health</w:t>
            </w:r>
          </w:p>
        </w:tc>
        <w:tc>
          <w:tcPr>
            <w:tcW w:w="2551" w:type="dxa"/>
            <w:tcBorders>
              <w:top w:val="single" w:sz="4" w:space="0" w:color="auto"/>
              <w:left w:val="single" w:sz="4" w:space="0" w:color="auto"/>
              <w:bottom w:val="single" w:sz="4" w:space="0" w:color="auto"/>
              <w:right w:val="single" w:sz="4" w:space="0" w:color="auto"/>
            </w:tcBorders>
            <w:hideMark/>
          </w:tcPr>
          <w:p w14:paraId="4E42CBA8" w14:textId="77777777" w:rsidR="00361611" w:rsidRDefault="00361611" w:rsidP="00A21959">
            <w:pPr>
              <w:pStyle w:val="Tabletext9pt"/>
              <w:numPr>
                <w:ilvl w:val="0"/>
                <w:numId w:val="12"/>
              </w:numPr>
            </w:pPr>
            <w:r>
              <w:t>Nursing</w:t>
            </w:r>
          </w:p>
        </w:tc>
        <w:tc>
          <w:tcPr>
            <w:tcW w:w="1560" w:type="dxa"/>
            <w:tcBorders>
              <w:top w:val="single" w:sz="4" w:space="0" w:color="auto"/>
              <w:left w:val="single" w:sz="4" w:space="0" w:color="auto"/>
              <w:bottom w:val="single" w:sz="4" w:space="0" w:color="auto"/>
              <w:right w:val="single" w:sz="4" w:space="0" w:color="auto"/>
            </w:tcBorders>
            <w:hideMark/>
          </w:tcPr>
          <w:p w14:paraId="738BCE69"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557A8A67"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106.87</w:t>
            </w:r>
          </w:p>
        </w:tc>
      </w:tr>
      <w:tr w:rsidR="00361611" w14:paraId="61BF5578"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355F3137" w14:textId="77777777" w:rsidR="00361611" w:rsidRDefault="00361611" w:rsidP="00A21959">
            <w:pPr>
              <w:pStyle w:val="Tabletext9pt"/>
              <w:numPr>
                <w:ilvl w:val="0"/>
                <w:numId w:val="12"/>
              </w:numPr>
            </w:pPr>
            <w:r>
              <w:t>Healthy Mothers, Healthy Babies</w:t>
            </w:r>
          </w:p>
        </w:tc>
        <w:tc>
          <w:tcPr>
            <w:tcW w:w="2551" w:type="dxa"/>
            <w:tcBorders>
              <w:top w:val="single" w:sz="4" w:space="0" w:color="auto"/>
              <w:left w:val="single" w:sz="4" w:space="0" w:color="auto"/>
              <w:bottom w:val="single" w:sz="4" w:space="0" w:color="auto"/>
              <w:right w:val="single" w:sz="4" w:space="0" w:color="auto"/>
            </w:tcBorders>
            <w:hideMark/>
          </w:tcPr>
          <w:p w14:paraId="1FEFD3BD" w14:textId="77777777" w:rsidR="00361611" w:rsidRDefault="00361611" w:rsidP="00A21959">
            <w:pPr>
              <w:pStyle w:val="Tabletext9pt"/>
              <w:numPr>
                <w:ilvl w:val="0"/>
                <w:numId w:val="12"/>
              </w:numPr>
            </w:pPr>
            <w:r>
              <w:t>Allied health</w:t>
            </w:r>
          </w:p>
        </w:tc>
        <w:tc>
          <w:tcPr>
            <w:tcW w:w="1560" w:type="dxa"/>
            <w:tcBorders>
              <w:top w:val="single" w:sz="4" w:space="0" w:color="auto"/>
              <w:left w:val="single" w:sz="4" w:space="0" w:color="auto"/>
              <w:bottom w:val="single" w:sz="4" w:space="0" w:color="auto"/>
              <w:right w:val="single" w:sz="4" w:space="0" w:color="auto"/>
            </w:tcBorders>
            <w:hideMark/>
          </w:tcPr>
          <w:p w14:paraId="4E9ABB72"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2115F0B0"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35431276"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043ECC04" w14:textId="77777777" w:rsidR="00361611" w:rsidRDefault="00361611" w:rsidP="00A21959">
            <w:pPr>
              <w:pStyle w:val="Tabletext9pt"/>
              <w:numPr>
                <w:ilvl w:val="0"/>
                <w:numId w:val="12"/>
              </w:numPr>
            </w:pPr>
            <w:r>
              <w:t>Healthy Mothers, Healthy Babies</w:t>
            </w:r>
          </w:p>
        </w:tc>
        <w:tc>
          <w:tcPr>
            <w:tcW w:w="2551" w:type="dxa"/>
            <w:tcBorders>
              <w:top w:val="single" w:sz="4" w:space="0" w:color="auto"/>
              <w:left w:val="single" w:sz="4" w:space="0" w:color="auto"/>
              <w:bottom w:val="single" w:sz="4" w:space="0" w:color="auto"/>
              <w:right w:val="single" w:sz="4" w:space="0" w:color="auto"/>
            </w:tcBorders>
            <w:hideMark/>
          </w:tcPr>
          <w:p w14:paraId="78256CBF" w14:textId="77777777" w:rsidR="00361611" w:rsidRDefault="00361611" w:rsidP="00A21959">
            <w:pPr>
              <w:pStyle w:val="Tabletext9pt"/>
              <w:numPr>
                <w:ilvl w:val="0"/>
                <w:numId w:val="12"/>
              </w:numPr>
            </w:pPr>
            <w:r>
              <w:t xml:space="preserve">Nursing </w:t>
            </w:r>
          </w:p>
        </w:tc>
        <w:tc>
          <w:tcPr>
            <w:tcW w:w="1560" w:type="dxa"/>
            <w:tcBorders>
              <w:top w:val="single" w:sz="4" w:space="0" w:color="auto"/>
              <w:left w:val="single" w:sz="4" w:space="0" w:color="auto"/>
              <w:bottom w:val="single" w:sz="4" w:space="0" w:color="auto"/>
              <w:right w:val="single" w:sz="4" w:space="0" w:color="auto"/>
            </w:tcBorders>
            <w:hideMark/>
          </w:tcPr>
          <w:p w14:paraId="4EC9DD89"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3144BE3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106.87</w:t>
            </w:r>
          </w:p>
        </w:tc>
      </w:tr>
      <w:tr w:rsidR="00361611" w14:paraId="306F19F3"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69280CB6" w14:textId="77777777" w:rsidR="00361611" w:rsidRDefault="00361611" w:rsidP="00A21959">
            <w:pPr>
              <w:pStyle w:val="Tabletext9pt"/>
              <w:numPr>
                <w:ilvl w:val="0"/>
                <w:numId w:val="12"/>
              </w:numPr>
            </w:pPr>
            <w:r>
              <w:lastRenderedPageBreak/>
              <w:t>Community health</w:t>
            </w:r>
          </w:p>
        </w:tc>
        <w:tc>
          <w:tcPr>
            <w:tcW w:w="2551" w:type="dxa"/>
            <w:tcBorders>
              <w:top w:val="single" w:sz="4" w:space="0" w:color="auto"/>
              <w:left w:val="single" w:sz="4" w:space="0" w:color="auto"/>
              <w:bottom w:val="single" w:sz="4" w:space="0" w:color="auto"/>
              <w:right w:val="single" w:sz="4" w:space="0" w:color="auto"/>
            </w:tcBorders>
            <w:hideMark/>
          </w:tcPr>
          <w:p w14:paraId="407C85C6" w14:textId="77777777" w:rsidR="00361611" w:rsidRDefault="00361611" w:rsidP="00A21959">
            <w:pPr>
              <w:pStyle w:val="Tabletext9pt"/>
              <w:numPr>
                <w:ilvl w:val="0"/>
                <w:numId w:val="12"/>
              </w:numPr>
            </w:pPr>
            <w:r>
              <w:t>Single unit price (allied health and nursing)</w:t>
            </w:r>
          </w:p>
        </w:tc>
        <w:tc>
          <w:tcPr>
            <w:tcW w:w="1560" w:type="dxa"/>
            <w:tcBorders>
              <w:top w:val="single" w:sz="4" w:space="0" w:color="auto"/>
              <w:left w:val="single" w:sz="4" w:space="0" w:color="auto"/>
              <w:bottom w:val="single" w:sz="4" w:space="0" w:color="auto"/>
              <w:right w:val="single" w:sz="4" w:space="0" w:color="auto"/>
            </w:tcBorders>
            <w:hideMark/>
          </w:tcPr>
          <w:p w14:paraId="0424C6BD"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11E8F0EB"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r w:rsidR="00361611" w14:paraId="3FA20906"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31434A0F" w14:textId="77777777" w:rsidR="00361611" w:rsidRDefault="00361611" w:rsidP="00A21959">
            <w:pPr>
              <w:pStyle w:val="Tabletext9pt"/>
              <w:numPr>
                <w:ilvl w:val="0"/>
                <w:numId w:val="12"/>
              </w:numPr>
            </w:pPr>
            <w:r>
              <w:t>ACCO services</w:t>
            </w:r>
          </w:p>
        </w:tc>
        <w:tc>
          <w:tcPr>
            <w:tcW w:w="2551" w:type="dxa"/>
            <w:tcBorders>
              <w:top w:val="single" w:sz="4" w:space="0" w:color="auto"/>
              <w:left w:val="single" w:sz="4" w:space="0" w:color="auto"/>
              <w:bottom w:val="single" w:sz="4" w:space="0" w:color="auto"/>
              <w:right w:val="single" w:sz="4" w:space="0" w:color="auto"/>
            </w:tcBorders>
            <w:hideMark/>
          </w:tcPr>
          <w:p w14:paraId="7D7CDF90" w14:textId="77777777" w:rsidR="00361611" w:rsidRDefault="00361611" w:rsidP="00A21959">
            <w:pPr>
              <w:pStyle w:val="Tabletext9pt"/>
              <w:numPr>
                <w:ilvl w:val="0"/>
                <w:numId w:val="12"/>
              </w:numPr>
            </w:pPr>
            <w:r>
              <w:t>Counselling/casework</w:t>
            </w:r>
          </w:p>
        </w:tc>
        <w:tc>
          <w:tcPr>
            <w:tcW w:w="1560" w:type="dxa"/>
            <w:tcBorders>
              <w:top w:val="single" w:sz="4" w:space="0" w:color="auto"/>
              <w:left w:val="single" w:sz="4" w:space="0" w:color="auto"/>
              <w:bottom w:val="single" w:sz="4" w:space="0" w:color="auto"/>
              <w:right w:val="single" w:sz="4" w:space="0" w:color="auto"/>
            </w:tcBorders>
            <w:hideMark/>
          </w:tcPr>
          <w:p w14:paraId="3A998768"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2EEC706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131.11</w:t>
            </w:r>
          </w:p>
        </w:tc>
      </w:tr>
      <w:tr w:rsidR="00361611" w14:paraId="6A211CC4"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4640F595" w14:textId="77777777" w:rsidR="00361611" w:rsidRDefault="00361611" w:rsidP="00A21959">
            <w:pPr>
              <w:pStyle w:val="Tabletext9pt"/>
              <w:numPr>
                <w:ilvl w:val="0"/>
                <w:numId w:val="12"/>
              </w:numPr>
            </w:pPr>
            <w:r>
              <w:t>MDC community health nurses</w:t>
            </w:r>
          </w:p>
        </w:tc>
        <w:tc>
          <w:tcPr>
            <w:tcW w:w="2551" w:type="dxa"/>
            <w:tcBorders>
              <w:top w:val="single" w:sz="4" w:space="0" w:color="auto"/>
              <w:left w:val="single" w:sz="4" w:space="0" w:color="auto"/>
              <w:bottom w:val="single" w:sz="4" w:space="0" w:color="auto"/>
              <w:right w:val="single" w:sz="4" w:space="0" w:color="auto"/>
            </w:tcBorders>
            <w:hideMark/>
          </w:tcPr>
          <w:p w14:paraId="451A3D21" w14:textId="77777777" w:rsidR="00361611" w:rsidRDefault="00361611" w:rsidP="00A21959">
            <w:pPr>
              <w:pStyle w:val="Tabletext9pt"/>
              <w:numPr>
                <w:ilvl w:val="0"/>
                <w:numId w:val="12"/>
              </w:numPr>
            </w:pPr>
            <w:r>
              <w:t>Nursing</w:t>
            </w:r>
          </w:p>
        </w:tc>
        <w:tc>
          <w:tcPr>
            <w:tcW w:w="1560" w:type="dxa"/>
            <w:tcBorders>
              <w:top w:val="single" w:sz="4" w:space="0" w:color="auto"/>
              <w:left w:val="single" w:sz="4" w:space="0" w:color="auto"/>
              <w:bottom w:val="single" w:sz="4" w:space="0" w:color="auto"/>
              <w:right w:val="single" w:sz="4" w:space="0" w:color="auto"/>
            </w:tcBorders>
            <w:hideMark/>
          </w:tcPr>
          <w:p w14:paraId="1AA7F953"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3914B2E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106.87</w:t>
            </w:r>
          </w:p>
        </w:tc>
      </w:tr>
      <w:tr w:rsidR="00361611" w14:paraId="53F1362F" w14:textId="77777777" w:rsidTr="00A21959">
        <w:tc>
          <w:tcPr>
            <w:tcW w:w="2547" w:type="dxa"/>
            <w:tcBorders>
              <w:top w:val="single" w:sz="4" w:space="0" w:color="auto"/>
              <w:left w:val="single" w:sz="4" w:space="0" w:color="auto"/>
              <w:bottom w:val="single" w:sz="4" w:space="0" w:color="auto"/>
              <w:right w:val="single" w:sz="4" w:space="0" w:color="auto"/>
            </w:tcBorders>
            <w:hideMark/>
          </w:tcPr>
          <w:p w14:paraId="13596FE9" w14:textId="77777777" w:rsidR="00361611" w:rsidRDefault="00361611" w:rsidP="00A21959">
            <w:pPr>
              <w:pStyle w:val="Tabletext9pt"/>
              <w:numPr>
                <w:ilvl w:val="0"/>
                <w:numId w:val="12"/>
              </w:numPr>
            </w:pPr>
            <w:r>
              <w:t>Community Asthma Program</w:t>
            </w:r>
          </w:p>
        </w:tc>
        <w:tc>
          <w:tcPr>
            <w:tcW w:w="2551" w:type="dxa"/>
            <w:tcBorders>
              <w:top w:val="single" w:sz="4" w:space="0" w:color="auto"/>
              <w:left w:val="single" w:sz="4" w:space="0" w:color="auto"/>
              <w:bottom w:val="single" w:sz="4" w:space="0" w:color="auto"/>
              <w:right w:val="single" w:sz="4" w:space="0" w:color="auto"/>
            </w:tcBorders>
            <w:hideMark/>
          </w:tcPr>
          <w:p w14:paraId="6926F5EA" w14:textId="77777777" w:rsidR="00361611" w:rsidRDefault="00361611" w:rsidP="00A21959">
            <w:pPr>
              <w:pStyle w:val="Tabletext9pt"/>
              <w:numPr>
                <w:ilvl w:val="0"/>
                <w:numId w:val="12"/>
              </w:numPr>
            </w:pPr>
            <w:r>
              <w:t>Allied health</w:t>
            </w:r>
          </w:p>
        </w:tc>
        <w:tc>
          <w:tcPr>
            <w:tcW w:w="1560" w:type="dxa"/>
            <w:tcBorders>
              <w:top w:val="single" w:sz="4" w:space="0" w:color="auto"/>
              <w:left w:val="single" w:sz="4" w:space="0" w:color="auto"/>
              <w:bottom w:val="single" w:sz="4" w:space="0" w:color="auto"/>
              <w:right w:val="single" w:sz="4" w:space="0" w:color="auto"/>
            </w:tcBorders>
            <w:hideMark/>
          </w:tcPr>
          <w:p w14:paraId="16B4FBA9" w14:textId="77777777" w:rsidR="00361611" w:rsidRDefault="00361611" w:rsidP="00A21959">
            <w:pPr>
              <w:pStyle w:val="Tabletext9pt"/>
              <w:numPr>
                <w:ilvl w:val="0"/>
                <w:numId w:val="12"/>
              </w:numPr>
            </w:pPr>
            <w:r>
              <w:t>Hours</w:t>
            </w:r>
          </w:p>
        </w:tc>
        <w:tc>
          <w:tcPr>
            <w:tcW w:w="2641" w:type="dxa"/>
            <w:tcBorders>
              <w:top w:val="single" w:sz="4" w:space="0" w:color="auto"/>
              <w:left w:val="single" w:sz="4" w:space="0" w:color="auto"/>
              <w:bottom w:val="single" w:sz="4" w:space="0" w:color="auto"/>
              <w:right w:val="single" w:sz="4" w:space="0" w:color="auto"/>
            </w:tcBorders>
          </w:tcPr>
          <w:p w14:paraId="38273A38"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122.11</w:t>
            </w:r>
          </w:p>
        </w:tc>
      </w:tr>
    </w:tbl>
    <w:p w14:paraId="4A8D1644" w14:textId="77777777" w:rsidR="005B699B" w:rsidRPr="00A06E4C" w:rsidRDefault="005B699B" w:rsidP="001E4292">
      <w:pPr>
        <w:pStyle w:val="Heading2"/>
        <w:numPr>
          <w:ilvl w:val="1"/>
          <w:numId w:val="13"/>
        </w:numPr>
        <w:ind w:left="1134" w:hanging="1134"/>
      </w:pPr>
      <w:bookmarkStart w:id="2307" w:name="_Toc144905625"/>
      <w:bookmarkStart w:id="2308" w:name="_Toc487742012"/>
      <w:bookmarkStart w:id="2309" w:name="_Toc14172242"/>
      <w:bookmarkStart w:id="2310" w:name="_Toc100263352"/>
      <w:bookmarkStart w:id="2311" w:name="_Toc165961856"/>
      <w:bookmarkStart w:id="2312" w:name="_Toc178963642"/>
      <w:bookmarkStart w:id="2313" w:name="_Ref423018061"/>
      <w:bookmarkStart w:id="2314" w:name="_Toc419623616"/>
      <w:bookmarkStart w:id="2315" w:name="_Toc419623728"/>
      <w:bookmarkStart w:id="2316" w:name="_Toc419644503"/>
      <w:bookmarkStart w:id="2317" w:name="_Toc450824823"/>
      <w:bookmarkStart w:id="2318" w:name="_Toc418694990"/>
      <w:bookmarkStart w:id="2319" w:name="_Ref423019767"/>
      <w:bookmarkStart w:id="2320" w:name="_Ref423019777"/>
      <w:bookmarkEnd w:id="2305"/>
      <w:bookmarkEnd w:id="2306"/>
      <w:bookmarkEnd w:id="2307"/>
      <w:r w:rsidRPr="00A06E4C">
        <w:t xml:space="preserve">Training and </w:t>
      </w:r>
      <w:bookmarkEnd w:id="2308"/>
      <w:bookmarkEnd w:id="2309"/>
      <w:bookmarkEnd w:id="2310"/>
      <w:r w:rsidRPr="00731B6C">
        <w:t>development</w:t>
      </w:r>
      <w:bookmarkEnd w:id="2311"/>
      <w:bookmarkEnd w:id="2312"/>
    </w:p>
    <w:p w14:paraId="5E6B779B" w14:textId="4ECDE7B8" w:rsidR="00A97999" w:rsidRPr="00377487" w:rsidRDefault="00A97999" w:rsidP="00C50CD4">
      <w:pPr>
        <w:pStyle w:val="Tablecaption"/>
      </w:pPr>
      <w:bookmarkStart w:id="2321" w:name="_Toc176510411"/>
      <w:r w:rsidRPr="00A97999">
        <w:t>Table 1.</w:t>
      </w:r>
      <w:r>
        <w:fldChar w:fldCharType="begin"/>
      </w:r>
      <w:r>
        <w:instrText>SEQ Table \* ARABIC</w:instrText>
      </w:r>
      <w:r>
        <w:fldChar w:fldCharType="separate"/>
      </w:r>
      <w:r w:rsidR="00F30C16" w:rsidRPr="00377487">
        <w:t>21</w:t>
      </w:r>
      <w:r>
        <w:fldChar w:fldCharType="end"/>
      </w:r>
      <w:r w:rsidRPr="00377487">
        <w:t>: Training and development funding rates in 2024-25</w:t>
      </w:r>
      <w:bookmarkEnd w:id="2321"/>
    </w:p>
    <w:tbl>
      <w:tblPr>
        <w:tblW w:w="9299" w:type="dxa"/>
        <w:tblLook w:val="06A0" w:firstRow="1" w:lastRow="0" w:firstColumn="1" w:lastColumn="0" w:noHBand="1" w:noVBand="1"/>
      </w:tblPr>
      <w:tblGrid>
        <w:gridCol w:w="3053"/>
        <w:gridCol w:w="3234"/>
        <w:gridCol w:w="3012"/>
      </w:tblGrid>
      <w:tr w:rsidR="00361611" w14:paraId="09C01153" w14:textId="77777777" w:rsidTr="00A21959">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256A232D" w14:textId="77777777" w:rsidR="00361611" w:rsidRPr="00F717FB" w:rsidRDefault="00361611" w:rsidP="00A21959">
            <w:pPr>
              <w:pStyle w:val="Tablecolhead"/>
              <w:rPr>
                <w:rFonts w:eastAsia="Arial"/>
                <w:szCs w:val="21"/>
              </w:rPr>
            </w:pPr>
            <w:bookmarkStart w:id="2322" w:name="_Hlk169869617"/>
            <w:r w:rsidRPr="00F717FB">
              <w:rPr>
                <w:rFonts w:eastAsia="Arial"/>
                <w:szCs w:val="21"/>
              </w:rPr>
              <w:t>Stream</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73D42A65" w14:textId="77777777" w:rsidR="00361611" w:rsidRPr="00F717FB" w:rsidRDefault="00361611" w:rsidP="00A21959">
            <w:pPr>
              <w:pStyle w:val="Tablecolhead"/>
              <w:rPr>
                <w:rFonts w:eastAsia="Arial"/>
                <w:szCs w:val="21"/>
              </w:rPr>
            </w:pPr>
            <w:r w:rsidRPr="00F717FB">
              <w:rPr>
                <w:rFonts w:eastAsia="Arial"/>
                <w:szCs w:val="21"/>
              </w:rPr>
              <w:t>Program</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2D6B559C" w14:textId="77777777" w:rsidR="00361611" w:rsidRPr="00F717FB" w:rsidRDefault="00361611" w:rsidP="00A21959">
            <w:pPr>
              <w:pStyle w:val="Tablecolhead"/>
              <w:rPr>
                <w:rFonts w:eastAsia="Arial"/>
                <w:szCs w:val="21"/>
              </w:rPr>
            </w:pPr>
            <w:r w:rsidRPr="00F717FB">
              <w:rPr>
                <w:rFonts w:eastAsia="Arial"/>
                <w:szCs w:val="21"/>
              </w:rPr>
              <w:t>Rate per EFT ($)</w:t>
            </w:r>
          </w:p>
        </w:tc>
      </w:tr>
      <w:tr w:rsidR="00361611" w14:paraId="55AA0F76"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286553DA" w14:textId="77777777" w:rsidR="00361611" w:rsidRDefault="00361611" w:rsidP="00A21959">
            <w:pPr>
              <w:pStyle w:val="Tabletext9pt"/>
              <w:numPr>
                <w:ilvl w:val="0"/>
                <w:numId w:val="12"/>
              </w:numPr>
            </w:pPr>
            <w:r>
              <w:t>Professional-entry student placements</w:t>
            </w:r>
          </w:p>
        </w:tc>
        <w:tc>
          <w:tcPr>
            <w:tcW w:w="3234" w:type="dxa"/>
            <w:tcBorders>
              <w:top w:val="single" w:sz="4" w:space="0" w:color="auto"/>
              <w:left w:val="single" w:sz="4" w:space="0" w:color="auto"/>
              <w:bottom w:val="single" w:sz="4" w:space="0" w:color="auto"/>
              <w:right w:val="single" w:sz="4" w:space="0" w:color="auto"/>
            </w:tcBorders>
            <w:hideMark/>
          </w:tcPr>
          <w:p w14:paraId="524E9C99" w14:textId="77777777" w:rsidR="00361611" w:rsidRDefault="00361611" w:rsidP="00A21959">
            <w:pPr>
              <w:pStyle w:val="Tabletext9pt"/>
              <w:numPr>
                <w:ilvl w:val="0"/>
                <w:numId w:val="12"/>
              </w:numPr>
            </w:pPr>
            <w:r>
              <w:t>Medical, nursing, allied health, (including allied health assistance and health information management)</w:t>
            </w:r>
          </w:p>
        </w:tc>
        <w:tc>
          <w:tcPr>
            <w:tcW w:w="3012" w:type="dxa"/>
            <w:tcBorders>
              <w:top w:val="single" w:sz="4" w:space="0" w:color="auto"/>
              <w:left w:val="single" w:sz="4" w:space="0" w:color="auto"/>
              <w:bottom w:val="single" w:sz="4" w:space="0" w:color="auto"/>
              <w:right w:val="single" w:sz="4" w:space="0" w:color="auto"/>
            </w:tcBorders>
          </w:tcPr>
          <w:p w14:paraId="2CDA8196"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Not calculated based on an EFT rate</w:t>
            </w:r>
          </w:p>
        </w:tc>
      </w:tr>
      <w:tr w:rsidR="00361611" w14:paraId="2346652E"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78201601"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01F91309" w14:textId="77777777" w:rsidR="00361611" w:rsidRDefault="00361611" w:rsidP="00A21959">
            <w:pPr>
              <w:pStyle w:val="Tabletext9pt"/>
              <w:numPr>
                <w:ilvl w:val="0"/>
                <w:numId w:val="12"/>
              </w:numPr>
            </w:pPr>
            <w:r>
              <w:t>Allied health graduate – metro</w:t>
            </w:r>
          </w:p>
        </w:tc>
        <w:tc>
          <w:tcPr>
            <w:tcW w:w="3012" w:type="dxa"/>
            <w:tcBorders>
              <w:top w:val="single" w:sz="4" w:space="0" w:color="auto"/>
              <w:left w:val="single" w:sz="4" w:space="0" w:color="auto"/>
              <w:bottom w:val="single" w:sz="4" w:space="0" w:color="auto"/>
              <w:right w:val="single" w:sz="4" w:space="0" w:color="auto"/>
            </w:tcBorders>
          </w:tcPr>
          <w:p w14:paraId="4B5BFEAF" w14:textId="12BD64D3" w:rsidR="00361611" w:rsidRPr="0EC1DC23" w:rsidRDefault="00827A3A" w:rsidP="00A21959">
            <w:pPr>
              <w:spacing w:before="80" w:after="60"/>
              <w:jc w:val="right"/>
              <w:rPr>
                <w:rFonts w:eastAsia="Arial" w:cs="Arial"/>
                <w:sz w:val="18"/>
                <w:szCs w:val="18"/>
              </w:rPr>
            </w:pPr>
            <w:r>
              <w:rPr>
                <w:rFonts w:eastAsia="Arial" w:cs="Arial"/>
                <w:sz w:val="18"/>
                <w:szCs w:val="18"/>
              </w:rPr>
              <w:t>10,470</w:t>
            </w:r>
            <w:r w:rsidR="00361611" w:rsidRPr="0EC1DC23">
              <w:rPr>
                <w:rFonts w:eastAsia="Arial" w:cs="Arial"/>
                <w:sz w:val="18"/>
                <w:szCs w:val="18"/>
              </w:rPr>
              <w:t xml:space="preserve"> </w:t>
            </w:r>
          </w:p>
        </w:tc>
      </w:tr>
      <w:tr w:rsidR="00361611" w14:paraId="1225376C"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5EA46BE0"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64CB6C3B" w14:textId="77777777" w:rsidR="00361611" w:rsidRDefault="00361611" w:rsidP="00A21959">
            <w:pPr>
              <w:pStyle w:val="Tabletext9pt"/>
              <w:numPr>
                <w:ilvl w:val="0"/>
                <w:numId w:val="12"/>
              </w:numPr>
            </w:pPr>
            <w:r>
              <w:t>Allied health graduate – rural</w:t>
            </w:r>
          </w:p>
        </w:tc>
        <w:tc>
          <w:tcPr>
            <w:tcW w:w="3012" w:type="dxa"/>
            <w:tcBorders>
              <w:top w:val="single" w:sz="4" w:space="0" w:color="auto"/>
              <w:left w:val="single" w:sz="4" w:space="0" w:color="auto"/>
              <w:bottom w:val="single" w:sz="4" w:space="0" w:color="auto"/>
              <w:right w:val="single" w:sz="4" w:space="0" w:color="auto"/>
            </w:tcBorders>
          </w:tcPr>
          <w:p w14:paraId="6B03F6F0" w14:textId="3126E9F3" w:rsidR="00361611" w:rsidRPr="0EC1DC23" w:rsidRDefault="00A05B27" w:rsidP="00A21959">
            <w:pPr>
              <w:spacing w:before="80" w:after="60"/>
              <w:jc w:val="right"/>
              <w:rPr>
                <w:rFonts w:eastAsia="Arial" w:cs="Arial"/>
                <w:sz w:val="18"/>
                <w:szCs w:val="18"/>
              </w:rPr>
            </w:pPr>
            <w:r>
              <w:rPr>
                <w:rFonts w:eastAsia="Arial" w:cs="Arial"/>
                <w:sz w:val="18"/>
                <w:szCs w:val="18"/>
              </w:rPr>
              <w:t>12,312</w:t>
            </w:r>
            <w:r w:rsidR="00361611" w:rsidRPr="0EC1DC23">
              <w:rPr>
                <w:rFonts w:eastAsia="Arial" w:cs="Arial"/>
                <w:sz w:val="18"/>
                <w:szCs w:val="18"/>
              </w:rPr>
              <w:t xml:space="preserve"> </w:t>
            </w:r>
          </w:p>
        </w:tc>
      </w:tr>
      <w:tr w:rsidR="00361611" w14:paraId="5CA60DF1"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38CBE2CE"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00C8D800" w14:textId="77777777" w:rsidR="00361611" w:rsidRDefault="00361611" w:rsidP="00A21959">
            <w:pPr>
              <w:pStyle w:val="Tabletext9pt"/>
              <w:numPr>
                <w:ilvl w:val="0"/>
                <w:numId w:val="12"/>
              </w:numPr>
            </w:pPr>
            <w:r>
              <w:t>Pharmacy interns</w:t>
            </w:r>
          </w:p>
        </w:tc>
        <w:tc>
          <w:tcPr>
            <w:tcW w:w="3012" w:type="dxa"/>
            <w:tcBorders>
              <w:top w:val="single" w:sz="4" w:space="0" w:color="auto"/>
              <w:left w:val="single" w:sz="4" w:space="0" w:color="auto"/>
              <w:bottom w:val="single" w:sz="4" w:space="0" w:color="auto"/>
              <w:right w:val="single" w:sz="4" w:space="0" w:color="auto"/>
            </w:tcBorders>
          </w:tcPr>
          <w:p w14:paraId="34131F57"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35,035</w:t>
            </w:r>
          </w:p>
        </w:tc>
      </w:tr>
      <w:tr w:rsidR="00361611" w14:paraId="4EA3C22D"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6971CAE0"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4D80E052" w14:textId="77777777" w:rsidR="00361611" w:rsidRDefault="00361611" w:rsidP="00A21959">
            <w:pPr>
              <w:pStyle w:val="Tabletext9pt"/>
              <w:numPr>
                <w:ilvl w:val="0"/>
                <w:numId w:val="12"/>
              </w:numPr>
            </w:pPr>
            <w:r>
              <w:t>Medical graduate year 1 (PGY1)</w:t>
            </w:r>
          </w:p>
        </w:tc>
        <w:tc>
          <w:tcPr>
            <w:tcW w:w="3012" w:type="dxa"/>
            <w:tcBorders>
              <w:top w:val="single" w:sz="4" w:space="0" w:color="auto"/>
              <w:left w:val="single" w:sz="4" w:space="0" w:color="auto"/>
              <w:bottom w:val="single" w:sz="4" w:space="0" w:color="auto"/>
              <w:right w:val="single" w:sz="4" w:space="0" w:color="auto"/>
            </w:tcBorders>
          </w:tcPr>
          <w:p w14:paraId="642A87AC"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42,164</w:t>
            </w:r>
          </w:p>
        </w:tc>
      </w:tr>
      <w:tr w:rsidR="00361611" w14:paraId="6F67E9BE"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7B5D1960"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3DA380B2" w14:textId="77777777" w:rsidR="00361611" w:rsidRDefault="00361611" w:rsidP="00A21959">
            <w:pPr>
              <w:pStyle w:val="Tabletext9pt"/>
              <w:numPr>
                <w:ilvl w:val="0"/>
                <w:numId w:val="12"/>
              </w:numPr>
            </w:pPr>
            <w:r>
              <w:t>Medical graduate year 2 (PGY2)</w:t>
            </w:r>
          </w:p>
        </w:tc>
        <w:tc>
          <w:tcPr>
            <w:tcW w:w="3012" w:type="dxa"/>
            <w:tcBorders>
              <w:top w:val="single" w:sz="4" w:space="0" w:color="auto"/>
              <w:left w:val="single" w:sz="4" w:space="0" w:color="auto"/>
              <w:bottom w:val="single" w:sz="4" w:space="0" w:color="auto"/>
              <w:right w:val="single" w:sz="4" w:space="0" w:color="auto"/>
            </w:tcBorders>
          </w:tcPr>
          <w:p w14:paraId="448CFA37"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45,729</w:t>
            </w:r>
          </w:p>
        </w:tc>
      </w:tr>
      <w:tr w:rsidR="00361611" w14:paraId="1E234F2B"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007F0F18" w14:textId="77777777" w:rsidR="00361611" w:rsidRDefault="00361611" w:rsidP="00A21959">
            <w:pPr>
              <w:pStyle w:val="Tabletext9pt"/>
              <w:numPr>
                <w:ilvl w:val="0"/>
                <w:numId w:val="12"/>
              </w:numPr>
            </w:pPr>
            <w:r>
              <w:t>Transition to practice</w:t>
            </w:r>
          </w:p>
        </w:tc>
        <w:tc>
          <w:tcPr>
            <w:tcW w:w="3234" w:type="dxa"/>
            <w:tcBorders>
              <w:top w:val="single" w:sz="4" w:space="0" w:color="auto"/>
              <w:left w:val="single" w:sz="4" w:space="0" w:color="auto"/>
              <w:bottom w:val="single" w:sz="4" w:space="0" w:color="auto"/>
              <w:right w:val="single" w:sz="4" w:space="0" w:color="auto"/>
            </w:tcBorders>
            <w:hideMark/>
          </w:tcPr>
          <w:p w14:paraId="2572C2F1" w14:textId="77777777" w:rsidR="00361611" w:rsidRDefault="00361611" w:rsidP="00A21959">
            <w:pPr>
              <w:pStyle w:val="Tabletext9pt"/>
              <w:numPr>
                <w:ilvl w:val="0"/>
                <w:numId w:val="12"/>
              </w:numPr>
            </w:pPr>
            <w:r>
              <w:t>Nursing and midwifery</w:t>
            </w:r>
          </w:p>
        </w:tc>
        <w:tc>
          <w:tcPr>
            <w:tcW w:w="3012" w:type="dxa"/>
            <w:tcBorders>
              <w:top w:val="single" w:sz="4" w:space="0" w:color="auto"/>
              <w:left w:val="single" w:sz="4" w:space="0" w:color="auto"/>
              <w:bottom w:val="single" w:sz="4" w:space="0" w:color="auto"/>
              <w:right w:val="single" w:sz="4" w:space="0" w:color="auto"/>
            </w:tcBorders>
          </w:tcPr>
          <w:p w14:paraId="3EAD6C5F"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20,837</w:t>
            </w:r>
          </w:p>
        </w:tc>
      </w:tr>
      <w:tr w:rsidR="00361611" w14:paraId="017F2719"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4BA0EDE7" w14:textId="77777777" w:rsidR="00361611" w:rsidRDefault="00361611" w:rsidP="00A21959">
            <w:pPr>
              <w:pStyle w:val="Tabletext9pt"/>
              <w:numPr>
                <w:ilvl w:val="0"/>
                <w:numId w:val="12"/>
              </w:numPr>
            </w:pPr>
            <w:r>
              <w:t>Postgraduate – medical specialist training</w:t>
            </w:r>
          </w:p>
        </w:tc>
        <w:tc>
          <w:tcPr>
            <w:tcW w:w="3234" w:type="dxa"/>
            <w:tcBorders>
              <w:top w:val="single" w:sz="4" w:space="0" w:color="auto"/>
              <w:left w:val="single" w:sz="4" w:space="0" w:color="auto"/>
              <w:bottom w:val="single" w:sz="4" w:space="0" w:color="auto"/>
              <w:right w:val="single" w:sz="4" w:space="0" w:color="auto"/>
            </w:tcBorders>
            <w:hideMark/>
          </w:tcPr>
          <w:p w14:paraId="77D3831E" w14:textId="77777777" w:rsidR="00361611" w:rsidRDefault="00361611" w:rsidP="00A21959">
            <w:pPr>
              <w:pStyle w:val="Tabletext9pt"/>
              <w:numPr>
                <w:ilvl w:val="0"/>
                <w:numId w:val="12"/>
              </w:numPr>
            </w:pPr>
            <w:r>
              <w:t>Victorian Medical Specialist Training Program</w:t>
            </w:r>
          </w:p>
        </w:tc>
        <w:tc>
          <w:tcPr>
            <w:tcW w:w="3012" w:type="dxa"/>
            <w:tcBorders>
              <w:top w:val="single" w:sz="4" w:space="0" w:color="auto"/>
              <w:left w:val="single" w:sz="4" w:space="0" w:color="auto"/>
              <w:bottom w:val="single" w:sz="4" w:space="0" w:color="auto"/>
              <w:right w:val="single" w:sz="4" w:space="0" w:color="auto"/>
            </w:tcBorders>
          </w:tcPr>
          <w:p w14:paraId="085A0BB0"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78,573</w:t>
            </w:r>
          </w:p>
        </w:tc>
      </w:tr>
      <w:tr w:rsidR="00361611" w14:paraId="12DC3D3D"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060B9A7D" w14:textId="77777777" w:rsidR="00361611" w:rsidRDefault="00361611" w:rsidP="00A21959">
            <w:pPr>
              <w:pStyle w:val="Tabletext9pt"/>
              <w:numPr>
                <w:ilvl w:val="0"/>
                <w:numId w:val="12"/>
              </w:numPr>
            </w:pPr>
            <w:r>
              <w:t>Postgraduate – medical specialist training</w:t>
            </w:r>
          </w:p>
        </w:tc>
        <w:tc>
          <w:tcPr>
            <w:tcW w:w="3234" w:type="dxa"/>
            <w:tcBorders>
              <w:top w:val="single" w:sz="4" w:space="0" w:color="auto"/>
              <w:left w:val="single" w:sz="4" w:space="0" w:color="auto"/>
              <w:bottom w:val="single" w:sz="4" w:space="0" w:color="auto"/>
              <w:right w:val="single" w:sz="4" w:space="0" w:color="auto"/>
            </w:tcBorders>
            <w:hideMark/>
          </w:tcPr>
          <w:p w14:paraId="06326DEE" w14:textId="77777777" w:rsidR="00361611" w:rsidRDefault="00361611" w:rsidP="00A21959">
            <w:pPr>
              <w:pStyle w:val="Tabletext9pt"/>
              <w:numPr>
                <w:ilvl w:val="0"/>
                <w:numId w:val="12"/>
              </w:numPr>
            </w:pPr>
            <w:r>
              <w:t>Victorian Paediatric Training Program</w:t>
            </w:r>
          </w:p>
        </w:tc>
        <w:tc>
          <w:tcPr>
            <w:tcW w:w="3012" w:type="dxa"/>
            <w:tcBorders>
              <w:top w:val="single" w:sz="4" w:space="0" w:color="auto"/>
              <w:left w:val="single" w:sz="4" w:space="0" w:color="auto"/>
              <w:bottom w:val="single" w:sz="4" w:space="0" w:color="auto"/>
              <w:right w:val="single" w:sz="4" w:space="0" w:color="auto"/>
            </w:tcBorders>
          </w:tcPr>
          <w:p w14:paraId="57AFEB21"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106,633</w:t>
            </w:r>
          </w:p>
        </w:tc>
      </w:tr>
      <w:tr w:rsidR="00361611" w14:paraId="14800843" w14:textId="77777777" w:rsidTr="00A21959">
        <w:trPr>
          <w:trHeight w:val="212"/>
        </w:trPr>
        <w:tc>
          <w:tcPr>
            <w:tcW w:w="3053" w:type="dxa"/>
            <w:tcBorders>
              <w:top w:val="single" w:sz="4" w:space="0" w:color="auto"/>
              <w:left w:val="single" w:sz="4" w:space="0" w:color="auto"/>
              <w:bottom w:val="single" w:sz="4" w:space="0" w:color="auto"/>
              <w:right w:val="single" w:sz="4" w:space="0" w:color="auto"/>
            </w:tcBorders>
            <w:hideMark/>
          </w:tcPr>
          <w:p w14:paraId="262612EC" w14:textId="77777777" w:rsidR="00361611" w:rsidRDefault="00361611" w:rsidP="00A21959">
            <w:pPr>
              <w:pStyle w:val="Tabletext9pt"/>
              <w:numPr>
                <w:ilvl w:val="0"/>
                <w:numId w:val="12"/>
              </w:numPr>
            </w:pPr>
            <w:r>
              <w:t>Postgraduate – medical specialist training</w:t>
            </w:r>
          </w:p>
        </w:tc>
        <w:tc>
          <w:tcPr>
            <w:tcW w:w="3234" w:type="dxa"/>
            <w:tcBorders>
              <w:top w:val="single" w:sz="4" w:space="0" w:color="auto"/>
              <w:left w:val="single" w:sz="4" w:space="0" w:color="auto"/>
              <w:bottom w:val="single" w:sz="4" w:space="0" w:color="auto"/>
              <w:right w:val="single" w:sz="4" w:space="0" w:color="auto"/>
            </w:tcBorders>
            <w:hideMark/>
          </w:tcPr>
          <w:p w14:paraId="1DB09F55" w14:textId="77777777" w:rsidR="00361611" w:rsidRDefault="00361611" w:rsidP="00A21959">
            <w:pPr>
              <w:pStyle w:val="Tabletext9pt"/>
              <w:numPr>
                <w:ilvl w:val="0"/>
                <w:numId w:val="12"/>
              </w:numPr>
            </w:pPr>
            <w:r>
              <w:t>Basic physician training consortia</w:t>
            </w:r>
          </w:p>
        </w:tc>
        <w:tc>
          <w:tcPr>
            <w:tcW w:w="3012" w:type="dxa"/>
            <w:tcBorders>
              <w:top w:val="single" w:sz="4" w:space="0" w:color="auto"/>
              <w:left w:val="single" w:sz="4" w:space="0" w:color="auto"/>
              <w:bottom w:val="single" w:sz="4" w:space="0" w:color="auto"/>
              <w:right w:val="single" w:sz="4" w:space="0" w:color="auto"/>
            </w:tcBorders>
          </w:tcPr>
          <w:p w14:paraId="1BDD512E"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Not calculated based on an EFT rate</w:t>
            </w:r>
          </w:p>
        </w:tc>
      </w:tr>
      <w:tr w:rsidR="00361611" w14:paraId="2CB15904" w14:textId="77777777" w:rsidTr="00A21959">
        <w:tc>
          <w:tcPr>
            <w:tcW w:w="3053" w:type="dxa"/>
            <w:tcBorders>
              <w:top w:val="single" w:sz="4" w:space="0" w:color="auto"/>
              <w:left w:val="single" w:sz="4" w:space="0" w:color="auto"/>
              <w:bottom w:val="single" w:sz="4" w:space="0" w:color="auto"/>
              <w:right w:val="single" w:sz="4" w:space="0" w:color="auto"/>
            </w:tcBorders>
            <w:hideMark/>
          </w:tcPr>
          <w:p w14:paraId="0EC9AECF" w14:textId="77777777" w:rsidR="00361611" w:rsidRDefault="00361611" w:rsidP="00A21959">
            <w:pPr>
              <w:pStyle w:val="Tabletext9pt"/>
              <w:numPr>
                <w:ilvl w:val="0"/>
                <w:numId w:val="12"/>
              </w:numPr>
            </w:pPr>
            <w:r>
              <w:t>Postgraduate – nursing and midwifery</w:t>
            </w:r>
          </w:p>
        </w:tc>
        <w:tc>
          <w:tcPr>
            <w:tcW w:w="3234" w:type="dxa"/>
            <w:tcBorders>
              <w:top w:val="single" w:sz="4" w:space="0" w:color="auto"/>
              <w:left w:val="single" w:sz="4" w:space="0" w:color="auto"/>
              <w:bottom w:val="single" w:sz="4" w:space="0" w:color="auto"/>
              <w:right w:val="single" w:sz="4" w:space="0" w:color="auto"/>
            </w:tcBorders>
            <w:hideMark/>
          </w:tcPr>
          <w:p w14:paraId="6A440514" w14:textId="77777777" w:rsidR="00361611" w:rsidRDefault="00361611" w:rsidP="00A21959">
            <w:pPr>
              <w:pStyle w:val="Tabletext9pt"/>
              <w:numPr>
                <w:ilvl w:val="0"/>
                <w:numId w:val="12"/>
              </w:numPr>
            </w:pPr>
            <w:r>
              <w:t>Nursing and midwifery postgraduates</w:t>
            </w:r>
          </w:p>
        </w:tc>
        <w:tc>
          <w:tcPr>
            <w:tcW w:w="3012" w:type="dxa"/>
            <w:tcBorders>
              <w:top w:val="single" w:sz="4" w:space="0" w:color="auto"/>
              <w:left w:val="single" w:sz="4" w:space="0" w:color="auto"/>
              <w:bottom w:val="single" w:sz="4" w:space="0" w:color="auto"/>
              <w:right w:val="single" w:sz="4" w:space="0" w:color="auto"/>
            </w:tcBorders>
          </w:tcPr>
          <w:p w14:paraId="4E83ADDA" w14:textId="77777777" w:rsidR="00361611" w:rsidRPr="0EC1DC23" w:rsidRDefault="00361611" w:rsidP="00A21959">
            <w:pPr>
              <w:spacing w:before="80" w:after="60"/>
              <w:jc w:val="right"/>
              <w:rPr>
                <w:rFonts w:eastAsia="Arial" w:cs="Arial"/>
                <w:sz w:val="18"/>
                <w:szCs w:val="18"/>
              </w:rPr>
            </w:pPr>
            <w:r w:rsidRPr="0EC1DC23">
              <w:rPr>
                <w:rFonts w:eastAsia="Arial" w:cs="Arial"/>
                <w:sz w:val="18"/>
                <w:szCs w:val="18"/>
              </w:rPr>
              <w:t>20,837</w:t>
            </w:r>
          </w:p>
        </w:tc>
      </w:tr>
    </w:tbl>
    <w:p w14:paraId="075DDDFD" w14:textId="77777777" w:rsidR="005B699B" w:rsidRDefault="005B699B" w:rsidP="001E4292">
      <w:pPr>
        <w:pStyle w:val="Heading1"/>
        <w:numPr>
          <w:ilvl w:val="0"/>
          <w:numId w:val="13"/>
        </w:numPr>
      </w:pPr>
      <w:bookmarkStart w:id="2323" w:name="_Toc167651302"/>
      <w:bookmarkStart w:id="2324" w:name="_Toc418694983"/>
      <w:bookmarkStart w:id="2325" w:name="_Ref419741197"/>
      <w:bookmarkStart w:id="2326" w:name="_Ref419741215"/>
      <w:bookmarkStart w:id="2327" w:name="_Toc487742013"/>
      <w:bookmarkStart w:id="2328" w:name="_Toc14172243"/>
      <w:bookmarkStart w:id="2329" w:name="_Ref70881847"/>
      <w:bookmarkStart w:id="2330" w:name="_Ref70881855"/>
      <w:bookmarkStart w:id="2331" w:name="_Ref77707788"/>
      <w:bookmarkStart w:id="2332" w:name="_Ref77707841"/>
      <w:bookmarkStart w:id="2333" w:name="_Toc100263353"/>
      <w:bookmarkStart w:id="2334" w:name="_Toc165961857"/>
      <w:bookmarkStart w:id="2335" w:name="_Toc178963643"/>
      <w:bookmarkEnd w:id="2166"/>
      <w:bookmarkEnd w:id="2313"/>
      <w:bookmarkEnd w:id="2314"/>
      <w:bookmarkEnd w:id="2315"/>
      <w:bookmarkEnd w:id="2316"/>
      <w:bookmarkEnd w:id="2317"/>
      <w:bookmarkEnd w:id="2322"/>
      <w:bookmarkEnd w:id="2323"/>
      <w:r>
        <w:t xml:space="preserve">Price groups for NWAU </w:t>
      </w:r>
      <w:bookmarkEnd w:id="2324"/>
      <w:bookmarkEnd w:id="2325"/>
      <w:bookmarkEnd w:id="2326"/>
      <w:bookmarkEnd w:id="2327"/>
      <w:bookmarkEnd w:id="2328"/>
      <w:bookmarkEnd w:id="2329"/>
      <w:bookmarkEnd w:id="2330"/>
      <w:bookmarkEnd w:id="2331"/>
      <w:bookmarkEnd w:id="2332"/>
      <w:bookmarkEnd w:id="2333"/>
      <w:r w:rsidRPr="00731B6C">
        <w:t>purposes</w:t>
      </w:r>
      <w:bookmarkEnd w:id="2334"/>
      <w:bookmarkEnd w:id="2335"/>
    </w:p>
    <w:p w14:paraId="3DA73DAF" w14:textId="1C87739B" w:rsidR="00A97999" w:rsidRPr="00377487" w:rsidRDefault="00A97999" w:rsidP="00C50CD4">
      <w:pPr>
        <w:pStyle w:val="Tablecaption"/>
      </w:pPr>
      <w:bookmarkStart w:id="2336" w:name="_Ref170115610"/>
      <w:bookmarkStart w:id="2337" w:name="_Toc176510412"/>
      <w:r w:rsidRPr="00A97999">
        <w:t>Table 1.</w:t>
      </w:r>
      <w:r>
        <w:fldChar w:fldCharType="begin"/>
      </w:r>
      <w:r>
        <w:instrText>SEQ Table \* ARABIC</w:instrText>
      </w:r>
      <w:r>
        <w:fldChar w:fldCharType="separate"/>
      </w:r>
      <w:r w:rsidR="00F30C16" w:rsidRPr="00377487">
        <w:t>22</w:t>
      </w:r>
      <w:r>
        <w:fldChar w:fldCharType="end"/>
      </w:r>
      <w:r w:rsidRPr="00377487">
        <w:t>: Price groups for NWAU purposes</w:t>
      </w:r>
      <w:bookmarkEnd w:id="2336"/>
      <w:bookmarkEnd w:id="2337"/>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965"/>
        <w:gridCol w:w="4642"/>
      </w:tblGrid>
      <w:tr w:rsidR="005B699B" w:rsidRPr="00754F43" w14:paraId="1A1B6A3A" w14:textId="77777777" w:rsidTr="00A97999">
        <w:trPr>
          <w:tblHeader/>
        </w:trPr>
        <w:tc>
          <w:tcPr>
            <w:tcW w:w="4965" w:type="dxa"/>
            <w:shd w:val="clear" w:color="auto" w:fill="auto"/>
          </w:tcPr>
          <w:p w14:paraId="7807115E" w14:textId="77777777" w:rsidR="005B699B" w:rsidRPr="00F717FB" w:rsidRDefault="005B699B" w:rsidP="00785BA1">
            <w:pPr>
              <w:pStyle w:val="Tablecolhead"/>
              <w:rPr>
                <w:rFonts w:eastAsia="Arial"/>
                <w:szCs w:val="21"/>
              </w:rPr>
            </w:pPr>
            <w:r w:rsidRPr="00F717FB">
              <w:rPr>
                <w:rFonts w:eastAsia="Arial"/>
                <w:szCs w:val="21"/>
              </w:rPr>
              <w:t>Health service</w:t>
            </w:r>
          </w:p>
        </w:tc>
        <w:tc>
          <w:tcPr>
            <w:tcW w:w="4642" w:type="dxa"/>
            <w:shd w:val="clear" w:color="auto" w:fill="auto"/>
          </w:tcPr>
          <w:p w14:paraId="42322DFF" w14:textId="77777777" w:rsidR="005B699B" w:rsidRPr="00F717FB" w:rsidRDefault="005B699B" w:rsidP="00785BA1">
            <w:pPr>
              <w:pStyle w:val="Tablecolhead"/>
              <w:rPr>
                <w:rFonts w:eastAsia="Arial"/>
                <w:szCs w:val="21"/>
              </w:rPr>
            </w:pPr>
            <w:r w:rsidRPr="00F717FB">
              <w:rPr>
                <w:rFonts w:eastAsia="Arial"/>
                <w:szCs w:val="21"/>
              </w:rPr>
              <w:t>Peer group</w:t>
            </w:r>
          </w:p>
        </w:tc>
      </w:tr>
      <w:tr w:rsidR="005B699B" w:rsidRPr="00754F43" w14:paraId="0BA6BD04" w14:textId="77777777" w:rsidTr="00922A4D">
        <w:tc>
          <w:tcPr>
            <w:tcW w:w="4965" w:type="dxa"/>
            <w:noWrap/>
          </w:tcPr>
          <w:p w14:paraId="28C6FDB3" w14:textId="77777777" w:rsidR="005B699B" w:rsidRPr="00731B6C" w:rsidRDefault="005B699B" w:rsidP="00785BA1">
            <w:pPr>
              <w:pStyle w:val="Tabletext9pt"/>
            </w:pPr>
            <w:r w:rsidRPr="00922A4D">
              <w:t>Alfred Health</w:t>
            </w:r>
          </w:p>
        </w:tc>
        <w:tc>
          <w:tcPr>
            <w:tcW w:w="4642" w:type="dxa"/>
          </w:tcPr>
          <w:p w14:paraId="74FF9291" w14:textId="77777777" w:rsidR="005B699B" w:rsidRPr="00731B6C" w:rsidRDefault="005B699B" w:rsidP="00785BA1">
            <w:pPr>
              <w:pStyle w:val="Tabletext9pt"/>
            </w:pPr>
            <w:r w:rsidRPr="00922A4D">
              <w:t>Metropolitan</w:t>
            </w:r>
          </w:p>
        </w:tc>
      </w:tr>
      <w:tr w:rsidR="005B699B" w:rsidRPr="00754F43" w14:paraId="5164F6B4" w14:textId="77777777" w:rsidTr="00922A4D">
        <w:tc>
          <w:tcPr>
            <w:tcW w:w="4965" w:type="dxa"/>
            <w:noWrap/>
          </w:tcPr>
          <w:p w14:paraId="16ADEAFE" w14:textId="77777777" w:rsidR="005B699B" w:rsidRPr="00922A4D" w:rsidRDefault="005B699B" w:rsidP="00785BA1">
            <w:pPr>
              <w:pStyle w:val="Tabletext9pt"/>
            </w:pPr>
            <w:r w:rsidRPr="00922A4D">
              <w:t>Austin Health</w:t>
            </w:r>
          </w:p>
        </w:tc>
        <w:tc>
          <w:tcPr>
            <w:tcW w:w="4642" w:type="dxa"/>
          </w:tcPr>
          <w:p w14:paraId="291CD004" w14:textId="77777777" w:rsidR="005B699B" w:rsidRPr="00922A4D" w:rsidRDefault="005B699B" w:rsidP="00785BA1">
            <w:pPr>
              <w:pStyle w:val="Tabletext9pt"/>
            </w:pPr>
            <w:r w:rsidRPr="00922A4D">
              <w:t>Metropolitan</w:t>
            </w:r>
          </w:p>
        </w:tc>
      </w:tr>
      <w:tr w:rsidR="005B699B" w:rsidRPr="00754F43" w14:paraId="68754200" w14:textId="77777777" w:rsidTr="00922A4D">
        <w:tc>
          <w:tcPr>
            <w:tcW w:w="4965" w:type="dxa"/>
            <w:noWrap/>
          </w:tcPr>
          <w:p w14:paraId="29593BA5" w14:textId="77777777" w:rsidR="005B699B" w:rsidRPr="00922A4D" w:rsidRDefault="005B699B" w:rsidP="00785BA1">
            <w:pPr>
              <w:pStyle w:val="Tabletext9pt"/>
            </w:pPr>
            <w:r w:rsidRPr="00922A4D">
              <w:t>Calvary Health Care Bethlehem Ltd</w:t>
            </w:r>
          </w:p>
        </w:tc>
        <w:tc>
          <w:tcPr>
            <w:tcW w:w="4642" w:type="dxa"/>
          </w:tcPr>
          <w:p w14:paraId="5F520421" w14:textId="77777777" w:rsidR="005B699B" w:rsidRPr="00922A4D" w:rsidRDefault="005B699B" w:rsidP="00785BA1">
            <w:pPr>
              <w:pStyle w:val="Tabletext9pt"/>
            </w:pPr>
            <w:r w:rsidRPr="00922A4D">
              <w:t>Metropolitan</w:t>
            </w:r>
          </w:p>
        </w:tc>
      </w:tr>
      <w:tr w:rsidR="005B699B" w:rsidRPr="00754F43" w14:paraId="65B6309E" w14:textId="77777777" w:rsidTr="00922A4D">
        <w:tc>
          <w:tcPr>
            <w:tcW w:w="4965" w:type="dxa"/>
            <w:noWrap/>
          </w:tcPr>
          <w:p w14:paraId="7571D5EF" w14:textId="77777777" w:rsidR="005B699B" w:rsidRPr="00922A4D" w:rsidRDefault="005B699B" w:rsidP="00785BA1">
            <w:pPr>
              <w:pStyle w:val="Tabletext9pt"/>
            </w:pPr>
            <w:r w:rsidRPr="00922A4D">
              <w:t>Eastern Health</w:t>
            </w:r>
          </w:p>
        </w:tc>
        <w:tc>
          <w:tcPr>
            <w:tcW w:w="4642" w:type="dxa"/>
          </w:tcPr>
          <w:p w14:paraId="2B292D28" w14:textId="77777777" w:rsidR="005B699B" w:rsidRPr="00922A4D" w:rsidRDefault="005B699B" w:rsidP="00785BA1">
            <w:pPr>
              <w:pStyle w:val="Tabletext9pt"/>
            </w:pPr>
            <w:r w:rsidRPr="00922A4D">
              <w:t>Metropolitan</w:t>
            </w:r>
          </w:p>
        </w:tc>
      </w:tr>
      <w:tr w:rsidR="005B699B" w:rsidRPr="00754F43" w14:paraId="2DA0486E" w14:textId="77777777" w:rsidTr="00922A4D">
        <w:tc>
          <w:tcPr>
            <w:tcW w:w="4965" w:type="dxa"/>
            <w:noWrap/>
          </w:tcPr>
          <w:p w14:paraId="19741C7B" w14:textId="77777777" w:rsidR="005B699B" w:rsidRPr="00922A4D" w:rsidRDefault="005B699B" w:rsidP="00785BA1">
            <w:pPr>
              <w:pStyle w:val="Tabletext9pt"/>
            </w:pPr>
            <w:r w:rsidRPr="00922A4D">
              <w:lastRenderedPageBreak/>
              <w:t>Melbourne Health</w:t>
            </w:r>
          </w:p>
        </w:tc>
        <w:tc>
          <w:tcPr>
            <w:tcW w:w="4642" w:type="dxa"/>
          </w:tcPr>
          <w:p w14:paraId="1675508F" w14:textId="77777777" w:rsidR="005B699B" w:rsidRPr="00922A4D" w:rsidRDefault="005B699B" w:rsidP="00785BA1">
            <w:pPr>
              <w:pStyle w:val="Tabletext9pt"/>
            </w:pPr>
            <w:r w:rsidRPr="00922A4D">
              <w:t>Metropolitan</w:t>
            </w:r>
          </w:p>
        </w:tc>
      </w:tr>
      <w:tr w:rsidR="005B699B" w:rsidRPr="00754F43" w14:paraId="2E4688FB" w14:textId="77777777" w:rsidTr="00922A4D">
        <w:tc>
          <w:tcPr>
            <w:tcW w:w="4965" w:type="dxa"/>
            <w:noWrap/>
          </w:tcPr>
          <w:p w14:paraId="79076C90" w14:textId="77777777" w:rsidR="005B699B" w:rsidRPr="00922A4D" w:rsidRDefault="005B699B" w:rsidP="00785BA1">
            <w:pPr>
              <w:pStyle w:val="Tabletext9pt"/>
            </w:pPr>
            <w:r w:rsidRPr="00922A4D">
              <w:t>Mercy Public Hospital Inc.</w:t>
            </w:r>
          </w:p>
        </w:tc>
        <w:tc>
          <w:tcPr>
            <w:tcW w:w="4642" w:type="dxa"/>
          </w:tcPr>
          <w:p w14:paraId="2CDCD0E4" w14:textId="77777777" w:rsidR="005B699B" w:rsidRPr="00922A4D" w:rsidRDefault="005B699B" w:rsidP="00785BA1">
            <w:pPr>
              <w:pStyle w:val="Tabletext9pt"/>
            </w:pPr>
            <w:r w:rsidRPr="00922A4D">
              <w:t>Metropolitan</w:t>
            </w:r>
          </w:p>
        </w:tc>
      </w:tr>
      <w:tr w:rsidR="005B699B" w:rsidRPr="00754F43" w14:paraId="6C23DB4E" w14:textId="77777777" w:rsidTr="00922A4D">
        <w:tc>
          <w:tcPr>
            <w:tcW w:w="4965" w:type="dxa"/>
            <w:noWrap/>
          </w:tcPr>
          <w:p w14:paraId="6301C9F7" w14:textId="77777777" w:rsidR="005B699B" w:rsidRPr="00922A4D" w:rsidRDefault="005B699B" w:rsidP="00785BA1">
            <w:pPr>
              <w:pStyle w:val="Tabletext9pt"/>
            </w:pPr>
            <w:r w:rsidRPr="00922A4D">
              <w:t>Monash Health</w:t>
            </w:r>
          </w:p>
        </w:tc>
        <w:tc>
          <w:tcPr>
            <w:tcW w:w="4642" w:type="dxa"/>
          </w:tcPr>
          <w:p w14:paraId="56ADFF31" w14:textId="77777777" w:rsidR="005B699B" w:rsidRPr="00922A4D" w:rsidRDefault="005B699B" w:rsidP="00785BA1">
            <w:pPr>
              <w:pStyle w:val="Tabletext9pt"/>
            </w:pPr>
            <w:r w:rsidRPr="00922A4D">
              <w:t>Metropolitan</w:t>
            </w:r>
          </w:p>
        </w:tc>
      </w:tr>
      <w:tr w:rsidR="005B699B" w:rsidRPr="00754F43" w14:paraId="09B744B9" w14:textId="77777777" w:rsidTr="00922A4D">
        <w:tc>
          <w:tcPr>
            <w:tcW w:w="4965" w:type="dxa"/>
            <w:noWrap/>
          </w:tcPr>
          <w:p w14:paraId="36A13DBE" w14:textId="77777777" w:rsidR="005B699B" w:rsidRPr="00922A4D" w:rsidRDefault="005B699B" w:rsidP="00785BA1">
            <w:pPr>
              <w:pStyle w:val="Tabletext9pt"/>
            </w:pPr>
            <w:r w:rsidRPr="00922A4D">
              <w:t>Northern Health</w:t>
            </w:r>
          </w:p>
        </w:tc>
        <w:tc>
          <w:tcPr>
            <w:tcW w:w="4642" w:type="dxa"/>
          </w:tcPr>
          <w:p w14:paraId="62CA65FB" w14:textId="77777777" w:rsidR="005B699B" w:rsidRPr="00922A4D" w:rsidRDefault="005B699B" w:rsidP="00785BA1">
            <w:pPr>
              <w:pStyle w:val="Tabletext9pt"/>
            </w:pPr>
            <w:r w:rsidRPr="00922A4D">
              <w:t>Metropolitan</w:t>
            </w:r>
          </w:p>
        </w:tc>
      </w:tr>
      <w:tr w:rsidR="005B699B" w:rsidRPr="00754F43" w14:paraId="5223B160" w14:textId="77777777" w:rsidTr="00922A4D">
        <w:tc>
          <w:tcPr>
            <w:tcW w:w="4965" w:type="dxa"/>
            <w:noWrap/>
          </w:tcPr>
          <w:p w14:paraId="56D42E52" w14:textId="77777777" w:rsidR="005B699B" w:rsidRPr="00922A4D" w:rsidRDefault="005B699B" w:rsidP="00785BA1">
            <w:pPr>
              <w:pStyle w:val="Tabletext9pt"/>
            </w:pPr>
            <w:r w:rsidRPr="00922A4D">
              <w:t>Peninsula Health</w:t>
            </w:r>
          </w:p>
        </w:tc>
        <w:tc>
          <w:tcPr>
            <w:tcW w:w="4642" w:type="dxa"/>
          </w:tcPr>
          <w:p w14:paraId="2501D3B6" w14:textId="77777777" w:rsidR="005B699B" w:rsidRPr="00922A4D" w:rsidRDefault="005B699B" w:rsidP="00785BA1">
            <w:pPr>
              <w:pStyle w:val="Tabletext9pt"/>
            </w:pPr>
            <w:r w:rsidRPr="00922A4D">
              <w:t>Metropolitan</w:t>
            </w:r>
          </w:p>
        </w:tc>
      </w:tr>
      <w:tr w:rsidR="005B699B" w:rsidRPr="00754F43" w14:paraId="26644BFE" w14:textId="77777777" w:rsidTr="00922A4D">
        <w:tc>
          <w:tcPr>
            <w:tcW w:w="4965" w:type="dxa"/>
            <w:noWrap/>
          </w:tcPr>
          <w:p w14:paraId="3E589BEC" w14:textId="77777777" w:rsidR="005B699B" w:rsidRPr="00922A4D" w:rsidRDefault="005B699B" w:rsidP="00785BA1">
            <w:pPr>
              <w:pStyle w:val="Tabletext9pt"/>
            </w:pPr>
            <w:r w:rsidRPr="00922A4D">
              <w:t>Peter MacCallum Cancer Institute</w:t>
            </w:r>
          </w:p>
        </w:tc>
        <w:tc>
          <w:tcPr>
            <w:tcW w:w="4642" w:type="dxa"/>
          </w:tcPr>
          <w:p w14:paraId="686283B9" w14:textId="77777777" w:rsidR="005B699B" w:rsidRPr="00922A4D" w:rsidRDefault="005B699B" w:rsidP="00785BA1">
            <w:pPr>
              <w:pStyle w:val="Tabletext9pt"/>
            </w:pPr>
            <w:r w:rsidRPr="00922A4D">
              <w:t>Metropolitan</w:t>
            </w:r>
          </w:p>
        </w:tc>
      </w:tr>
      <w:tr w:rsidR="005B699B" w:rsidRPr="00754F43" w14:paraId="64E959B0" w14:textId="77777777" w:rsidTr="00922A4D">
        <w:tc>
          <w:tcPr>
            <w:tcW w:w="4965" w:type="dxa"/>
            <w:noWrap/>
          </w:tcPr>
          <w:p w14:paraId="70C40572" w14:textId="77777777" w:rsidR="005B699B" w:rsidRPr="00922A4D" w:rsidRDefault="005B699B" w:rsidP="00785BA1">
            <w:pPr>
              <w:pStyle w:val="Tabletext9pt"/>
            </w:pPr>
            <w:r w:rsidRPr="00922A4D">
              <w:t>Royal Children's Hospital (Melbourne)</w:t>
            </w:r>
          </w:p>
        </w:tc>
        <w:tc>
          <w:tcPr>
            <w:tcW w:w="4642" w:type="dxa"/>
          </w:tcPr>
          <w:p w14:paraId="2B11CCC5" w14:textId="77777777" w:rsidR="005B699B" w:rsidRPr="00922A4D" w:rsidRDefault="005B699B" w:rsidP="00785BA1">
            <w:pPr>
              <w:pStyle w:val="Tabletext9pt"/>
            </w:pPr>
            <w:r w:rsidRPr="00922A4D">
              <w:t>Metropolitan</w:t>
            </w:r>
          </w:p>
        </w:tc>
      </w:tr>
      <w:tr w:rsidR="005B699B" w:rsidRPr="00754F43" w14:paraId="01B8E964" w14:textId="77777777" w:rsidTr="00922A4D">
        <w:tc>
          <w:tcPr>
            <w:tcW w:w="4965" w:type="dxa"/>
            <w:noWrap/>
          </w:tcPr>
          <w:p w14:paraId="672290A6" w14:textId="77777777" w:rsidR="005B699B" w:rsidRPr="00922A4D" w:rsidRDefault="005B699B" w:rsidP="00785BA1">
            <w:pPr>
              <w:pStyle w:val="Tabletext9pt"/>
            </w:pPr>
            <w:r w:rsidRPr="00922A4D">
              <w:t>Royal Victorian Eye and Ear Hospital</w:t>
            </w:r>
          </w:p>
        </w:tc>
        <w:tc>
          <w:tcPr>
            <w:tcW w:w="4642" w:type="dxa"/>
          </w:tcPr>
          <w:p w14:paraId="341416BC" w14:textId="77777777" w:rsidR="005B699B" w:rsidRPr="00922A4D" w:rsidRDefault="005B699B" w:rsidP="00785BA1">
            <w:pPr>
              <w:pStyle w:val="Tabletext9pt"/>
            </w:pPr>
            <w:r w:rsidRPr="00922A4D">
              <w:t>Metropolitan</w:t>
            </w:r>
          </w:p>
        </w:tc>
      </w:tr>
      <w:tr w:rsidR="005B699B" w:rsidRPr="00754F43" w14:paraId="5D72E6E6" w14:textId="77777777" w:rsidTr="00922A4D">
        <w:tc>
          <w:tcPr>
            <w:tcW w:w="4965" w:type="dxa"/>
            <w:noWrap/>
          </w:tcPr>
          <w:p w14:paraId="2DDE528F" w14:textId="77777777" w:rsidR="005B699B" w:rsidRPr="00922A4D" w:rsidRDefault="005B699B" w:rsidP="00785BA1">
            <w:pPr>
              <w:pStyle w:val="Tabletext9pt"/>
            </w:pPr>
            <w:r w:rsidRPr="00922A4D">
              <w:t>Royal Women's Hospital (Melbourne)</w:t>
            </w:r>
          </w:p>
        </w:tc>
        <w:tc>
          <w:tcPr>
            <w:tcW w:w="4642" w:type="dxa"/>
          </w:tcPr>
          <w:p w14:paraId="4511F864" w14:textId="77777777" w:rsidR="005B699B" w:rsidRPr="00922A4D" w:rsidRDefault="005B699B" w:rsidP="00785BA1">
            <w:pPr>
              <w:pStyle w:val="Tabletext9pt"/>
            </w:pPr>
            <w:r w:rsidRPr="00922A4D">
              <w:t>Metropolitan</w:t>
            </w:r>
          </w:p>
        </w:tc>
      </w:tr>
      <w:tr w:rsidR="005B699B" w:rsidRPr="00754F43" w14:paraId="050416C7" w14:textId="77777777" w:rsidTr="00922A4D">
        <w:tc>
          <w:tcPr>
            <w:tcW w:w="4965" w:type="dxa"/>
            <w:noWrap/>
          </w:tcPr>
          <w:p w14:paraId="1C10E5D7" w14:textId="77777777" w:rsidR="005B699B" w:rsidRPr="00922A4D" w:rsidRDefault="005B699B" w:rsidP="00785BA1">
            <w:pPr>
              <w:pStyle w:val="Tabletext9pt"/>
            </w:pPr>
            <w:r w:rsidRPr="00922A4D">
              <w:t>St Vincent's Hospital (Melbourne) Limited</w:t>
            </w:r>
          </w:p>
        </w:tc>
        <w:tc>
          <w:tcPr>
            <w:tcW w:w="4642" w:type="dxa"/>
          </w:tcPr>
          <w:p w14:paraId="4F4E2C3E" w14:textId="77777777" w:rsidR="005B699B" w:rsidRPr="00922A4D" w:rsidRDefault="005B699B" w:rsidP="00785BA1">
            <w:pPr>
              <w:pStyle w:val="Tabletext9pt"/>
            </w:pPr>
            <w:r w:rsidRPr="00922A4D">
              <w:t>Metropolitan</w:t>
            </w:r>
          </w:p>
        </w:tc>
      </w:tr>
      <w:tr w:rsidR="005B699B" w:rsidRPr="00754F43" w14:paraId="0B096B77" w14:textId="77777777" w:rsidTr="00922A4D">
        <w:tc>
          <w:tcPr>
            <w:tcW w:w="4965" w:type="dxa"/>
            <w:noWrap/>
          </w:tcPr>
          <w:p w14:paraId="08EA7204" w14:textId="77777777" w:rsidR="005B699B" w:rsidRPr="00922A4D" w:rsidRDefault="005B699B" w:rsidP="00785BA1">
            <w:pPr>
              <w:pStyle w:val="Tabletext9pt"/>
            </w:pPr>
            <w:r w:rsidRPr="00922A4D">
              <w:t>Western Health</w:t>
            </w:r>
          </w:p>
        </w:tc>
        <w:tc>
          <w:tcPr>
            <w:tcW w:w="4642" w:type="dxa"/>
          </w:tcPr>
          <w:p w14:paraId="2524ACE4" w14:textId="77777777" w:rsidR="005B699B" w:rsidRPr="00922A4D" w:rsidRDefault="005B699B" w:rsidP="00785BA1">
            <w:pPr>
              <w:pStyle w:val="Tabletext9pt"/>
            </w:pPr>
            <w:r w:rsidRPr="00922A4D">
              <w:t>Metropolitan</w:t>
            </w:r>
          </w:p>
        </w:tc>
      </w:tr>
      <w:tr w:rsidR="005B699B" w:rsidRPr="00754F43" w14:paraId="6576AD8E" w14:textId="77777777" w:rsidTr="00922A4D">
        <w:tc>
          <w:tcPr>
            <w:tcW w:w="4965" w:type="dxa"/>
            <w:noWrap/>
          </w:tcPr>
          <w:p w14:paraId="036C7665" w14:textId="77777777" w:rsidR="005B699B" w:rsidRPr="00922A4D" w:rsidRDefault="005B699B" w:rsidP="00785BA1">
            <w:pPr>
              <w:pStyle w:val="Tabletext9pt"/>
            </w:pPr>
            <w:r w:rsidRPr="00922A4D">
              <w:t>Albury Wodonga Health</w:t>
            </w:r>
          </w:p>
        </w:tc>
        <w:tc>
          <w:tcPr>
            <w:tcW w:w="4642" w:type="dxa"/>
          </w:tcPr>
          <w:p w14:paraId="7306C313" w14:textId="77777777" w:rsidR="005B699B" w:rsidRPr="00922A4D" w:rsidRDefault="005B699B" w:rsidP="00785BA1">
            <w:pPr>
              <w:pStyle w:val="Tabletext9pt"/>
            </w:pPr>
            <w:r w:rsidRPr="00922A4D">
              <w:t>Regional</w:t>
            </w:r>
          </w:p>
        </w:tc>
      </w:tr>
      <w:tr w:rsidR="005B699B" w:rsidRPr="00754F43" w14:paraId="7378871F" w14:textId="77777777" w:rsidTr="00922A4D">
        <w:tc>
          <w:tcPr>
            <w:tcW w:w="4965" w:type="dxa"/>
            <w:noWrap/>
          </w:tcPr>
          <w:p w14:paraId="14ED11F5" w14:textId="77777777" w:rsidR="005B699B" w:rsidRPr="00922A4D" w:rsidRDefault="005B699B" w:rsidP="00785BA1">
            <w:pPr>
              <w:pStyle w:val="Tabletext9pt"/>
            </w:pPr>
            <w:r w:rsidRPr="00922A4D">
              <w:t>Barwon Health</w:t>
            </w:r>
          </w:p>
        </w:tc>
        <w:tc>
          <w:tcPr>
            <w:tcW w:w="4642" w:type="dxa"/>
          </w:tcPr>
          <w:p w14:paraId="65D690A9" w14:textId="77777777" w:rsidR="005B699B" w:rsidRPr="00922A4D" w:rsidRDefault="005B699B" w:rsidP="00785BA1">
            <w:pPr>
              <w:pStyle w:val="Tabletext9pt"/>
            </w:pPr>
            <w:r w:rsidRPr="00922A4D">
              <w:t>Regional</w:t>
            </w:r>
          </w:p>
        </w:tc>
      </w:tr>
      <w:tr w:rsidR="005B699B" w:rsidRPr="00754F43" w14:paraId="752BE89C" w14:textId="77777777" w:rsidTr="00922A4D">
        <w:tc>
          <w:tcPr>
            <w:tcW w:w="4965" w:type="dxa"/>
            <w:noWrap/>
          </w:tcPr>
          <w:p w14:paraId="71E4A765" w14:textId="77777777" w:rsidR="005B699B" w:rsidRPr="00922A4D" w:rsidRDefault="005B699B" w:rsidP="00785BA1">
            <w:pPr>
              <w:pStyle w:val="Tabletext9pt"/>
            </w:pPr>
            <w:r w:rsidRPr="00922A4D">
              <w:t xml:space="preserve">Bendigo Health </w:t>
            </w:r>
          </w:p>
        </w:tc>
        <w:tc>
          <w:tcPr>
            <w:tcW w:w="4642" w:type="dxa"/>
          </w:tcPr>
          <w:p w14:paraId="6BF6C68C" w14:textId="77777777" w:rsidR="005B699B" w:rsidRPr="00922A4D" w:rsidRDefault="005B699B" w:rsidP="00785BA1">
            <w:pPr>
              <w:pStyle w:val="Tabletext9pt"/>
            </w:pPr>
            <w:r w:rsidRPr="00922A4D">
              <w:t>Regional</w:t>
            </w:r>
          </w:p>
        </w:tc>
      </w:tr>
      <w:tr w:rsidR="005B699B" w:rsidRPr="00754F43" w14:paraId="20CCB176" w14:textId="77777777" w:rsidTr="00922A4D">
        <w:tc>
          <w:tcPr>
            <w:tcW w:w="4965" w:type="dxa"/>
            <w:noWrap/>
          </w:tcPr>
          <w:p w14:paraId="30879D56" w14:textId="77777777" w:rsidR="005B699B" w:rsidRPr="00922A4D" w:rsidRDefault="005B699B" w:rsidP="00785BA1">
            <w:pPr>
              <w:pStyle w:val="Tabletext9pt"/>
            </w:pPr>
            <w:r w:rsidRPr="00922A4D">
              <w:t>Goulburn Valley Health</w:t>
            </w:r>
          </w:p>
        </w:tc>
        <w:tc>
          <w:tcPr>
            <w:tcW w:w="4642" w:type="dxa"/>
          </w:tcPr>
          <w:p w14:paraId="5DABBF09" w14:textId="77777777" w:rsidR="005B699B" w:rsidRPr="00922A4D" w:rsidRDefault="005B699B" w:rsidP="00785BA1">
            <w:pPr>
              <w:pStyle w:val="Tabletext9pt"/>
            </w:pPr>
            <w:r w:rsidRPr="00922A4D">
              <w:t>Regional</w:t>
            </w:r>
          </w:p>
        </w:tc>
      </w:tr>
      <w:tr w:rsidR="005B699B" w:rsidRPr="00754F43" w14:paraId="0C546429" w14:textId="77777777" w:rsidTr="00922A4D">
        <w:tc>
          <w:tcPr>
            <w:tcW w:w="4965" w:type="dxa"/>
            <w:noWrap/>
          </w:tcPr>
          <w:p w14:paraId="67C0B2A3" w14:textId="77777777" w:rsidR="005B699B" w:rsidRPr="00922A4D" w:rsidRDefault="005B699B" w:rsidP="00785BA1">
            <w:pPr>
              <w:pStyle w:val="Tabletext9pt"/>
            </w:pPr>
            <w:r w:rsidRPr="00922A4D">
              <w:t>Grampians Health</w:t>
            </w:r>
          </w:p>
        </w:tc>
        <w:tc>
          <w:tcPr>
            <w:tcW w:w="4642" w:type="dxa"/>
          </w:tcPr>
          <w:p w14:paraId="66920EF3" w14:textId="77777777" w:rsidR="005B699B" w:rsidRPr="00922A4D" w:rsidRDefault="005B699B" w:rsidP="00785BA1">
            <w:pPr>
              <w:pStyle w:val="Tabletext9pt"/>
            </w:pPr>
            <w:r w:rsidRPr="00922A4D">
              <w:t>Regional</w:t>
            </w:r>
          </w:p>
        </w:tc>
      </w:tr>
      <w:tr w:rsidR="005B699B" w:rsidRPr="00754F43" w14:paraId="62E6695B" w14:textId="77777777" w:rsidTr="00922A4D">
        <w:tc>
          <w:tcPr>
            <w:tcW w:w="4965" w:type="dxa"/>
            <w:noWrap/>
          </w:tcPr>
          <w:p w14:paraId="1C93313E" w14:textId="77777777" w:rsidR="005B699B" w:rsidRPr="00922A4D" w:rsidRDefault="005B699B" w:rsidP="00785BA1">
            <w:pPr>
              <w:pStyle w:val="Tabletext9pt"/>
            </w:pPr>
            <w:r w:rsidRPr="00922A4D">
              <w:t>Latrobe Regional Hospital</w:t>
            </w:r>
          </w:p>
        </w:tc>
        <w:tc>
          <w:tcPr>
            <w:tcW w:w="4642" w:type="dxa"/>
          </w:tcPr>
          <w:p w14:paraId="55D4E1C7" w14:textId="77777777" w:rsidR="005B699B" w:rsidRPr="00922A4D" w:rsidRDefault="005B699B" w:rsidP="00785BA1">
            <w:pPr>
              <w:pStyle w:val="Tabletext9pt"/>
            </w:pPr>
            <w:r w:rsidRPr="00922A4D">
              <w:t>Regional</w:t>
            </w:r>
          </w:p>
        </w:tc>
      </w:tr>
      <w:tr w:rsidR="005B699B" w:rsidRPr="00754F43" w14:paraId="0FBAC9E0" w14:textId="77777777" w:rsidTr="00922A4D">
        <w:tc>
          <w:tcPr>
            <w:tcW w:w="4965" w:type="dxa"/>
            <w:noWrap/>
          </w:tcPr>
          <w:p w14:paraId="3C64AEA3" w14:textId="77777777" w:rsidR="005B699B" w:rsidRPr="00922A4D" w:rsidRDefault="005B699B" w:rsidP="00785BA1">
            <w:pPr>
              <w:pStyle w:val="Tabletext9pt"/>
            </w:pPr>
            <w:r w:rsidRPr="00922A4D">
              <w:t>Bairnsdale Regional Health Service</w:t>
            </w:r>
          </w:p>
        </w:tc>
        <w:tc>
          <w:tcPr>
            <w:tcW w:w="4642" w:type="dxa"/>
          </w:tcPr>
          <w:p w14:paraId="7D8C703D" w14:textId="77777777" w:rsidR="005B699B" w:rsidRPr="00922A4D" w:rsidRDefault="005B699B" w:rsidP="00785BA1">
            <w:pPr>
              <w:pStyle w:val="Tabletext9pt"/>
            </w:pPr>
            <w:r w:rsidRPr="00922A4D">
              <w:t>Subregional and local</w:t>
            </w:r>
          </w:p>
        </w:tc>
      </w:tr>
      <w:tr w:rsidR="005B699B" w:rsidRPr="00754F43" w14:paraId="1FED96EC" w14:textId="77777777" w:rsidTr="00922A4D">
        <w:tc>
          <w:tcPr>
            <w:tcW w:w="4965" w:type="dxa"/>
            <w:noWrap/>
          </w:tcPr>
          <w:p w14:paraId="0BDF57A4" w14:textId="77777777" w:rsidR="005B699B" w:rsidRPr="00731B6C" w:rsidRDefault="005B699B" w:rsidP="00785BA1">
            <w:pPr>
              <w:pStyle w:val="Tabletext9pt"/>
            </w:pPr>
            <w:r w:rsidRPr="00922A4D">
              <w:t>Bass Coast Health</w:t>
            </w:r>
          </w:p>
        </w:tc>
        <w:tc>
          <w:tcPr>
            <w:tcW w:w="4642" w:type="dxa"/>
          </w:tcPr>
          <w:p w14:paraId="1231EA13" w14:textId="77777777" w:rsidR="005B699B" w:rsidRPr="00922A4D" w:rsidRDefault="005B699B" w:rsidP="00785BA1">
            <w:pPr>
              <w:pStyle w:val="Tabletext9pt"/>
            </w:pPr>
            <w:r w:rsidRPr="00922A4D">
              <w:t>Subregional and local</w:t>
            </w:r>
          </w:p>
        </w:tc>
      </w:tr>
      <w:tr w:rsidR="005B699B" w:rsidRPr="00754F43" w14:paraId="6AFB82AF" w14:textId="77777777" w:rsidTr="00922A4D">
        <w:tc>
          <w:tcPr>
            <w:tcW w:w="4965" w:type="dxa"/>
            <w:noWrap/>
          </w:tcPr>
          <w:p w14:paraId="78C3A22A" w14:textId="77777777" w:rsidR="005B699B" w:rsidRPr="00731B6C" w:rsidRDefault="005B699B" w:rsidP="00785BA1">
            <w:pPr>
              <w:pStyle w:val="Tabletext9pt"/>
            </w:pPr>
            <w:r w:rsidRPr="00922A4D">
              <w:t>Benalla Health</w:t>
            </w:r>
          </w:p>
        </w:tc>
        <w:tc>
          <w:tcPr>
            <w:tcW w:w="4642" w:type="dxa"/>
          </w:tcPr>
          <w:p w14:paraId="04311B93" w14:textId="77777777" w:rsidR="005B699B" w:rsidRPr="00922A4D" w:rsidRDefault="005B699B" w:rsidP="00785BA1">
            <w:pPr>
              <w:pStyle w:val="Tabletext9pt"/>
            </w:pPr>
            <w:r w:rsidRPr="00922A4D">
              <w:t>Subregional and local</w:t>
            </w:r>
          </w:p>
        </w:tc>
      </w:tr>
      <w:tr w:rsidR="005B699B" w:rsidRPr="00754F43" w14:paraId="64A3A187" w14:textId="77777777" w:rsidTr="00922A4D">
        <w:tc>
          <w:tcPr>
            <w:tcW w:w="4965" w:type="dxa"/>
            <w:noWrap/>
          </w:tcPr>
          <w:p w14:paraId="4DD15AD3" w14:textId="77777777" w:rsidR="005B699B" w:rsidRPr="00731B6C" w:rsidRDefault="005B699B" w:rsidP="00785BA1">
            <w:pPr>
              <w:pStyle w:val="Tabletext9pt"/>
            </w:pPr>
            <w:r w:rsidRPr="00922A4D">
              <w:t>Dhelkaya Health</w:t>
            </w:r>
          </w:p>
        </w:tc>
        <w:tc>
          <w:tcPr>
            <w:tcW w:w="4642" w:type="dxa"/>
          </w:tcPr>
          <w:p w14:paraId="73963607" w14:textId="77777777" w:rsidR="005B699B" w:rsidRPr="00922A4D" w:rsidRDefault="005B699B" w:rsidP="00785BA1">
            <w:pPr>
              <w:pStyle w:val="Tabletext9pt"/>
            </w:pPr>
            <w:r w:rsidRPr="00922A4D">
              <w:t>Subregional and local</w:t>
            </w:r>
          </w:p>
        </w:tc>
      </w:tr>
      <w:tr w:rsidR="005B699B" w:rsidRPr="00754F43" w14:paraId="44874064" w14:textId="77777777" w:rsidTr="00922A4D">
        <w:tc>
          <w:tcPr>
            <w:tcW w:w="4965" w:type="dxa"/>
            <w:noWrap/>
          </w:tcPr>
          <w:p w14:paraId="7478A2F6" w14:textId="77777777" w:rsidR="005B699B" w:rsidRPr="00731B6C" w:rsidRDefault="005B699B" w:rsidP="00785BA1">
            <w:pPr>
              <w:pStyle w:val="Tabletext9pt"/>
            </w:pPr>
            <w:r w:rsidRPr="00922A4D">
              <w:t>Central Gippsland Health Service</w:t>
            </w:r>
          </w:p>
        </w:tc>
        <w:tc>
          <w:tcPr>
            <w:tcW w:w="4642" w:type="dxa"/>
          </w:tcPr>
          <w:p w14:paraId="5310BF49" w14:textId="77777777" w:rsidR="005B699B" w:rsidRPr="00922A4D" w:rsidRDefault="005B699B" w:rsidP="00785BA1">
            <w:pPr>
              <w:pStyle w:val="Tabletext9pt"/>
            </w:pPr>
            <w:r w:rsidRPr="00922A4D">
              <w:t>Subregional and local</w:t>
            </w:r>
          </w:p>
        </w:tc>
      </w:tr>
      <w:tr w:rsidR="005B699B" w:rsidRPr="00754F43" w14:paraId="40CC91E6" w14:textId="77777777" w:rsidTr="00922A4D">
        <w:tc>
          <w:tcPr>
            <w:tcW w:w="4965" w:type="dxa"/>
            <w:noWrap/>
          </w:tcPr>
          <w:p w14:paraId="13BE133F" w14:textId="77777777" w:rsidR="005B699B" w:rsidRPr="00731B6C" w:rsidRDefault="005B699B" w:rsidP="00785BA1">
            <w:pPr>
              <w:pStyle w:val="Tabletext9pt"/>
            </w:pPr>
            <w:r w:rsidRPr="00922A4D">
              <w:t>Colac Area Health</w:t>
            </w:r>
          </w:p>
        </w:tc>
        <w:tc>
          <w:tcPr>
            <w:tcW w:w="4642" w:type="dxa"/>
          </w:tcPr>
          <w:p w14:paraId="7DF52655" w14:textId="77777777" w:rsidR="005B699B" w:rsidRPr="00922A4D" w:rsidRDefault="005B699B" w:rsidP="00785BA1">
            <w:pPr>
              <w:pStyle w:val="Tabletext9pt"/>
            </w:pPr>
            <w:r w:rsidRPr="00922A4D">
              <w:t>Subregional and local</w:t>
            </w:r>
          </w:p>
        </w:tc>
      </w:tr>
      <w:tr w:rsidR="005B699B" w:rsidRPr="00754F43" w14:paraId="3143DD77" w14:textId="77777777" w:rsidTr="00922A4D">
        <w:tc>
          <w:tcPr>
            <w:tcW w:w="4965" w:type="dxa"/>
            <w:noWrap/>
          </w:tcPr>
          <w:p w14:paraId="03060A89" w14:textId="77777777" w:rsidR="005B699B" w:rsidRPr="00731B6C" w:rsidRDefault="005B699B" w:rsidP="00785BA1">
            <w:pPr>
              <w:pStyle w:val="Tabletext9pt"/>
            </w:pPr>
            <w:r w:rsidRPr="00922A4D">
              <w:t>East Grampians Health Service</w:t>
            </w:r>
          </w:p>
        </w:tc>
        <w:tc>
          <w:tcPr>
            <w:tcW w:w="4642" w:type="dxa"/>
          </w:tcPr>
          <w:p w14:paraId="19CEE56A" w14:textId="77777777" w:rsidR="005B699B" w:rsidRPr="00922A4D" w:rsidRDefault="005B699B" w:rsidP="00785BA1">
            <w:pPr>
              <w:pStyle w:val="Tabletext9pt"/>
            </w:pPr>
            <w:r w:rsidRPr="00922A4D">
              <w:t>Subregional and local</w:t>
            </w:r>
          </w:p>
        </w:tc>
      </w:tr>
      <w:tr w:rsidR="005B699B" w:rsidRPr="00754F43" w14:paraId="2D87F7C9" w14:textId="77777777" w:rsidTr="00922A4D">
        <w:tc>
          <w:tcPr>
            <w:tcW w:w="4965" w:type="dxa"/>
            <w:noWrap/>
          </w:tcPr>
          <w:p w14:paraId="1393F36D" w14:textId="77777777" w:rsidR="005B699B" w:rsidRPr="00731B6C" w:rsidRDefault="005B699B" w:rsidP="00785BA1">
            <w:pPr>
              <w:pStyle w:val="Tabletext9pt"/>
            </w:pPr>
            <w:r w:rsidRPr="00922A4D">
              <w:t>Echuca Regional Health</w:t>
            </w:r>
          </w:p>
        </w:tc>
        <w:tc>
          <w:tcPr>
            <w:tcW w:w="4642" w:type="dxa"/>
          </w:tcPr>
          <w:p w14:paraId="2DEE643B" w14:textId="77777777" w:rsidR="005B699B" w:rsidRPr="00922A4D" w:rsidRDefault="005B699B" w:rsidP="00785BA1">
            <w:pPr>
              <w:pStyle w:val="Tabletext9pt"/>
            </w:pPr>
            <w:r w:rsidRPr="00922A4D">
              <w:t>Subregional and local</w:t>
            </w:r>
          </w:p>
        </w:tc>
      </w:tr>
      <w:tr w:rsidR="005B699B" w:rsidRPr="00754F43" w14:paraId="4CFDA178" w14:textId="77777777" w:rsidTr="00922A4D">
        <w:tc>
          <w:tcPr>
            <w:tcW w:w="4965" w:type="dxa"/>
            <w:noWrap/>
          </w:tcPr>
          <w:p w14:paraId="5439B761" w14:textId="77777777" w:rsidR="005B699B" w:rsidRPr="00731B6C" w:rsidRDefault="005B699B" w:rsidP="00785BA1">
            <w:pPr>
              <w:pStyle w:val="Tabletext9pt"/>
            </w:pPr>
            <w:r w:rsidRPr="00922A4D">
              <w:t>Gippsland Southern Health Service</w:t>
            </w:r>
          </w:p>
        </w:tc>
        <w:tc>
          <w:tcPr>
            <w:tcW w:w="4642" w:type="dxa"/>
          </w:tcPr>
          <w:p w14:paraId="453CEA84" w14:textId="77777777" w:rsidR="005B699B" w:rsidRPr="00922A4D" w:rsidRDefault="005B699B" w:rsidP="00785BA1">
            <w:pPr>
              <w:pStyle w:val="Tabletext9pt"/>
            </w:pPr>
            <w:r w:rsidRPr="00922A4D">
              <w:t>Subregional and local</w:t>
            </w:r>
          </w:p>
        </w:tc>
      </w:tr>
      <w:tr w:rsidR="005B699B" w:rsidRPr="00754F43" w14:paraId="1D2B5048" w14:textId="77777777" w:rsidTr="00922A4D">
        <w:tc>
          <w:tcPr>
            <w:tcW w:w="4965" w:type="dxa"/>
            <w:noWrap/>
          </w:tcPr>
          <w:p w14:paraId="3928586E" w14:textId="77777777" w:rsidR="005B699B" w:rsidRPr="00731B6C" w:rsidRDefault="005B699B" w:rsidP="00785BA1">
            <w:pPr>
              <w:pStyle w:val="Tabletext9pt"/>
            </w:pPr>
            <w:r w:rsidRPr="00922A4D">
              <w:t>Kyabram and District Health Service</w:t>
            </w:r>
          </w:p>
        </w:tc>
        <w:tc>
          <w:tcPr>
            <w:tcW w:w="4642" w:type="dxa"/>
          </w:tcPr>
          <w:p w14:paraId="5BD533A6" w14:textId="77777777" w:rsidR="005B699B" w:rsidRPr="00922A4D" w:rsidRDefault="005B699B" w:rsidP="00785BA1">
            <w:pPr>
              <w:pStyle w:val="Tabletext9pt"/>
            </w:pPr>
            <w:r w:rsidRPr="00922A4D">
              <w:t>Subregional and local</w:t>
            </w:r>
          </w:p>
        </w:tc>
      </w:tr>
      <w:tr w:rsidR="005B699B" w:rsidRPr="00754F43" w14:paraId="3AA0B248" w14:textId="77777777" w:rsidTr="00922A4D">
        <w:tc>
          <w:tcPr>
            <w:tcW w:w="4965" w:type="dxa"/>
            <w:noWrap/>
          </w:tcPr>
          <w:p w14:paraId="21B39FFE" w14:textId="77777777" w:rsidR="005B699B" w:rsidRPr="00731B6C" w:rsidRDefault="005B699B" w:rsidP="00785BA1">
            <w:pPr>
              <w:pStyle w:val="Tabletext9pt"/>
            </w:pPr>
            <w:r w:rsidRPr="00922A4D">
              <w:t>Maryborough District Health Service</w:t>
            </w:r>
          </w:p>
        </w:tc>
        <w:tc>
          <w:tcPr>
            <w:tcW w:w="4642" w:type="dxa"/>
          </w:tcPr>
          <w:p w14:paraId="030D91D8" w14:textId="77777777" w:rsidR="005B699B" w:rsidRPr="00922A4D" w:rsidRDefault="005B699B" w:rsidP="00785BA1">
            <w:pPr>
              <w:pStyle w:val="Tabletext9pt"/>
            </w:pPr>
            <w:r w:rsidRPr="00922A4D">
              <w:t>Subregional and local</w:t>
            </w:r>
          </w:p>
        </w:tc>
      </w:tr>
      <w:tr w:rsidR="005B699B" w:rsidRPr="00754F43" w14:paraId="20058C5C" w14:textId="77777777" w:rsidTr="00922A4D">
        <w:tc>
          <w:tcPr>
            <w:tcW w:w="4965" w:type="dxa"/>
            <w:noWrap/>
          </w:tcPr>
          <w:p w14:paraId="41E45172" w14:textId="77777777" w:rsidR="005B699B" w:rsidRPr="00731B6C" w:rsidRDefault="005B699B" w:rsidP="00785BA1">
            <w:pPr>
              <w:pStyle w:val="Tabletext9pt"/>
            </w:pPr>
            <w:r w:rsidRPr="00922A4D">
              <w:t>Mildura Base Hospital</w:t>
            </w:r>
          </w:p>
        </w:tc>
        <w:tc>
          <w:tcPr>
            <w:tcW w:w="4642" w:type="dxa"/>
          </w:tcPr>
          <w:p w14:paraId="6F15525C" w14:textId="77777777" w:rsidR="005B699B" w:rsidRPr="00922A4D" w:rsidRDefault="005B699B" w:rsidP="00785BA1">
            <w:pPr>
              <w:pStyle w:val="Tabletext9pt"/>
            </w:pPr>
            <w:r w:rsidRPr="00922A4D">
              <w:t>Subregional and local</w:t>
            </w:r>
          </w:p>
        </w:tc>
      </w:tr>
      <w:tr w:rsidR="005B699B" w:rsidRPr="00754F43" w14:paraId="3E93BA0F" w14:textId="77777777" w:rsidTr="00922A4D">
        <w:tc>
          <w:tcPr>
            <w:tcW w:w="4965" w:type="dxa"/>
            <w:noWrap/>
          </w:tcPr>
          <w:p w14:paraId="0FE65F58" w14:textId="77777777" w:rsidR="005B699B" w:rsidRPr="00731B6C" w:rsidRDefault="005B699B" w:rsidP="00785BA1">
            <w:pPr>
              <w:pStyle w:val="Tabletext9pt"/>
            </w:pPr>
            <w:r w:rsidRPr="00922A4D">
              <w:t>Northeast Health Wangaratta</w:t>
            </w:r>
          </w:p>
        </w:tc>
        <w:tc>
          <w:tcPr>
            <w:tcW w:w="4642" w:type="dxa"/>
          </w:tcPr>
          <w:p w14:paraId="13E4761C" w14:textId="77777777" w:rsidR="005B699B" w:rsidRPr="00922A4D" w:rsidRDefault="005B699B" w:rsidP="00785BA1">
            <w:pPr>
              <w:pStyle w:val="Tabletext9pt"/>
            </w:pPr>
            <w:r w:rsidRPr="00922A4D">
              <w:t>Subregional and local</w:t>
            </w:r>
          </w:p>
        </w:tc>
      </w:tr>
      <w:tr w:rsidR="005B699B" w:rsidRPr="00754F43" w14:paraId="6393A3E3" w14:textId="77777777" w:rsidTr="00922A4D">
        <w:tc>
          <w:tcPr>
            <w:tcW w:w="4965" w:type="dxa"/>
            <w:noWrap/>
          </w:tcPr>
          <w:p w14:paraId="44559988" w14:textId="77777777" w:rsidR="005B699B" w:rsidRPr="00754F43" w:rsidRDefault="005B699B" w:rsidP="00785BA1">
            <w:pPr>
              <w:pStyle w:val="Tabletext9pt"/>
              <w:rPr>
                <w:rFonts w:cs="Arial"/>
                <w:szCs w:val="18"/>
              </w:rPr>
            </w:pPr>
            <w:r w:rsidRPr="00754F43">
              <w:rPr>
                <w:rFonts w:cs="Arial"/>
                <w:color w:val="000000"/>
                <w:szCs w:val="18"/>
                <w:lang w:eastAsia="zh-CN"/>
              </w:rPr>
              <w:t>Portland District Health</w:t>
            </w:r>
          </w:p>
        </w:tc>
        <w:tc>
          <w:tcPr>
            <w:tcW w:w="4642" w:type="dxa"/>
          </w:tcPr>
          <w:p w14:paraId="22EFC635" w14:textId="77777777" w:rsidR="005B699B" w:rsidRPr="00754F43" w:rsidRDefault="005B699B" w:rsidP="00785BA1">
            <w:pPr>
              <w:pStyle w:val="Tabletext9pt"/>
              <w:rPr>
                <w:rFonts w:cs="Arial"/>
                <w:szCs w:val="18"/>
                <w:lang w:eastAsia="en-AU"/>
              </w:rPr>
            </w:pPr>
            <w:r w:rsidRPr="00754F43">
              <w:rPr>
                <w:rFonts w:cs="Arial"/>
                <w:color w:val="000000" w:themeColor="text1"/>
                <w:szCs w:val="18"/>
                <w:lang w:eastAsia="zh-CN"/>
              </w:rPr>
              <w:t>Subregional and local</w:t>
            </w:r>
          </w:p>
        </w:tc>
      </w:tr>
      <w:tr w:rsidR="005B699B" w:rsidRPr="00754F43" w14:paraId="3A15EFB0" w14:textId="77777777" w:rsidTr="00922A4D">
        <w:tc>
          <w:tcPr>
            <w:tcW w:w="4965" w:type="dxa"/>
            <w:noWrap/>
          </w:tcPr>
          <w:p w14:paraId="320323FE" w14:textId="77777777" w:rsidR="005B699B" w:rsidRPr="00754F43" w:rsidRDefault="005B699B" w:rsidP="00785BA1">
            <w:pPr>
              <w:pStyle w:val="Tabletext9pt"/>
              <w:rPr>
                <w:rFonts w:cs="Arial"/>
                <w:szCs w:val="18"/>
              </w:rPr>
            </w:pPr>
            <w:r w:rsidRPr="00754F43">
              <w:rPr>
                <w:rFonts w:cs="Arial"/>
                <w:color w:val="000000" w:themeColor="text1"/>
                <w:szCs w:val="18"/>
                <w:lang w:eastAsia="zh-CN"/>
              </w:rPr>
              <w:t>South West Healthcare</w:t>
            </w:r>
          </w:p>
        </w:tc>
        <w:tc>
          <w:tcPr>
            <w:tcW w:w="4642" w:type="dxa"/>
          </w:tcPr>
          <w:p w14:paraId="3D8889A9" w14:textId="77777777" w:rsidR="005B699B" w:rsidRPr="00754F43" w:rsidRDefault="005B699B" w:rsidP="00785BA1">
            <w:pPr>
              <w:pStyle w:val="Tabletext9pt"/>
              <w:rPr>
                <w:rFonts w:cs="Arial"/>
                <w:szCs w:val="18"/>
                <w:lang w:eastAsia="en-AU"/>
              </w:rPr>
            </w:pPr>
            <w:r w:rsidRPr="00754F43">
              <w:rPr>
                <w:rFonts w:cs="Arial"/>
                <w:color w:val="000000" w:themeColor="text1"/>
                <w:szCs w:val="18"/>
                <w:lang w:eastAsia="zh-CN"/>
              </w:rPr>
              <w:t>Subregional and local</w:t>
            </w:r>
          </w:p>
        </w:tc>
      </w:tr>
      <w:tr w:rsidR="005B699B" w:rsidRPr="00754F43" w14:paraId="252B2FF4" w14:textId="77777777" w:rsidTr="00922A4D">
        <w:tc>
          <w:tcPr>
            <w:tcW w:w="4965" w:type="dxa"/>
            <w:noWrap/>
          </w:tcPr>
          <w:p w14:paraId="7698FDDD" w14:textId="77777777" w:rsidR="005B699B" w:rsidRPr="00754F43" w:rsidRDefault="005B699B" w:rsidP="00785BA1">
            <w:pPr>
              <w:pStyle w:val="Tabletext9pt"/>
              <w:rPr>
                <w:rFonts w:cs="Arial"/>
                <w:szCs w:val="18"/>
              </w:rPr>
            </w:pPr>
            <w:r w:rsidRPr="00754F43">
              <w:rPr>
                <w:rFonts w:cs="Arial"/>
                <w:color w:val="000000"/>
                <w:szCs w:val="18"/>
                <w:lang w:eastAsia="zh-CN"/>
              </w:rPr>
              <w:t>Swan Hill District Health</w:t>
            </w:r>
          </w:p>
        </w:tc>
        <w:tc>
          <w:tcPr>
            <w:tcW w:w="4642" w:type="dxa"/>
          </w:tcPr>
          <w:p w14:paraId="664FF9B3" w14:textId="77777777" w:rsidR="005B699B" w:rsidRPr="00754F43" w:rsidRDefault="005B699B" w:rsidP="00785BA1">
            <w:pPr>
              <w:pStyle w:val="Tabletext9pt"/>
              <w:rPr>
                <w:rFonts w:cs="Arial"/>
                <w:szCs w:val="18"/>
                <w:lang w:eastAsia="en-AU"/>
              </w:rPr>
            </w:pPr>
            <w:r w:rsidRPr="00754F43">
              <w:rPr>
                <w:rFonts w:cs="Arial"/>
                <w:color w:val="000000" w:themeColor="text1"/>
                <w:szCs w:val="18"/>
                <w:lang w:eastAsia="zh-CN"/>
              </w:rPr>
              <w:t>Subregional and local</w:t>
            </w:r>
          </w:p>
        </w:tc>
      </w:tr>
      <w:tr w:rsidR="005B699B" w:rsidRPr="00754F43" w14:paraId="007F3B0F" w14:textId="77777777" w:rsidTr="00922A4D">
        <w:tc>
          <w:tcPr>
            <w:tcW w:w="4965" w:type="dxa"/>
            <w:noWrap/>
          </w:tcPr>
          <w:p w14:paraId="04DB7B03" w14:textId="77777777" w:rsidR="005B699B" w:rsidRPr="00754F43" w:rsidRDefault="005B699B" w:rsidP="00785BA1">
            <w:pPr>
              <w:pStyle w:val="Tabletext9pt"/>
              <w:rPr>
                <w:rFonts w:cs="Arial"/>
                <w:szCs w:val="18"/>
              </w:rPr>
            </w:pPr>
            <w:r w:rsidRPr="00754F43">
              <w:rPr>
                <w:rFonts w:cs="Arial"/>
                <w:color w:val="000000"/>
                <w:szCs w:val="18"/>
                <w:lang w:eastAsia="zh-CN"/>
              </w:rPr>
              <w:t>West Gippsland Healthcare Group</w:t>
            </w:r>
          </w:p>
        </w:tc>
        <w:tc>
          <w:tcPr>
            <w:tcW w:w="4642" w:type="dxa"/>
          </w:tcPr>
          <w:p w14:paraId="730ACD9F" w14:textId="77777777" w:rsidR="005B699B" w:rsidRPr="00754F43" w:rsidRDefault="005B699B" w:rsidP="00785BA1">
            <w:pPr>
              <w:pStyle w:val="Tabletext9pt"/>
              <w:rPr>
                <w:rFonts w:cs="Arial"/>
                <w:szCs w:val="18"/>
                <w:lang w:eastAsia="en-AU"/>
              </w:rPr>
            </w:pPr>
            <w:r w:rsidRPr="00754F43">
              <w:rPr>
                <w:rFonts w:cs="Arial"/>
                <w:color w:val="000000" w:themeColor="text1"/>
                <w:szCs w:val="18"/>
                <w:lang w:eastAsia="zh-CN"/>
              </w:rPr>
              <w:t>Subregional and local</w:t>
            </w:r>
          </w:p>
        </w:tc>
      </w:tr>
      <w:tr w:rsidR="005B699B" w:rsidRPr="00754F43" w14:paraId="3C20DF77" w14:textId="77777777" w:rsidTr="00922A4D">
        <w:tc>
          <w:tcPr>
            <w:tcW w:w="4965" w:type="dxa"/>
            <w:noWrap/>
          </w:tcPr>
          <w:p w14:paraId="2C097050" w14:textId="77777777" w:rsidR="005B699B" w:rsidRPr="00754F43" w:rsidRDefault="005B699B" w:rsidP="00785BA1">
            <w:pPr>
              <w:pStyle w:val="Tabletext9pt"/>
              <w:rPr>
                <w:rFonts w:cs="Arial"/>
                <w:szCs w:val="18"/>
              </w:rPr>
            </w:pPr>
            <w:r w:rsidRPr="00754F43">
              <w:rPr>
                <w:rFonts w:cs="Arial"/>
                <w:color w:val="000000" w:themeColor="text1"/>
                <w:szCs w:val="18"/>
                <w:lang w:eastAsia="zh-CN"/>
              </w:rPr>
              <w:t>Western District Health Service</w:t>
            </w:r>
          </w:p>
        </w:tc>
        <w:tc>
          <w:tcPr>
            <w:tcW w:w="4642" w:type="dxa"/>
          </w:tcPr>
          <w:p w14:paraId="012679F2" w14:textId="77777777" w:rsidR="005B699B" w:rsidRPr="00754F43" w:rsidRDefault="005B699B" w:rsidP="00785BA1">
            <w:pPr>
              <w:pStyle w:val="Tabletext9pt"/>
              <w:rPr>
                <w:rFonts w:cs="Arial"/>
                <w:szCs w:val="18"/>
                <w:lang w:eastAsia="en-AU"/>
              </w:rPr>
            </w:pPr>
            <w:r w:rsidRPr="00754F43">
              <w:rPr>
                <w:rFonts w:cs="Arial"/>
                <w:color w:val="000000" w:themeColor="text1"/>
                <w:szCs w:val="18"/>
                <w:lang w:eastAsia="zh-CN"/>
              </w:rPr>
              <w:t>Subregional and local</w:t>
            </w:r>
          </w:p>
        </w:tc>
      </w:tr>
    </w:tbl>
    <w:p w14:paraId="3EEA59A2" w14:textId="77777777" w:rsidR="00F9087B" w:rsidRPr="00922A4D" w:rsidRDefault="00F9087B" w:rsidP="00922A4D">
      <w:pPr>
        <w:pStyle w:val="Body"/>
      </w:pPr>
      <w:bookmarkStart w:id="2338" w:name="_Toc487742014"/>
      <w:bookmarkStart w:id="2339" w:name="_Toc14172244"/>
      <w:r>
        <w:br w:type="page"/>
      </w:r>
    </w:p>
    <w:p w14:paraId="5E5DACC0" w14:textId="62C959CC" w:rsidR="005B699B" w:rsidRDefault="005B699B" w:rsidP="001E4292">
      <w:pPr>
        <w:pStyle w:val="Heading1"/>
        <w:numPr>
          <w:ilvl w:val="0"/>
          <w:numId w:val="13"/>
        </w:numPr>
      </w:pPr>
      <w:bookmarkStart w:id="2340" w:name="_Toc167651304"/>
      <w:bookmarkStart w:id="2341" w:name="_Toc418694994"/>
      <w:bookmarkStart w:id="2342" w:name="_Ref419741488"/>
      <w:bookmarkStart w:id="2343" w:name="_Ref419741499"/>
      <w:bookmarkStart w:id="2344" w:name="_Toc487742021"/>
      <w:bookmarkStart w:id="2345" w:name="_Toc14172251"/>
      <w:bookmarkStart w:id="2346" w:name="_Toc100263354"/>
      <w:bookmarkStart w:id="2347" w:name="_Toc165961858"/>
      <w:bookmarkStart w:id="2348" w:name="_Toc178963644"/>
      <w:bookmarkEnd w:id="2318"/>
      <w:bookmarkEnd w:id="2319"/>
      <w:bookmarkEnd w:id="2320"/>
      <w:bookmarkEnd w:id="2338"/>
      <w:bookmarkEnd w:id="2339"/>
      <w:bookmarkEnd w:id="2340"/>
      <w:r>
        <w:lastRenderedPageBreak/>
        <w:t xml:space="preserve">Output and </w:t>
      </w:r>
      <w:r w:rsidRPr="00731B6C">
        <w:t>activity</w:t>
      </w:r>
      <w:r>
        <w:t xml:space="preserve"> </w:t>
      </w:r>
      <w:bookmarkEnd w:id="2341"/>
      <w:bookmarkEnd w:id="2342"/>
      <w:bookmarkEnd w:id="2343"/>
      <w:bookmarkEnd w:id="2344"/>
      <w:bookmarkEnd w:id="2345"/>
      <w:bookmarkEnd w:id="2346"/>
      <w:r>
        <w:t>tables</w:t>
      </w:r>
      <w:bookmarkEnd w:id="2347"/>
      <w:bookmarkEnd w:id="2348"/>
    </w:p>
    <w:p w14:paraId="4AB92AB9" w14:textId="3BC2C38A" w:rsidR="005B699B" w:rsidRDefault="005B699B" w:rsidP="005B699B">
      <w:pPr>
        <w:pStyle w:val="Body"/>
      </w:pPr>
      <w:bookmarkStart w:id="2349" w:name="_Toc419623623"/>
      <w:bookmarkStart w:id="2350" w:name="_Toc419623735"/>
      <w:bookmarkStart w:id="2351" w:name="_Toc419644523"/>
      <w:bookmarkStart w:id="2352" w:name="_Toc487742087"/>
      <w:r w:rsidRPr="00803C4D">
        <w:t xml:space="preserve">A range of inpatient, residential and community-based clinical services </w:t>
      </w:r>
      <w:r>
        <w:t xml:space="preserve">are </w:t>
      </w:r>
      <w:r w:rsidRPr="00803C4D">
        <w:t xml:space="preserve">provided to people with a mental illness and their families so that those </w:t>
      </w:r>
      <w:r>
        <w:t xml:space="preserve">who </w:t>
      </w:r>
      <w:r w:rsidRPr="00803C4D">
        <w:t>experience mental health problems can access timely, high-quality care and support to recover and live successfully in the community</w:t>
      </w:r>
      <w:r>
        <w:t xml:space="preserve"> </w:t>
      </w:r>
      <w:r w:rsidRPr="009D59BC">
        <w:t xml:space="preserve">(see </w:t>
      </w:r>
      <w:r w:rsidR="00F30C16" w:rsidRPr="00A75A76">
        <w:fldChar w:fldCharType="begin"/>
      </w:r>
      <w:r w:rsidR="00F30C16" w:rsidRPr="00A75A76">
        <w:instrText xml:space="preserve"> REF _Ref170115786 </w:instrText>
      </w:r>
      <w:r w:rsidR="00044BC8" w:rsidRPr="0013154B">
        <w:instrText xml:space="preserve"> \* MERGEFORMAT </w:instrText>
      </w:r>
      <w:r w:rsidR="00F30C16" w:rsidRPr="00A75A76">
        <w:fldChar w:fldCharType="separate"/>
      </w:r>
      <w:r w:rsidR="00F30C16" w:rsidRPr="0013154B">
        <w:t>Table 1.23: Mental health – outputs and activities: clinical care 2024–25</w:t>
      </w:r>
      <w:r w:rsidR="00F30C16" w:rsidRPr="00A75A76">
        <w:fldChar w:fldCharType="end"/>
      </w:r>
      <w:r w:rsidRPr="009D59BC">
        <w:t>).</w:t>
      </w:r>
      <w:r>
        <w:t xml:space="preserve"> </w:t>
      </w:r>
    </w:p>
    <w:p w14:paraId="465F7DB1" w14:textId="29E1F70D" w:rsidR="00A97999" w:rsidRPr="00A97999" w:rsidRDefault="00A97999" w:rsidP="00A97999">
      <w:pPr>
        <w:pStyle w:val="Body"/>
        <w:rPr>
          <w:b/>
          <w:bCs/>
        </w:rPr>
      </w:pPr>
      <w:bookmarkStart w:id="2353" w:name="_Ref170115786"/>
      <w:r w:rsidRPr="00A97999">
        <w:rPr>
          <w:b/>
          <w:bCs/>
        </w:rPr>
        <w:t>Table 1.</w:t>
      </w:r>
      <w:r w:rsidRPr="00A97999">
        <w:rPr>
          <w:b/>
          <w:bCs/>
        </w:rPr>
        <w:fldChar w:fldCharType="begin"/>
      </w:r>
      <w:r w:rsidRPr="00A97999">
        <w:rPr>
          <w:b/>
          <w:bCs/>
        </w:rPr>
        <w:instrText xml:space="preserve"> SEQ Table \* ARABIC </w:instrText>
      </w:r>
      <w:r w:rsidRPr="00A97999">
        <w:rPr>
          <w:b/>
          <w:bCs/>
        </w:rPr>
        <w:fldChar w:fldCharType="separate"/>
      </w:r>
      <w:r w:rsidR="00F30C16">
        <w:rPr>
          <w:b/>
          <w:bCs/>
          <w:noProof/>
        </w:rPr>
        <w:t>23</w:t>
      </w:r>
      <w:r w:rsidRPr="00A97999">
        <w:rPr>
          <w:b/>
          <w:bCs/>
        </w:rPr>
        <w:fldChar w:fldCharType="end"/>
      </w:r>
      <w:r w:rsidRPr="00A97999">
        <w:rPr>
          <w:b/>
          <w:bCs/>
        </w:rPr>
        <w:t>: Mental health – outputs and activities: clinical care 2024–25</w:t>
      </w:r>
      <w:bookmarkEnd w:id="2353"/>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67"/>
        <w:gridCol w:w="2802"/>
        <w:gridCol w:w="5230"/>
      </w:tblGrid>
      <w:tr w:rsidR="005B699B" w:rsidRPr="0090298C" w14:paraId="33502EE6" w14:textId="77777777" w:rsidTr="00A97999">
        <w:trPr>
          <w:cantSplit/>
          <w:tblHeader/>
        </w:trPr>
        <w:tc>
          <w:tcPr>
            <w:tcW w:w="1267" w:type="dxa"/>
            <w:shd w:val="clear" w:color="auto" w:fill="auto"/>
          </w:tcPr>
          <w:p w14:paraId="36C23F59" w14:textId="77777777" w:rsidR="005B699B" w:rsidRPr="00F717FB" w:rsidRDefault="005B699B" w:rsidP="00785BA1">
            <w:pPr>
              <w:pStyle w:val="Tablecolhead"/>
              <w:rPr>
                <w:rFonts w:eastAsia="Arial"/>
                <w:szCs w:val="21"/>
              </w:rPr>
            </w:pPr>
            <w:r w:rsidRPr="00F717FB">
              <w:rPr>
                <w:rFonts w:eastAsia="Arial"/>
                <w:szCs w:val="21"/>
              </w:rPr>
              <w:t>Activity no.</w:t>
            </w:r>
          </w:p>
        </w:tc>
        <w:tc>
          <w:tcPr>
            <w:tcW w:w="2802" w:type="dxa"/>
            <w:shd w:val="clear" w:color="auto" w:fill="auto"/>
          </w:tcPr>
          <w:p w14:paraId="55050682"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5230" w:type="dxa"/>
            <w:shd w:val="clear" w:color="auto" w:fill="auto"/>
          </w:tcPr>
          <w:p w14:paraId="3CD78683"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rsidRPr="004E0550" w14:paraId="5E0ECD70" w14:textId="77777777" w:rsidTr="00A751A1">
        <w:trPr>
          <w:cantSplit/>
        </w:trPr>
        <w:tc>
          <w:tcPr>
            <w:tcW w:w="1267" w:type="dxa"/>
          </w:tcPr>
          <w:p w14:paraId="26240932" w14:textId="77777777" w:rsidR="005B699B" w:rsidRPr="00674F20" w:rsidRDefault="005B699B" w:rsidP="00785BA1">
            <w:pPr>
              <w:pStyle w:val="Tabletext9pt"/>
              <w:rPr>
                <w:szCs w:val="18"/>
              </w:rPr>
            </w:pPr>
            <w:r w:rsidRPr="00674F20">
              <w:rPr>
                <w:szCs w:val="18"/>
              </w:rPr>
              <w:t>15005</w:t>
            </w:r>
          </w:p>
        </w:tc>
        <w:tc>
          <w:tcPr>
            <w:tcW w:w="2802" w:type="dxa"/>
          </w:tcPr>
          <w:p w14:paraId="4F817C42" w14:textId="77777777" w:rsidR="005B699B" w:rsidRPr="00674F20" w:rsidRDefault="005B699B" w:rsidP="00785BA1">
            <w:pPr>
              <w:pStyle w:val="Tabletext9pt"/>
              <w:rPr>
                <w:szCs w:val="18"/>
              </w:rPr>
            </w:pPr>
            <w:r w:rsidRPr="00674F20">
              <w:rPr>
                <w:szCs w:val="18"/>
              </w:rPr>
              <w:t>Crisis assessment and treatment</w:t>
            </w:r>
          </w:p>
        </w:tc>
        <w:tc>
          <w:tcPr>
            <w:tcW w:w="5230" w:type="dxa"/>
          </w:tcPr>
          <w:p w14:paraId="3588D98D" w14:textId="408188C9" w:rsidR="005B699B" w:rsidRPr="00674F20" w:rsidRDefault="005B699B" w:rsidP="00785BA1">
            <w:pPr>
              <w:pStyle w:val="Tabletext9pt"/>
              <w:rPr>
                <w:szCs w:val="18"/>
              </w:rPr>
            </w:pPr>
            <w:r>
              <w:rPr>
                <w:szCs w:val="18"/>
              </w:rPr>
              <w:t xml:space="preserve">A </w:t>
            </w:r>
            <w:r w:rsidRPr="00674F20">
              <w:rPr>
                <w:szCs w:val="18"/>
              </w:rPr>
              <w:t xml:space="preserve">24-hour, </w:t>
            </w:r>
            <w:r w:rsidR="00F9087B">
              <w:rPr>
                <w:szCs w:val="18"/>
              </w:rPr>
              <w:t>7</w:t>
            </w:r>
            <w:r>
              <w:rPr>
                <w:szCs w:val="18"/>
              </w:rPr>
              <w:t>-</w:t>
            </w:r>
            <w:r w:rsidRPr="00674F20">
              <w:rPr>
                <w:szCs w:val="18"/>
              </w:rPr>
              <w:t>day</w:t>
            </w:r>
            <w:r w:rsidRPr="00674F20" w:rsidDel="00F9087B">
              <w:rPr>
                <w:szCs w:val="18"/>
              </w:rPr>
              <w:t xml:space="preserve"> </w:t>
            </w:r>
            <w:r w:rsidRPr="00674F20">
              <w:rPr>
                <w:szCs w:val="18"/>
              </w:rPr>
              <w:t xml:space="preserve">mobile crisis service </w:t>
            </w:r>
            <w:r>
              <w:rPr>
                <w:szCs w:val="18"/>
              </w:rPr>
              <w:t>that</w:t>
            </w:r>
            <w:r w:rsidRPr="00674F20">
              <w:rPr>
                <w:szCs w:val="18"/>
              </w:rPr>
              <w:t xml:space="preserve"> provide</w:t>
            </w:r>
            <w:r>
              <w:rPr>
                <w:szCs w:val="18"/>
              </w:rPr>
              <w:t>s</w:t>
            </w:r>
            <w:r w:rsidRPr="00674F20">
              <w:rPr>
                <w:szCs w:val="18"/>
              </w:rPr>
              <w:t xml:space="preserve"> effective assessment and treatment</w:t>
            </w:r>
            <w:r w:rsidR="00F9087B">
              <w:rPr>
                <w:szCs w:val="18"/>
              </w:rPr>
              <w:t xml:space="preserve"> in the community</w:t>
            </w:r>
            <w:r w:rsidRPr="00674F20">
              <w:rPr>
                <w:szCs w:val="18"/>
              </w:rPr>
              <w:t xml:space="preserve"> to</w:t>
            </w:r>
            <w:r w:rsidRPr="00674F20" w:rsidDel="00F9087B">
              <w:rPr>
                <w:szCs w:val="18"/>
              </w:rPr>
              <w:t xml:space="preserve"> </w:t>
            </w:r>
            <w:r w:rsidR="00F9087B">
              <w:rPr>
                <w:szCs w:val="18"/>
              </w:rPr>
              <w:t>people</w:t>
            </w:r>
            <w:r w:rsidR="00F9087B" w:rsidRPr="00674F20">
              <w:rPr>
                <w:szCs w:val="18"/>
              </w:rPr>
              <w:t xml:space="preserve"> </w:t>
            </w:r>
            <w:r w:rsidRPr="00674F20">
              <w:rPr>
                <w:szCs w:val="18"/>
              </w:rPr>
              <w:t>in crisis due to a mental illness. This includes assessing the most effective and least restrictive client service options and screening inpatient bed admissions.</w:t>
            </w:r>
          </w:p>
        </w:tc>
      </w:tr>
      <w:tr w:rsidR="005B699B" w:rsidRPr="004E0550" w14:paraId="022529D9" w14:textId="77777777" w:rsidTr="00A751A1">
        <w:trPr>
          <w:cantSplit/>
        </w:trPr>
        <w:tc>
          <w:tcPr>
            <w:tcW w:w="1267" w:type="dxa"/>
          </w:tcPr>
          <w:p w14:paraId="78EC2C02" w14:textId="77777777" w:rsidR="005B699B" w:rsidRPr="00674F20" w:rsidRDefault="005B699B" w:rsidP="00785BA1">
            <w:pPr>
              <w:pStyle w:val="Tabletext9pt"/>
              <w:rPr>
                <w:szCs w:val="18"/>
              </w:rPr>
            </w:pPr>
            <w:r w:rsidRPr="00674F20">
              <w:rPr>
                <w:szCs w:val="18"/>
              </w:rPr>
              <w:t>15006</w:t>
            </w:r>
          </w:p>
        </w:tc>
        <w:tc>
          <w:tcPr>
            <w:tcW w:w="2802" w:type="dxa"/>
          </w:tcPr>
          <w:p w14:paraId="17613F44" w14:textId="77777777" w:rsidR="005B699B" w:rsidRPr="00674F20" w:rsidRDefault="005B699B" w:rsidP="00785BA1">
            <w:pPr>
              <w:pStyle w:val="Tabletext9pt"/>
              <w:rPr>
                <w:szCs w:val="18"/>
              </w:rPr>
            </w:pPr>
            <w:r w:rsidRPr="00674F20">
              <w:rPr>
                <w:szCs w:val="18"/>
              </w:rPr>
              <w:t>Community care units</w:t>
            </w:r>
          </w:p>
        </w:tc>
        <w:tc>
          <w:tcPr>
            <w:tcW w:w="5230" w:type="dxa"/>
          </w:tcPr>
          <w:p w14:paraId="08C4D4D2" w14:textId="34BE478C" w:rsidR="005B699B" w:rsidRPr="00674F20" w:rsidRDefault="005B699B" w:rsidP="00785BA1">
            <w:pPr>
              <w:pStyle w:val="Tabletext9pt"/>
              <w:rPr>
                <w:szCs w:val="18"/>
              </w:rPr>
            </w:pPr>
            <w:r w:rsidRPr="00674F20">
              <w:rPr>
                <w:szCs w:val="18"/>
              </w:rPr>
              <w:t xml:space="preserve">Community care units are purpose-built units of up to 20 beds located in community settings with 24-hour staffing. They are designed for adults who </w:t>
            </w:r>
            <w:r w:rsidR="00F9087B">
              <w:rPr>
                <w:szCs w:val="18"/>
              </w:rPr>
              <w:t>need</w:t>
            </w:r>
            <w:r w:rsidR="00F9087B" w:rsidRPr="00674F20">
              <w:rPr>
                <w:szCs w:val="18"/>
              </w:rPr>
              <w:t xml:space="preserve"> </w:t>
            </w:r>
            <w:r w:rsidRPr="00674F20">
              <w:rPr>
                <w:szCs w:val="18"/>
              </w:rPr>
              <w:t>longer</w:t>
            </w:r>
            <w:r>
              <w:rPr>
                <w:szCs w:val="18"/>
              </w:rPr>
              <w:t>-</w:t>
            </w:r>
            <w:r w:rsidRPr="00674F20">
              <w:rPr>
                <w:szCs w:val="18"/>
              </w:rPr>
              <w:t>term support, on</w:t>
            </w:r>
            <w:r>
              <w:rPr>
                <w:szCs w:val="18"/>
              </w:rPr>
              <w:t>-</w:t>
            </w:r>
            <w:r w:rsidRPr="00674F20">
              <w:rPr>
                <w:szCs w:val="18"/>
              </w:rPr>
              <w:t>site clinical services and individualised rehabilitation.</w:t>
            </w:r>
          </w:p>
        </w:tc>
      </w:tr>
      <w:tr w:rsidR="005B699B" w:rsidRPr="004E0550" w14:paraId="09382BDD" w14:textId="77777777" w:rsidTr="00A751A1">
        <w:trPr>
          <w:cantSplit/>
        </w:trPr>
        <w:tc>
          <w:tcPr>
            <w:tcW w:w="1267" w:type="dxa"/>
          </w:tcPr>
          <w:p w14:paraId="66C32E17" w14:textId="77777777" w:rsidR="005B699B" w:rsidRPr="00674F20" w:rsidRDefault="005B699B" w:rsidP="00785BA1">
            <w:pPr>
              <w:pStyle w:val="Tabletext9pt"/>
              <w:rPr>
                <w:szCs w:val="18"/>
              </w:rPr>
            </w:pPr>
            <w:r w:rsidRPr="00674F20">
              <w:rPr>
                <w:szCs w:val="18"/>
              </w:rPr>
              <w:t>15007</w:t>
            </w:r>
          </w:p>
        </w:tc>
        <w:tc>
          <w:tcPr>
            <w:tcW w:w="2802" w:type="dxa"/>
          </w:tcPr>
          <w:p w14:paraId="68CC1467" w14:textId="77777777" w:rsidR="005B699B" w:rsidRPr="00674F20" w:rsidRDefault="005B699B" w:rsidP="00785BA1">
            <w:pPr>
              <w:pStyle w:val="Tabletext9pt"/>
              <w:rPr>
                <w:szCs w:val="18"/>
              </w:rPr>
            </w:pPr>
            <w:r w:rsidRPr="00674F20">
              <w:rPr>
                <w:szCs w:val="18"/>
              </w:rPr>
              <w:t>Adult continuing care</w:t>
            </w:r>
          </w:p>
        </w:tc>
        <w:tc>
          <w:tcPr>
            <w:tcW w:w="5230" w:type="dxa"/>
          </w:tcPr>
          <w:p w14:paraId="7837A169" w14:textId="77777777" w:rsidR="005B699B" w:rsidRPr="00674F20" w:rsidRDefault="005B699B" w:rsidP="00785BA1">
            <w:pPr>
              <w:pStyle w:val="Tabletext9pt"/>
              <w:rPr>
                <w:szCs w:val="18"/>
              </w:rPr>
            </w:pPr>
            <w:r w:rsidRPr="00674F20">
              <w:rPr>
                <w:szCs w:val="18"/>
              </w:rPr>
              <w:t>A range of community-based services that provide assessment, treatment and additional continuing care and case management for adults with a mental illness.</w:t>
            </w:r>
          </w:p>
        </w:tc>
      </w:tr>
      <w:tr w:rsidR="005B699B" w:rsidRPr="004E0550" w14:paraId="5022D124" w14:textId="77777777" w:rsidTr="00A751A1">
        <w:trPr>
          <w:cantSplit/>
        </w:trPr>
        <w:tc>
          <w:tcPr>
            <w:tcW w:w="1267" w:type="dxa"/>
          </w:tcPr>
          <w:p w14:paraId="4AF7745B" w14:textId="77777777" w:rsidR="005B699B" w:rsidRPr="00674F20" w:rsidRDefault="005B699B" w:rsidP="00785BA1">
            <w:pPr>
              <w:pStyle w:val="Tabletext9pt"/>
              <w:rPr>
                <w:szCs w:val="18"/>
              </w:rPr>
            </w:pPr>
            <w:r w:rsidRPr="00674F20">
              <w:rPr>
                <w:szCs w:val="18"/>
              </w:rPr>
              <w:t>15008</w:t>
            </w:r>
          </w:p>
        </w:tc>
        <w:tc>
          <w:tcPr>
            <w:tcW w:w="2802" w:type="dxa"/>
          </w:tcPr>
          <w:p w14:paraId="1237B44F" w14:textId="77777777" w:rsidR="005B699B" w:rsidRPr="00674F20" w:rsidRDefault="005B699B" w:rsidP="00785BA1">
            <w:pPr>
              <w:pStyle w:val="Tabletext9pt"/>
              <w:rPr>
                <w:szCs w:val="18"/>
              </w:rPr>
            </w:pPr>
            <w:r w:rsidRPr="00674F20">
              <w:rPr>
                <w:szCs w:val="18"/>
              </w:rPr>
              <w:t>Adult integrated community service</w:t>
            </w:r>
          </w:p>
        </w:tc>
        <w:tc>
          <w:tcPr>
            <w:tcW w:w="5230" w:type="dxa"/>
          </w:tcPr>
          <w:p w14:paraId="7E0CE7BA" w14:textId="77777777" w:rsidR="005B699B" w:rsidRPr="00674F20" w:rsidRDefault="005B699B" w:rsidP="00785BA1">
            <w:pPr>
              <w:pStyle w:val="Tabletext9pt"/>
              <w:rPr>
                <w:szCs w:val="18"/>
              </w:rPr>
            </w:pPr>
            <w:r w:rsidRPr="00674F20">
              <w:rPr>
                <w:szCs w:val="18"/>
              </w:rPr>
              <w:t>An integrated range of services that meet the client’s treatment needs, ensuring efficient and effective community-based mental health services</w:t>
            </w:r>
            <w:r>
              <w:rPr>
                <w:szCs w:val="18"/>
              </w:rPr>
              <w:t xml:space="preserve"> are provided</w:t>
            </w:r>
            <w:r w:rsidRPr="00674F20">
              <w:rPr>
                <w:szCs w:val="18"/>
              </w:rPr>
              <w:t>.</w:t>
            </w:r>
          </w:p>
        </w:tc>
      </w:tr>
      <w:tr w:rsidR="005B699B" w:rsidRPr="004E0550" w14:paraId="0B7906B7" w14:textId="77777777" w:rsidTr="00A751A1">
        <w:trPr>
          <w:cantSplit/>
        </w:trPr>
        <w:tc>
          <w:tcPr>
            <w:tcW w:w="1267" w:type="dxa"/>
          </w:tcPr>
          <w:p w14:paraId="62BE349B" w14:textId="77777777" w:rsidR="005B699B" w:rsidRPr="00674F20" w:rsidRDefault="005B699B" w:rsidP="00785BA1">
            <w:pPr>
              <w:pStyle w:val="Tabletext9pt"/>
              <w:rPr>
                <w:szCs w:val="18"/>
              </w:rPr>
            </w:pPr>
            <w:r w:rsidRPr="00674F20">
              <w:rPr>
                <w:szCs w:val="18"/>
              </w:rPr>
              <w:t>15012</w:t>
            </w:r>
          </w:p>
        </w:tc>
        <w:tc>
          <w:tcPr>
            <w:tcW w:w="2802" w:type="dxa"/>
          </w:tcPr>
          <w:p w14:paraId="35F5190B" w14:textId="77777777" w:rsidR="005B699B" w:rsidRPr="00674F20" w:rsidRDefault="005B699B" w:rsidP="00785BA1">
            <w:pPr>
              <w:pStyle w:val="Tabletext9pt"/>
              <w:rPr>
                <w:szCs w:val="18"/>
              </w:rPr>
            </w:pPr>
            <w:r w:rsidRPr="00674F20">
              <w:rPr>
                <w:szCs w:val="18"/>
              </w:rPr>
              <w:t>Acute care – adult</w:t>
            </w:r>
          </w:p>
        </w:tc>
        <w:tc>
          <w:tcPr>
            <w:tcW w:w="5230" w:type="dxa"/>
          </w:tcPr>
          <w:p w14:paraId="16CE82B5" w14:textId="77777777" w:rsidR="005B699B" w:rsidRPr="00674F20" w:rsidRDefault="005B699B" w:rsidP="00785BA1">
            <w:pPr>
              <w:pStyle w:val="Tabletext9pt"/>
              <w:rPr>
                <w:szCs w:val="18"/>
              </w:rPr>
            </w:pPr>
            <w:r w:rsidRPr="00674F20">
              <w:rPr>
                <w:szCs w:val="18"/>
              </w:rPr>
              <w:t>Acute inpatient units provide for the short-term assessment, treatment and management of mentally ill adults aged 15–65</w:t>
            </w:r>
            <w:r>
              <w:rPr>
                <w:szCs w:val="18"/>
              </w:rPr>
              <w:t xml:space="preserve"> years</w:t>
            </w:r>
            <w:r w:rsidRPr="00674F20">
              <w:rPr>
                <w:szCs w:val="18"/>
              </w:rPr>
              <w:t>. The focus is on intervention designed to reduce symptoms and promote recovery from mental illness.</w:t>
            </w:r>
          </w:p>
        </w:tc>
      </w:tr>
      <w:tr w:rsidR="005B699B" w:rsidRPr="004E0550" w14:paraId="3EB1A7C3" w14:textId="77777777" w:rsidTr="00A751A1">
        <w:trPr>
          <w:cantSplit/>
        </w:trPr>
        <w:tc>
          <w:tcPr>
            <w:tcW w:w="1267" w:type="dxa"/>
          </w:tcPr>
          <w:p w14:paraId="3D034D5B" w14:textId="77777777" w:rsidR="005B699B" w:rsidRPr="00674F20" w:rsidRDefault="005B699B" w:rsidP="00785BA1">
            <w:pPr>
              <w:pStyle w:val="Tabletext9pt"/>
              <w:rPr>
                <w:szCs w:val="18"/>
              </w:rPr>
            </w:pPr>
            <w:r w:rsidRPr="00674F20">
              <w:rPr>
                <w:szCs w:val="18"/>
              </w:rPr>
              <w:t>15014</w:t>
            </w:r>
          </w:p>
        </w:tc>
        <w:tc>
          <w:tcPr>
            <w:tcW w:w="2802" w:type="dxa"/>
          </w:tcPr>
          <w:p w14:paraId="42BB82B6" w14:textId="77777777" w:rsidR="005B699B" w:rsidRPr="00674F20" w:rsidRDefault="005B699B" w:rsidP="00785BA1">
            <w:pPr>
              <w:pStyle w:val="Tabletext9pt"/>
              <w:rPr>
                <w:szCs w:val="18"/>
              </w:rPr>
            </w:pPr>
            <w:r w:rsidRPr="00674F20">
              <w:rPr>
                <w:szCs w:val="18"/>
              </w:rPr>
              <w:t>Secure extended care – adult</w:t>
            </w:r>
          </w:p>
        </w:tc>
        <w:tc>
          <w:tcPr>
            <w:tcW w:w="5230" w:type="dxa"/>
          </w:tcPr>
          <w:p w14:paraId="2E92541D" w14:textId="77777777" w:rsidR="005B699B" w:rsidRPr="00674F20" w:rsidRDefault="005B699B" w:rsidP="00785BA1">
            <w:pPr>
              <w:pStyle w:val="Tabletext9pt"/>
              <w:rPr>
                <w:szCs w:val="18"/>
              </w:rPr>
            </w:pPr>
            <w:r w:rsidRPr="00674F20">
              <w:rPr>
                <w:szCs w:val="18"/>
              </w:rPr>
              <w:t xml:space="preserve">Long-term inpatient treatment and support for adults aged 15–65 </w:t>
            </w:r>
            <w:r>
              <w:rPr>
                <w:szCs w:val="18"/>
              </w:rPr>
              <w:t xml:space="preserve">years </w:t>
            </w:r>
            <w:r w:rsidRPr="00674F20">
              <w:rPr>
                <w:szCs w:val="18"/>
              </w:rPr>
              <w:t xml:space="preserve">who have unremitting and severe symptoms, together with an associated significant disturbance in behaviour that inhibits the </w:t>
            </w:r>
            <w:r>
              <w:rPr>
                <w:szCs w:val="18"/>
              </w:rPr>
              <w:t>person</w:t>
            </w:r>
            <w:r w:rsidRPr="00674F20">
              <w:rPr>
                <w:szCs w:val="18"/>
              </w:rPr>
              <w:t>’s capacity to live in the community.</w:t>
            </w:r>
          </w:p>
        </w:tc>
      </w:tr>
      <w:tr w:rsidR="005B699B" w:rsidRPr="004E0550" w14:paraId="3F46C61E" w14:textId="77777777" w:rsidTr="00A751A1">
        <w:trPr>
          <w:cantSplit/>
        </w:trPr>
        <w:tc>
          <w:tcPr>
            <w:tcW w:w="1267" w:type="dxa"/>
          </w:tcPr>
          <w:p w14:paraId="407DCBC4" w14:textId="77777777" w:rsidR="005B699B" w:rsidRPr="00674F20" w:rsidRDefault="005B699B" w:rsidP="00785BA1">
            <w:pPr>
              <w:pStyle w:val="Tabletext9pt"/>
              <w:rPr>
                <w:szCs w:val="18"/>
              </w:rPr>
            </w:pPr>
            <w:r w:rsidRPr="00674F20">
              <w:rPr>
                <w:szCs w:val="18"/>
              </w:rPr>
              <w:t>15019</w:t>
            </w:r>
          </w:p>
        </w:tc>
        <w:tc>
          <w:tcPr>
            <w:tcW w:w="2802" w:type="dxa"/>
          </w:tcPr>
          <w:p w14:paraId="34FEF592" w14:textId="77777777" w:rsidR="005B699B" w:rsidRPr="00674F20" w:rsidRDefault="005B699B" w:rsidP="00785BA1">
            <w:pPr>
              <w:pStyle w:val="Tabletext9pt"/>
              <w:rPr>
                <w:szCs w:val="18"/>
              </w:rPr>
            </w:pPr>
            <w:r w:rsidRPr="00674F20">
              <w:rPr>
                <w:szCs w:val="18"/>
              </w:rPr>
              <w:t>Aged persons mental health community teams</w:t>
            </w:r>
          </w:p>
        </w:tc>
        <w:tc>
          <w:tcPr>
            <w:tcW w:w="5230" w:type="dxa"/>
          </w:tcPr>
          <w:p w14:paraId="341FB3F0" w14:textId="77777777" w:rsidR="005B699B" w:rsidRPr="00674F20" w:rsidRDefault="005B699B" w:rsidP="00785BA1">
            <w:pPr>
              <w:pStyle w:val="Tabletext9pt"/>
              <w:rPr>
                <w:szCs w:val="18"/>
              </w:rPr>
            </w:pPr>
            <w:r w:rsidRPr="00674F20">
              <w:rPr>
                <w:szCs w:val="18"/>
              </w:rPr>
              <w:t xml:space="preserve">Mobile services </w:t>
            </w:r>
            <w:r>
              <w:rPr>
                <w:szCs w:val="18"/>
              </w:rPr>
              <w:t>that</w:t>
            </w:r>
            <w:r w:rsidRPr="00674F20">
              <w:rPr>
                <w:szCs w:val="18"/>
              </w:rPr>
              <w:t xml:space="preserve"> provide assessment, treatment, rehabilitation, and case management for people with a mental illness primarily over 65 years of age.</w:t>
            </w:r>
          </w:p>
        </w:tc>
      </w:tr>
      <w:tr w:rsidR="005B699B" w:rsidRPr="004E0550" w14:paraId="464C6C39" w14:textId="77777777" w:rsidTr="00A751A1">
        <w:trPr>
          <w:cantSplit/>
        </w:trPr>
        <w:tc>
          <w:tcPr>
            <w:tcW w:w="1267" w:type="dxa"/>
          </w:tcPr>
          <w:p w14:paraId="192B5520" w14:textId="77777777" w:rsidR="005B699B" w:rsidRPr="00674F20" w:rsidRDefault="005B699B" w:rsidP="00785BA1">
            <w:pPr>
              <w:pStyle w:val="Tabletext9pt"/>
              <w:rPr>
                <w:szCs w:val="18"/>
              </w:rPr>
            </w:pPr>
            <w:r w:rsidRPr="00674F20">
              <w:rPr>
                <w:szCs w:val="18"/>
              </w:rPr>
              <w:t>15022</w:t>
            </w:r>
          </w:p>
        </w:tc>
        <w:tc>
          <w:tcPr>
            <w:tcW w:w="2802" w:type="dxa"/>
          </w:tcPr>
          <w:p w14:paraId="2E6D7981" w14:textId="77777777" w:rsidR="005B699B" w:rsidRPr="00674F20" w:rsidRDefault="005B699B" w:rsidP="00785BA1">
            <w:pPr>
              <w:pStyle w:val="Tabletext9pt"/>
              <w:rPr>
                <w:szCs w:val="18"/>
              </w:rPr>
            </w:pPr>
            <w:r w:rsidRPr="00674F20">
              <w:rPr>
                <w:szCs w:val="18"/>
              </w:rPr>
              <w:t>Acute care – aged</w:t>
            </w:r>
          </w:p>
        </w:tc>
        <w:tc>
          <w:tcPr>
            <w:tcW w:w="5230" w:type="dxa"/>
          </w:tcPr>
          <w:p w14:paraId="38DB0B47" w14:textId="77777777" w:rsidR="005B699B" w:rsidRPr="00674F20" w:rsidRDefault="005B699B" w:rsidP="00785BA1">
            <w:pPr>
              <w:pStyle w:val="Tabletext9pt"/>
              <w:rPr>
                <w:szCs w:val="18"/>
              </w:rPr>
            </w:pPr>
            <w:r w:rsidRPr="00674F20">
              <w:rPr>
                <w:szCs w:val="18"/>
              </w:rPr>
              <w:t xml:space="preserve">Inpatient units providing short-term assessment and treatment for older people aged 65 </w:t>
            </w:r>
            <w:r>
              <w:rPr>
                <w:szCs w:val="18"/>
              </w:rPr>
              <w:t>or</w:t>
            </w:r>
            <w:r w:rsidRPr="00674F20">
              <w:rPr>
                <w:szCs w:val="18"/>
              </w:rPr>
              <w:t xml:space="preserve"> </w:t>
            </w:r>
            <w:r>
              <w:rPr>
                <w:szCs w:val="18"/>
              </w:rPr>
              <w:t>older</w:t>
            </w:r>
            <w:r w:rsidRPr="00674F20">
              <w:rPr>
                <w:szCs w:val="18"/>
              </w:rPr>
              <w:t xml:space="preserve"> with acute symptoms of mental illness who cannot safely be cared for in the community.</w:t>
            </w:r>
          </w:p>
        </w:tc>
      </w:tr>
      <w:tr w:rsidR="005B699B" w:rsidRPr="004E0550" w14:paraId="3492FF26" w14:textId="77777777" w:rsidTr="00A751A1">
        <w:trPr>
          <w:cantSplit/>
        </w:trPr>
        <w:tc>
          <w:tcPr>
            <w:tcW w:w="1267" w:type="dxa"/>
          </w:tcPr>
          <w:p w14:paraId="7CE0A0D8" w14:textId="77777777" w:rsidR="005B699B" w:rsidRPr="00674F20" w:rsidRDefault="005B699B" w:rsidP="00785BA1">
            <w:pPr>
              <w:pStyle w:val="Tabletext9pt"/>
              <w:rPr>
                <w:szCs w:val="18"/>
              </w:rPr>
            </w:pPr>
            <w:r w:rsidRPr="00674F20">
              <w:rPr>
                <w:szCs w:val="18"/>
              </w:rPr>
              <w:t>15026</w:t>
            </w:r>
          </w:p>
        </w:tc>
        <w:tc>
          <w:tcPr>
            <w:tcW w:w="2802" w:type="dxa"/>
          </w:tcPr>
          <w:p w14:paraId="50876C03" w14:textId="77777777" w:rsidR="005B699B" w:rsidRPr="00674F20" w:rsidRDefault="005B699B" w:rsidP="00785BA1">
            <w:pPr>
              <w:pStyle w:val="Tabletext9pt"/>
              <w:rPr>
                <w:szCs w:val="18"/>
              </w:rPr>
            </w:pPr>
            <w:r w:rsidRPr="00674F20">
              <w:rPr>
                <w:szCs w:val="18"/>
              </w:rPr>
              <w:t>Child and adolescent assessment treatment</w:t>
            </w:r>
          </w:p>
        </w:tc>
        <w:tc>
          <w:tcPr>
            <w:tcW w:w="5230" w:type="dxa"/>
          </w:tcPr>
          <w:p w14:paraId="76479E5B" w14:textId="77777777" w:rsidR="005B699B" w:rsidRPr="00674F20" w:rsidRDefault="005B699B" w:rsidP="00785BA1">
            <w:pPr>
              <w:pStyle w:val="Tabletext9pt"/>
            </w:pPr>
            <w:r w:rsidRPr="00674F20">
              <w:t>A range of services including crisis assessment, case management, individual or group therapy, family therapy, parent support and medication-based treatments for children and adolescents experiencing significant psychological distress or mental illness. Services support a timely response to referrals, including crises, delivered on an outreach basis, where appropriate.</w:t>
            </w:r>
          </w:p>
        </w:tc>
      </w:tr>
      <w:tr w:rsidR="005B699B" w:rsidRPr="004E0550" w14:paraId="48274095" w14:textId="77777777" w:rsidTr="00A751A1">
        <w:trPr>
          <w:cantSplit/>
        </w:trPr>
        <w:tc>
          <w:tcPr>
            <w:tcW w:w="1267" w:type="dxa"/>
          </w:tcPr>
          <w:p w14:paraId="06531279" w14:textId="77777777" w:rsidR="005B699B" w:rsidRPr="00674F20" w:rsidRDefault="005B699B" w:rsidP="00785BA1">
            <w:pPr>
              <w:pStyle w:val="Tabletext9pt"/>
              <w:rPr>
                <w:szCs w:val="18"/>
              </w:rPr>
            </w:pPr>
            <w:r w:rsidRPr="00674F20">
              <w:rPr>
                <w:szCs w:val="18"/>
              </w:rPr>
              <w:t>15028</w:t>
            </w:r>
          </w:p>
        </w:tc>
        <w:tc>
          <w:tcPr>
            <w:tcW w:w="2802" w:type="dxa"/>
          </w:tcPr>
          <w:p w14:paraId="3BF8723E" w14:textId="77777777" w:rsidR="005B699B" w:rsidRPr="00674F20" w:rsidRDefault="005B699B" w:rsidP="00785BA1">
            <w:pPr>
              <w:pStyle w:val="Tabletext9pt"/>
              <w:rPr>
                <w:szCs w:val="18"/>
              </w:rPr>
            </w:pPr>
            <w:r w:rsidRPr="00674F20">
              <w:rPr>
                <w:szCs w:val="18"/>
              </w:rPr>
              <w:t>Intensive youth support</w:t>
            </w:r>
          </w:p>
        </w:tc>
        <w:tc>
          <w:tcPr>
            <w:tcW w:w="5230" w:type="dxa"/>
          </w:tcPr>
          <w:p w14:paraId="45437689" w14:textId="77777777" w:rsidR="005B699B" w:rsidRPr="00674F20" w:rsidRDefault="005B699B" w:rsidP="00785BA1">
            <w:pPr>
              <w:pStyle w:val="Tabletext9pt"/>
              <w:rPr>
                <w:szCs w:val="18"/>
              </w:rPr>
            </w:pPr>
            <w:r>
              <w:rPr>
                <w:szCs w:val="18"/>
              </w:rPr>
              <w:t>M</w:t>
            </w:r>
            <w:r w:rsidRPr="00674F20">
              <w:rPr>
                <w:szCs w:val="18"/>
              </w:rPr>
              <w:t>obile intensive mental health case management and support to adolescents who display substantial and prolonged psychological disturbance</w:t>
            </w:r>
            <w:r>
              <w:rPr>
                <w:szCs w:val="18"/>
              </w:rPr>
              <w:t xml:space="preserve"> and</w:t>
            </w:r>
            <w:r w:rsidRPr="00674F20">
              <w:rPr>
                <w:szCs w:val="18"/>
              </w:rPr>
              <w:t xml:space="preserve"> have complex needs</w:t>
            </w:r>
            <w:r>
              <w:rPr>
                <w:szCs w:val="18"/>
              </w:rPr>
              <w:t xml:space="preserve"> that</w:t>
            </w:r>
            <w:r w:rsidRPr="00674F20">
              <w:rPr>
                <w:szCs w:val="18"/>
              </w:rPr>
              <w:t xml:space="preserve"> may include challenging, at-risk, and suicidal behaviours, and who have been difficult to engage using less-intensive treatment approaches.</w:t>
            </w:r>
          </w:p>
        </w:tc>
      </w:tr>
      <w:tr w:rsidR="005B699B" w:rsidRPr="004E0550" w14:paraId="0AA1F0DC" w14:textId="77777777" w:rsidTr="00A751A1">
        <w:trPr>
          <w:cantSplit/>
        </w:trPr>
        <w:tc>
          <w:tcPr>
            <w:tcW w:w="1267" w:type="dxa"/>
          </w:tcPr>
          <w:p w14:paraId="24E573AA" w14:textId="77777777" w:rsidR="005B699B" w:rsidRPr="00674F20" w:rsidRDefault="005B699B" w:rsidP="00785BA1">
            <w:pPr>
              <w:pStyle w:val="Tabletext9pt"/>
              <w:rPr>
                <w:szCs w:val="18"/>
              </w:rPr>
            </w:pPr>
            <w:r w:rsidRPr="00674F20">
              <w:rPr>
                <w:szCs w:val="18"/>
              </w:rPr>
              <w:lastRenderedPageBreak/>
              <w:t>15030</w:t>
            </w:r>
          </w:p>
        </w:tc>
        <w:tc>
          <w:tcPr>
            <w:tcW w:w="2802" w:type="dxa"/>
          </w:tcPr>
          <w:p w14:paraId="11930AF1" w14:textId="77777777" w:rsidR="005B699B" w:rsidRPr="00674F20" w:rsidRDefault="005B699B" w:rsidP="00785BA1">
            <w:pPr>
              <w:pStyle w:val="Tabletext9pt"/>
              <w:rPr>
                <w:szCs w:val="18"/>
              </w:rPr>
            </w:pPr>
            <w:r w:rsidRPr="00674F20">
              <w:rPr>
                <w:szCs w:val="18"/>
              </w:rPr>
              <w:t>Acute care – specialist statewide</w:t>
            </w:r>
          </w:p>
        </w:tc>
        <w:tc>
          <w:tcPr>
            <w:tcW w:w="5230" w:type="dxa"/>
          </w:tcPr>
          <w:p w14:paraId="51176C48" w14:textId="77777777" w:rsidR="005B699B" w:rsidRPr="00674F20" w:rsidRDefault="005B699B" w:rsidP="00785BA1">
            <w:pPr>
              <w:pStyle w:val="Tabletext9pt"/>
              <w:rPr>
                <w:szCs w:val="18"/>
              </w:rPr>
            </w:pPr>
            <w:r w:rsidRPr="00674F20">
              <w:rPr>
                <w:szCs w:val="18"/>
              </w:rPr>
              <w:t xml:space="preserve">A range of specialist clinical inpatient mental health assessment, treatment or consultancy services that support specific and general target groups on a </w:t>
            </w:r>
            <w:r>
              <w:rPr>
                <w:szCs w:val="18"/>
              </w:rPr>
              <w:t>statewide</w:t>
            </w:r>
            <w:r w:rsidRPr="00674F20">
              <w:rPr>
                <w:szCs w:val="18"/>
              </w:rPr>
              <w:t>, interregional or specific catchment area basis. The focus of these inpatient services is on clinical service provision to people with a mental illness.</w:t>
            </w:r>
          </w:p>
        </w:tc>
      </w:tr>
      <w:tr w:rsidR="005B699B" w:rsidRPr="004E0550" w14:paraId="2A591C5F" w14:textId="77777777" w:rsidTr="00A751A1">
        <w:trPr>
          <w:cantSplit/>
        </w:trPr>
        <w:tc>
          <w:tcPr>
            <w:tcW w:w="1267" w:type="dxa"/>
          </w:tcPr>
          <w:p w14:paraId="01A1CE37" w14:textId="77777777" w:rsidR="005B699B" w:rsidRPr="00674F20" w:rsidRDefault="005B699B" w:rsidP="00785BA1">
            <w:pPr>
              <w:pStyle w:val="Tabletext9pt"/>
              <w:rPr>
                <w:szCs w:val="18"/>
              </w:rPr>
            </w:pPr>
            <w:r w:rsidRPr="00674F20">
              <w:rPr>
                <w:szCs w:val="18"/>
              </w:rPr>
              <w:t>15031</w:t>
            </w:r>
          </w:p>
        </w:tc>
        <w:tc>
          <w:tcPr>
            <w:tcW w:w="2802" w:type="dxa"/>
          </w:tcPr>
          <w:p w14:paraId="3770C07D" w14:textId="77777777" w:rsidR="005B699B" w:rsidRPr="00674F20" w:rsidRDefault="005B699B" w:rsidP="00785BA1">
            <w:pPr>
              <w:pStyle w:val="Tabletext9pt"/>
              <w:rPr>
                <w:szCs w:val="18"/>
              </w:rPr>
            </w:pPr>
            <w:r w:rsidRPr="00674F20">
              <w:rPr>
                <w:szCs w:val="18"/>
              </w:rPr>
              <w:t>Acute care – child and adolescent</w:t>
            </w:r>
          </w:p>
        </w:tc>
        <w:tc>
          <w:tcPr>
            <w:tcW w:w="5230" w:type="dxa"/>
          </w:tcPr>
          <w:p w14:paraId="7B955133" w14:textId="77777777" w:rsidR="005B699B" w:rsidRPr="00674F20" w:rsidRDefault="005B699B" w:rsidP="00785BA1">
            <w:pPr>
              <w:pStyle w:val="Tabletext9pt"/>
              <w:rPr>
                <w:szCs w:val="18"/>
              </w:rPr>
            </w:pPr>
            <w:r w:rsidRPr="00674F20">
              <w:rPr>
                <w:szCs w:val="18"/>
              </w:rPr>
              <w:t>Inpatient units provide short-term psychiatric assessment and treatment for children and adolescents with severe psychological disturbance who cannot be effectively assessed or treated in a less-restrictive community-based setting.</w:t>
            </w:r>
          </w:p>
        </w:tc>
      </w:tr>
      <w:tr w:rsidR="005B699B" w:rsidRPr="004E0550" w14:paraId="5691CBF7" w14:textId="77777777" w:rsidTr="00A751A1">
        <w:trPr>
          <w:cantSplit/>
        </w:trPr>
        <w:tc>
          <w:tcPr>
            <w:tcW w:w="1267" w:type="dxa"/>
          </w:tcPr>
          <w:p w14:paraId="37A23251" w14:textId="77777777" w:rsidR="005B699B" w:rsidRPr="00674F20" w:rsidRDefault="005B699B" w:rsidP="00785BA1">
            <w:pPr>
              <w:pStyle w:val="Tabletext9pt"/>
              <w:rPr>
                <w:szCs w:val="18"/>
              </w:rPr>
            </w:pPr>
            <w:r w:rsidRPr="00674F20">
              <w:rPr>
                <w:szCs w:val="18"/>
              </w:rPr>
              <w:t>15032</w:t>
            </w:r>
          </w:p>
        </w:tc>
        <w:tc>
          <w:tcPr>
            <w:tcW w:w="2802" w:type="dxa"/>
          </w:tcPr>
          <w:p w14:paraId="6471240A" w14:textId="77777777" w:rsidR="005B699B" w:rsidRPr="00674F20" w:rsidRDefault="005B699B" w:rsidP="00785BA1">
            <w:pPr>
              <w:pStyle w:val="Tabletext9pt"/>
              <w:rPr>
                <w:szCs w:val="18"/>
              </w:rPr>
            </w:pPr>
            <w:r w:rsidRPr="00674F20">
              <w:rPr>
                <w:szCs w:val="18"/>
              </w:rPr>
              <w:t>Forensic Community Service</w:t>
            </w:r>
          </w:p>
        </w:tc>
        <w:tc>
          <w:tcPr>
            <w:tcW w:w="5230" w:type="dxa"/>
          </w:tcPr>
          <w:p w14:paraId="638092EF" w14:textId="77777777" w:rsidR="005B699B" w:rsidRPr="00674F20" w:rsidRDefault="005B699B" w:rsidP="00785BA1">
            <w:pPr>
              <w:pStyle w:val="Tabletext9pt"/>
              <w:rPr>
                <w:szCs w:val="18"/>
              </w:rPr>
            </w:pPr>
            <w:r w:rsidRPr="00674F20">
              <w:rPr>
                <w:szCs w:val="18"/>
              </w:rPr>
              <w:t>Provides community-based assessment and multidisciplinary treatment services to high-risk clients referred from a range of criminal justice agencies, mental health services and private practitioners. Also provides secondary consultations and specialist training to area mental health services.</w:t>
            </w:r>
          </w:p>
        </w:tc>
      </w:tr>
      <w:tr w:rsidR="005B699B" w:rsidRPr="004E0550" w14:paraId="549ED752" w14:textId="77777777" w:rsidTr="00A751A1">
        <w:trPr>
          <w:cantSplit/>
        </w:trPr>
        <w:tc>
          <w:tcPr>
            <w:tcW w:w="1267" w:type="dxa"/>
          </w:tcPr>
          <w:p w14:paraId="324AA736" w14:textId="77777777" w:rsidR="005B699B" w:rsidRPr="00674F20" w:rsidRDefault="005B699B" w:rsidP="00785BA1">
            <w:pPr>
              <w:pStyle w:val="Tabletext9pt"/>
              <w:rPr>
                <w:szCs w:val="18"/>
              </w:rPr>
            </w:pPr>
            <w:r w:rsidRPr="00674F20">
              <w:rPr>
                <w:szCs w:val="18"/>
              </w:rPr>
              <w:t>15041</w:t>
            </w:r>
          </w:p>
        </w:tc>
        <w:tc>
          <w:tcPr>
            <w:tcW w:w="2802" w:type="dxa"/>
          </w:tcPr>
          <w:p w14:paraId="74FD8C58" w14:textId="77777777" w:rsidR="005B699B" w:rsidRPr="00674F20" w:rsidRDefault="005B699B" w:rsidP="00785BA1">
            <w:pPr>
              <w:pStyle w:val="Tabletext9pt"/>
              <w:rPr>
                <w:szCs w:val="18"/>
              </w:rPr>
            </w:pPr>
            <w:r w:rsidRPr="00674F20">
              <w:rPr>
                <w:szCs w:val="18"/>
              </w:rPr>
              <w:t>Acute care – forensic</w:t>
            </w:r>
          </w:p>
        </w:tc>
        <w:tc>
          <w:tcPr>
            <w:tcW w:w="5230" w:type="dxa"/>
          </w:tcPr>
          <w:p w14:paraId="3DFE01FB" w14:textId="77777777" w:rsidR="005B699B" w:rsidRPr="00674F20" w:rsidRDefault="005B699B" w:rsidP="00785BA1">
            <w:pPr>
              <w:pStyle w:val="Tabletext9pt"/>
              <w:rPr>
                <w:szCs w:val="18"/>
              </w:rPr>
            </w:pPr>
            <w:r w:rsidRPr="00674F20">
              <w:rPr>
                <w:szCs w:val="18"/>
              </w:rPr>
              <w:t>Inpatient services for the assessment, diagnosis and treatment of the crisis and acute phases of mentally disturbed offenders referred by the courts, prison system, police, and general mental health services.</w:t>
            </w:r>
          </w:p>
        </w:tc>
      </w:tr>
      <w:tr w:rsidR="005B699B" w:rsidRPr="004E0550" w14:paraId="54B5B5B4" w14:textId="77777777" w:rsidTr="00A751A1">
        <w:trPr>
          <w:cantSplit/>
        </w:trPr>
        <w:tc>
          <w:tcPr>
            <w:tcW w:w="1267" w:type="dxa"/>
          </w:tcPr>
          <w:p w14:paraId="6CB73629" w14:textId="77777777" w:rsidR="005B699B" w:rsidRPr="00674F20" w:rsidRDefault="005B699B" w:rsidP="00785BA1">
            <w:pPr>
              <w:pStyle w:val="Tabletext9pt"/>
              <w:rPr>
                <w:szCs w:val="18"/>
              </w:rPr>
            </w:pPr>
            <w:r w:rsidRPr="00674F20">
              <w:rPr>
                <w:szCs w:val="18"/>
              </w:rPr>
              <w:t>15049</w:t>
            </w:r>
          </w:p>
        </w:tc>
        <w:tc>
          <w:tcPr>
            <w:tcW w:w="2802" w:type="dxa"/>
          </w:tcPr>
          <w:p w14:paraId="4BA5A6C6" w14:textId="77777777" w:rsidR="005B699B" w:rsidRPr="00674F20" w:rsidRDefault="005B699B" w:rsidP="00785BA1">
            <w:pPr>
              <w:pStyle w:val="Tabletext9pt"/>
              <w:rPr>
                <w:szCs w:val="18"/>
              </w:rPr>
            </w:pPr>
            <w:r w:rsidRPr="00674F20">
              <w:rPr>
                <w:szCs w:val="18"/>
              </w:rPr>
              <w:t xml:space="preserve">Aged persons mental health </w:t>
            </w:r>
            <w:r>
              <w:rPr>
                <w:szCs w:val="18"/>
              </w:rPr>
              <w:t>n</w:t>
            </w:r>
            <w:r w:rsidRPr="00674F20">
              <w:rPr>
                <w:szCs w:val="18"/>
              </w:rPr>
              <w:t>ursing home supplement</w:t>
            </w:r>
          </w:p>
        </w:tc>
        <w:tc>
          <w:tcPr>
            <w:tcW w:w="5230" w:type="dxa"/>
          </w:tcPr>
          <w:p w14:paraId="2CFBD8B7" w14:textId="77777777" w:rsidR="005B699B" w:rsidRPr="00674F20" w:rsidRDefault="005B699B" w:rsidP="00785BA1">
            <w:pPr>
              <w:pStyle w:val="Tabletext9pt"/>
              <w:rPr>
                <w:szCs w:val="18"/>
              </w:rPr>
            </w:pPr>
            <w:r w:rsidRPr="00674F20">
              <w:rPr>
                <w:szCs w:val="18"/>
              </w:rPr>
              <w:t>Community residential services for aged clients who cannot be managed in the general residential system due to their level of persistent cognitive, emotional, or behavioural disturbances. Services include</w:t>
            </w:r>
            <w:r>
              <w:rPr>
                <w:szCs w:val="18"/>
              </w:rPr>
              <w:t>:</w:t>
            </w:r>
            <w:r w:rsidRPr="00674F20">
              <w:rPr>
                <w:szCs w:val="18"/>
              </w:rPr>
              <w:t xml:space="preserve"> long-term accommodation; ongoing assessment, treatment, and care of residents</w:t>
            </w:r>
            <w:r>
              <w:rPr>
                <w:szCs w:val="18"/>
              </w:rPr>
              <w:t>;</w:t>
            </w:r>
            <w:r w:rsidRPr="00674F20">
              <w:rPr>
                <w:szCs w:val="18"/>
              </w:rPr>
              <w:t xml:space="preserve"> rehabilitation</w:t>
            </w:r>
            <w:r>
              <w:rPr>
                <w:szCs w:val="18"/>
              </w:rPr>
              <w:t>;</w:t>
            </w:r>
            <w:r w:rsidRPr="00674F20">
              <w:rPr>
                <w:szCs w:val="18"/>
              </w:rPr>
              <w:t xml:space="preserve"> and respite care.</w:t>
            </w:r>
          </w:p>
        </w:tc>
      </w:tr>
      <w:tr w:rsidR="005B699B" w:rsidRPr="004E0550" w14:paraId="1146EE36" w14:textId="77777777" w:rsidTr="00A751A1">
        <w:trPr>
          <w:cantSplit/>
        </w:trPr>
        <w:tc>
          <w:tcPr>
            <w:tcW w:w="1267" w:type="dxa"/>
          </w:tcPr>
          <w:p w14:paraId="5A089055" w14:textId="77777777" w:rsidR="005B699B" w:rsidRPr="00674F20" w:rsidRDefault="005B699B" w:rsidP="00785BA1">
            <w:pPr>
              <w:pStyle w:val="Tabletext9pt"/>
              <w:rPr>
                <w:szCs w:val="18"/>
              </w:rPr>
            </w:pPr>
            <w:r w:rsidRPr="00674F20">
              <w:rPr>
                <w:szCs w:val="18"/>
              </w:rPr>
              <w:t>15054</w:t>
            </w:r>
          </w:p>
        </w:tc>
        <w:tc>
          <w:tcPr>
            <w:tcW w:w="2802" w:type="dxa"/>
          </w:tcPr>
          <w:p w14:paraId="1595F3D5" w14:textId="77777777" w:rsidR="005B699B" w:rsidRPr="00674F20" w:rsidRDefault="005B699B" w:rsidP="00785BA1">
            <w:pPr>
              <w:pStyle w:val="Tabletext9pt"/>
              <w:rPr>
                <w:szCs w:val="18"/>
              </w:rPr>
            </w:pPr>
            <w:r w:rsidRPr="00674F20">
              <w:rPr>
                <w:szCs w:val="18"/>
              </w:rPr>
              <w:t xml:space="preserve">Training – </w:t>
            </w:r>
            <w:r>
              <w:rPr>
                <w:szCs w:val="18"/>
              </w:rPr>
              <w:t>statewide</w:t>
            </w:r>
          </w:p>
        </w:tc>
        <w:tc>
          <w:tcPr>
            <w:tcW w:w="5230" w:type="dxa"/>
          </w:tcPr>
          <w:p w14:paraId="34B7FBE2" w14:textId="77777777" w:rsidR="005B699B" w:rsidRPr="00674F20" w:rsidRDefault="005B699B" w:rsidP="00785BA1">
            <w:pPr>
              <w:pStyle w:val="Tabletext9pt"/>
              <w:rPr>
                <w:szCs w:val="18"/>
              </w:rPr>
            </w:pPr>
            <w:r w:rsidRPr="00674F20">
              <w:rPr>
                <w:szCs w:val="18"/>
              </w:rPr>
              <w:t>All activities associated with training and staff development.</w:t>
            </w:r>
          </w:p>
        </w:tc>
      </w:tr>
      <w:tr w:rsidR="005B699B" w:rsidRPr="004E0550" w14:paraId="33B36B3F" w14:textId="77777777" w:rsidTr="00A751A1">
        <w:trPr>
          <w:cantSplit/>
        </w:trPr>
        <w:tc>
          <w:tcPr>
            <w:tcW w:w="1267" w:type="dxa"/>
          </w:tcPr>
          <w:p w14:paraId="692D50AD" w14:textId="77777777" w:rsidR="005B699B" w:rsidRPr="00674F20" w:rsidRDefault="005B699B" w:rsidP="00785BA1">
            <w:pPr>
              <w:pStyle w:val="Tabletext9pt"/>
              <w:rPr>
                <w:szCs w:val="18"/>
              </w:rPr>
            </w:pPr>
            <w:r w:rsidRPr="00674F20">
              <w:rPr>
                <w:szCs w:val="18"/>
              </w:rPr>
              <w:t>15057</w:t>
            </w:r>
          </w:p>
        </w:tc>
        <w:tc>
          <w:tcPr>
            <w:tcW w:w="2802" w:type="dxa"/>
          </w:tcPr>
          <w:p w14:paraId="0A7CEC7F" w14:textId="77777777" w:rsidR="005B699B" w:rsidRPr="00674F20" w:rsidRDefault="005B699B" w:rsidP="00785BA1">
            <w:pPr>
              <w:pStyle w:val="Tabletext9pt"/>
              <w:rPr>
                <w:szCs w:val="18"/>
              </w:rPr>
            </w:pPr>
            <w:r w:rsidRPr="00674F20">
              <w:rPr>
                <w:szCs w:val="18"/>
              </w:rPr>
              <w:t>Prevention and recovery care</w:t>
            </w:r>
            <w:r>
              <w:rPr>
                <w:szCs w:val="18"/>
              </w:rPr>
              <w:t xml:space="preserve"> </w:t>
            </w:r>
          </w:p>
        </w:tc>
        <w:tc>
          <w:tcPr>
            <w:tcW w:w="5230" w:type="dxa"/>
          </w:tcPr>
          <w:p w14:paraId="758969F9" w14:textId="77777777" w:rsidR="005B699B" w:rsidRPr="00674F20" w:rsidRDefault="005B699B" w:rsidP="00785BA1">
            <w:pPr>
              <w:pStyle w:val="Tabletext9pt"/>
              <w:rPr>
                <w:szCs w:val="18"/>
              </w:rPr>
            </w:pPr>
            <w:r w:rsidRPr="00674F20">
              <w:rPr>
                <w:szCs w:val="18"/>
              </w:rPr>
              <w:t>Prevention and recovery care subacute clinical bed-based treatment services option for people with a significant mental health problem requiring pre-crisis or post-acute treatment and support. Prevention and recovery care assists in averting acute inpatient admission and facilitates earlier discharge from inpatient units. It is not a substitute for inpatient admission.</w:t>
            </w:r>
          </w:p>
        </w:tc>
      </w:tr>
      <w:tr w:rsidR="005B699B" w:rsidRPr="004E0550" w14:paraId="52796C61" w14:textId="77777777" w:rsidTr="00A751A1">
        <w:trPr>
          <w:cantSplit/>
        </w:trPr>
        <w:tc>
          <w:tcPr>
            <w:tcW w:w="1267" w:type="dxa"/>
          </w:tcPr>
          <w:p w14:paraId="0526180C" w14:textId="77777777" w:rsidR="005B699B" w:rsidRPr="00674F20" w:rsidRDefault="005B699B" w:rsidP="00785BA1">
            <w:pPr>
              <w:pStyle w:val="Tabletext9pt"/>
              <w:rPr>
                <w:szCs w:val="18"/>
              </w:rPr>
            </w:pPr>
            <w:r w:rsidRPr="00674F20">
              <w:rPr>
                <w:szCs w:val="18"/>
              </w:rPr>
              <w:t>15060</w:t>
            </w:r>
          </w:p>
        </w:tc>
        <w:tc>
          <w:tcPr>
            <w:tcW w:w="2802" w:type="dxa"/>
          </w:tcPr>
          <w:p w14:paraId="217534C4" w14:textId="77777777" w:rsidR="005B699B" w:rsidRPr="00674F20" w:rsidRDefault="005B699B" w:rsidP="00785BA1">
            <w:pPr>
              <w:pStyle w:val="Tabletext9pt"/>
              <w:rPr>
                <w:szCs w:val="18"/>
              </w:rPr>
            </w:pPr>
            <w:r w:rsidRPr="00674F20">
              <w:rPr>
                <w:szCs w:val="18"/>
              </w:rPr>
              <w:t>Homeless outreach psychiatric services</w:t>
            </w:r>
          </w:p>
        </w:tc>
        <w:tc>
          <w:tcPr>
            <w:tcW w:w="5230" w:type="dxa"/>
          </w:tcPr>
          <w:p w14:paraId="287603B8" w14:textId="77777777" w:rsidR="005B699B" w:rsidRPr="00674F20" w:rsidRDefault="005B699B" w:rsidP="00785BA1">
            <w:pPr>
              <w:pStyle w:val="Tabletext9pt"/>
              <w:rPr>
                <w:szCs w:val="18"/>
              </w:rPr>
            </w:pPr>
            <w:r w:rsidRPr="00674F20">
              <w:rPr>
                <w:szCs w:val="18"/>
              </w:rPr>
              <w:t>Outreach services that provide assessment, treatment, rehabilitation, and case management for homeless people with a mental illness. Also includes secondary consultation and support to the homelessness service sector.</w:t>
            </w:r>
          </w:p>
        </w:tc>
      </w:tr>
      <w:tr w:rsidR="005B699B" w:rsidRPr="004E0550" w14:paraId="017E95D1" w14:textId="77777777" w:rsidTr="00A751A1">
        <w:trPr>
          <w:cantSplit/>
        </w:trPr>
        <w:tc>
          <w:tcPr>
            <w:tcW w:w="1267" w:type="dxa"/>
          </w:tcPr>
          <w:p w14:paraId="173FAA78" w14:textId="77777777" w:rsidR="005B699B" w:rsidRPr="00674F20" w:rsidRDefault="005B699B" w:rsidP="00785BA1">
            <w:pPr>
              <w:pStyle w:val="Tabletext9pt"/>
              <w:rPr>
                <w:szCs w:val="18"/>
              </w:rPr>
            </w:pPr>
            <w:r w:rsidRPr="00674F20">
              <w:rPr>
                <w:szCs w:val="18"/>
              </w:rPr>
              <w:t>15070</w:t>
            </w:r>
          </w:p>
        </w:tc>
        <w:tc>
          <w:tcPr>
            <w:tcW w:w="2802" w:type="dxa"/>
          </w:tcPr>
          <w:p w14:paraId="007B8049" w14:textId="77777777" w:rsidR="005B699B" w:rsidRPr="00674F20" w:rsidRDefault="005B699B" w:rsidP="00785BA1">
            <w:pPr>
              <w:pStyle w:val="Tabletext9pt"/>
              <w:rPr>
                <w:szCs w:val="18"/>
              </w:rPr>
            </w:pPr>
            <w:r w:rsidRPr="00674F20">
              <w:rPr>
                <w:szCs w:val="18"/>
              </w:rPr>
              <w:t>Academic positions – health services</w:t>
            </w:r>
          </w:p>
        </w:tc>
        <w:tc>
          <w:tcPr>
            <w:tcW w:w="5230" w:type="dxa"/>
          </w:tcPr>
          <w:p w14:paraId="1CF516F6" w14:textId="77777777" w:rsidR="005B699B" w:rsidRPr="00674F20" w:rsidRDefault="005B699B" w:rsidP="00785BA1">
            <w:pPr>
              <w:pStyle w:val="Tabletext9pt"/>
              <w:rPr>
                <w:szCs w:val="18"/>
              </w:rPr>
            </w:pPr>
            <w:r w:rsidRPr="00674F20">
              <w:rPr>
                <w:szCs w:val="18"/>
              </w:rPr>
              <w:t>All activities associated with specified academic positions attached to tertiary institutions, regardless of the location of the position.</w:t>
            </w:r>
          </w:p>
        </w:tc>
      </w:tr>
      <w:tr w:rsidR="005B699B" w:rsidRPr="004E0550" w14:paraId="6F8685C2" w14:textId="77777777" w:rsidTr="00A751A1">
        <w:trPr>
          <w:cantSplit/>
        </w:trPr>
        <w:tc>
          <w:tcPr>
            <w:tcW w:w="1267" w:type="dxa"/>
          </w:tcPr>
          <w:p w14:paraId="7046259D" w14:textId="77777777" w:rsidR="005B699B" w:rsidRPr="00674F20" w:rsidRDefault="005B699B" w:rsidP="00785BA1">
            <w:pPr>
              <w:pStyle w:val="Tabletext9pt"/>
              <w:rPr>
                <w:szCs w:val="18"/>
              </w:rPr>
            </w:pPr>
            <w:r w:rsidRPr="00674F20">
              <w:rPr>
                <w:szCs w:val="18"/>
              </w:rPr>
              <w:t>15071</w:t>
            </w:r>
          </w:p>
        </w:tc>
        <w:tc>
          <w:tcPr>
            <w:tcW w:w="2802" w:type="dxa"/>
          </w:tcPr>
          <w:p w14:paraId="4E1DE073" w14:textId="77777777" w:rsidR="005B699B" w:rsidRPr="00674F20" w:rsidRDefault="005B699B" w:rsidP="00785BA1">
            <w:pPr>
              <w:pStyle w:val="Tabletext9pt"/>
              <w:rPr>
                <w:szCs w:val="18"/>
              </w:rPr>
            </w:pPr>
            <w:r w:rsidRPr="00674F20">
              <w:rPr>
                <w:szCs w:val="18"/>
              </w:rPr>
              <w:t>Training – graduate year training</w:t>
            </w:r>
          </w:p>
        </w:tc>
        <w:tc>
          <w:tcPr>
            <w:tcW w:w="5230" w:type="dxa"/>
          </w:tcPr>
          <w:p w14:paraId="6B387251" w14:textId="77777777" w:rsidR="005B699B" w:rsidRPr="00674F20" w:rsidRDefault="005B699B" w:rsidP="00785BA1">
            <w:pPr>
              <w:pStyle w:val="Tabletext9pt"/>
              <w:rPr>
                <w:szCs w:val="18"/>
              </w:rPr>
            </w:pPr>
            <w:r w:rsidRPr="00674F20">
              <w:rPr>
                <w:szCs w:val="18"/>
              </w:rPr>
              <w:t xml:space="preserve">Funding provided to </w:t>
            </w:r>
            <w:r>
              <w:rPr>
                <w:szCs w:val="18"/>
              </w:rPr>
              <w:t>h</w:t>
            </w:r>
            <w:r w:rsidRPr="00674F20">
              <w:rPr>
                <w:szCs w:val="18"/>
              </w:rPr>
              <w:t xml:space="preserve">ealth </w:t>
            </w:r>
            <w:r>
              <w:rPr>
                <w:szCs w:val="18"/>
              </w:rPr>
              <w:t>s</w:t>
            </w:r>
            <w:r w:rsidRPr="00674F20">
              <w:rPr>
                <w:szCs w:val="18"/>
              </w:rPr>
              <w:t>ervices to support nurses and allied health staff participating in specialist mental health graduate-year programs for training, supervision, backfill and subsidy to enable reduced clinical loads during orientation phase.</w:t>
            </w:r>
          </w:p>
        </w:tc>
      </w:tr>
      <w:tr w:rsidR="005B699B" w:rsidRPr="004E0550" w14:paraId="2317CA4A" w14:textId="77777777" w:rsidTr="00A751A1">
        <w:trPr>
          <w:cantSplit/>
        </w:trPr>
        <w:tc>
          <w:tcPr>
            <w:tcW w:w="1267" w:type="dxa"/>
          </w:tcPr>
          <w:p w14:paraId="16C658BE" w14:textId="77777777" w:rsidR="005B699B" w:rsidRPr="00674F20" w:rsidRDefault="005B699B" w:rsidP="00785BA1">
            <w:pPr>
              <w:pStyle w:val="Tabletext9pt"/>
              <w:rPr>
                <w:szCs w:val="18"/>
              </w:rPr>
            </w:pPr>
            <w:r w:rsidRPr="00674F20">
              <w:rPr>
                <w:szCs w:val="18"/>
              </w:rPr>
              <w:t>15200</w:t>
            </w:r>
          </w:p>
        </w:tc>
        <w:tc>
          <w:tcPr>
            <w:tcW w:w="2802" w:type="dxa"/>
          </w:tcPr>
          <w:p w14:paraId="52472ED7" w14:textId="77777777" w:rsidR="005B699B" w:rsidRPr="00674F20" w:rsidRDefault="005B699B" w:rsidP="00785BA1">
            <w:pPr>
              <w:pStyle w:val="Tabletext9pt"/>
              <w:rPr>
                <w:szCs w:val="18"/>
              </w:rPr>
            </w:pPr>
            <w:r w:rsidRPr="00674F20">
              <w:rPr>
                <w:szCs w:val="18"/>
              </w:rPr>
              <w:t xml:space="preserve">Community specialist </w:t>
            </w:r>
            <w:r>
              <w:rPr>
                <w:szCs w:val="18"/>
              </w:rPr>
              <w:t>statewide</w:t>
            </w:r>
            <w:r w:rsidRPr="00674F20">
              <w:rPr>
                <w:szCs w:val="18"/>
              </w:rPr>
              <w:t xml:space="preserve"> services</w:t>
            </w:r>
          </w:p>
        </w:tc>
        <w:tc>
          <w:tcPr>
            <w:tcW w:w="5230" w:type="dxa"/>
          </w:tcPr>
          <w:p w14:paraId="0FDCC254" w14:textId="249D49DB" w:rsidR="005B699B" w:rsidRPr="00674F20" w:rsidRDefault="00F90553" w:rsidP="00785BA1">
            <w:pPr>
              <w:pStyle w:val="Tabletext9pt"/>
              <w:rPr>
                <w:szCs w:val="18"/>
              </w:rPr>
            </w:pPr>
            <w:r>
              <w:rPr>
                <w:szCs w:val="18"/>
              </w:rPr>
              <w:t>S</w:t>
            </w:r>
            <w:r w:rsidR="005B699B" w:rsidRPr="00674F20">
              <w:rPr>
                <w:szCs w:val="18"/>
              </w:rPr>
              <w:t xml:space="preserve">pecialist clinical community mental health assessment, treatment or consultancy services </w:t>
            </w:r>
            <w:r w:rsidR="005B699B">
              <w:rPr>
                <w:szCs w:val="18"/>
              </w:rPr>
              <w:t>that</w:t>
            </w:r>
            <w:r w:rsidR="005B699B" w:rsidRPr="00674F20">
              <w:rPr>
                <w:szCs w:val="18"/>
              </w:rPr>
              <w:t xml:space="preserve"> support specific and general target groups on a </w:t>
            </w:r>
            <w:r w:rsidR="005B699B">
              <w:rPr>
                <w:szCs w:val="18"/>
              </w:rPr>
              <w:t>statewide</w:t>
            </w:r>
            <w:r w:rsidR="005B699B" w:rsidRPr="00674F20">
              <w:rPr>
                <w:szCs w:val="18"/>
              </w:rPr>
              <w:t>, interregional or specific catchment area basis. The focus of these community services is on a clinical service provision to people with a mental illness.</w:t>
            </w:r>
          </w:p>
        </w:tc>
      </w:tr>
      <w:tr w:rsidR="005B699B" w:rsidRPr="004E0550" w14:paraId="521D2E0F" w14:textId="77777777" w:rsidTr="00A751A1">
        <w:trPr>
          <w:cantSplit/>
        </w:trPr>
        <w:tc>
          <w:tcPr>
            <w:tcW w:w="1267" w:type="dxa"/>
          </w:tcPr>
          <w:p w14:paraId="62B82E15" w14:textId="77777777" w:rsidR="005B699B" w:rsidRPr="00674F20" w:rsidRDefault="005B699B" w:rsidP="00785BA1">
            <w:pPr>
              <w:pStyle w:val="Tabletext9pt"/>
              <w:rPr>
                <w:szCs w:val="18"/>
              </w:rPr>
            </w:pPr>
            <w:r w:rsidRPr="00674F20">
              <w:rPr>
                <w:szCs w:val="18"/>
              </w:rPr>
              <w:t>15203</w:t>
            </w:r>
          </w:p>
        </w:tc>
        <w:tc>
          <w:tcPr>
            <w:tcW w:w="2802" w:type="dxa"/>
          </w:tcPr>
          <w:p w14:paraId="4ECCB41E" w14:textId="77777777" w:rsidR="005B699B" w:rsidRPr="00674F20" w:rsidRDefault="005B699B" w:rsidP="00785BA1">
            <w:pPr>
              <w:pStyle w:val="Tabletext9pt"/>
              <w:rPr>
                <w:szCs w:val="18"/>
              </w:rPr>
            </w:pPr>
            <w:r>
              <w:rPr>
                <w:szCs w:val="18"/>
              </w:rPr>
              <w:t>Statewide</w:t>
            </w:r>
            <w:r w:rsidRPr="00674F20">
              <w:rPr>
                <w:szCs w:val="18"/>
              </w:rPr>
              <w:t xml:space="preserve"> support – clinical services</w:t>
            </w:r>
          </w:p>
        </w:tc>
        <w:tc>
          <w:tcPr>
            <w:tcW w:w="5230" w:type="dxa"/>
          </w:tcPr>
          <w:p w14:paraId="1E26D099" w14:textId="0200B158" w:rsidR="005B699B" w:rsidRPr="00674F20" w:rsidRDefault="00F90553" w:rsidP="00785BA1">
            <w:pPr>
              <w:pStyle w:val="Tabletext9pt"/>
              <w:rPr>
                <w:szCs w:val="18"/>
              </w:rPr>
            </w:pPr>
            <w:r>
              <w:rPr>
                <w:szCs w:val="18"/>
              </w:rPr>
              <w:t>S</w:t>
            </w:r>
            <w:r w:rsidR="005B699B" w:rsidRPr="00674F20">
              <w:rPr>
                <w:szCs w:val="18"/>
              </w:rPr>
              <w:t xml:space="preserve">ervices including resourcing </w:t>
            </w:r>
            <w:r>
              <w:rPr>
                <w:szCs w:val="18"/>
              </w:rPr>
              <w:t>for</w:t>
            </w:r>
            <w:r w:rsidRPr="00674F20">
              <w:rPr>
                <w:szCs w:val="18"/>
              </w:rPr>
              <w:t xml:space="preserve"> </w:t>
            </w:r>
            <w:r w:rsidR="005B699B" w:rsidRPr="00674F20">
              <w:rPr>
                <w:szCs w:val="18"/>
              </w:rPr>
              <w:t xml:space="preserve">the clinical mental health service system on a </w:t>
            </w:r>
            <w:r w:rsidR="005B699B">
              <w:rPr>
                <w:szCs w:val="18"/>
              </w:rPr>
              <w:t>statewide</w:t>
            </w:r>
            <w:r w:rsidR="005B699B" w:rsidRPr="00674F20">
              <w:rPr>
                <w:szCs w:val="18"/>
              </w:rPr>
              <w:t>, interregional or specific</w:t>
            </w:r>
            <w:r w:rsidR="005B699B">
              <w:rPr>
                <w:szCs w:val="18"/>
              </w:rPr>
              <w:t>-</w:t>
            </w:r>
            <w:r w:rsidR="005B699B" w:rsidRPr="00674F20">
              <w:rPr>
                <w:szCs w:val="18"/>
              </w:rPr>
              <w:t>purpose basis.</w:t>
            </w:r>
          </w:p>
        </w:tc>
      </w:tr>
      <w:tr w:rsidR="005B699B" w:rsidRPr="004E0550" w14:paraId="7124BE2E" w14:textId="77777777" w:rsidTr="00A751A1">
        <w:trPr>
          <w:cantSplit/>
        </w:trPr>
        <w:tc>
          <w:tcPr>
            <w:tcW w:w="1267" w:type="dxa"/>
          </w:tcPr>
          <w:p w14:paraId="447CE34B" w14:textId="77777777" w:rsidR="005B699B" w:rsidRPr="00674F20" w:rsidRDefault="005B699B" w:rsidP="00785BA1">
            <w:pPr>
              <w:pStyle w:val="Tabletext9pt"/>
              <w:rPr>
                <w:szCs w:val="18"/>
              </w:rPr>
            </w:pPr>
            <w:r w:rsidRPr="00674F20">
              <w:rPr>
                <w:szCs w:val="18"/>
              </w:rPr>
              <w:lastRenderedPageBreak/>
              <w:t>15250</w:t>
            </w:r>
          </w:p>
        </w:tc>
        <w:tc>
          <w:tcPr>
            <w:tcW w:w="2802" w:type="dxa"/>
          </w:tcPr>
          <w:p w14:paraId="06289907" w14:textId="77777777" w:rsidR="005B699B" w:rsidRPr="00674F20" w:rsidRDefault="005B699B" w:rsidP="00785BA1">
            <w:pPr>
              <w:pStyle w:val="Tabletext9pt"/>
              <w:rPr>
                <w:szCs w:val="18"/>
              </w:rPr>
            </w:pPr>
            <w:r w:rsidRPr="00674F20">
              <w:rPr>
                <w:szCs w:val="18"/>
              </w:rPr>
              <w:t>Aged persons mental health hostel supplement</w:t>
            </w:r>
          </w:p>
        </w:tc>
        <w:tc>
          <w:tcPr>
            <w:tcW w:w="5230" w:type="dxa"/>
          </w:tcPr>
          <w:p w14:paraId="5E8360C8" w14:textId="77777777" w:rsidR="005B699B" w:rsidRPr="00674F20" w:rsidRDefault="005B699B" w:rsidP="00785BA1">
            <w:pPr>
              <w:pStyle w:val="Tabletext9pt"/>
              <w:rPr>
                <w:szCs w:val="18"/>
              </w:rPr>
            </w:pPr>
            <w:r w:rsidRPr="00674F20">
              <w:rPr>
                <w:szCs w:val="18"/>
              </w:rPr>
              <w:t>Hostel-based community residential services for aged clients who cannot be managed in the general residential system due to their level of persistent cognitive, emotional, or behavioural disturbances. Services include long-term accommodation, ongoing assessment, treatment and care of residents, low-level nursing home or hostel care, rehabilitation, and respite care.</w:t>
            </w:r>
          </w:p>
        </w:tc>
      </w:tr>
      <w:tr w:rsidR="005B699B" w:rsidRPr="004E0550" w14:paraId="447E5EF2" w14:textId="77777777" w:rsidTr="00A751A1">
        <w:trPr>
          <w:cantSplit/>
        </w:trPr>
        <w:tc>
          <w:tcPr>
            <w:tcW w:w="1267" w:type="dxa"/>
          </w:tcPr>
          <w:p w14:paraId="29A0EFA3" w14:textId="77777777" w:rsidR="005B699B" w:rsidRPr="00674F20" w:rsidRDefault="005B699B" w:rsidP="00785BA1">
            <w:pPr>
              <w:pStyle w:val="Tabletext9pt"/>
              <w:rPr>
                <w:szCs w:val="18"/>
              </w:rPr>
            </w:pPr>
            <w:r w:rsidRPr="00674F20">
              <w:rPr>
                <w:szCs w:val="18"/>
              </w:rPr>
              <w:t>15251</w:t>
            </w:r>
          </w:p>
        </w:tc>
        <w:tc>
          <w:tcPr>
            <w:tcW w:w="2802" w:type="dxa"/>
          </w:tcPr>
          <w:p w14:paraId="1E15FC89" w14:textId="77777777" w:rsidR="005B699B" w:rsidRPr="00674F20" w:rsidRDefault="005B699B" w:rsidP="00785BA1">
            <w:pPr>
              <w:pStyle w:val="Tabletext9pt"/>
              <w:rPr>
                <w:szCs w:val="18"/>
              </w:rPr>
            </w:pPr>
            <w:r w:rsidRPr="00674F20">
              <w:rPr>
                <w:szCs w:val="18"/>
              </w:rPr>
              <w:t xml:space="preserve">Consultation and </w:t>
            </w:r>
            <w:r>
              <w:rPr>
                <w:szCs w:val="18"/>
              </w:rPr>
              <w:t>l</w:t>
            </w:r>
            <w:r w:rsidRPr="00674F20">
              <w:rPr>
                <w:szCs w:val="18"/>
              </w:rPr>
              <w:t>iaison</w:t>
            </w:r>
          </w:p>
        </w:tc>
        <w:tc>
          <w:tcPr>
            <w:tcW w:w="5230" w:type="dxa"/>
          </w:tcPr>
          <w:p w14:paraId="4C85CFB6" w14:textId="77777777" w:rsidR="005B699B" w:rsidRPr="00674F20" w:rsidRDefault="005B699B" w:rsidP="00785BA1">
            <w:pPr>
              <w:pStyle w:val="Tabletext9pt"/>
              <w:rPr>
                <w:szCs w:val="18"/>
              </w:rPr>
            </w:pPr>
            <w:r w:rsidRPr="00674F20">
              <w:rPr>
                <w:szCs w:val="18"/>
              </w:rPr>
              <w:t xml:space="preserve">Consultation liaison psychiatry is the diagnosis, treatment, and prevention of psychiatric morbidity among physically ill patients who are patients of an acute general hospital. This activity includes </w:t>
            </w:r>
            <w:r>
              <w:rPr>
                <w:szCs w:val="18"/>
              </w:rPr>
              <w:t>providing</w:t>
            </w:r>
            <w:r w:rsidRPr="00674F20">
              <w:rPr>
                <w:szCs w:val="18"/>
              </w:rPr>
              <w:t xml:space="preserve"> psychiatric assessment, consultation, liaison and education services to non-psychiatric health professionals and their patients.</w:t>
            </w:r>
          </w:p>
        </w:tc>
      </w:tr>
      <w:tr w:rsidR="005B699B" w:rsidRPr="004E0550" w14:paraId="547D36C1" w14:textId="77777777" w:rsidTr="00A751A1">
        <w:trPr>
          <w:cantSplit/>
        </w:trPr>
        <w:tc>
          <w:tcPr>
            <w:tcW w:w="1267" w:type="dxa"/>
          </w:tcPr>
          <w:p w14:paraId="3F0D3DFC" w14:textId="77777777" w:rsidR="005B699B" w:rsidRPr="00674F20" w:rsidRDefault="005B699B" w:rsidP="00785BA1">
            <w:pPr>
              <w:pStyle w:val="Tabletext9pt"/>
              <w:rPr>
                <w:szCs w:val="18"/>
              </w:rPr>
            </w:pPr>
            <w:r w:rsidRPr="00674F20">
              <w:rPr>
                <w:szCs w:val="18"/>
              </w:rPr>
              <w:t>15262</w:t>
            </w:r>
          </w:p>
        </w:tc>
        <w:tc>
          <w:tcPr>
            <w:tcW w:w="2802" w:type="dxa"/>
          </w:tcPr>
          <w:p w14:paraId="7A0FBEBD" w14:textId="77777777" w:rsidR="005B699B" w:rsidRPr="00674F20" w:rsidRDefault="005B699B" w:rsidP="00785BA1">
            <w:pPr>
              <w:pStyle w:val="Tabletext9pt"/>
              <w:rPr>
                <w:szCs w:val="18"/>
              </w:rPr>
            </w:pPr>
            <w:r w:rsidRPr="00674F20">
              <w:rPr>
                <w:szCs w:val="18"/>
              </w:rPr>
              <w:t xml:space="preserve">Prevention and </w:t>
            </w:r>
            <w:r>
              <w:rPr>
                <w:szCs w:val="18"/>
              </w:rPr>
              <w:t>p</w:t>
            </w:r>
            <w:r w:rsidRPr="00674F20">
              <w:rPr>
                <w:szCs w:val="18"/>
              </w:rPr>
              <w:t>romotion</w:t>
            </w:r>
          </w:p>
        </w:tc>
        <w:tc>
          <w:tcPr>
            <w:tcW w:w="5230" w:type="dxa"/>
          </w:tcPr>
          <w:p w14:paraId="491562D4" w14:textId="77777777" w:rsidR="005B699B" w:rsidRPr="00674F20" w:rsidRDefault="005B699B" w:rsidP="00785BA1">
            <w:pPr>
              <w:pStyle w:val="Tabletext9pt"/>
              <w:rPr>
                <w:szCs w:val="18"/>
              </w:rPr>
            </w:pPr>
            <w:r w:rsidRPr="00674F20">
              <w:rPr>
                <w:szCs w:val="18"/>
              </w:rPr>
              <w:t>The development and delivery of mental health promotion and the prevention of mental health problems and disorders.</w:t>
            </w:r>
          </w:p>
        </w:tc>
      </w:tr>
      <w:tr w:rsidR="005B699B" w:rsidRPr="004E0550" w14:paraId="53B84828" w14:textId="77777777" w:rsidTr="00A751A1">
        <w:trPr>
          <w:cantSplit/>
        </w:trPr>
        <w:tc>
          <w:tcPr>
            <w:tcW w:w="1267" w:type="dxa"/>
          </w:tcPr>
          <w:p w14:paraId="62AA7EDA" w14:textId="77777777" w:rsidR="005B699B" w:rsidRPr="00674F20" w:rsidRDefault="005B699B" w:rsidP="00785BA1">
            <w:pPr>
              <w:pStyle w:val="Tabletext9pt"/>
              <w:rPr>
                <w:szCs w:val="18"/>
              </w:rPr>
            </w:pPr>
            <w:r w:rsidRPr="00674F20">
              <w:rPr>
                <w:szCs w:val="18"/>
              </w:rPr>
              <w:t>15264</w:t>
            </w:r>
          </w:p>
        </w:tc>
        <w:tc>
          <w:tcPr>
            <w:tcW w:w="2802" w:type="dxa"/>
          </w:tcPr>
          <w:p w14:paraId="41D14AE2" w14:textId="77777777" w:rsidR="005B699B" w:rsidRPr="00674F20" w:rsidRDefault="005B699B" w:rsidP="00785BA1">
            <w:pPr>
              <w:pStyle w:val="Tabletext9pt"/>
              <w:rPr>
                <w:szCs w:val="18"/>
              </w:rPr>
            </w:pPr>
            <w:r w:rsidRPr="00674F20">
              <w:rPr>
                <w:szCs w:val="18"/>
              </w:rPr>
              <w:t>Consumer participation</w:t>
            </w:r>
          </w:p>
        </w:tc>
        <w:tc>
          <w:tcPr>
            <w:tcW w:w="5230" w:type="dxa"/>
          </w:tcPr>
          <w:p w14:paraId="1532AA34" w14:textId="77777777" w:rsidR="005B699B" w:rsidRPr="00674F20" w:rsidRDefault="005B699B" w:rsidP="00785BA1">
            <w:pPr>
              <w:pStyle w:val="Tabletext9pt"/>
              <w:rPr>
                <w:szCs w:val="18"/>
              </w:rPr>
            </w:pPr>
            <w:r w:rsidRPr="00674F20">
              <w:rPr>
                <w:szCs w:val="18"/>
              </w:rPr>
              <w:t>Participation of consumers, which may include employ</w:t>
            </w:r>
            <w:r>
              <w:rPr>
                <w:szCs w:val="18"/>
              </w:rPr>
              <w:t>ing</w:t>
            </w:r>
            <w:r w:rsidRPr="00674F20">
              <w:rPr>
                <w:szCs w:val="18"/>
              </w:rPr>
              <w:t xml:space="preserve"> consumer consultants to provide input into service planning, development, and evaluation, establish consumer networks and become involved in consumer participation plans for area mental health services.</w:t>
            </w:r>
          </w:p>
        </w:tc>
      </w:tr>
      <w:tr w:rsidR="005B699B" w:rsidRPr="004E0550" w14:paraId="57BE2BD0" w14:textId="77777777" w:rsidTr="00A751A1">
        <w:trPr>
          <w:cantSplit/>
        </w:trPr>
        <w:tc>
          <w:tcPr>
            <w:tcW w:w="1267" w:type="dxa"/>
          </w:tcPr>
          <w:p w14:paraId="5FB51A5E" w14:textId="77777777" w:rsidR="005B699B" w:rsidRPr="00674F20" w:rsidRDefault="005B699B" w:rsidP="00785BA1">
            <w:pPr>
              <w:pStyle w:val="Tabletext9pt"/>
              <w:rPr>
                <w:szCs w:val="18"/>
              </w:rPr>
            </w:pPr>
            <w:r w:rsidRPr="00674F20">
              <w:rPr>
                <w:szCs w:val="18"/>
              </w:rPr>
              <w:t>15265</w:t>
            </w:r>
          </w:p>
        </w:tc>
        <w:tc>
          <w:tcPr>
            <w:tcW w:w="2802" w:type="dxa"/>
          </w:tcPr>
          <w:p w14:paraId="41C1814F" w14:textId="77777777" w:rsidR="005B699B" w:rsidRPr="00674F20" w:rsidRDefault="005B699B" w:rsidP="00785BA1">
            <w:pPr>
              <w:pStyle w:val="Tabletext9pt"/>
              <w:rPr>
                <w:szCs w:val="18"/>
              </w:rPr>
            </w:pPr>
            <w:r w:rsidRPr="00674F20">
              <w:rPr>
                <w:szCs w:val="18"/>
              </w:rPr>
              <w:t>Ethnic consultants</w:t>
            </w:r>
          </w:p>
        </w:tc>
        <w:tc>
          <w:tcPr>
            <w:tcW w:w="5230" w:type="dxa"/>
          </w:tcPr>
          <w:p w14:paraId="378A8286" w14:textId="77777777" w:rsidR="005B699B" w:rsidRPr="00674F20" w:rsidRDefault="005B699B" w:rsidP="00785BA1">
            <w:pPr>
              <w:pStyle w:val="Tabletext9pt"/>
              <w:rPr>
                <w:szCs w:val="18"/>
              </w:rPr>
            </w:pPr>
            <w:r w:rsidRPr="00674F20">
              <w:rPr>
                <w:szCs w:val="18"/>
              </w:rPr>
              <w:t>Strategies that increase the accessibility of mental health services for people from culturally diverse backgrounds</w:t>
            </w:r>
            <w:r>
              <w:rPr>
                <w:szCs w:val="18"/>
              </w:rPr>
              <w:t>.</w:t>
            </w:r>
            <w:r w:rsidRPr="00674F20">
              <w:rPr>
                <w:szCs w:val="18"/>
              </w:rPr>
              <w:t xml:space="preserve"> </w:t>
            </w:r>
            <w:r>
              <w:rPr>
                <w:szCs w:val="18"/>
              </w:rPr>
              <w:t>This includes</w:t>
            </w:r>
            <w:r w:rsidRPr="00674F20">
              <w:rPr>
                <w:szCs w:val="18"/>
              </w:rPr>
              <w:t xml:space="preserve"> develop</w:t>
            </w:r>
            <w:r>
              <w:rPr>
                <w:szCs w:val="18"/>
              </w:rPr>
              <w:t>ing</w:t>
            </w:r>
            <w:r w:rsidRPr="00674F20">
              <w:rPr>
                <w:szCs w:val="18"/>
              </w:rPr>
              <w:t xml:space="preserve"> and implement</w:t>
            </w:r>
            <w:r>
              <w:rPr>
                <w:szCs w:val="18"/>
              </w:rPr>
              <w:t>ing</w:t>
            </w:r>
            <w:r w:rsidRPr="00674F20">
              <w:rPr>
                <w:szCs w:val="18"/>
              </w:rPr>
              <w:t xml:space="preserve"> strategic plans for </w:t>
            </w:r>
            <w:r>
              <w:rPr>
                <w:szCs w:val="18"/>
              </w:rPr>
              <w:t>providing</w:t>
            </w:r>
            <w:r w:rsidRPr="00674F20">
              <w:rPr>
                <w:szCs w:val="18"/>
              </w:rPr>
              <w:t xml:space="preserve"> culturally sensitive services and </w:t>
            </w:r>
            <w:r>
              <w:rPr>
                <w:szCs w:val="18"/>
              </w:rPr>
              <w:t xml:space="preserve">for </w:t>
            </w:r>
            <w:r w:rsidRPr="00674F20">
              <w:rPr>
                <w:szCs w:val="18"/>
              </w:rPr>
              <w:t>establish</w:t>
            </w:r>
            <w:r>
              <w:rPr>
                <w:szCs w:val="18"/>
              </w:rPr>
              <w:t>ing</w:t>
            </w:r>
            <w:r w:rsidRPr="00674F20">
              <w:rPr>
                <w:szCs w:val="18"/>
              </w:rPr>
              <w:t xml:space="preserve"> and maint</w:t>
            </w:r>
            <w:r>
              <w:rPr>
                <w:szCs w:val="18"/>
              </w:rPr>
              <w:t>aining</w:t>
            </w:r>
            <w:r w:rsidRPr="00674F20">
              <w:rPr>
                <w:szCs w:val="18"/>
              </w:rPr>
              <w:t xml:space="preserve"> partnerships with ethnic community groups and bilingual health workers.</w:t>
            </w:r>
          </w:p>
        </w:tc>
      </w:tr>
      <w:tr w:rsidR="005B699B" w:rsidRPr="004E0550" w14:paraId="33A5EA84" w14:textId="77777777" w:rsidTr="00A751A1">
        <w:trPr>
          <w:cantSplit/>
        </w:trPr>
        <w:tc>
          <w:tcPr>
            <w:tcW w:w="1267" w:type="dxa"/>
          </w:tcPr>
          <w:p w14:paraId="35A3C24D" w14:textId="77777777" w:rsidR="005B699B" w:rsidRPr="00674F20" w:rsidRDefault="005B699B" w:rsidP="00785BA1">
            <w:pPr>
              <w:pStyle w:val="Tabletext9pt"/>
              <w:rPr>
                <w:szCs w:val="18"/>
              </w:rPr>
            </w:pPr>
            <w:r w:rsidRPr="00674F20">
              <w:rPr>
                <w:szCs w:val="18"/>
              </w:rPr>
              <w:t>15267</w:t>
            </w:r>
          </w:p>
        </w:tc>
        <w:tc>
          <w:tcPr>
            <w:tcW w:w="2802" w:type="dxa"/>
          </w:tcPr>
          <w:p w14:paraId="6661C17D" w14:textId="77777777" w:rsidR="005B699B" w:rsidRPr="00674F20" w:rsidRDefault="005B699B" w:rsidP="00785BA1">
            <w:pPr>
              <w:pStyle w:val="Tabletext9pt"/>
              <w:rPr>
                <w:szCs w:val="18"/>
              </w:rPr>
            </w:pPr>
            <w:r w:rsidRPr="00674F20">
              <w:rPr>
                <w:szCs w:val="18"/>
              </w:rPr>
              <w:t xml:space="preserve">Research and </w:t>
            </w:r>
            <w:r>
              <w:rPr>
                <w:szCs w:val="18"/>
              </w:rPr>
              <w:t>ev</w:t>
            </w:r>
            <w:r w:rsidRPr="00674F20">
              <w:rPr>
                <w:szCs w:val="18"/>
              </w:rPr>
              <w:t>aluation</w:t>
            </w:r>
          </w:p>
        </w:tc>
        <w:tc>
          <w:tcPr>
            <w:tcW w:w="5230" w:type="dxa"/>
          </w:tcPr>
          <w:p w14:paraId="4F48B71E" w14:textId="77777777" w:rsidR="005B699B" w:rsidRPr="00674F20" w:rsidRDefault="005B699B" w:rsidP="00785BA1">
            <w:pPr>
              <w:pStyle w:val="Tabletext9pt"/>
              <w:rPr>
                <w:szCs w:val="18"/>
              </w:rPr>
            </w:pPr>
            <w:r w:rsidRPr="00674F20">
              <w:rPr>
                <w:szCs w:val="18"/>
              </w:rPr>
              <w:t>All activities associated with academic appointments, research, and evaluation.</w:t>
            </w:r>
          </w:p>
        </w:tc>
      </w:tr>
      <w:tr w:rsidR="005B699B" w:rsidRPr="004E0550" w14:paraId="7009D71E" w14:textId="77777777" w:rsidTr="00A751A1">
        <w:trPr>
          <w:cantSplit/>
        </w:trPr>
        <w:tc>
          <w:tcPr>
            <w:tcW w:w="1267" w:type="dxa"/>
          </w:tcPr>
          <w:p w14:paraId="7F22A403" w14:textId="77777777" w:rsidR="005B699B" w:rsidRPr="00674F20" w:rsidRDefault="005B699B" w:rsidP="00785BA1">
            <w:pPr>
              <w:pStyle w:val="Tabletext9pt"/>
              <w:rPr>
                <w:szCs w:val="18"/>
              </w:rPr>
            </w:pPr>
            <w:r w:rsidRPr="00674F20">
              <w:rPr>
                <w:szCs w:val="18"/>
              </w:rPr>
              <w:t>15272</w:t>
            </w:r>
          </w:p>
        </w:tc>
        <w:tc>
          <w:tcPr>
            <w:tcW w:w="2802" w:type="dxa"/>
          </w:tcPr>
          <w:p w14:paraId="6EFB1407" w14:textId="77777777" w:rsidR="005B699B" w:rsidRPr="00674F20" w:rsidRDefault="005B699B" w:rsidP="00785BA1">
            <w:pPr>
              <w:pStyle w:val="Tabletext9pt"/>
              <w:rPr>
                <w:szCs w:val="18"/>
              </w:rPr>
            </w:pPr>
            <w:r w:rsidRPr="00674F20">
              <w:rPr>
                <w:szCs w:val="18"/>
              </w:rPr>
              <w:t>Quality incentive strategy</w:t>
            </w:r>
          </w:p>
        </w:tc>
        <w:tc>
          <w:tcPr>
            <w:tcW w:w="5230" w:type="dxa"/>
          </w:tcPr>
          <w:p w14:paraId="313C4402" w14:textId="77777777" w:rsidR="005B699B" w:rsidRPr="00674F20" w:rsidRDefault="005B699B" w:rsidP="00785BA1">
            <w:pPr>
              <w:pStyle w:val="Tabletext9pt"/>
              <w:rPr>
                <w:szCs w:val="18"/>
              </w:rPr>
            </w:pPr>
            <w:r w:rsidRPr="00674F20">
              <w:rPr>
                <w:szCs w:val="18"/>
              </w:rPr>
              <w:t>Financial incentives for service quality in adult, aged persons and child and adolescent mental health services. The QIS includes measures of consumer and carer satisfaction, service responsiveness and timeliness of data reporting.</w:t>
            </w:r>
          </w:p>
        </w:tc>
      </w:tr>
      <w:tr w:rsidR="005B699B" w:rsidRPr="004E0550" w14:paraId="1109631B" w14:textId="77777777" w:rsidTr="00A751A1">
        <w:trPr>
          <w:cantSplit/>
        </w:trPr>
        <w:tc>
          <w:tcPr>
            <w:tcW w:w="1267" w:type="dxa"/>
          </w:tcPr>
          <w:p w14:paraId="448E844C" w14:textId="77777777" w:rsidR="005B699B" w:rsidRPr="00674F20" w:rsidRDefault="005B699B" w:rsidP="00785BA1">
            <w:pPr>
              <w:pStyle w:val="Tabletext9pt"/>
              <w:rPr>
                <w:szCs w:val="18"/>
              </w:rPr>
            </w:pPr>
            <w:r w:rsidRPr="00674F20">
              <w:rPr>
                <w:szCs w:val="18"/>
              </w:rPr>
              <w:t>15300</w:t>
            </w:r>
          </w:p>
        </w:tc>
        <w:tc>
          <w:tcPr>
            <w:tcW w:w="2802" w:type="dxa"/>
          </w:tcPr>
          <w:p w14:paraId="2A762EC1" w14:textId="77777777" w:rsidR="005B699B" w:rsidRPr="00674F20" w:rsidRDefault="005B699B" w:rsidP="00785BA1">
            <w:pPr>
              <w:pStyle w:val="Tabletext9pt"/>
              <w:rPr>
                <w:szCs w:val="18"/>
              </w:rPr>
            </w:pPr>
            <w:r w:rsidRPr="00674F20">
              <w:rPr>
                <w:szCs w:val="18"/>
              </w:rPr>
              <w:t>Conduct disorder program</w:t>
            </w:r>
          </w:p>
        </w:tc>
        <w:tc>
          <w:tcPr>
            <w:tcW w:w="5230" w:type="dxa"/>
          </w:tcPr>
          <w:p w14:paraId="12EC5F1C" w14:textId="77777777" w:rsidR="005B699B" w:rsidRPr="00674F20" w:rsidRDefault="005B699B" w:rsidP="00785BA1">
            <w:pPr>
              <w:pStyle w:val="Tabletext9pt"/>
              <w:rPr>
                <w:szCs w:val="18"/>
              </w:rPr>
            </w:pPr>
            <w:r w:rsidRPr="00674F20">
              <w:rPr>
                <w:szCs w:val="18"/>
              </w:rPr>
              <w:t>Services that provide prevention programs for children and young people at risk and clinical services for those with established conduct disorder.</w:t>
            </w:r>
          </w:p>
        </w:tc>
      </w:tr>
      <w:tr w:rsidR="005B699B" w:rsidRPr="004E0550" w14:paraId="5F5F46EA" w14:textId="77777777" w:rsidTr="00A751A1">
        <w:trPr>
          <w:cantSplit/>
        </w:trPr>
        <w:tc>
          <w:tcPr>
            <w:tcW w:w="1267" w:type="dxa"/>
          </w:tcPr>
          <w:p w14:paraId="302BC38C" w14:textId="77777777" w:rsidR="005B699B" w:rsidRPr="00674F20" w:rsidRDefault="005B699B" w:rsidP="00785BA1">
            <w:pPr>
              <w:pStyle w:val="Tabletext9pt"/>
              <w:rPr>
                <w:szCs w:val="18"/>
              </w:rPr>
            </w:pPr>
            <w:r w:rsidRPr="00674F20">
              <w:rPr>
                <w:szCs w:val="18"/>
              </w:rPr>
              <w:t>15320</w:t>
            </w:r>
          </w:p>
        </w:tc>
        <w:tc>
          <w:tcPr>
            <w:tcW w:w="2802" w:type="dxa"/>
          </w:tcPr>
          <w:p w14:paraId="19F9A94E" w14:textId="77777777" w:rsidR="005B699B" w:rsidRPr="00674F20" w:rsidRDefault="005B699B" w:rsidP="00785BA1">
            <w:pPr>
              <w:pStyle w:val="Tabletext9pt"/>
              <w:rPr>
                <w:szCs w:val="18"/>
              </w:rPr>
            </w:pPr>
            <w:r w:rsidRPr="00674F20">
              <w:rPr>
                <w:szCs w:val="18"/>
              </w:rPr>
              <w:t>Early psychosis program</w:t>
            </w:r>
          </w:p>
        </w:tc>
        <w:tc>
          <w:tcPr>
            <w:tcW w:w="5230" w:type="dxa"/>
          </w:tcPr>
          <w:p w14:paraId="19E0C7D7" w14:textId="77777777" w:rsidR="005B699B" w:rsidRPr="00674F20" w:rsidRDefault="005B699B" w:rsidP="00785BA1">
            <w:pPr>
              <w:pStyle w:val="Tabletext9pt"/>
              <w:rPr>
                <w:szCs w:val="18"/>
              </w:rPr>
            </w:pPr>
            <w:r w:rsidRPr="00674F20">
              <w:rPr>
                <w:szCs w:val="18"/>
              </w:rPr>
              <w:t>Specialist treatment and improved continuity of care services for young people with an emerging disorder, particularly coexisting substance abuse problems.</w:t>
            </w:r>
          </w:p>
        </w:tc>
      </w:tr>
      <w:tr w:rsidR="005B699B" w:rsidRPr="004E0550" w14:paraId="061D37CA" w14:textId="77777777" w:rsidTr="00A751A1">
        <w:trPr>
          <w:cantSplit/>
        </w:trPr>
        <w:tc>
          <w:tcPr>
            <w:tcW w:w="1267" w:type="dxa"/>
          </w:tcPr>
          <w:p w14:paraId="6530679B" w14:textId="77777777" w:rsidR="005B699B" w:rsidRPr="00674F20" w:rsidRDefault="005B699B" w:rsidP="00785BA1">
            <w:pPr>
              <w:pStyle w:val="Tabletext9pt"/>
              <w:rPr>
                <w:szCs w:val="18"/>
              </w:rPr>
            </w:pPr>
            <w:r w:rsidRPr="00674F20">
              <w:rPr>
                <w:szCs w:val="18"/>
              </w:rPr>
              <w:t>15321</w:t>
            </w:r>
          </w:p>
        </w:tc>
        <w:tc>
          <w:tcPr>
            <w:tcW w:w="2802" w:type="dxa"/>
          </w:tcPr>
          <w:p w14:paraId="0D039508" w14:textId="77777777" w:rsidR="005B699B" w:rsidRPr="00674F20" w:rsidRDefault="005B699B" w:rsidP="00785BA1">
            <w:pPr>
              <w:pStyle w:val="Tabletext9pt"/>
              <w:rPr>
                <w:szCs w:val="18"/>
              </w:rPr>
            </w:pPr>
            <w:r w:rsidRPr="00674F20">
              <w:rPr>
                <w:szCs w:val="18"/>
              </w:rPr>
              <w:t>Koori liaison officers</w:t>
            </w:r>
          </w:p>
        </w:tc>
        <w:tc>
          <w:tcPr>
            <w:tcW w:w="5230" w:type="dxa"/>
          </w:tcPr>
          <w:p w14:paraId="5D7900B6" w14:textId="77777777" w:rsidR="005B699B" w:rsidRPr="00674F20" w:rsidRDefault="005B699B" w:rsidP="00785BA1">
            <w:pPr>
              <w:pStyle w:val="Tabletext9pt"/>
              <w:rPr>
                <w:szCs w:val="18"/>
              </w:rPr>
            </w:pPr>
            <w:r w:rsidRPr="00674F20">
              <w:rPr>
                <w:szCs w:val="18"/>
              </w:rPr>
              <w:t>All activities associated with the mental health Koori liaison positions.</w:t>
            </w:r>
          </w:p>
        </w:tc>
      </w:tr>
      <w:tr w:rsidR="005B699B" w:rsidRPr="004E0550" w14:paraId="02E28010" w14:textId="77777777" w:rsidTr="00A751A1">
        <w:trPr>
          <w:cantSplit/>
        </w:trPr>
        <w:tc>
          <w:tcPr>
            <w:tcW w:w="1267" w:type="dxa"/>
          </w:tcPr>
          <w:p w14:paraId="29F1E28D" w14:textId="77777777" w:rsidR="005B699B" w:rsidRPr="00674F20" w:rsidRDefault="005B699B" w:rsidP="00785BA1">
            <w:pPr>
              <w:pStyle w:val="Tabletext9pt"/>
              <w:rPr>
                <w:szCs w:val="18"/>
              </w:rPr>
            </w:pPr>
            <w:r w:rsidRPr="00674F20">
              <w:rPr>
                <w:szCs w:val="18"/>
              </w:rPr>
              <w:t>15351</w:t>
            </w:r>
          </w:p>
        </w:tc>
        <w:tc>
          <w:tcPr>
            <w:tcW w:w="2802" w:type="dxa"/>
          </w:tcPr>
          <w:p w14:paraId="3F8D0E78" w14:textId="77777777" w:rsidR="005B699B" w:rsidRPr="00674F20" w:rsidRDefault="005B699B" w:rsidP="00785BA1">
            <w:pPr>
              <w:pStyle w:val="Tabletext9pt"/>
              <w:rPr>
                <w:szCs w:val="18"/>
              </w:rPr>
            </w:pPr>
            <w:r w:rsidRPr="00674F20">
              <w:rPr>
                <w:szCs w:val="18"/>
              </w:rPr>
              <w:t xml:space="preserve">Community specialist </w:t>
            </w:r>
            <w:r>
              <w:rPr>
                <w:szCs w:val="18"/>
              </w:rPr>
              <w:t>statewide</w:t>
            </w:r>
            <w:r w:rsidRPr="00674F20">
              <w:rPr>
                <w:szCs w:val="18"/>
              </w:rPr>
              <w:t xml:space="preserve"> services – eating disorders</w:t>
            </w:r>
          </w:p>
        </w:tc>
        <w:tc>
          <w:tcPr>
            <w:tcW w:w="5230" w:type="dxa"/>
          </w:tcPr>
          <w:p w14:paraId="2170E3DE" w14:textId="77777777" w:rsidR="005B699B" w:rsidRPr="00674F20" w:rsidRDefault="005B699B" w:rsidP="00785BA1">
            <w:pPr>
              <w:pStyle w:val="Tabletext9pt"/>
              <w:rPr>
                <w:szCs w:val="18"/>
              </w:rPr>
            </w:pPr>
            <w:r w:rsidRPr="00674F20">
              <w:rPr>
                <w:szCs w:val="18"/>
              </w:rPr>
              <w:t xml:space="preserve">A range of specialist clinical community mental health assessment, treatment or consultancy services that support eating disorder groups on a </w:t>
            </w:r>
            <w:r>
              <w:rPr>
                <w:szCs w:val="18"/>
              </w:rPr>
              <w:t>statewide</w:t>
            </w:r>
            <w:r w:rsidRPr="00674F20">
              <w:rPr>
                <w:szCs w:val="18"/>
              </w:rPr>
              <w:t>, interregional or specific catchment area basis. The focus of these community services is on a clinical service provision to people with a mental illness.</w:t>
            </w:r>
          </w:p>
        </w:tc>
      </w:tr>
      <w:tr w:rsidR="005B699B" w:rsidRPr="004E0550" w14:paraId="67578183" w14:textId="77777777" w:rsidTr="00A751A1">
        <w:trPr>
          <w:cantSplit/>
        </w:trPr>
        <w:tc>
          <w:tcPr>
            <w:tcW w:w="1267" w:type="dxa"/>
          </w:tcPr>
          <w:p w14:paraId="46579312" w14:textId="77777777" w:rsidR="005B699B" w:rsidRPr="00674F20" w:rsidRDefault="005B699B" w:rsidP="00785BA1">
            <w:pPr>
              <w:pStyle w:val="Tabletext9pt"/>
              <w:rPr>
                <w:szCs w:val="18"/>
              </w:rPr>
            </w:pPr>
            <w:r w:rsidRPr="00674F20">
              <w:rPr>
                <w:szCs w:val="18"/>
              </w:rPr>
              <w:t>15352</w:t>
            </w:r>
          </w:p>
        </w:tc>
        <w:tc>
          <w:tcPr>
            <w:tcW w:w="2802" w:type="dxa"/>
          </w:tcPr>
          <w:p w14:paraId="28B1E84B" w14:textId="77777777" w:rsidR="005B699B" w:rsidRPr="00674F20" w:rsidRDefault="005B699B" w:rsidP="00785BA1">
            <w:pPr>
              <w:pStyle w:val="Tabletext9pt"/>
              <w:rPr>
                <w:szCs w:val="18"/>
              </w:rPr>
            </w:pPr>
            <w:r w:rsidRPr="00674F20">
              <w:rPr>
                <w:szCs w:val="18"/>
              </w:rPr>
              <w:t xml:space="preserve">Aged </w:t>
            </w:r>
            <w:r>
              <w:rPr>
                <w:szCs w:val="18"/>
              </w:rPr>
              <w:t>p</w:t>
            </w:r>
            <w:r w:rsidRPr="00674F20">
              <w:rPr>
                <w:szCs w:val="18"/>
              </w:rPr>
              <w:t xml:space="preserve">ersons </w:t>
            </w:r>
            <w:r>
              <w:rPr>
                <w:szCs w:val="18"/>
              </w:rPr>
              <w:t>i</w:t>
            </w:r>
            <w:r w:rsidRPr="00674F20">
              <w:rPr>
                <w:szCs w:val="18"/>
              </w:rPr>
              <w:t xml:space="preserve">ntensive </w:t>
            </w:r>
            <w:r>
              <w:rPr>
                <w:szCs w:val="18"/>
              </w:rPr>
              <w:t>c</w:t>
            </w:r>
            <w:r w:rsidRPr="00674F20">
              <w:rPr>
                <w:szCs w:val="18"/>
              </w:rPr>
              <w:t xml:space="preserve">ommunity </w:t>
            </w:r>
            <w:r>
              <w:rPr>
                <w:szCs w:val="18"/>
              </w:rPr>
              <w:t>t</w:t>
            </w:r>
            <w:r w:rsidRPr="00674F20">
              <w:rPr>
                <w:szCs w:val="18"/>
              </w:rPr>
              <w:t>reatment</w:t>
            </w:r>
          </w:p>
        </w:tc>
        <w:tc>
          <w:tcPr>
            <w:tcW w:w="5230" w:type="dxa"/>
          </w:tcPr>
          <w:p w14:paraId="4C294C0E" w14:textId="77777777" w:rsidR="005B699B" w:rsidRPr="00674F20" w:rsidRDefault="005B699B" w:rsidP="00785BA1">
            <w:pPr>
              <w:pStyle w:val="Tabletext9pt"/>
              <w:rPr>
                <w:szCs w:val="18"/>
              </w:rPr>
            </w:pPr>
            <w:r w:rsidRPr="00674F20">
              <w:rPr>
                <w:szCs w:val="18"/>
              </w:rPr>
              <w:t xml:space="preserve">Short-term assessment and treatment for </w:t>
            </w:r>
            <w:r>
              <w:rPr>
                <w:szCs w:val="18"/>
              </w:rPr>
              <w:t>people</w:t>
            </w:r>
            <w:r w:rsidRPr="00674F20">
              <w:rPr>
                <w:szCs w:val="18"/>
              </w:rPr>
              <w:t xml:space="preserve"> over 65 years of age with acute symptoms of a mental illness, delivered in community settings.</w:t>
            </w:r>
          </w:p>
        </w:tc>
      </w:tr>
      <w:tr w:rsidR="005B699B" w:rsidRPr="004E0550" w14:paraId="22FAC223" w14:textId="77777777" w:rsidTr="00A751A1">
        <w:trPr>
          <w:cantSplit/>
        </w:trPr>
        <w:tc>
          <w:tcPr>
            <w:tcW w:w="1267" w:type="dxa"/>
          </w:tcPr>
          <w:p w14:paraId="231062EC" w14:textId="77777777" w:rsidR="005B699B" w:rsidRPr="00674F20" w:rsidRDefault="005B699B" w:rsidP="00785BA1">
            <w:pPr>
              <w:pStyle w:val="Tabletext9pt"/>
              <w:rPr>
                <w:szCs w:val="18"/>
              </w:rPr>
            </w:pPr>
            <w:r w:rsidRPr="00674F20">
              <w:rPr>
                <w:szCs w:val="18"/>
              </w:rPr>
              <w:lastRenderedPageBreak/>
              <w:t>15353</w:t>
            </w:r>
          </w:p>
        </w:tc>
        <w:tc>
          <w:tcPr>
            <w:tcW w:w="2802" w:type="dxa"/>
          </w:tcPr>
          <w:p w14:paraId="46AFB387" w14:textId="77777777" w:rsidR="005B699B" w:rsidRPr="00674F20" w:rsidRDefault="005B699B" w:rsidP="00785BA1">
            <w:pPr>
              <w:pStyle w:val="Tabletext9pt"/>
              <w:rPr>
                <w:szCs w:val="18"/>
              </w:rPr>
            </w:pPr>
            <w:r w:rsidRPr="00674F20">
              <w:rPr>
                <w:szCs w:val="18"/>
              </w:rPr>
              <w:t xml:space="preserve">Acute </w:t>
            </w:r>
            <w:r>
              <w:rPr>
                <w:szCs w:val="18"/>
              </w:rPr>
              <w:t>c</w:t>
            </w:r>
            <w:r w:rsidRPr="00674F20">
              <w:rPr>
                <w:szCs w:val="18"/>
              </w:rPr>
              <w:t>are – Mother</w:t>
            </w:r>
            <w:r>
              <w:rPr>
                <w:szCs w:val="18"/>
              </w:rPr>
              <w:t>–</w:t>
            </w:r>
            <w:r w:rsidRPr="00674F20">
              <w:rPr>
                <w:szCs w:val="18"/>
              </w:rPr>
              <w:t>Baby</w:t>
            </w:r>
            <w:r>
              <w:rPr>
                <w:szCs w:val="18"/>
              </w:rPr>
              <w:t xml:space="preserve"> (now known as Parent and Infant services)</w:t>
            </w:r>
          </w:p>
        </w:tc>
        <w:tc>
          <w:tcPr>
            <w:tcW w:w="5230" w:type="dxa"/>
          </w:tcPr>
          <w:p w14:paraId="5D8719EF" w14:textId="77777777" w:rsidR="005B699B" w:rsidRPr="00674F20" w:rsidRDefault="005B699B" w:rsidP="00785BA1">
            <w:pPr>
              <w:pStyle w:val="Tabletext9pt"/>
              <w:rPr>
                <w:szCs w:val="18"/>
              </w:rPr>
            </w:pPr>
            <w:r w:rsidRPr="00674F20">
              <w:rPr>
                <w:szCs w:val="18"/>
              </w:rPr>
              <w:t xml:space="preserve">A range of specialist clinical inpatient mental health assessment, treatment or consultancy services </w:t>
            </w:r>
            <w:r>
              <w:rPr>
                <w:szCs w:val="18"/>
              </w:rPr>
              <w:t>that</w:t>
            </w:r>
            <w:r w:rsidRPr="00674F20">
              <w:rPr>
                <w:szCs w:val="18"/>
              </w:rPr>
              <w:t xml:space="preserve"> support mother and baby groups on a </w:t>
            </w:r>
            <w:r>
              <w:rPr>
                <w:szCs w:val="18"/>
              </w:rPr>
              <w:t>statewide</w:t>
            </w:r>
            <w:r w:rsidRPr="00674F20">
              <w:rPr>
                <w:szCs w:val="18"/>
              </w:rPr>
              <w:t>, interregional or specific catchment area basis. The focus of these inpatient services is on clinical service provision to people with a mental illness.</w:t>
            </w:r>
          </w:p>
        </w:tc>
      </w:tr>
      <w:tr w:rsidR="005B699B" w:rsidRPr="004E0550" w14:paraId="2723F1BE" w14:textId="77777777" w:rsidTr="00A751A1">
        <w:trPr>
          <w:cantSplit/>
        </w:trPr>
        <w:tc>
          <w:tcPr>
            <w:tcW w:w="1267" w:type="dxa"/>
          </w:tcPr>
          <w:p w14:paraId="08F68A2A" w14:textId="77777777" w:rsidR="005B699B" w:rsidRPr="00674F20" w:rsidRDefault="005B699B" w:rsidP="00785BA1">
            <w:pPr>
              <w:pStyle w:val="Tabletext9pt"/>
              <w:rPr>
                <w:szCs w:val="18"/>
              </w:rPr>
            </w:pPr>
            <w:r w:rsidRPr="00674F20">
              <w:rPr>
                <w:szCs w:val="18"/>
              </w:rPr>
              <w:t>15354</w:t>
            </w:r>
          </w:p>
        </w:tc>
        <w:tc>
          <w:tcPr>
            <w:tcW w:w="2802" w:type="dxa"/>
          </w:tcPr>
          <w:p w14:paraId="751F31BD" w14:textId="77777777" w:rsidR="005B699B" w:rsidRPr="00674F20" w:rsidRDefault="005B699B" w:rsidP="00785BA1">
            <w:pPr>
              <w:pStyle w:val="Tabletext9pt"/>
              <w:rPr>
                <w:szCs w:val="18"/>
              </w:rPr>
            </w:pPr>
            <w:r w:rsidRPr="00674F20">
              <w:rPr>
                <w:szCs w:val="18"/>
              </w:rPr>
              <w:t>Acute care – eating disorders</w:t>
            </w:r>
          </w:p>
        </w:tc>
        <w:tc>
          <w:tcPr>
            <w:tcW w:w="5230" w:type="dxa"/>
          </w:tcPr>
          <w:p w14:paraId="48C4209D" w14:textId="77777777" w:rsidR="005B699B" w:rsidRPr="00674F20" w:rsidRDefault="005B699B" w:rsidP="00785BA1">
            <w:pPr>
              <w:pStyle w:val="Tabletext9pt"/>
              <w:rPr>
                <w:szCs w:val="18"/>
              </w:rPr>
            </w:pPr>
            <w:r w:rsidRPr="00674F20">
              <w:rPr>
                <w:szCs w:val="18"/>
              </w:rPr>
              <w:t xml:space="preserve">A range of specialist clinical inpatient mental health assessment, treatment or consultancy services </w:t>
            </w:r>
            <w:r>
              <w:rPr>
                <w:szCs w:val="18"/>
              </w:rPr>
              <w:t>that</w:t>
            </w:r>
            <w:r w:rsidRPr="00674F20">
              <w:rPr>
                <w:szCs w:val="18"/>
              </w:rPr>
              <w:t xml:space="preserve"> support eating disorder groups on a </w:t>
            </w:r>
            <w:r>
              <w:rPr>
                <w:szCs w:val="18"/>
              </w:rPr>
              <w:t>statewide</w:t>
            </w:r>
            <w:r w:rsidRPr="00674F20">
              <w:rPr>
                <w:szCs w:val="18"/>
              </w:rPr>
              <w:t>, interregional or specific catchment area basis. The focus of these inpatient services is on clinical service provision to people with a mental illness.</w:t>
            </w:r>
          </w:p>
        </w:tc>
      </w:tr>
      <w:tr w:rsidR="005B699B" w:rsidRPr="004E0550" w14:paraId="62293509" w14:textId="77777777" w:rsidTr="00A751A1">
        <w:trPr>
          <w:cantSplit/>
        </w:trPr>
        <w:tc>
          <w:tcPr>
            <w:tcW w:w="1267" w:type="dxa"/>
          </w:tcPr>
          <w:p w14:paraId="28FDBD2C" w14:textId="77777777" w:rsidR="005B699B" w:rsidRPr="00674F20" w:rsidRDefault="005B699B" w:rsidP="00785BA1">
            <w:pPr>
              <w:pStyle w:val="Tabletext9pt"/>
              <w:rPr>
                <w:szCs w:val="18"/>
              </w:rPr>
            </w:pPr>
            <w:r w:rsidRPr="00674F20">
              <w:rPr>
                <w:szCs w:val="18"/>
              </w:rPr>
              <w:t>15355</w:t>
            </w:r>
          </w:p>
        </w:tc>
        <w:tc>
          <w:tcPr>
            <w:tcW w:w="2802" w:type="dxa"/>
          </w:tcPr>
          <w:p w14:paraId="294F0ED6" w14:textId="77777777" w:rsidR="005B699B" w:rsidRPr="00674F20" w:rsidRDefault="005B699B" w:rsidP="00785BA1">
            <w:pPr>
              <w:pStyle w:val="Tabletext9pt"/>
              <w:rPr>
                <w:szCs w:val="18"/>
              </w:rPr>
            </w:pPr>
            <w:r w:rsidRPr="00674F20">
              <w:rPr>
                <w:szCs w:val="18"/>
              </w:rPr>
              <w:t>Emergency department crisis assessment</w:t>
            </w:r>
          </w:p>
        </w:tc>
        <w:tc>
          <w:tcPr>
            <w:tcW w:w="5230" w:type="dxa"/>
          </w:tcPr>
          <w:p w14:paraId="58F8F704" w14:textId="77777777" w:rsidR="005B699B" w:rsidRPr="00674F20" w:rsidRDefault="005B699B" w:rsidP="00785BA1">
            <w:pPr>
              <w:pStyle w:val="Tabletext9pt"/>
              <w:rPr>
                <w:szCs w:val="18"/>
              </w:rPr>
            </w:pPr>
            <w:r w:rsidRPr="00674F20">
              <w:rPr>
                <w:szCs w:val="18"/>
              </w:rPr>
              <w:t xml:space="preserve">Extended-hours coverage in emergency departments for mobile crisis services that provide effective assessment and treatment throughout the community to </w:t>
            </w:r>
            <w:r>
              <w:rPr>
                <w:szCs w:val="18"/>
              </w:rPr>
              <w:t>people</w:t>
            </w:r>
            <w:r w:rsidRPr="00674F20">
              <w:rPr>
                <w:szCs w:val="18"/>
              </w:rPr>
              <w:t xml:space="preserve"> in crisis due to a mental illness.</w:t>
            </w:r>
          </w:p>
        </w:tc>
      </w:tr>
      <w:tr w:rsidR="005B699B" w:rsidRPr="004E0550" w14:paraId="20FEFE24" w14:textId="77777777" w:rsidTr="00A751A1">
        <w:trPr>
          <w:cantSplit/>
        </w:trPr>
        <w:tc>
          <w:tcPr>
            <w:tcW w:w="1267" w:type="dxa"/>
          </w:tcPr>
          <w:p w14:paraId="61E47947" w14:textId="77777777" w:rsidR="005B699B" w:rsidRPr="00674F20" w:rsidRDefault="005B699B" w:rsidP="00785BA1">
            <w:pPr>
              <w:pStyle w:val="Tabletext9pt"/>
              <w:rPr>
                <w:szCs w:val="18"/>
              </w:rPr>
            </w:pPr>
            <w:r w:rsidRPr="00674F20">
              <w:rPr>
                <w:szCs w:val="18"/>
              </w:rPr>
              <w:t>15357</w:t>
            </w:r>
          </w:p>
        </w:tc>
        <w:tc>
          <w:tcPr>
            <w:tcW w:w="2802" w:type="dxa"/>
          </w:tcPr>
          <w:p w14:paraId="150D7EEC" w14:textId="77777777" w:rsidR="005B699B" w:rsidRPr="00674F20" w:rsidRDefault="005B699B" w:rsidP="00785BA1">
            <w:pPr>
              <w:pStyle w:val="Tabletext9pt"/>
              <w:rPr>
                <w:szCs w:val="18"/>
              </w:rPr>
            </w:pPr>
            <w:r w:rsidRPr="00674F20">
              <w:rPr>
                <w:szCs w:val="18"/>
              </w:rPr>
              <w:t>Community specialist</w:t>
            </w:r>
            <w:r>
              <w:rPr>
                <w:szCs w:val="18"/>
              </w:rPr>
              <w:t xml:space="preserve"> statewide</w:t>
            </w:r>
            <w:r w:rsidRPr="00674F20">
              <w:rPr>
                <w:szCs w:val="18"/>
              </w:rPr>
              <w:t xml:space="preserve"> services – non-government</w:t>
            </w:r>
          </w:p>
        </w:tc>
        <w:tc>
          <w:tcPr>
            <w:tcW w:w="5230" w:type="dxa"/>
          </w:tcPr>
          <w:p w14:paraId="41CAED50" w14:textId="77777777" w:rsidR="005B699B" w:rsidRPr="00674F20" w:rsidRDefault="005B699B" w:rsidP="00785BA1">
            <w:pPr>
              <w:pStyle w:val="Tabletext9pt"/>
              <w:rPr>
                <w:szCs w:val="18"/>
              </w:rPr>
            </w:pPr>
            <w:r w:rsidRPr="00674F20">
              <w:rPr>
                <w:szCs w:val="18"/>
              </w:rPr>
              <w:t xml:space="preserve">A range of specialist clinical community mental health assessment, treatment or consultancy services delivered by non-government organisations </w:t>
            </w:r>
            <w:r>
              <w:rPr>
                <w:szCs w:val="18"/>
              </w:rPr>
              <w:t>that</w:t>
            </w:r>
            <w:r w:rsidRPr="00674F20">
              <w:rPr>
                <w:szCs w:val="18"/>
              </w:rPr>
              <w:t xml:space="preserve"> support groups on a </w:t>
            </w:r>
            <w:r>
              <w:rPr>
                <w:szCs w:val="18"/>
              </w:rPr>
              <w:t>statewide</w:t>
            </w:r>
            <w:r w:rsidRPr="00674F20">
              <w:rPr>
                <w:szCs w:val="18"/>
              </w:rPr>
              <w:t>, interregional or specific catchment area basis. The focus of these community services is clinical service provision to people with a mental illness.</w:t>
            </w:r>
          </w:p>
        </w:tc>
      </w:tr>
      <w:tr w:rsidR="005B699B" w:rsidRPr="004E0550" w14:paraId="26BED345" w14:textId="77777777" w:rsidTr="00A751A1">
        <w:trPr>
          <w:cantSplit/>
        </w:trPr>
        <w:tc>
          <w:tcPr>
            <w:tcW w:w="1267" w:type="dxa"/>
          </w:tcPr>
          <w:p w14:paraId="71686A04" w14:textId="77777777" w:rsidR="005B699B" w:rsidRPr="00674F20" w:rsidRDefault="005B699B" w:rsidP="00785BA1">
            <w:pPr>
              <w:pStyle w:val="Tabletext9pt"/>
              <w:rPr>
                <w:szCs w:val="18"/>
              </w:rPr>
            </w:pPr>
            <w:r w:rsidRPr="00674F20">
              <w:rPr>
                <w:szCs w:val="18"/>
              </w:rPr>
              <w:t>15359</w:t>
            </w:r>
          </w:p>
        </w:tc>
        <w:tc>
          <w:tcPr>
            <w:tcW w:w="2802" w:type="dxa"/>
          </w:tcPr>
          <w:p w14:paraId="4DB80B78" w14:textId="77777777" w:rsidR="005B699B" w:rsidRPr="00674F20" w:rsidRDefault="005B699B" w:rsidP="00785BA1">
            <w:pPr>
              <w:pStyle w:val="Tabletext9pt"/>
              <w:rPr>
                <w:szCs w:val="18"/>
              </w:rPr>
            </w:pPr>
            <w:r w:rsidRPr="00674F20">
              <w:rPr>
                <w:szCs w:val="18"/>
              </w:rPr>
              <w:t>System Capacity Development – Non-Government</w:t>
            </w:r>
          </w:p>
        </w:tc>
        <w:tc>
          <w:tcPr>
            <w:tcW w:w="5230" w:type="dxa"/>
          </w:tcPr>
          <w:p w14:paraId="289CE9B7" w14:textId="77777777" w:rsidR="005B699B" w:rsidRPr="00674F20" w:rsidRDefault="005B699B" w:rsidP="00785BA1">
            <w:pPr>
              <w:pStyle w:val="Tabletext9pt"/>
              <w:rPr>
                <w:szCs w:val="18"/>
              </w:rPr>
            </w:pPr>
            <w:r>
              <w:rPr>
                <w:szCs w:val="18"/>
              </w:rPr>
              <w:t>B</w:t>
            </w:r>
            <w:r w:rsidRPr="00674F20">
              <w:rPr>
                <w:szCs w:val="18"/>
              </w:rPr>
              <w:t>lock grants provided for a specified purpose or as a contribution towards a program that assists with developing system capacity. They exclude funding for clinical positions.</w:t>
            </w:r>
          </w:p>
        </w:tc>
      </w:tr>
      <w:tr w:rsidR="005B699B" w:rsidRPr="004E0550" w14:paraId="06727434" w14:textId="77777777" w:rsidTr="00A751A1">
        <w:trPr>
          <w:cantSplit/>
        </w:trPr>
        <w:tc>
          <w:tcPr>
            <w:tcW w:w="1267" w:type="dxa"/>
          </w:tcPr>
          <w:p w14:paraId="01BBC3FB" w14:textId="77777777" w:rsidR="005B699B" w:rsidRPr="00674F20" w:rsidRDefault="005B699B" w:rsidP="00785BA1">
            <w:pPr>
              <w:pStyle w:val="Tabletext9pt"/>
              <w:rPr>
                <w:szCs w:val="18"/>
              </w:rPr>
            </w:pPr>
            <w:r w:rsidRPr="00674F20">
              <w:rPr>
                <w:szCs w:val="18"/>
              </w:rPr>
              <w:t>15361</w:t>
            </w:r>
          </w:p>
        </w:tc>
        <w:tc>
          <w:tcPr>
            <w:tcW w:w="2802" w:type="dxa"/>
          </w:tcPr>
          <w:p w14:paraId="1B5A135B" w14:textId="77777777" w:rsidR="005B699B" w:rsidRPr="00674F20" w:rsidRDefault="005B699B" w:rsidP="00785BA1">
            <w:pPr>
              <w:pStyle w:val="Tabletext9pt"/>
              <w:rPr>
                <w:szCs w:val="18"/>
              </w:rPr>
            </w:pPr>
            <w:r w:rsidRPr="00674F20">
              <w:rPr>
                <w:szCs w:val="18"/>
              </w:rPr>
              <w:t>Academic positions – other</w:t>
            </w:r>
          </w:p>
        </w:tc>
        <w:tc>
          <w:tcPr>
            <w:tcW w:w="5230" w:type="dxa"/>
          </w:tcPr>
          <w:p w14:paraId="69A5531D" w14:textId="77777777" w:rsidR="005B699B" w:rsidRPr="00674F20" w:rsidRDefault="005B699B" w:rsidP="00785BA1">
            <w:pPr>
              <w:pStyle w:val="Tabletext9pt"/>
              <w:rPr>
                <w:szCs w:val="18"/>
              </w:rPr>
            </w:pPr>
            <w:r w:rsidRPr="00674F20">
              <w:rPr>
                <w:szCs w:val="18"/>
              </w:rPr>
              <w:t>All activities associated with specified academic positions attached to tertiary institutions, regardless of the location of the position.</w:t>
            </w:r>
          </w:p>
        </w:tc>
      </w:tr>
      <w:tr w:rsidR="005B699B" w:rsidRPr="004E0550" w14:paraId="0694F40C" w14:textId="77777777" w:rsidTr="00A751A1">
        <w:trPr>
          <w:cantSplit/>
        </w:trPr>
        <w:tc>
          <w:tcPr>
            <w:tcW w:w="1267" w:type="dxa"/>
          </w:tcPr>
          <w:p w14:paraId="6FE09B3F" w14:textId="77777777" w:rsidR="005B699B" w:rsidRPr="00674F20" w:rsidRDefault="005B699B" w:rsidP="00785BA1">
            <w:pPr>
              <w:pStyle w:val="Tabletext9pt"/>
              <w:rPr>
                <w:szCs w:val="18"/>
              </w:rPr>
            </w:pPr>
            <w:r w:rsidRPr="00674F20">
              <w:rPr>
                <w:szCs w:val="18"/>
              </w:rPr>
              <w:t>15362</w:t>
            </w:r>
          </w:p>
        </w:tc>
        <w:tc>
          <w:tcPr>
            <w:tcW w:w="2802" w:type="dxa"/>
          </w:tcPr>
          <w:p w14:paraId="16B0AE1C" w14:textId="77777777" w:rsidR="005B699B" w:rsidRPr="00674F20" w:rsidRDefault="005B699B" w:rsidP="00785BA1">
            <w:pPr>
              <w:pStyle w:val="Tabletext9pt"/>
              <w:rPr>
                <w:szCs w:val="18"/>
              </w:rPr>
            </w:pPr>
            <w:r w:rsidRPr="00674F20">
              <w:rPr>
                <w:szCs w:val="18"/>
              </w:rPr>
              <w:t>Workforce support</w:t>
            </w:r>
          </w:p>
        </w:tc>
        <w:tc>
          <w:tcPr>
            <w:tcW w:w="5230" w:type="dxa"/>
          </w:tcPr>
          <w:p w14:paraId="13142325" w14:textId="77777777" w:rsidR="005B699B" w:rsidRPr="00674F20" w:rsidRDefault="005B699B" w:rsidP="00785BA1">
            <w:pPr>
              <w:pStyle w:val="Tabletext9pt"/>
              <w:rPr>
                <w:szCs w:val="18"/>
              </w:rPr>
            </w:pPr>
            <w:r w:rsidRPr="00674F20">
              <w:rPr>
                <w:szCs w:val="18"/>
              </w:rPr>
              <w:t xml:space="preserve">Specialist clinical inpatient mental health assessment, short-term admission and treatment services that support neuropsychiatric disorders on a </w:t>
            </w:r>
            <w:r>
              <w:rPr>
                <w:szCs w:val="18"/>
              </w:rPr>
              <w:t>statewide</w:t>
            </w:r>
            <w:r w:rsidRPr="00674F20">
              <w:rPr>
                <w:szCs w:val="18"/>
              </w:rPr>
              <w:t>, interregional or specific catchment area basis.</w:t>
            </w:r>
          </w:p>
        </w:tc>
      </w:tr>
      <w:tr w:rsidR="005B699B" w:rsidRPr="004E0550" w14:paraId="040D9855" w14:textId="77777777" w:rsidTr="00A751A1">
        <w:trPr>
          <w:cantSplit/>
        </w:trPr>
        <w:tc>
          <w:tcPr>
            <w:tcW w:w="1267" w:type="dxa"/>
          </w:tcPr>
          <w:p w14:paraId="1B632D47" w14:textId="77777777" w:rsidR="005B699B" w:rsidRPr="00674F20" w:rsidRDefault="005B699B" w:rsidP="00785BA1">
            <w:pPr>
              <w:pStyle w:val="Tabletext9pt"/>
              <w:rPr>
                <w:szCs w:val="18"/>
              </w:rPr>
            </w:pPr>
            <w:r w:rsidRPr="00674F20">
              <w:rPr>
                <w:szCs w:val="18"/>
              </w:rPr>
              <w:t>15366</w:t>
            </w:r>
          </w:p>
        </w:tc>
        <w:tc>
          <w:tcPr>
            <w:tcW w:w="2802" w:type="dxa"/>
          </w:tcPr>
          <w:p w14:paraId="46CCCA1E" w14:textId="77777777" w:rsidR="005B699B" w:rsidRPr="00674F20" w:rsidRDefault="005B699B" w:rsidP="00785BA1">
            <w:pPr>
              <w:pStyle w:val="Tabletext9pt"/>
              <w:rPr>
                <w:szCs w:val="18"/>
              </w:rPr>
            </w:pPr>
            <w:r w:rsidRPr="00674F20">
              <w:rPr>
                <w:szCs w:val="18"/>
              </w:rPr>
              <w:t>Suicide prevention</w:t>
            </w:r>
          </w:p>
        </w:tc>
        <w:tc>
          <w:tcPr>
            <w:tcW w:w="5230" w:type="dxa"/>
          </w:tcPr>
          <w:p w14:paraId="3972CC1F" w14:textId="77777777" w:rsidR="005B699B" w:rsidRPr="00674F20" w:rsidRDefault="005B699B" w:rsidP="00785BA1">
            <w:pPr>
              <w:pStyle w:val="Tabletext9pt"/>
              <w:rPr>
                <w:szCs w:val="18"/>
              </w:rPr>
            </w:pPr>
            <w:r w:rsidRPr="00674F20">
              <w:rPr>
                <w:szCs w:val="18"/>
              </w:rPr>
              <w:t xml:space="preserve">Programs </w:t>
            </w:r>
            <w:r>
              <w:rPr>
                <w:szCs w:val="18"/>
              </w:rPr>
              <w:t xml:space="preserve">that aim to reduce suicide among adults (26+) and young people (0–25). Programs that </w:t>
            </w:r>
            <w:r w:rsidRPr="00674F20">
              <w:rPr>
                <w:szCs w:val="18"/>
              </w:rPr>
              <w:t xml:space="preserve">provide preventive support, activities, and early intervention services to </w:t>
            </w:r>
            <w:r>
              <w:rPr>
                <w:szCs w:val="18"/>
              </w:rPr>
              <w:t>adults</w:t>
            </w:r>
            <w:r w:rsidDel="00B3759D">
              <w:rPr>
                <w:szCs w:val="18"/>
              </w:rPr>
              <w:t xml:space="preserve"> </w:t>
            </w:r>
            <w:r>
              <w:rPr>
                <w:szCs w:val="18"/>
              </w:rPr>
              <w:t xml:space="preserve">and </w:t>
            </w:r>
            <w:r w:rsidRPr="00674F20">
              <w:rPr>
                <w:szCs w:val="18"/>
              </w:rPr>
              <w:t xml:space="preserve">young </w:t>
            </w:r>
            <w:r>
              <w:rPr>
                <w:szCs w:val="18"/>
              </w:rPr>
              <w:t xml:space="preserve">people </w:t>
            </w:r>
            <w:r w:rsidRPr="00674F20">
              <w:rPr>
                <w:szCs w:val="18"/>
              </w:rPr>
              <w:t>their family and friends and the broader community.</w:t>
            </w:r>
            <w:r>
              <w:rPr>
                <w:szCs w:val="18"/>
              </w:rPr>
              <w:t xml:space="preserve"> Includes the Hospital Outreach Post-suicidal Engagement (HOPE) program.</w:t>
            </w:r>
          </w:p>
        </w:tc>
      </w:tr>
      <w:tr w:rsidR="005B699B" w14:paraId="53D84445" w14:textId="77777777" w:rsidTr="00A751A1">
        <w:trPr>
          <w:cantSplit/>
        </w:trPr>
        <w:tc>
          <w:tcPr>
            <w:tcW w:w="1267" w:type="dxa"/>
          </w:tcPr>
          <w:p w14:paraId="1899AAE8" w14:textId="77777777" w:rsidR="005B699B" w:rsidRDefault="005B699B" w:rsidP="00785BA1">
            <w:pPr>
              <w:pStyle w:val="Tabletext9pt"/>
              <w:rPr>
                <w:szCs w:val="18"/>
              </w:rPr>
            </w:pPr>
            <w:r>
              <w:rPr>
                <w:szCs w:val="18"/>
              </w:rPr>
              <w:t>15060</w:t>
            </w:r>
          </w:p>
        </w:tc>
        <w:tc>
          <w:tcPr>
            <w:tcW w:w="2802" w:type="dxa"/>
          </w:tcPr>
          <w:p w14:paraId="5A3E3855" w14:textId="77777777" w:rsidR="005B699B" w:rsidRDefault="005B699B" w:rsidP="00785BA1">
            <w:pPr>
              <w:pStyle w:val="Tabletext9pt"/>
              <w:rPr>
                <w:szCs w:val="18"/>
              </w:rPr>
            </w:pPr>
            <w:r>
              <w:rPr>
                <w:szCs w:val="18"/>
              </w:rPr>
              <w:t>Mental health and AOD hubs</w:t>
            </w:r>
          </w:p>
        </w:tc>
        <w:tc>
          <w:tcPr>
            <w:tcW w:w="5230" w:type="dxa"/>
          </w:tcPr>
          <w:p w14:paraId="2003FB9C" w14:textId="48DFB034" w:rsidR="005B699B" w:rsidRDefault="005B699B" w:rsidP="00785BA1">
            <w:pPr>
              <w:pStyle w:val="Tabletext9pt"/>
              <w:rPr>
                <w:szCs w:val="18"/>
              </w:rPr>
            </w:pPr>
            <w:r>
              <w:rPr>
                <w:szCs w:val="18"/>
              </w:rPr>
              <w:t xml:space="preserve">People presenting at emergency departments with acute mental health and </w:t>
            </w:r>
            <w:r w:rsidDel="00F90553">
              <w:rPr>
                <w:szCs w:val="18"/>
              </w:rPr>
              <w:t xml:space="preserve">AOD </w:t>
            </w:r>
            <w:r>
              <w:rPr>
                <w:szCs w:val="18"/>
              </w:rPr>
              <w:t>issues can be fast-tracked to specialist, dedicated care, providing them with the right support sooner and easing pressure on emergency departments</w:t>
            </w:r>
            <w:r w:rsidRPr="001A147A">
              <w:rPr>
                <w:szCs w:val="18"/>
              </w:rPr>
              <w:t>.</w:t>
            </w:r>
          </w:p>
        </w:tc>
      </w:tr>
      <w:tr w:rsidR="005B699B" w14:paraId="55B3F2C8" w14:textId="77777777" w:rsidTr="00A751A1">
        <w:trPr>
          <w:cantSplit/>
        </w:trPr>
        <w:tc>
          <w:tcPr>
            <w:tcW w:w="1267" w:type="dxa"/>
          </w:tcPr>
          <w:p w14:paraId="2ABFF88A" w14:textId="77777777" w:rsidR="005B699B" w:rsidRDefault="005B699B" w:rsidP="00785BA1">
            <w:pPr>
              <w:pStyle w:val="Tabletext9pt"/>
              <w:rPr>
                <w:szCs w:val="18"/>
              </w:rPr>
            </w:pPr>
            <w:r>
              <w:rPr>
                <w:szCs w:val="18"/>
              </w:rPr>
              <w:t>38001</w:t>
            </w:r>
          </w:p>
        </w:tc>
        <w:tc>
          <w:tcPr>
            <w:tcW w:w="2802" w:type="dxa"/>
          </w:tcPr>
          <w:p w14:paraId="21AE8812" w14:textId="77777777" w:rsidR="005B699B" w:rsidRDefault="005B699B" w:rsidP="00785BA1">
            <w:pPr>
              <w:pStyle w:val="Tabletext9pt"/>
              <w:rPr>
                <w:szCs w:val="18"/>
              </w:rPr>
            </w:pPr>
            <w:r w:rsidRPr="001A147A">
              <w:rPr>
                <w:szCs w:val="18"/>
              </w:rPr>
              <w:t>Family violence reform</w:t>
            </w:r>
          </w:p>
          <w:p w14:paraId="3FA6EE62" w14:textId="77777777" w:rsidR="005B699B" w:rsidRPr="001A147A" w:rsidRDefault="005B699B" w:rsidP="00785BA1">
            <w:pPr>
              <w:pStyle w:val="Tabletext9pt"/>
              <w:rPr>
                <w:szCs w:val="18"/>
              </w:rPr>
            </w:pPr>
            <w:r>
              <w:rPr>
                <w:szCs w:val="18"/>
              </w:rPr>
              <w:t>(not mental health output)</w:t>
            </w:r>
          </w:p>
        </w:tc>
        <w:tc>
          <w:tcPr>
            <w:tcW w:w="5230" w:type="dxa"/>
          </w:tcPr>
          <w:p w14:paraId="02140943" w14:textId="01E79120" w:rsidR="005B699B" w:rsidRPr="001A147A" w:rsidRDefault="005B699B" w:rsidP="00785BA1">
            <w:pPr>
              <w:pStyle w:val="Tabletext9pt"/>
              <w:rPr>
                <w:szCs w:val="18"/>
              </w:rPr>
            </w:pPr>
            <w:r w:rsidRPr="001A147A">
              <w:rPr>
                <w:szCs w:val="18"/>
              </w:rPr>
              <w:t xml:space="preserve">Specialist </w:t>
            </w:r>
            <w:r>
              <w:rPr>
                <w:szCs w:val="18"/>
              </w:rPr>
              <w:t>f</w:t>
            </w:r>
            <w:r w:rsidRPr="001A147A">
              <w:rPr>
                <w:szCs w:val="18"/>
              </w:rPr>
              <w:t xml:space="preserve">amily </w:t>
            </w:r>
            <w:r>
              <w:rPr>
                <w:szCs w:val="18"/>
              </w:rPr>
              <w:t>v</w:t>
            </w:r>
            <w:r w:rsidRPr="001A147A">
              <w:rPr>
                <w:szCs w:val="18"/>
              </w:rPr>
              <w:t xml:space="preserve">iolence program to drive family violence service development, capacity building and sector collaboration. </w:t>
            </w:r>
            <w:r>
              <w:rPr>
                <w:szCs w:val="18"/>
              </w:rPr>
              <w:t>The program i</w:t>
            </w:r>
            <w:r w:rsidRPr="001A147A">
              <w:rPr>
                <w:szCs w:val="18"/>
              </w:rPr>
              <w:t>ncrease</w:t>
            </w:r>
            <w:r>
              <w:rPr>
                <w:szCs w:val="18"/>
              </w:rPr>
              <w:t>s</w:t>
            </w:r>
            <w:r w:rsidRPr="001A147A">
              <w:rPr>
                <w:szCs w:val="18"/>
              </w:rPr>
              <w:t xml:space="preserve"> the capacity of mental health services and </w:t>
            </w:r>
            <w:r w:rsidRPr="001A147A" w:rsidDel="00F90553">
              <w:rPr>
                <w:szCs w:val="18"/>
              </w:rPr>
              <w:t xml:space="preserve">AOD </w:t>
            </w:r>
            <w:r w:rsidRPr="001A147A">
              <w:rPr>
                <w:szCs w:val="18"/>
              </w:rPr>
              <w:t>agencies to recognise and respond appropriately to family violence at both the agency and individual practitioner levels.</w:t>
            </w:r>
          </w:p>
        </w:tc>
      </w:tr>
      <w:tr w:rsidR="005B699B" w14:paraId="1409A5CC" w14:textId="77777777" w:rsidTr="00A751A1">
        <w:trPr>
          <w:cantSplit/>
        </w:trPr>
        <w:tc>
          <w:tcPr>
            <w:tcW w:w="1267" w:type="dxa"/>
          </w:tcPr>
          <w:p w14:paraId="7375B946" w14:textId="77777777" w:rsidR="005B699B" w:rsidRDefault="005B699B" w:rsidP="00785BA1">
            <w:pPr>
              <w:pStyle w:val="Tabletext9pt"/>
              <w:rPr>
                <w:szCs w:val="18"/>
              </w:rPr>
            </w:pPr>
            <w:r>
              <w:rPr>
                <w:szCs w:val="18"/>
              </w:rPr>
              <w:t>15026</w:t>
            </w:r>
          </w:p>
        </w:tc>
        <w:tc>
          <w:tcPr>
            <w:tcW w:w="2802" w:type="dxa"/>
          </w:tcPr>
          <w:p w14:paraId="0651A260" w14:textId="77777777" w:rsidR="005B699B" w:rsidRPr="001A147A" w:rsidRDefault="005B699B" w:rsidP="00785BA1">
            <w:pPr>
              <w:pStyle w:val="Tabletext9pt"/>
              <w:rPr>
                <w:szCs w:val="18"/>
              </w:rPr>
            </w:pPr>
            <w:r w:rsidRPr="001A147A">
              <w:rPr>
                <w:szCs w:val="18"/>
              </w:rPr>
              <w:t>Child clinical specialist</w:t>
            </w:r>
          </w:p>
        </w:tc>
        <w:tc>
          <w:tcPr>
            <w:tcW w:w="5230" w:type="dxa"/>
          </w:tcPr>
          <w:p w14:paraId="04CEFE97" w14:textId="77777777" w:rsidR="005B699B" w:rsidRPr="001A147A" w:rsidRDefault="005B699B" w:rsidP="00CE12D2">
            <w:pPr>
              <w:pStyle w:val="Tabletext9pt"/>
              <w:numPr>
                <w:ilvl w:val="0"/>
                <w:numId w:val="11"/>
              </w:numPr>
            </w:pPr>
            <w:r>
              <w:t>Improve the leadership and responsiveness in engaging, assessing, and treating children (aged 0–12 years) with behaviour disorders linked to mental illness, such as conduct disorder and precursors, depression and anxiety, and their families/caregivers.</w:t>
            </w:r>
          </w:p>
        </w:tc>
      </w:tr>
      <w:tr w:rsidR="005B699B" w14:paraId="3C84388D" w14:textId="77777777" w:rsidTr="00A751A1">
        <w:trPr>
          <w:cantSplit/>
        </w:trPr>
        <w:tc>
          <w:tcPr>
            <w:tcW w:w="1267" w:type="dxa"/>
          </w:tcPr>
          <w:p w14:paraId="512A4CC3" w14:textId="77777777" w:rsidR="005B699B" w:rsidRDefault="005B699B" w:rsidP="00785BA1">
            <w:pPr>
              <w:pStyle w:val="Tabletext9pt"/>
              <w:rPr>
                <w:szCs w:val="18"/>
              </w:rPr>
            </w:pPr>
            <w:r>
              <w:rPr>
                <w:szCs w:val="18"/>
              </w:rPr>
              <w:lastRenderedPageBreak/>
              <w:t>15057</w:t>
            </w:r>
          </w:p>
        </w:tc>
        <w:tc>
          <w:tcPr>
            <w:tcW w:w="2802" w:type="dxa"/>
          </w:tcPr>
          <w:p w14:paraId="5ECFC3E2" w14:textId="77777777" w:rsidR="005B699B" w:rsidRPr="001A147A" w:rsidRDefault="005B699B" w:rsidP="00785BA1">
            <w:pPr>
              <w:pStyle w:val="Tabletext9pt"/>
              <w:rPr>
                <w:szCs w:val="18"/>
              </w:rPr>
            </w:pPr>
            <w:r w:rsidRPr="001A147A">
              <w:rPr>
                <w:szCs w:val="18"/>
              </w:rPr>
              <w:t xml:space="preserve">PARC </w:t>
            </w:r>
            <w:r>
              <w:rPr>
                <w:szCs w:val="18"/>
              </w:rPr>
              <w:t>s</w:t>
            </w:r>
            <w:r w:rsidRPr="001A147A">
              <w:rPr>
                <w:szCs w:val="18"/>
              </w:rPr>
              <w:t>upplement</w:t>
            </w:r>
          </w:p>
        </w:tc>
        <w:tc>
          <w:tcPr>
            <w:tcW w:w="5230" w:type="dxa"/>
          </w:tcPr>
          <w:p w14:paraId="639A9648" w14:textId="2C7EB277" w:rsidR="005B699B" w:rsidRPr="001A147A" w:rsidRDefault="005B699B" w:rsidP="00785BA1">
            <w:pPr>
              <w:pStyle w:val="Tabletext9pt"/>
              <w:rPr>
                <w:szCs w:val="18"/>
              </w:rPr>
            </w:pPr>
            <w:r w:rsidRPr="001A147A">
              <w:rPr>
                <w:szCs w:val="18"/>
              </w:rPr>
              <w:t>Improve</w:t>
            </w:r>
            <w:r>
              <w:rPr>
                <w:szCs w:val="18"/>
              </w:rPr>
              <w:t>s</w:t>
            </w:r>
            <w:r w:rsidRPr="001A147A">
              <w:rPr>
                <w:szCs w:val="18"/>
              </w:rPr>
              <w:t xml:space="preserve"> the capacity of </w:t>
            </w:r>
            <w:r>
              <w:rPr>
                <w:szCs w:val="18"/>
              </w:rPr>
              <w:t>PARC u</w:t>
            </w:r>
            <w:r w:rsidRPr="001A147A">
              <w:rPr>
                <w:szCs w:val="18"/>
              </w:rPr>
              <w:t>nits to accept patients being discharged from acute inpatient units by</w:t>
            </w:r>
            <w:r>
              <w:rPr>
                <w:szCs w:val="18"/>
              </w:rPr>
              <w:t xml:space="preserve"> </w:t>
            </w:r>
            <w:r w:rsidRPr="001A147A">
              <w:rPr>
                <w:szCs w:val="18"/>
              </w:rPr>
              <w:t xml:space="preserve">providing extra clinical input. </w:t>
            </w:r>
          </w:p>
        </w:tc>
      </w:tr>
      <w:tr w:rsidR="005B699B" w14:paraId="245EE2F3" w14:textId="77777777" w:rsidTr="00A751A1">
        <w:trPr>
          <w:cantSplit/>
        </w:trPr>
        <w:tc>
          <w:tcPr>
            <w:tcW w:w="1267" w:type="dxa"/>
          </w:tcPr>
          <w:p w14:paraId="377A3E62" w14:textId="77777777" w:rsidR="005B699B" w:rsidRDefault="005B699B" w:rsidP="00785BA1">
            <w:pPr>
              <w:pStyle w:val="Tabletext9pt"/>
              <w:rPr>
                <w:szCs w:val="18"/>
              </w:rPr>
            </w:pPr>
            <w:r>
              <w:rPr>
                <w:szCs w:val="18"/>
              </w:rPr>
              <w:t>15054</w:t>
            </w:r>
          </w:p>
        </w:tc>
        <w:tc>
          <w:tcPr>
            <w:tcW w:w="2802" w:type="dxa"/>
          </w:tcPr>
          <w:p w14:paraId="67B8022D" w14:textId="77777777" w:rsidR="005B699B" w:rsidRPr="001A147A" w:rsidRDefault="005B699B" w:rsidP="00785BA1">
            <w:pPr>
              <w:pStyle w:val="Tabletext9pt"/>
              <w:rPr>
                <w:szCs w:val="18"/>
              </w:rPr>
            </w:pPr>
            <w:r w:rsidRPr="001A147A">
              <w:rPr>
                <w:szCs w:val="18"/>
              </w:rPr>
              <w:t xml:space="preserve">Aboriginal </w:t>
            </w:r>
            <w:r>
              <w:rPr>
                <w:szCs w:val="18"/>
              </w:rPr>
              <w:t>M</w:t>
            </w:r>
            <w:r w:rsidRPr="001A147A">
              <w:rPr>
                <w:szCs w:val="18"/>
              </w:rPr>
              <w:t xml:space="preserve">ental </w:t>
            </w:r>
            <w:r>
              <w:rPr>
                <w:szCs w:val="18"/>
              </w:rPr>
              <w:t>H</w:t>
            </w:r>
            <w:r w:rsidRPr="001A147A">
              <w:rPr>
                <w:szCs w:val="18"/>
              </w:rPr>
              <w:t xml:space="preserve">ealth </w:t>
            </w:r>
            <w:r>
              <w:rPr>
                <w:szCs w:val="18"/>
              </w:rPr>
              <w:t>T</w:t>
            </w:r>
            <w:r w:rsidRPr="001A147A">
              <w:rPr>
                <w:szCs w:val="18"/>
              </w:rPr>
              <w:t xml:space="preserve">raineeship </w:t>
            </w:r>
            <w:r>
              <w:rPr>
                <w:szCs w:val="18"/>
              </w:rPr>
              <w:t>P</w:t>
            </w:r>
            <w:r w:rsidRPr="001A147A">
              <w:rPr>
                <w:szCs w:val="18"/>
              </w:rPr>
              <w:t>rogram</w:t>
            </w:r>
          </w:p>
        </w:tc>
        <w:tc>
          <w:tcPr>
            <w:tcW w:w="5230" w:type="dxa"/>
          </w:tcPr>
          <w:p w14:paraId="19386A9E" w14:textId="77777777" w:rsidR="005B699B" w:rsidRPr="001A147A" w:rsidRDefault="005B699B" w:rsidP="00785BA1">
            <w:pPr>
              <w:pStyle w:val="Tabletext9pt"/>
              <w:rPr>
                <w:szCs w:val="18"/>
              </w:rPr>
            </w:pPr>
            <w:r w:rsidRPr="001A147A">
              <w:rPr>
                <w:szCs w:val="18"/>
              </w:rPr>
              <w:t xml:space="preserve">All activities associated with supporting full-time employment to 10 Aboriginal mental health </w:t>
            </w:r>
            <w:r>
              <w:rPr>
                <w:szCs w:val="18"/>
              </w:rPr>
              <w:t>t</w:t>
            </w:r>
            <w:r w:rsidRPr="001A147A">
              <w:rPr>
                <w:szCs w:val="18"/>
              </w:rPr>
              <w:t>r</w:t>
            </w:r>
            <w:r>
              <w:rPr>
                <w:szCs w:val="18"/>
              </w:rPr>
              <w:t>a</w:t>
            </w:r>
            <w:r w:rsidRPr="001A147A">
              <w:rPr>
                <w:szCs w:val="18"/>
              </w:rPr>
              <w:t>ineeship positions who will undergo supervised workplace training and clinical placements over three years while concurrently completing the three-year full-time Bachelor of Health Science (Mental Health) degree at Charles Sturt University.</w:t>
            </w:r>
          </w:p>
        </w:tc>
      </w:tr>
      <w:tr w:rsidR="005B699B" w14:paraId="51B47EF1" w14:textId="77777777" w:rsidTr="00A751A1">
        <w:trPr>
          <w:cantSplit/>
        </w:trPr>
        <w:tc>
          <w:tcPr>
            <w:tcW w:w="1267" w:type="dxa"/>
          </w:tcPr>
          <w:p w14:paraId="67355CEA" w14:textId="77777777" w:rsidR="005B699B" w:rsidRDefault="005B699B" w:rsidP="00785BA1">
            <w:pPr>
              <w:pStyle w:val="Tabletext9pt"/>
              <w:rPr>
                <w:szCs w:val="18"/>
              </w:rPr>
            </w:pPr>
            <w:r>
              <w:rPr>
                <w:szCs w:val="18"/>
              </w:rPr>
              <w:t>15300</w:t>
            </w:r>
          </w:p>
        </w:tc>
        <w:tc>
          <w:tcPr>
            <w:tcW w:w="2802" w:type="dxa"/>
          </w:tcPr>
          <w:p w14:paraId="053A78A5" w14:textId="77777777" w:rsidR="005B699B" w:rsidRPr="001A147A" w:rsidRDefault="005B699B" w:rsidP="00785BA1">
            <w:pPr>
              <w:pStyle w:val="Tabletext9pt"/>
              <w:rPr>
                <w:szCs w:val="18"/>
              </w:rPr>
            </w:pPr>
            <w:r w:rsidRPr="001A147A">
              <w:rPr>
                <w:szCs w:val="18"/>
              </w:rPr>
              <w:t xml:space="preserve">Personality </w:t>
            </w:r>
            <w:r>
              <w:rPr>
                <w:szCs w:val="18"/>
              </w:rPr>
              <w:t>D</w:t>
            </w:r>
            <w:r w:rsidRPr="001A147A">
              <w:rPr>
                <w:szCs w:val="18"/>
              </w:rPr>
              <w:t xml:space="preserve">isorder </w:t>
            </w:r>
            <w:r>
              <w:rPr>
                <w:szCs w:val="18"/>
              </w:rPr>
              <w:t>S</w:t>
            </w:r>
            <w:r w:rsidRPr="001A147A">
              <w:rPr>
                <w:szCs w:val="18"/>
              </w:rPr>
              <w:t xml:space="preserve">pecialist </w:t>
            </w:r>
            <w:r>
              <w:rPr>
                <w:szCs w:val="18"/>
              </w:rPr>
              <w:t>P</w:t>
            </w:r>
            <w:r w:rsidRPr="001A147A">
              <w:rPr>
                <w:szCs w:val="18"/>
              </w:rPr>
              <w:t>rogram</w:t>
            </w:r>
          </w:p>
        </w:tc>
        <w:tc>
          <w:tcPr>
            <w:tcW w:w="5230" w:type="dxa"/>
          </w:tcPr>
          <w:p w14:paraId="2F32FA2E" w14:textId="77777777" w:rsidR="005B699B" w:rsidRPr="001A147A" w:rsidRDefault="005B699B" w:rsidP="00785BA1">
            <w:pPr>
              <w:pStyle w:val="Tabletext9pt"/>
              <w:rPr>
                <w:szCs w:val="18"/>
              </w:rPr>
            </w:pPr>
            <w:r w:rsidRPr="001A147A">
              <w:rPr>
                <w:szCs w:val="18"/>
              </w:rPr>
              <w:t>Assessment, treatment, and support for people with severe personality disorders who are at high risk of suicide, high</w:t>
            </w:r>
            <w:r>
              <w:rPr>
                <w:szCs w:val="18"/>
              </w:rPr>
              <w:t>-</w:t>
            </w:r>
            <w:r w:rsidRPr="001A147A">
              <w:rPr>
                <w:szCs w:val="18"/>
              </w:rPr>
              <w:t>lethality self-harm or violent or aggressive behaviours</w:t>
            </w:r>
            <w:r>
              <w:rPr>
                <w:szCs w:val="18"/>
              </w:rPr>
              <w:t>.</w:t>
            </w:r>
          </w:p>
        </w:tc>
      </w:tr>
      <w:tr w:rsidR="005B699B" w14:paraId="75615918" w14:textId="77777777" w:rsidTr="00A751A1">
        <w:trPr>
          <w:cantSplit/>
        </w:trPr>
        <w:tc>
          <w:tcPr>
            <w:tcW w:w="1267" w:type="dxa"/>
          </w:tcPr>
          <w:p w14:paraId="1476C14A" w14:textId="77777777" w:rsidR="005B699B" w:rsidRDefault="005B699B" w:rsidP="00785BA1">
            <w:pPr>
              <w:pStyle w:val="Tabletext9pt"/>
              <w:rPr>
                <w:szCs w:val="18"/>
              </w:rPr>
            </w:pPr>
            <w:r>
              <w:rPr>
                <w:szCs w:val="18"/>
              </w:rPr>
              <w:t>15365</w:t>
            </w:r>
          </w:p>
        </w:tc>
        <w:tc>
          <w:tcPr>
            <w:tcW w:w="2802" w:type="dxa"/>
          </w:tcPr>
          <w:p w14:paraId="2AE1F047" w14:textId="77777777" w:rsidR="005B699B" w:rsidRPr="001A147A" w:rsidRDefault="005B699B" w:rsidP="00785BA1">
            <w:pPr>
              <w:pStyle w:val="Tabletext9pt"/>
              <w:rPr>
                <w:szCs w:val="18"/>
              </w:rPr>
            </w:pPr>
            <w:r>
              <w:rPr>
                <w:szCs w:val="18"/>
              </w:rPr>
              <w:t>Perinatal Emotional Health Program</w:t>
            </w:r>
          </w:p>
        </w:tc>
        <w:tc>
          <w:tcPr>
            <w:tcW w:w="5230" w:type="dxa"/>
          </w:tcPr>
          <w:p w14:paraId="38CB96B4" w14:textId="77777777" w:rsidR="005B699B" w:rsidRPr="002931EF" w:rsidRDefault="005B699B" w:rsidP="00CE12D2">
            <w:pPr>
              <w:pStyle w:val="Tabletext9pt"/>
              <w:numPr>
                <w:ilvl w:val="0"/>
                <w:numId w:val="11"/>
              </w:numPr>
            </w:pPr>
            <w:r>
              <w:t>Improve early detection of antenatal and postnatal depression and provide better support and treatment for expectant and new mothers experiencing depression.</w:t>
            </w:r>
          </w:p>
        </w:tc>
      </w:tr>
      <w:tr w:rsidR="005B699B" w14:paraId="0F951C81" w14:textId="77777777" w:rsidTr="00A751A1">
        <w:trPr>
          <w:cantSplit/>
        </w:trPr>
        <w:tc>
          <w:tcPr>
            <w:tcW w:w="1267" w:type="dxa"/>
          </w:tcPr>
          <w:p w14:paraId="32A3E887" w14:textId="77777777" w:rsidR="005B699B" w:rsidRDefault="005B699B" w:rsidP="00785BA1">
            <w:pPr>
              <w:pStyle w:val="Tabletext9pt"/>
              <w:rPr>
                <w:szCs w:val="18"/>
              </w:rPr>
            </w:pPr>
            <w:r>
              <w:rPr>
                <w:szCs w:val="18"/>
              </w:rPr>
              <w:t>15371</w:t>
            </w:r>
          </w:p>
        </w:tc>
        <w:tc>
          <w:tcPr>
            <w:tcW w:w="2802" w:type="dxa"/>
          </w:tcPr>
          <w:p w14:paraId="551C51CB" w14:textId="77777777" w:rsidR="005B699B" w:rsidRPr="00F22C63" w:rsidRDefault="005B699B" w:rsidP="00CE12D2">
            <w:pPr>
              <w:pStyle w:val="Tabletext9pt"/>
              <w:numPr>
                <w:ilvl w:val="0"/>
                <w:numId w:val="11"/>
              </w:numPr>
            </w:pPr>
            <w:r>
              <w:t>Forensic mental health in community health</w:t>
            </w:r>
          </w:p>
        </w:tc>
        <w:tc>
          <w:tcPr>
            <w:tcW w:w="5230" w:type="dxa"/>
          </w:tcPr>
          <w:p w14:paraId="3A7AAEEA" w14:textId="77777777" w:rsidR="005B699B" w:rsidRPr="00F22C63" w:rsidRDefault="005B699B" w:rsidP="00CE12D2">
            <w:pPr>
              <w:pStyle w:val="Tabletext9pt"/>
              <w:numPr>
                <w:ilvl w:val="0"/>
                <w:numId w:val="11"/>
              </w:numPr>
            </w:pPr>
            <w:r>
              <w:t>Delivery of community-based mental health services and supports to forensic clients with a moderate mental health condition referred by Corrections Victoria.</w:t>
            </w:r>
          </w:p>
        </w:tc>
      </w:tr>
    </w:tbl>
    <w:p w14:paraId="66733E01" w14:textId="1CAEE828" w:rsidR="005B699B" w:rsidRDefault="00F30C16" w:rsidP="00591C30">
      <w:pPr>
        <w:pStyle w:val="Bodyafterfiguretable"/>
      </w:pPr>
      <w:r w:rsidRPr="0051277B">
        <w:fldChar w:fldCharType="begin"/>
      </w:r>
      <w:r w:rsidRPr="0051277B">
        <w:instrText xml:space="preserve"> REF _Ref170115804 </w:instrText>
      </w:r>
      <w:r w:rsidR="0051277B" w:rsidRPr="0013154B">
        <w:instrText xml:space="preserve"> \* MERGEFORMAT </w:instrText>
      </w:r>
      <w:r w:rsidRPr="0051277B">
        <w:fldChar w:fldCharType="separate"/>
      </w:r>
      <w:r w:rsidRPr="0013154B">
        <w:t>Table 1.24: Mental health community support services – outputs and activities 2024–25</w:t>
      </w:r>
      <w:r w:rsidRPr="0051277B">
        <w:fldChar w:fldCharType="end"/>
      </w:r>
      <w:r w:rsidR="005B699B">
        <w:t xml:space="preserve"> shows outputs and activities for m</w:t>
      </w:r>
      <w:r w:rsidR="005B699B" w:rsidRPr="00E7554A">
        <w:t>ental health community support services</w:t>
      </w:r>
      <w:r w:rsidR="005B699B">
        <w:t xml:space="preserve"> (MHCSS). MHCSS are</w:t>
      </w:r>
      <w:r w:rsidR="005B699B" w:rsidDel="00F90553">
        <w:t xml:space="preserve"> </w:t>
      </w:r>
      <w:r w:rsidR="005B699B">
        <w:t>rehabilitation and support services provided to young people and adults with a psychiatric disability, and their families and carers, so that those experiencing mental health problems can access timely, high-quality care and support to recover and reintegrate into the community.</w:t>
      </w:r>
    </w:p>
    <w:p w14:paraId="49DC2525" w14:textId="7D21E8C6" w:rsidR="00A97999" w:rsidRPr="00A97999" w:rsidRDefault="00A97999" w:rsidP="00A97999">
      <w:pPr>
        <w:pStyle w:val="Body"/>
        <w:rPr>
          <w:b/>
          <w:bCs/>
        </w:rPr>
      </w:pPr>
      <w:bookmarkStart w:id="2354" w:name="_Ref170115804"/>
      <w:r w:rsidRPr="00A97999">
        <w:rPr>
          <w:b/>
          <w:bCs/>
        </w:rPr>
        <w:t>Table 1.</w:t>
      </w:r>
      <w:r w:rsidRPr="00A97999">
        <w:rPr>
          <w:b/>
          <w:bCs/>
        </w:rPr>
        <w:fldChar w:fldCharType="begin"/>
      </w:r>
      <w:r w:rsidRPr="00A97999">
        <w:rPr>
          <w:b/>
          <w:bCs/>
        </w:rPr>
        <w:instrText xml:space="preserve"> SEQ Table \* ARABIC </w:instrText>
      </w:r>
      <w:r w:rsidRPr="00A97999">
        <w:rPr>
          <w:b/>
          <w:bCs/>
        </w:rPr>
        <w:fldChar w:fldCharType="separate"/>
      </w:r>
      <w:r w:rsidR="00F30C16">
        <w:rPr>
          <w:b/>
          <w:bCs/>
          <w:noProof/>
        </w:rPr>
        <w:t>24</w:t>
      </w:r>
      <w:r w:rsidRPr="00A97999">
        <w:rPr>
          <w:b/>
          <w:bCs/>
        </w:rPr>
        <w:fldChar w:fldCharType="end"/>
      </w:r>
      <w:r w:rsidRPr="00A97999">
        <w:rPr>
          <w:b/>
          <w:bCs/>
        </w:rPr>
        <w:t>: Mental health community support services – outputs and activities 2024–25</w:t>
      </w:r>
      <w:bookmarkEnd w:id="2354"/>
    </w:p>
    <w:tbl>
      <w:tblPr>
        <w:tblW w:w="9299" w:type="dxa"/>
        <w:tblLook w:val="06A0" w:firstRow="1" w:lastRow="0" w:firstColumn="1" w:lastColumn="0" w:noHBand="1" w:noVBand="1"/>
      </w:tblPr>
      <w:tblGrid>
        <w:gridCol w:w="2001"/>
        <w:gridCol w:w="2956"/>
        <w:gridCol w:w="4342"/>
      </w:tblGrid>
      <w:tr w:rsidR="005B699B" w14:paraId="761D047A" w14:textId="77777777" w:rsidTr="00785BA1">
        <w:trPr>
          <w:cantSplit/>
          <w:tblHeader/>
        </w:trPr>
        <w:tc>
          <w:tcPr>
            <w:tcW w:w="2001" w:type="dxa"/>
            <w:tcBorders>
              <w:top w:val="single" w:sz="4" w:space="0" w:color="auto"/>
              <w:left w:val="single" w:sz="4" w:space="0" w:color="auto"/>
              <w:bottom w:val="single" w:sz="4" w:space="0" w:color="auto"/>
              <w:right w:val="single" w:sz="4" w:space="0" w:color="auto"/>
            </w:tcBorders>
            <w:shd w:val="clear" w:color="auto" w:fill="auto"/>
            <w:hideMark/>
          </w:tcPr>
          <w:p w14:paraId="25513C14" w14:textId="77777777" w:rsidR="005B699B" w:rsidRPr="00F717FB" w:rsidRDefault="005B699B" w:rsidP="00785BA1">
            <w:pPr>
              <w:pStyle w:val="Tablecolhead"/>
              <w:rPr>
                <w:rFonts w:eastAsia="Arial"/>
                <w:szCs w:val="21"/>
              </w:rPr>
            </w:pPr>
            <w:bookmarkStart w:id="2355" w:name="_Toc419623625"/>
            <w:bookmarkStart w:id="2356" w:name="_Toc419623737"/>
            <w:bookmarkStart w:id="2357" w:name="_Toc419644525"/>
            <w:bookmarkStart w:id="2358" w:name="_Toc487742089"/>
            <w:bookmarkEnd w:id="2349"/>
            <w:bookmarkEnd w:id="2350"/>
            <w:bookmarkEnd w:id="2351"/>
            <w:bookmarkEnd w:id="2352"/>
            <w:r w:rsidRPr="00F717FB">
              <w:rPr>
                <w:rFonts w:eastAsia="Arial"/>
                <w:szCs w:val="21"/>
              </w:rPr>
              <w:t>Activity no.</w:t>
            </w:r>
          </w:p>
        </w:tc>
        <w:tc>
          <w:tcPr>
            <w:tcW w:w="2956" w:type="dxa"/>
            <w:tcBorders>
              <w:top w:val="single" w:sz="4" w:space="0" w:color="auto"/>
              <w:left w:val="single" w:sz="4" w:space="0" w:color="auto"/>
              <w:bottom w:val="single" w:sz="4" w:space="0" w:color="auto"/>
              <w:right w:val="single" w:sz="4" w:space="0" w:color="auto"/>
            </w:tcBorders>
            <w:shd w:val="clear" w:color="auto" w:fill="auto"/>
            <w:hideMark/>
          </w:tcPr>
          <w:p w14:paraId="387AA375"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53DD9153"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0D31947D"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5241A8AA" w14:textId="77777777" w:rsidR="005B699B" w:rsidRDefault="005B699B" w:rsidP="00785BA1">
            <w:pPr>
              <w:pStyle w:val="Tabletext9pt"/>
              <w:rPr>
                <w:szCs w:val="18"/>
              </w:rPr>
            </w:pPr>
            <w:r>
              <w:rPr>
                <w:szCs w:val="18"/>
              </w:rPr>
              <w:t>15067</w:t>
            </w:r>
          </w:p>
        </w:tc>
        <w:tc>
          <w:tcPr>
            <w:tcW w:w="2956" w:type="dxa"/>
            <w:tcBorders>
              <w:top w:val="single" w:sz="4" w:space="0" w:color="auto"/>
              <w:left w:val="single" w:sz="4" w:space="0" w:color="auto"/>
              <w:bottom w:val="single" w:sz="4" w:space="0" w:color="auto"/>
              <w:right w:val="single" w:sz="4" w:space="0" w:color="auto"/>
            </w:tcBorders>
            <w:hideMark/>
          </w:tcPr>
          <w:p w14:paraId="3BF074A0" w14:textId="77777777" w:rsidR="005B699B" w:rsidRDefault="005B699B" w:rsidP="00785BA1">
            <w:pPr>
              <w:pStyle w:val="Tabletext9pt"/>
              <w:rPr>
                <w:szCs w:val="18"/>
              </w:rPr>
            </w:pPr>
            <w:r>
              <w:rPr>
                <w:szCs w:val="18"/>
              </w:rPr>
              <w:t>Planned respite – in home</w:t>
            </w:r>
          </w:p>
        </w:tc>
        <w:tc>
          <w:tcPr>
            <w:tcW w:w="4342" w:type="dxa"/>
            <w:tcBorders>
              <w:top w:val="single" w:sz="4" w:space="0" w:color="auto"/>
              <w:left w:val="single" w:sz="4" w:space="0" w:color="auto"/>
              <w:bottom w:val="single" w:sz="4" w:space="0" w:color="auto"/>
              <w:right w:val="single" w:sz="4" w:space="0" w:color="auto"/>
            </w:tcBorders>
            <w:hideMark/>
          </w:tcPr>
          <w:p w14:paraId="12B6E310" w14:textId="77777777" w:rsidR="005B699B" w:rsidRDefault="005B699B" w:rsidP="00785BA1">
            <w:pPr>
              <w:pStyle w:val="Tabletext9pt"/>
              <w:rPr>
                <w:szCs w:val="18"/>
              </w:rPr>
            </w:pPr>
            <w:r>
              <w:rPr>
                <w:szCs w:val="18"/>
              </w:rPr>
              <w:t>In-home planned respite services assist in sustaining existing relationships between people with a mental illness and their carers by providing short-term respite at home.</w:t>
            </w:r>
          </w:p>
        </w:tc>
      </w:tr>
      <w:tr w:rsidR="005B699B" w14:paraId="6847FDC7"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421A3150" w14:textId="77777777" w:rsidR="005B699B" w:rsidRDefault="005B699B" w:rsidP="00785BA1">
            <w:pPr>
              <w:pStyle w:val="Tabletext9pt"/>
              <w:rPr>
                <w:szCs w:val="18"/>
              </w:rPr>
            </w:pPr>
            <w:r>
              <w:rPr>
                <w:szCs w:val="18"/>
              </w:rPr>
              <w:t>15068</w:t>
            </w:r>
          </w:p>
        </w:tc>
        <w:tc>
          <w:tcPr>
            <w:tcW w:w="2956" w:type="dxa"/>
            <w:tcBorders>
              <w:top w:val="single" w:sz="4" w:space="0" w:color="auto"/>
              <w:left w:val="single" w:sz="4" w:space="0" w:color="auto"/>
              <w:bottom w:val="single" w:sz="4" w:space="0" w:color="auto"/>
              <w:right w:val="single" w:sz="4" w:space="0" w:color="auto"/>
            </w:tcBorders>
            <w:hideMark/>
          </w:tcPr>
          <w:p w14:paraId="01E2A2DB" w14:textId="77777777" w:rsidR="005B699B" w:rsidRDefault="005B699B" w:rsidP="00785BA1">
            <w:pPr>
              <w:pStyle w:val="Tabletext9pt"/>
              <w:rPr>
                <w:szCs w:val="18"/>
              </w:rPr>
            </w:pPr>
            <w:r>
              <w:rPr>
                <w:szCs w:val="18"/>
              </w:rPr>
              <w:t>Planned respite – community</w:t>
            </w:r>
          </w:p>
        </w:tc>
        <w:tc>
          <w:tcPr>
            <w:tcW w:w="4342" w:type="dxa"/>
            <w:tcBorders>
              <w:top w:val="single" w:sz="4" w:space="0" w:color="auto"/>
              <w:left w:val="single" w:sz="4" w:space="0" w:color="auto"/>
              <w:bottom w:val="single" w:sz="4" w:space="0" w:color="auto"/>
              <w:right w:val="single" w:sz="4" w:space="0" w:color="auto"/>
            </w:tcBorders>
            <w:hideMark/>
          </w:tcPr>
          <w:p w14:paraId="6E8E6866" w14:textId="77777777" w:rsidR="005B699B" w:rsidRDefault="005B699B" w:rsidP="00785BA1">
            <w:pPr>
              <w:pStyle w:val="Tabletext9pt"/>
              <w:rPr>
                <w:szCs w:val="18"/>
              </w:rPr>
            </w:pPr>
            <w:r>
              <w:rPr>
                <w:szCs w:val="18"/>
              </w:rPr>
              <w:t>Community planned respite services assist in sustaining existing relationships between people with a mental illness and their carers by providing short-term respite in the community.</w:t>
            </w:r>
          </w:p>
        </w:tc>
      </w:tr>
      <w:tr w:rsidR="005B699B" w14:paraId="748565E3"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2CDF9B47" w14:textId="77777777" w:rsidR="005B699B" w:rsidRDefault="005B699B" w:rsidP="00785BA1">
            <w:pPr>
              <w:pStyle w:val="Tabletext9pt"/>
              <w:rPr>
                <w:szCs w:val="18"/>
              </w:rPr>
            </w:pPr>
            <w:r>
              <w:rPr>
                <w:szCs w:val="18"/>
              </w:rPr>
              <w:t>15069</w:t>
            </w:r>
          </w:p>
        </w:tc>
        <w:tc>
          <w:tcPr>
            <w:tcW w:w="2956" w:type="dxa"/>
            <w:tcBorders>
              <w:top w:val="single" w:sz="4" w:space="0" w:color="auto"/>
              <w:left w:val="single" w:sz="4" w:space="0" w:color="auto"/>
              <w:bottom w:val="single" w:sz="4" w:space="0" w:color="auto"/>
              <w:right w:val="single" w:sz="4" w:space="0" w:color="auto"/>
            </w:tcBorders>
            <w:hideMark/>
          </w:tcPr>
          <w:p w14:paraId="1954C06C" w14:textId="77777777" w:rsidR="005B699B" w:rsidRDefault="005B699B" w:rsidP="00785BA1">
            <w:pPr>
              <w:pStyle w:val="Tabletext9pt"/>
              <w:rPr>
                <w:szCs w:val="18"/>
              </w:rPr>
            </w:pPr>
            <w:r>
              <w:rPr>
                <w:szCs w:val="18"/>
              </w:rPr>
              <w:t>Planned respite – residential</w:t>
            </w:r>
          </w:p>
        </w:tc>
        <w:tc>
          <w:tcPr>
            <w:tcW w:w="4342" w:type="dxa"/>
            <w:tcBorders>
              <w:top w:val="single" w:sz="4" w:space="0" w:color="auto"/>
              <w:left w:val="single" w:sz="4" w:space="0" w:color="auto"/>
              <w:bottom w:val="single" w:sz="4" w:space="0" w:color="auto"/>
              <w:right w:val="single" w:sz="4" w:space="0" w:color="auto"/>
            </w:tcBorders>
            <w:hideMark/>
          </w:tcPr>
          <w:p w14:paraId="6366A99A" w14:textId="77777777" w:rsidR="005B699B" w:rsidRDefault="005B699B" w:rsidP="00785BA1">
            <w:pPr>
              <w:pStyle w:val="Tabletext9pt"/>
              <w:rPr>
                <w:szCs w:val="18"/>
              </w:rPr>
            </w:pPr>
            <w:r>
              <w:rPr>
                <w:szCs w:val="18"/>
              </w:rPr>
              <w:t>Residential planned respite services assist in sustaining existing relationships between people with a mental illness and their carers by providing short-term respite in a residential situation.</w:t>
            </w:r>
          </w:p>
        </w:tc>
      </w:tr>
      <w:tr w:rsidR="005B699B" w14:paraId="0398B4C9"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3CA2B9B7" w14:textId="77777777" w:rsidR="005B699B" w:rsidRDefault="005B699B" w:rsidP="00785BA1">
            <w:pPr>
              <w:pStyle w:val="Tabletext9pt"/>
              <w:rPr>
                <w:szCs w:val="18"/>
              </w:rPr>
            </w:pPr>
            <w:r>
              <w:rPr>
                <w:szCs w:val="18"/>
              </w:rPr>
              <w:t>15074</w:t>
            </w:r>
          </w:p>
        </w:tc>
        <w:tc>
          <w:tcPr>
            <w:tcW w:w="2956" w:type="dxa"/>
            <w:tcBorders>
              <w:top w:val="single" w:sz="4" w:space="0" w:color="auto"/>
              <w:left w:val="single" w:sz="4" w:space="0" w:color="auto"/>
              <w:bottom w:val="single" w:sz="4" w:space="0" w:color="auto"/>
              <w:right w:val="single" w:sz="4" w:space="0" w:color="auto"/>
            </w:tcBorders>
            <w:hideMark/>
          </w:tcPr>
          <w:p w14:paraId="49BB6BE2" w14:textId="77777777" w:rsidR="005B699B" w:rsidRDefault="005B699B" w:rsidP="00785BA1">
            <w:pPr>
              <w:pStyle w:val="Tabletext9pt"/>
              <w:rPr>
                <w:szCs w:val="18"/>
              </w:rPr>
            </w:pPr>
            <w:r>
              <w:rPr>
                <w:szCs w:val="18"/>
              </w:rPr>
              <w:t>Training – MHCSS</w:t>
            </w:r>
          </w:p>
        </w:tc>
        <w:tc>
          <w:tcPr>
            <w:tcW w:w="4342" w:type="dxa"/>
            <w:tcBorders>
              <w:top w:val="single" w:sz="4" w:space="0" w:color="auto"/>
              <w:left w:val="single" w:sz="4" w:space="0" w:color="auto"/>
              <w:bottom w:val="single" w:sz="4" w:space="0" w:color="auto"/>
              <w:right w:val="single" w:sz="4" w:space="0" w:color="auto"/>
            </w:tcBorders>
            <w:hideMark/>
          </w:tcPr>
          <w:p w14:paraId="3626A51A" w14:textId="77777777" w:rsidR="005B699B" w:rsidRDefault="005B699B" w:rsidP="00785BA1">
            <w:pPr>
              <w:pStyle w:val="Tabletext9pt"/>
              <w:rPr>
                <w:szCs w:val="18"/>
              </w:rPr>
            </w:pPr>
            <w:r>
              <w:rPr>
                <w:szCs w:val="18"/>
              </w:rPr>
              <w:t>This includes all MHCSS activities associated with training and staff development of funded agency staff. It also includes training for participants of funded agencies and their carers. It does not include training provided as part of a mutual support and self-help (MSSH) service or as part of a community development function of any MHCSS-funded agency.</w:t>
            </w:r>
          </w:p>
        </w:tc>
      </w:tr>
      <w:tr w:rsidR="005B699B" w14:paraId="123C1370"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145C2A6F" w14:textId="77777777" w:rsidR="005B699B" w:rsidRDefault="005B699B" w:rsidP="00785BA1">
            <w:pPr>
              <w:pStyle w:val="Tabletext9pt"/>
              <w:rPr>
                <w:szCs w:val="18"/>
              </w:rPr>
            </w:pPr>
            <w:r>
              <w:rPr>
                <w:szCs w:val="18"/>
              </w:rPr>
              <w:t>15075</w:t>
            </w:r>
          </w:p>
        </w:tc>
        <w:tc>
          <w:tcPr>
            <w:tcW w:w="2956" w:type="dxa"/>
            <w:tcBorders>
              <w:top w:val="single" w:sz="4" w:space="0" w:color="auto"/>
              <w:left w:val="single" w:sz="4" w:space="0" w:color="auto"/>
              <w:bottom w:val="single" w:sz="4" w:space="0" w:color="auto"/>
              <w:right w:val="single" w:sz="4" w:space="0" w:color="auto"/>
            </w:tcBorders>
            <w:hideMark/>
          </w:tcPr>
          <w:p w14:paraId="2ED4ACA2" w14:textId="77777777" w:rsidR="005B699B" w:rsidRDefault="005B699B" w:rsidP="00785BA1">
            <w:pPr>
              <w:pStyle w:val="Tabletext9pt"/>
              <w:rPr>
                <w:szCs w:val="18"/>
              </w:rPr>
            </w:pPr>
            <w:r>
              <w:rPr>
                <w:szCs w:val="18"/>
              </w:rPr>
              <w:t>MHCSS carer support</w:t>
            </w:r>
          </w:p>
        </w:tc>
        <w:tc>
          <w:tcPr>
            <w:tcW w:w="4342" w:type="dxa"/>
            <w:tcBorders>
              <w:top w:val="single" w:sz="4" w:space="0" w:color="auto"/>
              <w:left w:val="single" w:sz="4" w:space="0" w:color="auto"/>
              <w:bottom w:val="single" w:sz="4" w:space="0" w:color="auto"/>
              <w:right w:val="single" w:sz="4" w:space="0" w:color="auto"/>
            </w:tcBorders>
            <w:hideMark/>
          </w:tcPr>
          <w:p w14:paraId="2FEF8131" w14:textId="77777777" w:rsidR="005B699B" w:rsidRDefault="005B699B" w:rsidP="00785BA1">
            <w:pPr>
              <w:pStyle w:val="Tabletext9pt"/>
              <w:rPr>
                <w:szCs w:val="18"/>
              </w:rPr>
            </w:pPr>
            <w:r>
              <w:rPr>
                <w:szCs w:val="18"/>
              </w:rPr>
              <w:t>This includes those services and programs that have as their primary client the carer of a person with a mental illness, and that do not fit into the components of ‘planned respite’ or MSSH.</w:t>
            </w:r>
          </w:p>
        </w:tc>
      </w:tr>
      <w:tr w:rsidR="005B699B" w14:paraId="5BF61634"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25C272FA" w14:textId="77777777" w:rsidR="005B699B" w:rsidRDefault="005B699B" w:rsidP="00785BA1">
            <w:pPr>
              <w:pStyle w:val="Tabletext9pt"/>
              <w:rPr>
                <w:szCs w:val="18"/>
              </w:rPr>
            </w:pPr>
            <w:r>
              <w:rPr>
                <w:szCs w:val="18"/>
              </w:rPr>
              <w:lastRenderedPageBreak/>
              <w:t>15076</w:t>
            </w:r>
          </w:p>
        </w:tc>
        <w:tc>
          <w:tcPr>
            <w:tcW w:w="2956" w:type="dxa"/>
            <w:tcBorders>
              <w:top w:val="single" w:sz="4" w:space="0" w:color="auto"/>
              <w:left w:val="single" w:sz="4" w:space="0" w:color="auto"/>
              <w:bottom w:val="single" w:sz="4" w:space="0" w:color="auto"/>
              <w:right w:val="single" w:sz="4" w:space="0" w:color="auto"/>
            </w:tcBorders>
            <w:hideMark/>
          </w:tcPr>
          <w:p w14:paraId="2FC198A5" w14:textId="77777777" w:rsidR="005B699B" w:rsidRDefault="005B699B" w:rsidP="00785BA1">
            <w:pPr>
              <w:pStyle w:val="Tabletext9pt"/>
              <w:rPr>
                <w:szCs w:val="18"/>
              </w:rPr>
            </w:pPr>
            <w:r>
              <w:rPr>
                <w:szCs w:val="18"/>
              </w:rPr>
              <w:t>MHCSS centrally funded support</w:t>
            </w:r>
          </w:p>
        </w:tc>
        <w:tc>
          <w:tcPr>
            <w:tcW w:w="4342" w:type="dxa"/>
            <w:tcBorders>
              <w:top w:val="single" w:sz="4" w:space="0" w:color="auto"/>
              <w:left w:val="single" w:sz="4" w:space="0" w:color="auto"/>
              <w:bottom w:val="single" w:sz="4" w:space="0" w:color="auto"/>
              <w:right w:val="single" w:sz="4" w:space="0" w:color="auto"/>
            </w:tcBorders>
            <w:hideMark/>
          </w:tcPr>
          <w:p w14:paraId="3109B1C8" w14:textId="77777777" w:rsidR="005B699B" w:rsidRDefault="005B699B" w:rsidP="00785BA1">
            <w:pPr>
              <w:pStyle w:val="Tabletext9pt"/>
              <w:rPr>
                <w:szCs w:val="18"/>
              </w:rPr>
            </w:pPr>
            <w:r>
              <w:rPr>
                <w:szCs w:val="18"/>
              </w:rPr>
              <w:t>Funding provided by central office for MHCSS services on a specific-purpose grant.</w:t>
            </w:r>
          </w:p>
        </w:tc>
      </w:tr>
      <w:tr w:rsidR="005B699B" w14:paraId="1C67CCA1"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0ABEACD9" w14:textId="77777777" w:rsidR="005B699B" w:rsidRDefault="005B699B" w:rsidP="00785BA1">
            <w:pPr>
              <w:pStyle w:val="Tabletext9pt"/>
              <w:rPr>
                <w:szCs w:val="18"/>
              </w:rPr>
            </w:pPr>
            <w:r>
              <w:rPr>
                <w:szCs w:val="18"/>
              </w:rPr>
              <w:t>15091</w:t>
            </w:r>
          </w:p>
        </w:tc>
        <w:tc>
          <w:tcPr>
            <w:tcW w:w="2956" w:type="dxa"/>
            <w:tcBorders>
              <w:top w:val="single" w:sz="4" w:space="0" w:color="auto"/>
              <w:left w:val="single" w:sz="4" w:space="0" w:color="auto"/>
              <w:bottom w:val="single" w:sz="4" w:space="0" w:color="auto"/>
              <w:right w:val="single" w:sz="4" w:space="0" w:color="auto"/>
            </w:tcBorders>
            <w:hideMark/>
          </w:tcPr>
          <w:p w14:paraId="4FF9C025" w14:textId="77777777" w:rsidR="005B699B" w:rsidRDefault="005B699B" w:rsidP="00785BA1">
            <w:pPr>
              <w:pStyle w:val="Tabletext9pt"/>
              <w:rPr>
                <w:szCs w:val="18"/>
              </w:rPr>
            </w:pPr>
            <w:r>
              <w:rPr>
                <w:szCs w:val="18"/>
              </w:rPr>
              <w:t>MSSH statewide specialist availability grant</w:t>
            </w:r>
          </w:p>
        </w:tc>
        <w:tc>
          <w:tcPr>
            <w:tcW w:w="4342" w:type="dxa"/>
            <w:tcBorders>
              <w:top w:val="single" w:sz="4" w:space="0" w:color="auto"/>
              <w:left w:val="single" w:sz="4" w:space="0" w:color="auto"/>
              <w:bottom w:val="single" w:sz="4" w:space="0" w:color="auto"/>
              <w:right w:val="single" w:sz="4" w:space="0" w:color="auto"/>
            </w:tcBorders>
            <w:hideMark/>
          </w:tcPr>
          <w:p w14:paraId="3B4D37F0" w14:textId="77777777" w:rsidR="005B699B" w:rsidRDefault="005B699B" w:rsidP="00785BA1">
            <w:pPr>
              <w:pStyle w:val="Tabletext9pt"/>
              <w:rPr>
                <w:szCs w:val="18"/>
              </w:rPr>
            </w:pPr>
            <w:r>
              <w:rPr>
                <w:szCs w:val="18"/>
              </w:rPr>
              <w:t>Availability grants are only provided to statewide specialist MSSH organisations. This is a block grant that encompasses two of the five core MSSH activities: individual support, referral, and advocacy; and information development and dissemination.</w:t>
            </w:r>
          </w:p>
        </w:tc>
      </w:tr>
      <w:tr w:rsidR="005B699B" w14:paraId="758F6C5D"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5521F92E" w14:textId="77777777" w:rsidR="005B699B" w:rsidRDefault="005B699B" w:rsidP="00785BA1">
            <w:pPr>
              <w:pStyle w:val="Tabletext9pt"/>
              <w:rPr>
                <w:szCs w:val="18"/>
              </w:rPr>
            </w:pPr>
            <w:r>
              <w:rPr>
                <w:szCs w:val="18"/>
              </w:rPr>
              <w:t>15092</w:t>
            </w:r>
          </w:p>
        </w:tc>
        <w:tc>
          <w:tcPr>
            <w:tcW w:w="2956" w:type="dxa"/>
            <w:tcBorders>
              <w:top w:val="single" w:sz="4" w:space="0" w:color="auto"/>
              <w:left w:val="single" w:sz="4" w:space="0" w:color="auto"/>
              <w:bottom w:val="single" w:sz="4" w:space="0" w:color="auto"/>
              <w:right w:val="single" w:sz="4" w:space="0" w:color="auto"/>
            </w:tcBorders>
            <w:hideMark/>
          </w:tcPr>
          <w:p w14:paraId="13613880" w14:textId="77777777" w:rsidR="005B699B" w:rsidRDefault="005B699B" w:rsidP="00785BA1">
            <w:pPr>
              <w:pStyle w:val="Tabletext9pt"/>
              <w:rPr>
                <w:szCs w:val="18"/>
              </w:rPr>
            </w:pPr>
            <w:r>
              <w:rPr>
                <w:szCs w:val="18"/>
              </w:rPr>
              <w:t>MSSH individual support referral and advocacy</w:t>
            </w:r>
          </w:p>
        </w:tc>
        <w:tc>
          <w:tcPr>
            <w:tcW w:w="4342" w:type="dxa"/>
            <w:tcBorders>
              <w:top w:val="single" w:sz="4" w:space="0" w:color="auto"/>
              <w:left w:val="single" w:sz="4" w:space="0" w:color="auto"/>
              <w:bottom w:val="single" w:sz="4" w:space="0" w:color="auto"/>
              <w:right w:val="single" w:sz="4" w:space="0" w:color="auto"/>
            </w:tcBorders>
            <w:hideMark/>
          </w:tcPr>
          <w:p w14:paraId="13C1315D" w14:textId="77777777" w:rsidR="005B699B" w:rsidRDefault="005B699B" w:rsidP="00785BA1">
            <w:pPr>
              <w:pStyle w:val="Tabletext9pt"/>
              <w:rPr>
                <w:szCs w:val="18"/>
              </w:rPr>
            </w:pPr>
            <w:r>
              <w:rPr>
                <w:szCs w:val="18"/>
              </w:rPr>
              <w:t>Direct contacts between the service provider and the client for information and advice, including referral and one-on-one support. Clients include those with a mental illness, their carers or friends and family members and health professionals.</w:t>
            </w:r>
          </w:p>
        </w:tc>
      </w:tr>
      <w:tr w:rsidR="005B699B" w14:paraId="69CE2B35"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1A3D12BD" w14:textId="77777777" w:rsidR="005B699B" w:rsidRDefault="005B699B" w:rsidP="00785BA1">
            <w:pPr>
              <w:pStyle w:val="Tabletext9pt"/>
              <w:rPr>
                <w:szCs w:val="18"/>
              </w:rPr>
            </w:pPr>
            <w:r>
              <w:rPr>
                <w:szCs w:val="18"/>
              </w:rPr>
              <w:t>15094</w:t>
            </w:r>
          </w:p>
        </w:tc>
        <w:tc>
          <w:tcPr>
            <w:tcW w:w="2956" w:type="dxa"/>
            <w:tcBorders>
              <w:top w:val="single" w:sz="4" w:space="0" w:color="auto"/>
              <w:left w:val="single" w:sz="4" w:space="0" w:color="auto"/>
              <w:bottom w:val="single" w:sz="4" w:space="0" w:color="auto"/>
              <w:right w:val="single" w:sz="4" w:space="0" w:color="auto"/>
            </w:tcBorders>
            <w:hideMark/>
          </w:tcPr>
          <w:p w14:paraId="3404A62A" w14:textId="77777777" w:rsidR="005B699B" w:rsidRDefault="005B699B" w:rsidP="00785BA1">
            <w:pPr>
              <w:pStyle w:val="Tabletext9pt"/>
              <w:rPr>
                <w:szCs w:val="18"/>
              </w:rPr>
            </w:pPr>
            <w:r>
              <w:rPr>
                <w:szCs w:val="18"/>
              </w:rPr>
              <w:t>MSSH groups support</w:t>
            </w:r>
          </w:p>
        </w:tc>
        <w:tc>
          <w:tcPr>
            <w:tcW w:w="4342" w:type="dxa"/>
            <w:tcBorders>
              <w:top w:val="single" w:sz="4" w:space="0" w:color="auto"/>
              <w:left w:val="single" w:sz="4" w:space="0" w:color="auto"/>
              <w:bottom w:val="single" w:sz="4" w:space="0" w:color="auto"/>
              <w:right w:val="single" w:sz="4" w:space="0" w:color="auto"/>
            </w:tcBorders>
            <w:hideMark/>
          </w:tcPr>
          <w:p w14:paraId="31677A5E" w14:textId="77777777" w:rsidR="005B699B" w:rsidRDefault="005B699B" w:rsidP="00785BA1">
            <w:pPr>
              <w:pStyle w:val="Tabletext9pt"/>
              <w:rPr>
                <w:szCs w:val="18"/>
              </w:rPr>
            </w:pPr>
            <w:r>
              <w:rPr>
                <w:szCs w:val="18"/>
              </w:rPr>
              <w:t>Facilitated support groups conducted for clients with a mental illness, their carers or friends or family members.</w:t>
            </w:r>
          </w:p>
        </w:tc>
      </w:tr>
      <w:tr w:rsidR="005B699B" w14:paraId="15653914"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255C7FE6" w14:textId="77777777" w:rsidR="005B699B" w:rsidRDefault="005B699B" w:rsidP="00785BA1">
            <w:pPr>
              <w:pStyle w:val="Tabletext9pt"/>
              <w:rPr>
                <w:szCs w:val="18"/>
              </w:rPr>
            </w:pPr>
            <w:r>
              <w:rPr>
                <w:szCs w:val="18"/>
              </w:rPr>
              <w:t>15095</w:t>
            </w:r>
          </w:p>
        </w:tc>
        <w:tc>
          <w:tcPr>
            <w:tcW w:w="2956" w:type="dxa"/>
            <w:tcBorders>
              <w:top w:val="single" w:sz="4" w:space="0" w:color="auto"/>
              <w:left w:val="single" w:sz="4" w:space="0" w:color="auto"/>
              <w:bottom w:val="single" w:sz="4" w:space="0" w:color="auto"/>
              <w:right w:val="single" w:sz="4" w:space="0" w:color="auto"/>
            </w:tcBorders>
            <w:hideMark/>
          </w:tcPr>
          <w:p w14:paraId="68A366C1" w14:textId="77777777" w:rsidR="005B699B" w:rsidRDefault="005B699B" w:rsidP="00785BA1">
            <w:pPr>
              <w:pStyle w:val="Tabletext9pt"/>
              <w:rPr>
                <w:szCs w:val="18"/>
              </w:rPr>
            </w:pPr>
            <w:r>
              <w:rPr>
                <w:szCs w:val="18"/>
              </w:rPr>
              <w:t>MSSH groups education and training</w:t>
            </w:r>
          </w:p>
        </w:tc>
        <w:tc>
          <w:tcPr>
            <w:tcW w:w="4342" w:type="dxa"/>
            <w:tcBorders>
              <w:top w:val="single" w:sz="4" w:space="0" w:color="auto"/>
              <w:left w:val="single" w:sz="4" w:space="0" w:color="auto"/>
              <w:bottom w:val="single" w:sz="4" w:space="0" w:color="auto"/>
              <w:right w:val="single" w:sz="4" w:space="0" w:color="auto"/>
            </w:tcBorders>
            <w:hideMark/>
          </w:tcPr>
          <w:p w14:paraId="5FA9EFE6" w14:textId="77777777" w:rsidR="005B699B" w:rsidRDefault="005B699B" w:rsidP="00785BA1">
            <w:pPr>
              <w:pStyle w:val="Tabletext9pt"/>
              <w:rPr>
                <w:szCs w:val="18"/>
              </w:rPr>
            </w:pPr>
            <w:r>
              <w:rPr>
                <w:szCs w:val="18"/>
              </w:rPr>
              <w:t>This refers to groups conducted to provide training or information and education for members of the public or health professionals.</w:t>
            </w:r>
          </w:p>
        </w:tc>
      </w:tr>
      <w:tr w:rsidR="005B699B" w14:paraId="2613DA00"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674B64AB" w14:textId="77777777" w:rsidR="005B699B" w:rsidRDefault="005B699B" w:rsidP="00785BA1">
            <w:pPr>
              <w:pStyle w:val="Tabletext9pt"/>
              <w:rPr>
                <w:szCs w:val="18"/>
              </w:rPr>
            </w:pPr>
            <w:r>
              <w:rPr>
                <w:szCs w:val="18"/>
              </w:rPr>
              <w:t>15096</w:t>
            </w:r>
          </w:p>
        </w:tc>
        <w:tc>
          <w:tcPr>
            <w:tcW w:w="2956" w:type="dxa"/>
            <w:tcBorders>
              <w:top w:val="single" w:sz="4" w:space="0" w:color="auto"/>
              <w:left w:val="single" w:sz="4" w:space="0" w:color="auto"/>
              <w:bottom w:val="single" w:sz="4" w:space="0" w:color="auto"/>
              <w:right w:val="single" w:sz="4" w:space="0" w:color="auto"/>
            </w:tcBorders>
            <w:hideMark/>
          </w:tcPr>
          <w:p w14:paraId="5261DAFF" w14:textId="77777777" w:rsidR="005B699B" w:rsidRDefault="005B699B" w:rsidP="00785BA1">
            <w:pPr>
              <w:pStyle w:val="Tabletext9pt"/>
              <w:rPr>
                <w:szCs w:val="18"/>
              </w:rPr>
            </w:pPr>
            <w:r>
              <w:rPr>
                <w:szCs w:val="18"/>
              </w:rPr>
              <w:t>MSSH volunteer coordination</w:t>
            </w:r>
          </w:p>
        </w:tc>
        <w:tc>
          <w:tcPr>
            <w:tcW w:w="4342" w:type="dxa"/>
            <w:tcBorders>
              <w:top w:val="single" w:sz="4" w:space="0" w:color="auto"/>
              <w:left w:val="single" w:sz="4" w:space="0" w:color="auto"/>
              <w:bottom w:val="single" w:sz="4" w:space="0" w:color="auto"/>
              <w:right w:val="single" w:sz="4" w:space="0" w:color="auto"/>
            </w:tcBorders>
            <w:hideMark/>
          </w:tcPr>
          <w:p w14:paraId="0F1B518A" w14:textId="77777777" w:rsidR="005B699B" w:rsidRDefault="005B699B" w:rsidP="00785BA1">
            <w:pPr>
              <w:pStyle w:val="Tabletext9pt"/>
              <w:rPr>
                <w:szCs w:val="18"/>
              </w:rPr>
            </w:pPr>
            <w:r>
              <w:rPr>
                <w:szCs w:val="18"/>
              </w:rPr>
              <w:t>Volunteer coordination refers to those activities associated with recruitment, training and education, support, and management of volunteers.</w:t>
            </w:r>
          </w:p>
        </w:tc>
      </w:tr>
      <w:tr w:rsidR="005B699B" w14:paraId="5FA0A025"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629EF4AF" w14:textId="77777777" w:rsidR="005B699B" w:rsidRDefault="005B699B" w:rsidP="00785BA1">
            <w:pPr>
              <w:pStyle w:val="Tabletext9pt"/>
              <w:rPr>
                <w:szCs w:val="18"/>
              </w:rPr>
            </w:pPr>
            <w:r>
              <w:rPr>
                <w:szCs w:val="18"/>
              </w:rPr>
              <w:t>15097</w:t>
            </w:r>
          </w:p>
        </w:tc>
        <w:tc>
          <w:tcPr>
            <w:tcW w:w="2956" w:type="dxa"/>
            <w:tcBorders>
              <w:top w:val="single" w:sz="4" w:space="0" w:color="auto"/>
              <w:left w:val="single" w:sz="4" w:space="0" w:color="auto"/>
              <w:bottom w:val="single" w:sz="4" w:space="0" w:color="auto"/>
              <w:right w:val="single" w:sz="4" w:space="0" w:color="auto"/>
            </w:tcBorders>
            <w:hideMark/>
          </w:tcPr>
          <w:p w14:paraId="071DD0BE" w14:textId="77777777" w:rsidR="005B699B" w:rsidRDefault="005B699B" w:rsidP="00785BA1">
            <w:pPr>
              <w:pStyle w:val="Tabletext9pt"/>
              <w:rPr>
                <w:szCs w:val="18"/>
              </w:rPr>
            </w:pPr>
            <w:r>
              <w:rPr>
                <w:szCs w:val="18"/>
              </w:rPr>
              <w:t>Supported accommodation – 24-hour support model</w:t>
            </w:r>
          </w:p>
        </w:tc>
        <w:tc>
          <w:tcPr>
            <w:tcW w:w="4342" w:type="dxa"/>
            <w:tcBorders>
              <w:top w:val="single" w:sz="4" w:space="0" w:color="auto"/>
              <w:left w:val="single" w:sz="4" w:space="0" w:color="auto"/>
              <w:bottom w:val="single" w:sz="4" w:space="0" w:color="auto"/>
              <w:right w:val="single" w:sz="4" w:space="0" w:color="auto"/>
            </w:tcBorders>
            <w:hideMark/>
          </w:tcPr>
          <w:p w14:paraId="1DDDC378" w14:textId="413AB29C" w:rsidR="005B699B" w:rsidRDefault="005B699B" w:rsidP="00785BA1">
            <w:pPr>
              <w:pStyle w:val="Tabletext9pt"/>
              <w:rPr>
                <w:szCs w:val="18"/>
              </w:rPr>
            </w:pPr>
            <w:r>
              <w:rPr>
                <w:szCs w:val="18"/>
              </w:rPr>
              <w:t>Staff provide on-site support 24 hours a day, seven days a week. This type of model is generally delivered in a larger facility. Under this model</w:t>
            </w:r>
            <w:r w:rsidR="00F90553">
              <w:rPr>
                <w:szCs w:val="18"/>
              </w:rPr>
              <w:t>,</w:t>
            </w:r>
            <w:r>
              <w:rPr>
                <w:szCs w:val="18"/>
              </w:rPr>
              <w:t xml:space="preserve"> residents normally have their own bedroom but may share bathroom facilities and communal areas such as a lounge and kitchen.</w:t>
            </w:r>
          </w:p>
        </w:tc>
      </w:tr>
      <w:tr w:rsidR="005B699B" w14:paraId="4637C5CE"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302C8535" w14:textId="77777777" w:rsidR="005B699B" w:rsidRDefault="005B699B" w:rsidP="00785BA1">
            <w:pPr>
              <w:pStyle w:val="Tabletext9pt"/>
              <w:rPr>
                <w:szCs w:val="18"/>
              </w:rPr>
            </w:pPr>
            <w:r>
              <w:rPr>
                <w:szCs w:val="18"/>
              </w:rPr>
              <w:t>15098</w:t>
            </w:r>
          </w:p>
        </w:tc>
        <w:tc>
          <w:tcPr>
            <w:tcW w:w="2956" w:type="dxa"/>
            <w:tcBorders>
              <w:top w:val="single" w:sz="4" w:space="0" w:color="auto"/>
              <w:left w:val="single" w:sz="4" w:space="0" w:color="auto"/>
              <w:bottom w:val="single" w:sz="4" w:space="0" w:color="auto"/>
              <w:right w:val="single" w:sz="4" w:space="0" w:color="auto"/>
            </w:tcBorders>
            <w:hideMark/>
          </w:tcPr>
          <w:p w14:paraId="36FF0CF5" w14:textId="77777777" w:rsidR="005B699B" w:rsidRDefault="005B699B" w:rsidP="00785BA1">
            <w:pPr>
              <w:pStyle w:val="Tabletext9pt"/>
              <w:rPr>
                <w:szCs w:val="18"/>
              </w:rPr>
            </w:pPr>
            <w:r>
              <w:rPr>
                <w:szCs w:val="18"/>
              </w:rPr>
              <w:t>Supported accommodation – non-24-hour support</w:t>
            </w:r>
          </w:p>
        </w:tc>
        <w:tc>
          <w:tcPr>
            <w:tcW w:w="4342" w:type="dxa"/>
            <w:tcBorders>
              <w:top w:val="single" w:sz="4" w:space="0" w:color="auto"/>
              <w:left w:val="single" w:sz="4" w:space="0" w:color="auto"/>
              <w:bottom w:val="single" w:sz="4" w:space="0" w:color="auto"/>
              <w:right w:val="single" w:sz="4" w:space="0" w:color="auto"/>
            </w:tcBorders>
            <w:hideMark/>
          </w:tcPr>
          <w:p w14:paraId="71A0F083" w14:textId="72DF3CDC" w:rsidR="005B699B" w:rsidRDefault="005B699B" w:rsidP="00785BA1">
            <w:pPr>
              <w:pStyle w:val="Tabletext9pt"/>
              <w:rPr>
                <w:szCs w:val="18"/>
              </w:rPr>
            </w:pPr>
            <w:r>
              <w:rPr>
                <w:szCs w:val="18"/>
              </w:rPr>
              <w:t>Support is provided either in a cluster environment on the same site or in units and houses located within close geographic proximity. Support is provided during standard work</w:t>
            </w:r>
            <w:r w:rsidR="00F90553">
              <w:rPr>
                <w:szCs w:val="18"/>
              </w:rPr>
              <w:t xml:space="preserve"> </w:t>
            </w:r>
            <w:r>
              <w:rPr>
                <w:szCs w:val="18"/>
              </w:rPr>
              <w:t>hours (9.00 am to 5.00 pm Monday to Friday) and after hours and weekend support or on-call. Note: this activity is progressively transitioning to the NDIS.</w:t>
            </w:r>
          </w:p>
        </w:tc>
      </w:tr>
      <w:tr w:rsidR="005B699B" w14:paraId="6EF4F797"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64AC3F2F" w14:textId="77777777" w:rsidR="005B699B" w:rsidRDefault="005B699B" w:rsidP="00785BA1">
            <w:pPr>
              <w:pStyle w:val="Tabletext9pt"/>
              <w:rPr>
                <w:szCs w:val="18"/>
              </w:rPr>
            </w:pPr>
            <w:r>
              <w:rPr>
                <w:szCs w:val="18"/>
              </w:rPr>
              <w:t>15099</w:t>
            </w:r>
          </w:p>
        </w:tc>
        <w:tc>
          <w:tcPr>
            <w:tcW w:w="2956" w:type="dxa"/>
            <w:tcBorders>
              <w:top w:val="single" w:sz="4" w:space="0" w:color="auto"/>
              <w:left w:val="single" w:sz="4" w:space="0" w:color="auto"/>
              <w:bottom w:val="single" w:sz="4" w:space="0" w:color="auto"/>
              <w:right w:val="single" w:sz="4" w:space="0" w:color="auto"/>
            </w:tcBorders>
            <w:hideMark/>
          </w:tcPr>
          <w:p w14:paraId="3F00D5A0" w14:textId="77777777" w:rsidR="005B699B" w:rsidRDefault="005B699B" w:rsidP="00785BA1">
            <w:pPr>
              <w:pStyle w:val="Tabletext9pt"/>
              <w:rPr>
                <w:szCs w:val="18"/>
              </w:rPr>
            </w:pPr>
            <w:r>
              <w:rPr>
                <w:szCs w:val="18"/>
              </w:rPr>
              <w:t>ACCO services – mental health</w:t>
            </w:r>
          </w:p>
        </w:tc>
        <w:tc>
          <w:tcPr>
            <w:tcW w:w="4342" w:type="dxa"/>
            <w:tcBorders>
              <w:top w:val="single" w:sz="4" w:space="0" w:color="auto"/>
              <w:left w:val="single" w:sz="4" w:space="0" w:color="auto"/>
              <w:bottom w:val="single" w:sz="4" w:space="0" w:color="auto"/>
              <w:right w:val="single" w:sz="4" w:space="0" w:color="auto"/>
            </w:tcBorders>
            <w:hideMark/>
          </w:tcPr>
          <w:p w14:paraId="1E103604" w14:textId="77777777" w:rsidR="005B699B" w:rsidRDefault="005B699B" w:rsidP="00785BA1">
            <w:pPr>
              <w:pStyle w:val="Tabletext9pt"/>
              <w:rPr>
                <w:szCs w:val="18"/>
              </w:rPr>
            </w:pPr>
            <w:r>
              <w:rPr>
                <w:szCs w:val="18"/>
              </w:rPr>
              <w:t>Funding for those mental health services provided by Aboriginal community-controlled organisations.</w:t>
            </w:r>
          </w:p>
        </w:tc>
      </w:tr>
      <w:tr w:rsidR="005B699B" w14:paraId="34027441"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46CB4847" w14:textId="77777777" w:rsidR="005B699B" w:rsidRDefault="005B699B" w:rsidP="00785BA1">
            <w:pPr>
              <w:pStyle w:val="Tabletext9pt"/>
              <w:rPr>
                <w:szCs w:val="18"/>
              </w:rPr>
            </w:pPr>
            <w:r>
              <w:rPr>
                <w:szCs w:val="18"/>
              </w:rPr>
              <w:t>15266</w:t>
            </w:r>
          </w:p>
        </w:tc>
        <w:tc>
          <w:tcPr>
            <w:tcW w:w="2956" w:type="dxa"/>
            <w:tcBorders>
              <w:top w:val="single" w:sz="4" w:space="0" w:color="auto"/>
              <w:left w:val="single" w:sz="4" w:space="0" w:color="auto"/>
              <w:bottom w:val="single" w:sz="4" w:space="0" w:color="auto"/>
              <w:right w:val="single" w:sz="4" w:space="0" w:color="auto"/>
            </w:tcBorders>
            <w:hideMark/>
          </w:tcPr>
          <w:p w14:paraId="7FA09F56" w14:textId="77777777" w:rsidR="005B699B" w:rsidRDefault="005B699B" w:rsidP="00785BA1">
            <w:pPr>
              <w:pStyle w:val="Tabletext9pt"/>
              <w:rPr>
                <w:szCs w:val="18"/>
              </w:rPr>
            </w:pPr>
            <w:r>
              <w:rPr>
                <w:szCs w:val="18"/>
              </w:rPr>
              <w:t>Statewide support – MHCSS</w:t>
            </w:r>
          </w:p>
        </w:tc>
        <w:tc>
          <w:tcPr>
            <w:tcW w:w="4342" w:type="dxa"/>
            <w:tcBorders>
              <w:top w:val="single" w:sz="4" w:space="0" w:color="auto"/>
              <w:left w:val="single" w:sz="4" w:space="0" w:color="auto"/>
              <w:bottom w:val="single" w:sz="4" w:space="0" w:color="auto"/>
              <w:right w:val="single" w:sz="4" w:space="0" w:color="auto"/>
            </w:tcBorders>
            <w:hideMark/>
          </w:tcPr>
          <w:p w14:paraId="500D9463" w14:textId="77777777" w:rsidR="005B699B" w:rsidRDefault="005B699B" w:rsidP="00785BA1">
            <w:pPr>
              <w:pStyle w:val="Tabletext9pt"/>
              <w:rPr>
                <w:szCs w:val="18"/>
              </w:rPr>
            </w:pPr>
            <w:r>
              <w:rPr>
                <w:rFonts w:cs="Arial"/>
                <w:szCs w:val="18"/>
              </w:rPr>
              <w:t>The statewide funding stream supports the activities of peak organisations that provide advocacy and sector leadership and specialist organisations that provide a range of targeted mental health advocacy and social inclusion services.</w:t>
            </w:r>
          </w:p>
        </w:tc>
      </w:tr>
      <w:tr w:rsidR="005B699B" w14:paraId="6B71C817"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5D32B6BB" w14:textId="77777777" w:rsidR="005B699B" w:rsidRDefault="005B699B" w:rsidP="00785BA1">
            <w:pPr>
              <w:pStyle w:val="Tabletext9pt"/>
              <w:rPr>
                <w:szCs w:val="18"/>
              </w:rPr>
            </w:pPr>
            <w:r>
              <w:rPr>
                <w:szCs w:val="18"/>
              </w:rPr>
              <w:t>15501</w:t>
            </w:r>
          </w:p>
        </w:tc>
        <w:tc>
          <w:tcPr>
            <w:tcW w:w="2956" w:type="dxa"/>
            <w:tcBorders>
              <w:top w:val="single" w:sz="4" w:space="0" w:color="auto"/>
              <w:left w:val="single" w:sz="4" w:space="0" w:color="auto"/>
              <w:bottom w:val="single" w:sz="4" w:space="0" w:color="auto"/>
              <w:right w:val="single" w:sz="4" w:space="0" w:color="auto"/>
            </w:tcBorders>
            <w:hideMark/>
          </w:tcPr>
          <w:p w14:paraId="7D990AF5" w14:textId="77777777" w:rsidR="005B699B" w:rsidRDefault="005B699B" w:rsidP="00785BA1">
            <w:pPr>
              <w:pStyle w:val="Tabletext9pt"/>
              <w:rPr>
                <w:szCs w:val="18"/>
              </w:rPr>
            </w:pPr>
            <w:r>
              <w:rPr>
                <w:szCs w:val="18"/>
              </w:rPr>
              <w:t>Community intake assessment function</w:t>
            </w:r>
          </w:p>
        </w:tc>
        <w:tc>
          <w:tcPr>
            <w:tcW w:w="4342" w:type="dxa"/>
            <w:tcBorders>
              <w:top w:val="single" w:sz="4" w:space="0" w:color="auto"/>
              <w:left w:val="single" w:sz="4" w:space="0" w:color="auto"/>
              <w:bottom w:val="single" w:sz="4" w:space="0" w:color="auto"/>
              <w:right w:val="single" w:sz="4" w:space="0" w:color="auto"/>
            </w:tcBorders>
            <w:hideMark/>
          </w:tcPr>
          <w:p w14:paraId="73464FD6" w14:textId="77777777" w:rsidR="005B699B" w:rsidRDefault="005B699B" w:rsidP="00785BA1">
            <w:pPr>
              <w:pStyle w:val="Tabletext9pt"/>
              <w:rPr>
                <w:szCs w:val="18"/>
              </w:rPr>
            </w:pPr>
            <w:r>
              <w:rPr>
                <w:szCs w:val="18"/>
              </w:rPr>
              <w:t>Determines and prioritises client eligibility for MHCSS. Note: this activity will be affected by the transition of MHCSS services to the NDIS.</w:t>
            </w:r>
          </w:p>
        </w:tc>
      </w:tr>
      <w:tr w:rsidR="005B699B" w14:paraId="6DA985DB"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0716043C" w14:textId="77777777" w:rsidR="005B699B" w:rsidRDefault="005B699B" w:rsidP="00785BA1">
            <w:pPr>
              <w:pStyle w:val="Tabletext9pt"/>
              <w:rPr>
                <w:szCs w:val="18"/>
              </w:rPr>
            </w:pPr>
            <w:r>
              <w:rPr>
                <w:szCs w:val="18"/>
              </w:rPr>
              <w:t>15503</w:t>
            </w:r>
          </w:p>
        </w:tc>
        <w:tc>
          <w:tcPr>
            <w:tcW w:w="2956" w:type="dxa"/>
            <w:tcBorders>
              <w:top w:val="single" w:sz="4" w:space="0" w:color="auto"/>
              <w:left w:val="single" w:sz="4" w:space="0" w:color="auto"/>
              <w:bottom w:val="single" w:sz="4" w:space="0" w:color="auto"/>
              <w:right w:val="single" w:sz="4" w:space="0" w:color="auto"/>
            </w:tcBorders>
            <w:hideMark/>
          </w:tcPr>
          <w:p w14:paraId="72AD183B" w14:textId="77777777" w:rsidR="005B699B" w:rsidRDefault="005B699B" w:rsidP="00785BA1">
            <w:pPr>
              <w:pStyle w:val="Tabletext9pt"/>
              <w:rPr>
                <w:szCs w:val="18"/>
              </w:rPr>
            </w:pPr>
            <w:r>
              <w:rPr>
                <w:szCs w:val="18"/>
              </w:rPr>
              <w:t>Youth residential rehabilitation – 24 hour</w:t>
            </w:r>
          </w:p>
        </w:tc>
        <w:tc>
          <w:tcPr>
            <w:tcW w:w="4342" w:type="dxa"/>
            <w:tcBorders>
              <w:top w:val="single" w:sz="4" w:space="0" w:color="auto"/>
              <w:left w:val="single" w:sz="4" w:space="0" w:color="auto"/>
              <w:bottom w:val="single" w:sz="4" w:space="0" w:color="auto"/>
              <w:right w:val="single" w:sz="4" w:space="0" w:color="auto"/>
            </w:tcBorders>
            <w:hideMark/>
          </w:tcPr>
          <w:p w14:paraId="7587969A" w14:textId="77777777" w:rsidR="005B699B" w:rsidRDefault="005B699B" w:rsidP="00785BA1">
            <w:pPr>
              <w:pStyle w:val="Tabletext9pt"/>
              <w:rPr>
                <w:szCs w:val="18"/>
              </w:rPr>
            </w:pPr>
            <w:r>
              <w:rPr>
                <w:szCs w:val="18"/>
              </w:rPr>
              <w:t>Youth residential rehabilitation provides transitional accommodation with rehabilitation support. Support is provided at the facility 24 hours a day, seven days a week.</w:t>
            </w:r>
          </w:p>
        </w:tc>
      </w:tr>
      <w:tr w:rsidR="005B699B" w14:paraId="7BDAAB4C"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1B8122C3" w14:textId="77777777" w:rsidR="005B699B" w:rsidRDefault="005B699B" w:rsidP="00785BA1">
            <w:pPr>
              <w:pStyle w:val="Tabletext9pt"/>
              <w:rPr>
                <w:szCs w:val="18"/>
              </w:rPr>
            </w:pPr>
            <w:r>
              <w:rPr>
                <w:szCs w:val="18"/>
              </w:rPr>
              <w:t>15504</w:t>
            </w:r>
          </w:p>
        </w:tc>
        <w:tc>
          <w:tcPr>
            <w:tcW w:w="2956" w:type="dxa"/>
            <w:tcBorders>
              <w:top w:val="single" w:sz="4" w:space="0" w:color="auto"/>
              <w:left w:val="single" w:sz="4" w:space="0" w:color="auto"/>
              <w:bottom w:val="single" w:sz="4" w:space="0" w:color="auto"/>
              <w:right w:val="single" w:sz="4" w:space="0" w:color="auto"/>
            </w:tcBorders>
            <w:hideMark/>
          </w:tcPr>
          <w:p w14:paraId="441F6496" w14:textId="77777777" w:rsidR="005B699B" w:rsidRDefault="005B699B" w:rsidP="00785BA1">
            <w:pPr>
              <w:pStyle w:val="Tabletext9pt"/>
              <w:rPr>
                <w:szCs w:val="18"/>
              </w:rPr>
            </w:pPr>
            <w:r>
              <w:rPr>
                <w:szCs w:val="18"/>
              </w:rPr>
              <w:t>Youth residential rehabilitation – non-24-hour</w:t>
            </w:r>
          </w:p>
        </w:tc>
        <w:tc>
          <w:tcPr>
            <w:tcW w:w="4342" w:type="dxa"/>
            <w:tcBorders>
              <w:top w:val="single" w:sz="4" w:space="0" w:color="auto"/>
              <w:left w:val="single" w:sz="4" w:space="0" w:color="auto"/>
              <w:bottom w:val="single" w:sz="4" w:space="0" w:color="auto"/>
              <w:right w:val="single" w:sz="4" w:space="0" w:color="auto"/>
            </w:tcBorders>
            <w:hideMark/>
          </w:tcPr>
          <w:p w14:paraId="0362AEDB" w14:textId="77777777" w:rsidR="005B699B" w:rsidRDefault="005B699B" w:rsidP="00785BA1">
            <w:pPr>
              <w:pStyle w:val="Tabletext9pt"/>
              <w:rPr>
                <w:szCs w:val="18"/>
              </w:rPr>
            </w:pPr>
            <w:r>
              <w:rPr>
                <w:szCs w:val="18"/>
              </w:rPr>
              <w:t>Youth residential rehabilitation provides transitional accommodation with rehabilitation support. Support is provided at the facility on a non-24-hour basis.</w:t>
            </w:r>
          </w:p>
        </w:tc>
      </w:tr>
      <w:tr w:rsidR="005B699B" w14:paraId="0CD6F48F" w14:textId="77777777" w:rsidTr="00785BA1">
        <w:trPr>
          <w:cantSplit/>
        </w:trPr>
        <w:tc>
          <w:tcPr>
            <w:tcW w:w="2001" w:type="dxa"/>
            <w:tcBorders>
              <w:top w:val="single" w:sz="4" w:space="0" w:color="auto"/>
              <w:left w:val="single" w:sz="4" w:space="0" w:color="auto"/>
              <w:bottom w:val="single" w:sz="4" w:space="0" w:color="auto"/>
              <w:right w:val="single" w:sz="4" w:space="0" w:color="auto"/>
            </w:tcBorders>
            <w:hideMark/>
          </w:tcPr>
          <w:p w14:paraId="0EEA751A" w14:textId="77777777" w:rsidR="005B699B" w:rsidRDefault="005B699B" w:rsidP="00785BA1">
            <w:pPr>
              <w:pStyle w:val="Tabletext9pt"/>
              <w:rPr>
                <w:szCs w:val="18"/>
              </w:rPr>
            </w:pPr>
            <w:r>
              <w:rPr>
                <w:szCs w:val="18"/>
              </w:rPr>
              <w:lastRenderedPageBreak/>
              <w:t>15507</w:t>
            </w:r>
          </w:p>
        </w:tc>
        <w:tc>
          <w:tcPr>
            <w:tcW w:w="2956" w:type="dxa"/>
            <w:tcBorders>
              <w:top w:val="single" w:sz="4" w:space="0" w:color="auto"/>
              <w:left w:val="single" w:sz="4" w:space="0" w:color="auto"/>
              <w:bottom w:val="single" w:sz="4" w:space="0" w:color="auto"/>
              <w:right w:val="single" w:sz="4" w:space="0" w:color="auto"/>
            </w:tcBorders>
            <w:hideMark/>
          </w:tcPr>
          <w:p w14:paraId="539B2EE6" w14:textId="77777777" w:rsidR="005B699B" w:rsidRDefault="005B699B" w:rsidP="00785BA1">
            <w:pPr>
              <w:pStyle w:val="Tabletext9pt"/>
              <w:rPr>
                <w:szCs w:val="18"/>
              </w:rPr>
            </w:pPr>
            <w:r>
              <w:rPr>
                <w:szCs w:val="18"/>
              </w:rPr>
              <w:t>Continuity of Support</w:t>
            </w:r>
          </w:p>
        </w:tc>
        <w:tc>
          <w:tcPr>
            <w:tcW w:w="4342" w:type="dxa"/>
            <w:tcBorders>
              <w:top w:val="single" w:sz="4" w:space="0" w:color="auto"/>
              <w:left w:val="single" w:sz="4" w:space="0" w:color="auto"/>
              <w:bottom w:val="single" w:sz="4" w:space="0" w:color="auto"/>
              <w:right w:val="single" w:sz="4" w:space="0" w:color="auto"/>
            </w:tcBorders>
            <w:hideMark/>
          </w:tcPr>
          <w:p w14:paraId="03632033" w14:textId="77777777" w:rsidR="005B699B" w:rsidRDefault="005B699B" w:rsidP="00785BA1">
            <w:pPr>
              <w:pStyle w:val="Tabletext9pt"/>
              <w:rPr>
                <w:szCs w:val="18"/>
              </w:rPr>
            </w:pPr>
            <w:r>
              <w:rPr>
                <w:szCs w:val="18"/>
              </w:rPr>
              <w:t xml:space="preserve">Continuity of support arrangements for current clients of MHCSS that are transitioning to the NDIS who are not eligible to become a NDIS participant because they do not meet the age and residency access requirements outlined in the </w:t>
            </w:r>
            <w:r>
              <w:rPr>
                <w:i/>
                <w:szCs w:val="18"/>
              </w:rPr>
              <w:t>National Disability Insurance Act 2013</w:t>
            </w:r>
            <w:r>
              <w:rPr>
                <w:szCs w:val="18"/>
              </w:rPr>
              <w:t>.</w:t>
            </w:r>
          </w:p>
        </w:tc>
      </w:tr>
    </w:tbl>
    <w:p w14:paraId="2D70D5FC" w14:textId="6166BE3A" w:rsidR="005B699B" w:rsidRDefault="00F30C16" w:rsidP="00200013">
      <w:pPr>
        <w:pStyle w:val="Bodyafterfiguretable"/>
      </w:pPr>
      <w:r w:rsidRPr="0051277B">
        <w:fldChar w:fldCharType="begin"/>
      </w:r>
      <w:r w:rsidRPr="0051277B">
        <w:instrText xml:space="preserve"> REF _Ref170115823 </w:instrText>
      </w:r>
      <w:r w:rsidR="0051277B" w:rsidRPr="0013154B">
        <w:instrText xml:space="preserve"> \* MERGEFORMAT </w:instrText>
      </w:r>
      <w:r w:rsidRPr="0051277B">
        <w:fldChar w:fldCharType="separate"/>
      </w:r>
      <w:r w:rsidRPr="0013154B">
        <w:t>Table 1.25: Drug services – outputs and activities: drug prevention and control</w:t>
      </w:r>
      <w:r w:rsidRPr="0051277B">
        <w:t xml:space="preserve"> </w:t>
      </w:r>
      <w:r w:rsidRPr="0013154B">
        <w:t>2024–25</w:t>
      </w:r>
      <w:r w:rsidRPr="0051277B">
        <w:fldChar w:fldCharType="end"/>
      </w:r>
      <w:r w:rsidRPr="0051277B">
        <w:t xml:space="preserve"> </w:t>
      </w:r>
      <w:r w:rsidR="005B699B">
        <w:t xml:space="preserve">shows </w:t>
      </w:r>
      <w:r w:rsidR="005B699B" w:rsidRPr="00E7554A">
        <w:t>outputs and activities</w:t>
      </w:r>
      <w:r w:rsidR="005B699B">
        <w:t xml:space="preserve"> for</w:t>
      </w:r>
      <w:r w:rsidR="005B699B" w:rsidRPr="00E7554A">
        <w:t xml:space="preserve"> drug prevention and control</w:t>
      </w:r>
      <w:r w:rsidR="005B699B">
        <w:t>. These</w:t>
      </w:r>
      <w:r w:rsidR="005B699B" w:rsidRPr="003D22A1">
        <w:t xml:space="preserve"> </w:t>
      </w:r>
      <w:r w:rsidR="005B699B">
        <w:t>e</w:t>
      </w:r>
      <w:r w:rsidR="005B699B" w:rsidRPr="0088682D">
        <w:t xml:space="preserve">ncourage all Victorians to minimise the harmful effects of illicit and licit drugs, including </w:t>
      </w:r>
      <w:r w:rsidR="005B699B" w:rsidRPr="00F90553">
        <w:t>alcohol</w:t>
      </w:r>
      <w:r w:rsidR="005B699B" w:rsidRPr="0088682D">
        <w:t xml:space="preserve">, by providing a comprehensive range </w:t>
      </w:r>
      <w:r w:rsidR="005B699B" w:rsidRPr="00352B64">
        <w:t>of</w:t>
      </w:r>
      <w:r w:rsidR="005B699B" w:rsidRPr="0088682D">
        <w:t xml:space="preserve"> strategies</w:t>
      </w:r>
      <w:r w:rsidR="005B699B">
        <w:t xml:space="preserve"> that</w:t>
      </w:r>
      <w:r w:rsidR="005B699B" w:rsidRPr="0088682D">
        <w:t xml:space="preserve"> focus on enhanced community and professional education, targeted prevention and early intervention, and the use of effective regulation.</w:t>
      </w:r>
    </w:p>
    <w:p w14:paraId="168E8356" w14:textId="4C503EB1" w:rsidR="00A97999" w:rsidRPr="00A97999" w:rsidRDefault="00A97999" w:rsidP="00A97999">
      <w:pPr>
        <w:pStyle w:val="Body"/>
        <w:rPr>
          <w:b/>
          <w:bCs/>
        </w:rPr>
      </w:pPr>
      <w:bookmarkStart w:id="2359" w:name="_Ref170115823"/>
      <w:r w:rsidRPr="00A97999">
        <w:rPr>
          <w:b/>
          <w:bCs/>
        </w:rPr>
        <w:t>Table 1.</w:t>
      </w:r>
      <w:r w:rsidRPr="00A97999">
        <w:rPr>
          <w:b/>
          <w:bCs/>
        </w:rPr>
        <w:fldChar w:fldCharType="begin"/>
      </w:r>
      <w:r w:rsidRPr="00A97999">
        <w:rPr>
          <w:b/>
          <w:bCs/>
        </w:rPr>
        <w:instrText xml:space="preserve"> SEQ Table \* ARABIC </w:instrText>
      </w:r>
      <w:r w:rsidRPr="00A97999">
        <w:rPr>
          <w:b/>
          <w:bCs/>
        </w:rPr>
        <w:fldChar w:fldCharType="separate"/>
      </w:r>
      <w:r w:rsidR="00F30C16">
        <w:rPr>
          <w:b/>
          <w:bCs/>
          <w:noProof/>
        </w:rPr>
        <w:t>25</w:t>
      </w:r>
      <w:r w:rsidRPr="00A97999">
        <w:rPr>
          <w:b/>
          <w:bCs/>
        </w:rPr>
        <w:fldChar w:fldCharType="end"/>
      </w:r>
      <w:r w:rsidRPr="00A97999">
        <w:rPr>
          <w:b/>
          <w:bCs/>
        </w:rPr>
        <w:t>: Drug services – outputs and activities: drug prevention and control</w:t>
      </w:r>
      <w:r>
        <w:t xml:space="preserve"> </w:t>
      </w:r>
      <w:r w:rsidRPr="00A97999">
        <w:rPr>
          <w:b/>
          <w:bCs/>
        </w:rPr>
        <w:t>2024–25</w:t>
      </w:r>
      <w:bookmarkEnd w:id="2359"/>
    </w:p>
    <w:tbl>
      <w:tblPr>
        <w:tblW w:w="9299" w:type="dxa"/>
        <w:tblLook w:val="06A0" w:firstRow="1" w:lastRow="0" w:firstColumn="1" w:lastColumn="0" w:noHBand="1" w:noVBand="1"/>
      </w:tblPr>
      <w:tblGrid>
        <w:gridCol w:w="1980"/>
        <w:gridCol w:w="2977"/>
        <w:gridCol w:w="4342"/>
      </w:tblGrid>
      <w:tr w:rsidR="005B699B" w14:paraId="1D1C893E" w14:textId="77777777" w:rsidTr="00A97999">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53D724A" w14:textId="77777777" w:rsidR="005B699B" w:rsidRPr="00F717FB" w:rsidRDefault="005B699B" w:rsidP="00785BA1">
            <w:pPr>
              <w:pStyle w:val="Tablecolhead"/>
              <w:rPr>
                <w:rFonts w:eastAsia="Arial"/>
                <w:szCs w:val="21"/>
              </w:rPr>
            </w:pPr>
            <w:bookmarkStart w:id="2360" w:name="_Toc419623626"/>
            <w:bookmarkStart w:id="2361" w:name="_Toc419623738"/>
            <w:bookmarkStart w:id="2362" w:name="_Toc419644526"/>
            <w:bookmarkStart w:id="2363" w:name="_Toc487742090"/>
            <w:bookmarkEnd w:id="2355"/>
            <w:bookmarkEnd w:id="2356"/>
            <w:bookmarkEnd w:id="2357"/>
            <w:bookmarkEnd w:id="2358"/>
            <w:r w:rsidRPr="00F717FB">
              <w:rPr>
                <w:rFonts w:eastAsia="Arial"/>
                <w:szCs w:val="21"/>
              </w:rPr>
              <w:t>Activity 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1567B8B"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6DCE443B"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1331E6FE"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6AC9CD7D" w14:textId="77777777" w:rsidR="005B699B" w:rsidRDefault="005B699B" w:rsidP="00785BA1">
            <w:pPr>
              <w:pStyle w:val="Tabletext9pt"/>
              <w:rPr>
                <w:szCs w:val="18"/>
              </w:rPr>
            </w:pPr>
            <w:r>
              <w:rPr>
                <w:szCs w:val="18"/>
              </w:rPr>
              <w:t>34001</w:t>
            </w:r>
          </w:p>
        </w:tc>
        <w:tc>
          <w:tcPr>
            <w:tcW w:w="2977" w:type="dxa"/>
            <w:tcBorders>
              <w:top w:val="single" w:sz="4" w:space="0" w:color="auto"/>
              <w:left w:val="single" w:sz="4" w:space="0" w:color="auto"/>
              <w:bottom w:val="single" w:sz="4" w:space="0" w:color="auto"/>
              <w:right w:val="single" w:sz="4" w:space="0" w:color="auto"/>
            </w:tcBorders>
            <w:hideMark/>
          </w:tcPr>
          <w:p w14:paraId="5ADD1691" w14:textId="77777777" w:rsidR="005B699B" w:rsidRDefault="005B699B" w:rsidP="00785BA1">
            <w:pPr>
              <w:pStyle w:val="Tabletext9pt"/>
              <w:rPr>
                <w:szCs w:val="18"/>
              </w:rPr>
            </w:pPr>
            <w:r>
              <w:rPr>
                <w:szCs w:val="18"/>
              </w:rPr>
              <w:t>Family counselling</w:t>
            </w:r>
          </w:p>
        </w:tc>
        <w:tc>
          <w:tcPr>
            <w:tcW w:w="4342" w:type="dxa"/>
            <w:tcBorders>
              <w:top w:val="single" w:sz="4" w:space="0" w:color="auto"/>
              <w:left w:val="single" w:sz="4" w:space="0" w:color="auto"/>
              <w:bottom w:val="single" w:sz="4" w:space="0" w:color="auto"/>
              <w:right w:val="single" w:sz="4" w:space="0" w:color="auto"/>
            </w:tcBorders>
            <w:hideMark/>
          </w:tcPr>
          <w:p w14:paraId="6EB79090" w14:textId="1ADD8EBC" w:rsidR="005B699B" w:rsidRDefault="005B699B" w:rsidP="00785BA1">
            <w:pPr>
              <w:pStyle w:val="Tabletext9pt"/>
            </w:pPr>
            <w:r>
              <w:t xml:space="preserve">A variety of supports for family members of people who use </w:t>
            </w:r>
            <w:r w:rsidDel="00F90553">
              <w:t>AOD</w:t>
            </w:r>
            <w:r>
              <w:t>, including information, advice, referral, brief interventions and single-session therapies, counselling, peer support and education programs. It aims to deliver additional capacity for family support in each catchment area that is responsive to local need and complements existing family support services so service providers, referrers and affected community members know what is available and how to access it.</w:t>
            </w:r>
          </w:p>
        </w:tc>
      </w:tr>
      <w:tr w:rsidR="005B699B" w14:paraId="6C3CBDA3"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C77495B" w14:textId="77777777" w:rsidR="005B699B" w:rsidRDefault="005B699B" w:rsidP="00785BA1">
            <w:pPr>
              <w:pStyle w:val="Tabletext9pt"/>
              <w:rPr>
                <w:szCs w:val="18"/>
              </w:rPr>
            </w:pPr>
            <w:r>
              <w:rPr>
                <w:szCs w:val="18"/>
              </w:rPr>
              <w:t>34003</w:t>
            </w:r>
          </w:p>
        </w:tc>
        <w:tc>
          <w:tcPr>
            <w:tcW w:w="2977" w:type="dxa"/>
            <w:tcBorders>
              <w:top w:val="single" w:sz="4" w:space="0" w:color="auto"/>
              <w:left w:val="single" w:sz="4" w:space="0" w:color="auto"/>
              <w:bottom w:val="single" w:sz="4" w:space="0" w:color="auto"/>
              <w:right w:val="single" w:sz="4" w:space="0" w:color="auto"/>
            </w:tcBorders>
            <w:hideMark/>
          </w:tcPr>
          <w:p w14:paraId="074612E9" w14:textId="77777777" w:rsidR="005B699B" w:rsidRDefault="005B699B" w:rsidP="00785BA1">
            <w:pPr>
              <w:pStyle w:val="Tabletext9pt"/>
              <w:rPr>
                <w:szCs w:val="18"/>
              </w:rPr>
            </w:pPr>
            <w:r>
              <w:rPr>
                <w:szCs w:val="18"/>
              </w:rPr>
              <w:t>Poisons information</w:t>
            </w:r>
          </w:p>
        </w:tc>
        <w:tc>
          <w:tcPr>
            <w:tcW w:w="4342" w:type="dxa"/>
            <w:tcBorders>
              <w:top w:val="single" w:sz="4" w:space="0" w:color="auto"/>
              <w:left w:val="single" w:sz="4" w:space="0" w:color="auto"/>
              <w:bottom w:val="single" w:sz="4" w:space="0" w:color="auto"/>
              <w:right w:val="single" w:sz="4" w:space="0" w:color="auto"/>
            </w:tcBorders>
            <w:hideMark/>
          </w:tcPr>
          <w:p w14:paraId="265028DF" w14:textId="77777777" w:rsidR="005B699B" w:rsidRDefault="005B699B" w:rsidP="00785BA1">
            <w:pPr>
              <w:pStyle w:val="Tabletext9pt"/>
            </w:pPr>
            <w:r>
              <w:rPr>
                <w:szCs w:val="18"/>
              </w:rPr>
              <w:t>Provides information and advice to the public on drugs and poisons, especially following exposure.</w:t>
            </w:r>
          </w:p>
        </w:tc>
      </w:tr>
      <w:tr w:rsidR="005B699B" w14:paraId="1961C488"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144131E" w14:textId="77777777" w:rsidR="005B699B" w:rsidRDefault="005B699B" w:rsidP="00785BA1">
            <w:pPr>
              <w:pStyle w:val="Tabletext9pt"/>
              <w:rPr>
                <w:szCs w:val="18"/>
              </w:rPr>
            </w:pPr>
            <w:r>
              <w:rPr>
                <w:szCs w:val="18"/>
              </w:rPr>
              <w:t>34004</w:t>
            </w:r>
          </w:p>
        </w:tc>
        <w:tc>
          <w:tcPr>
            <w:tcW w:w="2977" w:type="dxa"/>
            <w:tcBorders>
              <w:top w:val="single" w:sz="4" w:space="0" w:color="auto"/>
              <w:left w:val="single" w:sz="4" w:space="0" w:color="auto"/>
              <w:bottom w:val="single" w:sz="4" w:space="0" w:color="auto"/>
              <w:right w:val="single" w:sz="4" w:space="0" w:color="auto"/>
            </w:tcBorders>
            <w:hideMark/>
          </w:tcPr>
          <w:p w14:paraId="5B9E5E4F" w14:textId="77777777" w:rsidR="005B699B" w:rsidRDefault="005B699B" w:rsidP="00785BA1">
            <w:pPr>
              <w:pStyle w:val="Tabletext9pt"/>
              <w:rPr>
                <w:szCs w:val="18"/>
              </w:rPr>
            </w:pPr>
            <w:r>
              <w:rPr>
                <w:szCs w:val="18"/>
              </w:rPr>
              <w:t>Client information and support</w:t>
            </w:r>
          </w:p>
        </w:tc>
        <w:tc>
          <w:tcPr>
            <w:tcW w:w="4342" w:type="dxa"/>
            <w:tcBorders>
              <w:top w:val="single" w:sz="4" w:space="0" w:color="auto"/>
              <w:left w:val="single" w:sz="4" w:space="0" w:color="auto"/>
              <w:bottom w:val="single" w:sz="4" w:space="0" w:color="auto"/>
              <w:right w:val="single" w:sz="4" w:space="0" w:color="auto"/>
            </w:tcBorders>
            <w:hideMark/>
          </w:tcPr>
          <w:p w14:paraId="6594D2A4" w14:textId="77777777" w:rsidR="005B699B" w:rsidRDefault="005B699B" w:rsidP="00785BA1">
            <w:pPr>
              <w:pStyle w:val="Tabletext9pt"/>
              <w:rPr>
                <w:szCs w:val="18"/>
              </w:rPr>
            </w:pPr>
            <w:r>
              <w:t>Provides information, training, support, advice, and referrals to equip people to manage and respond to harmful drug use</w:t>
            </w:r>
            <w:r>
              <w:rPr>
                <w:szCs w:val="18"/>
              </w:rPr>
              <w:t>.</w:t>
            </w:r>
          </w:p>
        </w:tc>
      </w:tr>
      <w:tr w:rsidR="005B699B" w14:paraId="5CBA53A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56BD5EE9" w14:textId="77777777" w:rsidR="005B699B" w:rsidRDefault="005B699B" w:rsidP="00785BA1">
            <w:pPr>
              <w:pStyle w:val="Tabletext9pt"/>
              <w:rPr>
                <w:szCs w:val="18"/>
              </w:rPr>
            </w:pPr>
            <w:r>
              <w:rPr>
                <w:szCs w:val="18"/>
              </w:rPr>
              <w:t>34006</w:t>
            </w:r>
          </w:p>
        </w:tc>
        <w:tc>
          <w:tcPr>
            <w:tcW w:w="2977" w:type="dxa"/>
            <w:tcBorders>
              <w:top w:val="single" w:sz="4" w:space="0" w:color="auto"/>
              <w:left w:val="single" w:sz="4" w:space="0" w:color="auto"/>
              <w:bottom w:val="single" w:sz="4" w:space="0" w:color="auto"/>
              <w:right w:val="single" w:sz="4" w:space="0" w:color="auto"/>
            </w:tcBorders>
            <w:hideMark/>
          </w:tcPr>
          <w:p w14:paraId="39EEF1C1" w14:textId="77777777" w:rsidR="005B699B" w:rsidRDefault="005B699B" w:rsidP="00785BA1">
            <w:pPr>
              <w:pStyle w:val="Tabletext9pt"/>
              <w:rPr>
                <w:szCs w:val="18"/>
              </w:rPr>
            </w:pPr>
            <w:r>
              <w:rPr>
                <w:szCs w:val="18"/>
              </w:rPr>
              <w:t>Targeted interventions</w:t>
            </w:r>
          </w:p>
        </w:tc>
        <w:tc>
          <w:tcPr>
            <w:tcW w:w="4342" w:type="dxa"/>
            <w:tcBorders>
              <w:top w:val="single" w:sz="4" w:space="0" w:color="auto"/>
              <w:left w:val="single" w:sz="4" w:space="0" w:color="auto"/>
              <w:bottom w:val="single" w:sz="4" w:space="0" w:color="auto"/>
              <w:right w:val="single" w:sz="4" w:space="0" w:color="auto"/>
            </w:tcBorders>
            <w:hideMark/>
          </w:tcPr>
          <w:p w14:paraId="1EBD3C2D" w14:textId="0D06265D" w:rsidR="005B699B" w:rsidRDefault="005B699B" w:rsidP="00785BA1">
            <w:pPr>
              <w:pStyle w:val="Tabletext9pt"/>
              <w:rPr>
                <w:szCs w:val="18"/>
              </w:rPr>
            </w:pPr>
            <w:r>
              <w:rPr>
                <w:noProof/>
              </w:rPr>
              <w:t xml:space="preserve">Provides programs and services that prevent or reduce harms associated with </w:t>
            </w:r>
            <w:r w:rsidR="00C047EF">
              <w:rPr>
                <w:noProof/>
              </w:rPr>
              <w:t>AOD</w:t>
            </w:r>
            <w:r>
              <w:rPr>
                <w:noProof/>
              </w:rPr>
              <w:t xml:space="preserve"> use.</w:t>
            </w:r>
          </w:p>
        </w:tc>
      </w:tr>
      <w:tr w:rsidR="005B699B" w14:paraId="37F57D57"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32713B0" w14:textId="77777777" w:rsidR="005B699B" w:rsidRDefault="005B699B" w:rsidP="00785BA1">
            <w:pPr>
              <w:pStyle w:val="Tabletext9pt"/>
              <w:rPr>
                <w:szCs w:val="18"/>
              </w:rPr>
            </w:pPr>
            <w:r>
              <w:rPr>
                <w:szCs w:val="18"/>
              </w:rPr>
              <w:t>34020</w:t>
            </w:r>
          </w:p>
        </w:tc>
        <w:tc>
          <w:tcPr>
            <w:tcW w:w="2977" w:type="dxa"/>
            <w:tcBorders>
              <w:top w:val="single" w:sz="4" w:space="0" w:color="auto"/>
              <w:left w:val="single" w:sz="4" w:space="0" w:color="auto"/>
              <w:bottom w:val="single" w:sz="4" w:space="0" w:color="auto"/>
              <w:right w:val="single" w:sz="4" w:space="0" w:color="auto"/>
            </w:tcBorders>
            <w:hideMark/>
          </w:tcPr>
          <w:p w14:paraId="3D2B3CBA" w14:textId="77777777" w:rsidR="005B699B" w:rsidRDefault="005B699B" w:rsidP="00785BA1">
            <w:pPr>
              <w:pStyle w:val="Tabletext9pt"/>
              <w:rPr>
                <w:szCs w:val="18"/>
              </w:rPr>
            </w:pPr>
            <w:r>
              <w:rPr>
                <w:szCs w:val="18"/>
              </w:rPr>
              <w:t>Community</w:t>
            </w:r>
          </w:p>
        </w:tc>
        <w:tc>
          <w:tcPr>
            <w:tcW w:w="4342" w:type="dxa"/>
            <w:tcBorders>
              <w:top w:val="single" w:sz="4" w:space="0" w:color="auto"/>
              <w:left w:val="single" w:sz="4" w:space="0" w:color="auto"/>
              <w:bottom w:val="single" w:sz="4" w:space="0" w:color="auto"/>
              <w:right w:val="single" w:sz="4" w:space="0" w:color="auto"/>
            </w:tcBorders>
            <w:hideMark/>
          </w:tcPr>
          <w:p w14:paraId="3EC573BA" w14:textId="77777777" w:rsidR="005B699B" w:rsidRDefault="005B699B" w:rsidP="00785BA1">
            <w:pPr>
              <w:pStyle w:val="Tabletext9pt"/>
              <w:rPr>
                <w:szCs w:val="18"/>
              </w:rPr>
            </w:pPr>
            <w:r>
              <w:rPr>
                <w:szCs w:val="18"/>
              </w:rPr>
              <w:t>Provides different groups in the community with information about the impacts of substance use and, in the case of parents, resources to inform their children about substance use issues.</w:t>
            </w:r>
          </w:p>
        </w:tc>
      </w:tr>
      <w:tr w:rsidR="005B699B" w14:paraId="2049E54B"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5FD6331E" w14:textId="77777777" w:rsidR="005B699B" w:rsidRDefault="005B699B" w:rsidP="00785BA1">
            <w:pPr>
              <w:pStyle w:val="Tabletext9pt"/>
              <w:rPr>
                <w:szCs w:val="18"/>
              </w:rPr>
            </w:pPr>
            <w:r>
              <w:rPr>
                <w:szCs w:val="18"/>
              </w:rPr>
              <w:t>34021</w:t>
            </w:r>
          </w:p>
        </w:tc>
        <w:tc>
          <w:tcPr>
            <w:tcW w:w="2977" w:type="dxa"/>
            <w:tcBorders>
              <w:top w:val="single" w:sz="4" w:space="0" w:color="auto"/>
              <w:left w:val="single" w:sz="4" w:space="0" w:color="auto"/>
              <w:bottom w:val="single" w:sz="4" w:space="0" w:color="auto"/>
              <w:right w:val="single" w:sz="4" w:space="0" w:color="auto"/>
            </w:tcBorders>
            <w:hideMark/>
          </w:tcPr>
          <w:p w14:paraId="3773EECD" w14:textId="77777777" w:rsidR="005B699B" w:rsidRDefault="005B699B" w:rsidP="00785BA1">
            <w:pPr>
              <w:pStyle w:val="Tabletext9pt"/>
              <w:rPr>
                <w:szCs w:val="18"/>
              </w:rPr>
            </w:pPr>
            <w:r>
              <w:rPr>
                <w:szCs w:val="18"/>
              </w:rPr>
              <w:t>Local initiatives</w:t>
            </w:r>
          </w:p>
        </w:tc>
        <w:tc>
          <w:tcPr>
            <w:tcW w:w="4342" w:type="dxa"/>
            <w:tcBorders>
              <w:top w:val="single" w:sz="4" w:space="0" w:color="auto"/>
              <w:left w:val="single" w:sz="4" w:space="0" w:color="auto"/>
              <w:bottom w:val="single" w:sz="4" w:space="0" w:color="auto"/>
              <w:right w:val="single" w:sz="4" w:space="0" w:color="auto"/>
            </w:tcBorders>
            <w:hideMark/>
          </w:tcPr>
          <w:p w14:paraId="759CED56" w14:textId="5E73E06A" w:rsidR="005B699B" w:rsidRDefault="005B699B" w:rsidP="00785BA1">
            <w:pPr>
              <w:pStyle w:val="Tabletext9pt"/>
              <w:rPr>
                <w:szCs w:val="18"/>
              </w:rPr>
            </w:pPr>
            <w:r>
              <w:t xml:space="preserve">Delivers programs, services, and projects to support local stakeholders, business, residents, and communities to reduce harms related to </w:t>
            </w:r>
            <w:r w:rsidR="00C047EF">
              <w:t>AOD</w:t>
            </w:r>
            <w:r>
              <w:t xml:space="preserve"> use or dependence</w:t>
            </w:r>
            <w:r>
              <w:rPr>
                <w:szCs w:val="18"/>
              </w:rPr>
              <w:t>.</w:t>
            </w:r>
          </w:p>
        </w:tc>
      </w:tr>
      <w:tr w:rsidR="005B699B" w14:paraId="386950C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DEE3B0C" w14:textId="77777777" w:rsidR="005B699B" w:rsidRDefault="005B699B" w:rsidP="00785BA1">
            <w:pPr>
              <w:pStyle w:val="Tabletext9pt"/>
              <w:rPr>
                <w:szCs w:val="18"/>
              </w:rPr>
            </w:pPr>
            <w:r>
              <w:rPr>
                <w:szCs w:val="18"/>
              </w:rPr>
              <w:t>34070</w:t>
            </w:r>
          </w:p>
        </w:tc>
        <w:tc>
          <w:tcPr>
            <w:tcW w:w="2977" w:type="dxa"/>
            <w:tcBorders>
              <w:top w:val="single" w:sz="4" w:space="0" w:color="auto"/>
              <w:left w:val="single" w:sz="4" w:space="0" w:color="auto"/>
              <w:bottom w:val="single" w:sz="4" w:space="0" w:color="auto"/>
              <w:right w:val="single" w:sz="4" w:space="0" w:color="auto"/>
            </w:tcBorders>
            <w:hideMark/>
          </w:tcPr>
          <w:p w14:paraId="475C1C2B" w14:textId="77777777" w:rsidR="005B699B" w:rsidRDefault="005B699B" w:rsidP="00785BA1">
            <w:pPr>
              <w:pStyle w:val="Tabletext9pt"/>
              <w:rPr>
                <w:szCs w:val="18"/>
              </w:rPr>
            </w:pPr>
            <w:r>
              <w:rPr>
                <w:szCs w:val="18"/>
              </w:rPr>
              <w:t>Needle and Syringe Program</w:t>
            </w:r>
          </w:p>
        </w:tc>
        <w:tc>
          <w:tcPr>
            <w:tcW w:w="4342" w:type="dxa"/>
            <w:tcBorders>
              <w:top w:val="single" w:sz="4" w:space="0" w:color="auto"/>
              <w:left w:val="single" w:sz="4" w:space="0" w:color="auto"/>
              <w:bottom w:val="single" w:sz="4" w:space="0" w:color="auto"/>
              <w:right w:val="single" w:sz="4" w:space="0" w:color="auto"/>
            </w:tcBorders>
            <w:hideMark/>
          </w:tcPr>
          <w:p w14:paraId="33B16B2C" w14:textId="77777777" w:rsidR="005B699B" w:rsidRDefault="005B699B" w:rsidP="00785BA1">
            <w:pPr>
              <w:pStyle w:val="Tabletext9pt"/>
              <w:rPr>
                <w:szCs w:val="18"/>
              </w:rPr>
            </w:pPr>
            <w:r>
              <w:rPr>
                <w:szCs w:val="18"/>
              </w:rPr>
              <w:t>Makes available sterile injecting equipment for injection drug users, promote safe disposal, promote safer injecting practices, and provide information, education, and referral.</w:t>
            </w:r>
          </w:p>
        </w:tc>
      </w:tr>
    </w:tbl>
    <w:p w14:paraId="3B4BA074" w14:textId="2F850133" w:rsidR="005B699B" w:rsidRDefault="00F30C16" w:rsidP="00200013">
      <w:pPr>
        <w:pStyle w:val="Bodyafterfiguretable"/>
      </w:pPr>
      <w:r w:rsidRPr="0051277B">
        <w:fldChar w:fldCharType="begin"/>
      </w:r>
      <w:r w:rsidRPr="0051277B">
        <w:instrText xml:space="preserve"> REF _Ref170115848 </w:instrText>
      </w:r>
      <w:r w:rsidR="0051277B" w:rsidRPr="0013154B">
        <w:instrText xml:space="preserve"> \* MERGEFORMAT </w:instrText>
      </w:r>
      <w:r w:rsidRPr="0051277B">
        <w:fldChar w:fldCharType="separate"/>
      </w:r>
      <w:r w:rsidRPr="0013154B">
        <w:t>Table 1.26: Drug services – outputs and activities: drug services</w:t>
      </w:r>
      <w:r w:rsidRPr="0051277B">
        <w:t xml:space="preserve"> </w:t>
      </w:r>
      <w:r w:rsidRPr="0013154B">
        <w:t>2024–25</w:t>
      </w:r>
      <w:r w:rsidRPr="0051277B">
        <w:fldChar w:fldCharType="end"/>
      </w:r>
      <w:r w:rsidR="0073039F" w:rsidRPr="0051277B">
        <w:t xml:space="preserve"> </w:t>
      </w:r>
      <w:r w:rsidR="005B699B" w:rsidRPr="0051277B">
        <w:t>shows</w:t>
      </w:r>
      <w:r w:rsidR="005B699B">
        <w:t xml:space="preserve"> </w:t>
      </w:r>
      <w:r w:rsidR="005B699B" w:rsidRPr="00E7554A">
        <w:t>outputs and activities</w:t>
      </w:r>
      <w:r w:rsidR="005B699B">
        <w:t xml:space="preserve"> for</w:t>
      </w:r>
      <w:r w:rsidR="005B699B" w:rsidRPr="00E7554A">
        <w:t xml:space="preserve"> drug treatment and rehabilitation</w:t>
      </w:r>
      <w:r w:rsidR="005B699B">
        <w:t>.</w:t>
      </w:r>
      <w:r w:rsidR="005B699B" w:rsidRPr="007120A8">
        <w:t xml:space="preserve"> </w:t>
      </w:r>
      <w:r w:rsidR="005B699B">
        <w:t>Drug services a</w:t>
      </w:r>
      <w:r w:rsidR="005B699B" w:rsidRPr="0088682D">
        <w:t xml:space="preserve">ssist the community and individuals to control and reduce the harmful effects of illicit and licit drugs, including alcohol, </w:t>
      </w:r>
      <w:r w:rsidR="005B699B">
        <w:t>by providing</w:t>
      </w:r>
      <w:r w:rsidR="005B699B" w:rsidRPr="0088682D">
        <w:t xml:space="preserve"> community-based services</w:t>
      </w:r>
      <w:r w:rsidR="005B699B">
        <w:t>, non-residential and residential treatment services, education and training, and support services.</w:t>
      </w:r>
    </w:p>
    <w:p w14:paraId="3C6EECDC" w14:textId="77777777" w:rsidR="008D7602" w:rsidRDefault="008D7602" w:rsidP="00200013">
      <w:pPr>
        <w:pStyle w:val="Bodyafterfiguretable"/>
      </w:pPr>
    </w:p>
    <w:p w14:paraId="61032329" w14:textId="70F37E49" w:rsidR="00A97999" w:rsidRPr="00A97999" w:rsidRDefault="00A97999" w:rsidP="00A97999">
      <w:pPr>
        <w:pStyle w:val="Body"/>
        <w:rPr>
          <w:b/>
          <w:bCs/>
        </w:rPr>
      </w:pPr>
      <w:bookmarkStart w:id="2364" w:name="_Ref170115848"/>
      <w:r w:rsidRPr="00A97999">
        <w:rPr>
          <w:b/>
          <w:bCs/>
        </w:rPr>
        <w:lastRenderedPageBreak/>
        <w:t>Table 1.</w:t>
      </w:r>
      <w:r w:rsidRPr="00A97999">
        <w:rPr>
          <w:b/>
          <w:bCs/>
        </w:rPr>
        <w:fldChar w:fldCharType="begin"/>
      </w:r>
      <w:r w:rsidRPr="00A97999">
        <w:rPr>
          <w:b/>
          <w:bCs/>
        </w:rPr>
        <w:instrText xml:space="preserve"> SEQ Table \* ARABIC </w:instrText>
      </w:r>
      <w:r w:rsidRPr="00A97999">
        <w:rPr>
          <w:b/>
          <w:bCs/>
        </w:rPr>
        <w:fldChar w:fldCharType="separate"/>
      </w:r>
      <w:r w:rsidR="00F30C16">
        <w:rPr>
          <w:b/>
          <w:bCs/>
          <w:noProof/>
        </w:rPr>
        <w:t>26</w:t>
      </w:r>
      <w:r w:rsidRPr="00A97999">
        <w:rPr>
          <w:b/>
          <w:bCs/>
        </w:rPr>
        <w:fldChar w:fldCharType="end"/>
      </w:r>
      <w:r w:rsidRPr="00A97999">
        <w:rPr>
          <w:b/>
          <w:bCs/>
        </w:rPr>
        <w:t>: Drug services – outputs and activities: drug services</w:t>
      </w:r>
      <w:r>
        <w:t xml:space="preserve"> </w:t>
      </w:r>
      <w:r w:rsidRPr="00A97999">
        <w:rPr>
          <w:b/>
          <w:bCs/>
        </w:rPr>
        <w:t>2024–25</w:t>
      </w:r>
      <w:bookmarkEnd w:id="2364"/>
    </w:p>
    <w:tbl>
      <w:tblPr>
        <w:tblW w:w="9299" w:type="dxa"/>
        <w:tblLook w:val="06A0" w:firstRow="1" w:lastRow="0" w:firstColumn="1" w:lastColumn="0" w:noHBand="1" w:noVBand="1"/>
      </w:tblPr>
      <w:tblGrid>
        <w:gridCol w:w="1980"/>
        <w:gridCol w:w="2977"/>
        <w:gridCol w:w="4342"/>
      </w:tblGrid>
      <w:tr w:rsidR="005B699B" w14:paraId="66519CB2" w14:textId="77777777" w:rsidTr="00161B56">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5FD5785" w14:textId="77777777" w:rsidR="005B699B" w:rsidRPr="00F717FB" w:rsidRDefault="005B699B" w:rsidP="00785BA1">
            <w:pPr>
              <w:pStyle w:val="Tablecolhead"/>
              <w:rPr>
                <w:rFonts w:eastAsia="Arial"/>
                <w:szCs w:val="21"/>
              </w:rPr>
            </w:pPr>
            <w:bookmarkStart w:id="2365" w:name="_Toc14194760"/>
            <w:bookmarkStart w:id="2366" w:name="_Ref14204298"/>
            <w:bookmarkStart w:id="2367" w:name="_Toc54261416"/>
            <w:bookmarkStart w:id="2368" w:name="_Toc54616290"/>
            <w:bookmarkStart w:id="2369" w:name="_Ref423017896"/>
            <w:bookmarkStart w:id="2370" w:name="_Ref423017904"/>
            <w:bookmarkStart w:id="2371" w:name="_Ref393440229"/>
            <w:bookmarkStart w:id="2372" w:name="_Toc419623627"/>
            <w:bookmarkStart w:id="2373" w:name="_Toc419623739"/>
            <w:bookmarkStart w:id="2374" w:name="_Toc419644527"/>
            <w:bookmarkStart w:id="2375" w:name="_Toc487742091"/>
            <w:bookmarkEnd w:id="2360"/>
            <w:bookmarkEnd w:id="2361"/>
            <w:bookmarkEnd w:id="2362"/>
            <w:bookmarkEnd w:id="2363"/>
            <w:r w:rsidRPr="00F717FB">
              <w:rPr>
                <w:rFonts w:eastAsia="Arial"/>
                <w:szCs w:val="21"/>
              </w:rPr>
              <w:t>Activity 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3135897"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283A7971"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22A2616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63F53ECA" w14:textId="77777777" w:rsidR="005B699B" w:rsidRDefault="005B699B" w:rsidP="00785BA1">
            <w:pPr>
              <w:pStyle w:val="Tabletext9pt"/>
              <w:rPr>
                <w:szCs w:val="18"/>
              </w:rPr>
            </w:pPr>
            <w:r>
              <w:rPr>
                <w:szCs w:val="18"/>
              </w:rPr>
              <w:t>34022</w:t>
            </w:r>
          </w:p>
        </w:tc>
        <w:tc>
          <w:tcPr>
            <w:tcW w:w="2977" w:type="dxa"/>
            <w:tcBorders>
              <w:top w:val="single" w:sz="4" w:space="0" w:color="auto"/>
              <w:left w:val="single" w:sz="4" w:space="0" w:color="auto"/>
              <w:bottom w:val="single" w:sz="4" w:space="0" w:color="auto"/>
              <w:right w:val="single" w:sz="4" w:space="0" w:color="auto"/>
            </w:tcBorders>
            <w:hideMark/>
          </w:tcPr>
          <w:p w14:paraId="5276BB53" w14:textId="77777777" w:rsidR="005B699B" w:rsidRDefault="005B699B" w:rsidP="00785BA1">
            <w:pPr>
              <w:pStyle w:val="Tabletext9pt"/>
              <w:rPr>
                <w:szCs w:val="18"/>
              </w:rPr>
            </w:pPr>
            <w:r>
              <w:rPr>
                <w:szCs w:val="18"/>
              </w:rPr>
              <w:t>Capacity building</w:t>
            </w:r>
          </w:p>
        </w:tc>
        <w:tc>
          <w:tcPr>
            <w:tcW w:w="4342" w:type="dxa"/>
            <w:tcBorders>
              <w:top w:val="single" w:sz="4" w:space="0" w:color="auto"/>
              <w:left w:val="single" w:sz="4" w:space="0" w:color="auto"/>
              <w:bottom w:val="single" w:sz="4" w:space="0" w:color="auto"/>
              <w:right w:val="single" w:sz="4" w:space="0" w:color="auto"/>
            </w:tcBorders>
            <w:hideMark/>
          </w:tcPr>
          <w:p w14:paraId="2FFD473B" w14:textId="30AC13A6" w:rsidR="005B699B" w:rsidRDefault="005B699B" w:rsidP="00785BA1">
            <w:pPr>
              <w:pStyle w:val="Tabletext9pt"/>
              <w:rPr>
                <w:szCs w:val="18"/>
              </w:rPr>
            </w:pPr>
            <w:r>
              <w:rPr>
                <w:szCs w:val="18"/>
              </w:rPr>
              <w:t xml:space="preserve">To improve the ability of organisations to identify and respond to </w:t>
            </w:r>
            <w:r w:rsidDel="00F90553">
              <w:rPr>
                <w:szCs w:val="18"/>
              </w:rPr>
              <w:t xml:space="preserve">AOD </w:t>
            </w:r>
            <w:r>
              <w:rPr>
                <w:szCs w:val="18"/>
              </w:rPr>
              <w:t xml:space="preserve">support needs of specific cohorts of clients and their families. </w:t>
            </w:r>
          </w:p>
        </w:tc>
      </w:tr>
      <w:tr w:rsidR="005B699B" w14:paraId="372DE87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A7E6987" w14:textId="77777777" w:rsidR="005B699B" w:rsidRDefault="005B699B" w:rsidP="00785BA1">
            <w:pPr>
              <w:pStyle w:val="Tabletext9pt"/>
              <w:rPr>
                <w:szCs w:val="18"/>
              </w:rPr>
            </w:pPr>
            <w:r>
              <w:rPr>
                <w:szCs w:val="18"/>
              </w:rPr>
              <w:t>34024</w:t>
            </w:r>
          </w:p>
        </w:tc>
        <w:tc>
          <w:tcPr>
            <w:tcW w:w="2977" w:type="dxa"/>
            <w:tcBorders>
              <w:top w:val="single" w:sz="4" w:space="0" w:color="auto"/>
              <w:left w:val="single" w:sz="4" w:space="0" w:color="auto"/>
              <w:bottom w:val="single" w:sz="4" w:space="0" w:color="auto"/>
              <w:right w:val="single" w:sz="4" w:space="0" w:color="auto"/>
            </w:tcBorders>
            <w:hideMark/>
          </w:tcPr>
          <w:p w14:paraId="6EA34F16" w14:textId="77777777" w:rsidR="005B699B" w:rsidRDefault="005B699B" w:rsidP="00785BA1">
            <w:pPr>
              <w:pStyle w:val="Tabletext9pt"/>
              <w:rPr>
                <w:szCs w:val="18"/>
              </w:rPr>
            </w:pPr>
            <w:r>
              <w:rPr>
                <w:szCs w:val="18"/>
              </w:rPr>
              <w:t>Education and training</w:t>
            </w:r>
          </w:p>
        </w:tc>
        <w:tc>
          <w:tcPr>
            <w:tcW w:w="4342" w:type="dxa"/>
            <w:tcBorders>
              <w:top w:val="single" w:sz="4" w:space="0" w:color="auto"/>
              <w:left w:val="single" w:sz="4" w:space="0" w:color="auto"/>
              <w:bottom w:val="single" w:sz="4" w:space="0" w:color="auto"/>
              <w:right w:val="single" w:sz="4" w:space="0" w:color="auto"/>
            </w:tcBorders>
            <w:hideMark/>
          </w:tcPr>
          <w:p w14:paraId="0A1DE02E" w14:textId="77777777" w:rsidR="005B699B" w:rsidRDefault="005B699B" w:rsidP="00CE12D2">
            <w:pPr>
              <w:pStyle w:val="Tabletext9pt"/>
              <w:numPr>
                <w:ilvl w:val="0"/>
                <w:numId w:val="12"/>
              </w:numPr>
            </w:pPr>
            <w:r>
              <w:t>To provide information, training, consultancy, curriculum, and training needs analysis for workers, including peer workers, in dealing with clients with alcohol and drug problems, and education to alcohol and drug treatment clients.</w:t>
            </w:r>
          </w:p>
        </w:tc>
      </w:tr>
      <w:tr w:rsidR="005B699B" w14:paraId="262DF4B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73B7644" w14:textId="77777777" w:rsidR="005B699B" w:rsidRDefault="005B699B" w:rsidP="00785BA1">
            <w:pPr>
              <w:pStyle w:val="Tabletext9pt"/>
              <w:rPr>
                <w:szCs w:val="18"/>
              </w:rPr>
            </w:pPr>
            <w:r>
              <w:rPr>
                <w:szCs w:val="18"/>
              </w:rPr>
              <w:t>34025</w:t>
            </w:r>
          </w:p>
        </w:tc>
        <w:tc>
          <w:tcPr>
            <w:tcW w:w="2977" w:type="dxa"/>
            <w:tcBorders>
              <w:top w:val="single" w:sz="4" w:space="0" w:color="auto"/>
              <w:left w:val="single" w:sz="4" w:space="0" w:color="auto"/>
              <w:bottom w:val="single" w:sz="4" w:space="0" w:color="auto"/>
              <w:right w:val="single" w:sz="4" w:space="0" w:color="auto"/>
            </w:tcBorders>
            <w:hideMark/>
          </w:tcPr>
          <w:p w14:paraId="3F34FD86" w14:textId="77777777" w:rsidR="005B699B" w:rsidRDefault="005B699B" w:rsidP="00785BA1">
            <w:pPr>
              <w:pStyle w:val="Tabletext9pt"/>
              <w:rPr>
                <w:szCs w:val="18"/>
              </w:rPr>
            </w:pPr>
            <w:r>
              <w:rPr>
                <w:szCs w:val="18"/>
              </w:rPr>
              <w:t>Research, service development, evaluation</w:t>
            </w:r>
          </w:p>
        </w:tc>
        <w:tc>
          <w:tcPr>
            <w:tcW w:w="4342" w:type="dxa"/>
            <w:tcBorders>
              <w:top w:val="single" w:sz="4" w:space="0" w:color="auto"/>
              <w:left w:val="single" w:sz="4" w:space="0" w:color="auto"/>
              <w:bottom w:val="single" w:sz="4" w:space="0" w:color="auto"/>
              <w:right w:val="single" w:sz="4" w:space="0" w:color="auto"/>
            </w:tcBorders>
            <w:hideMark/>
          </w:tcPr>
          <w:p w14:paraId="6EEECA07" w14:textId="5843A2F0" w:rsidR="005B699B" w:rsidRDefault="005B699B" w:rsidP="00CE12D2">
            <w:pPr>
              <w:pStyle w:val="Tabletext9pt"/>
              <w:numPr>
                <w:ilvl w:val="0"/>
                <w:numId w:val="12"/>
              </w:numPr>
            </w:pPr>
            <w:r>
              <w:t xml:space="preserve">To develop and enhance high-quality public health research into </w:t>
            </w:r>
            <w:r w:rsidDel="00F90553">
              <w:t xml:space="preserve">AOD </w:t>
            </w:r>
            <w:r>
              <w:t xml:space="preserve">issues, including targeted and general population surveys, risk and protective factors and effects of </w:t>
            </w:r>
            <w:r w:rsidDel="00F90553">
              <w:t xml:space="preserve">AOD </w:t>
            </w:r>
            <w:r>
              <w:t>use and evaluation of services.</w:t>
            </w:r>
          </w:p>
          <w:p w14:paraId="59C97244" w14:textId="07F308E9" w:rsidR="005B699B" w:rsidRDefault="005B699B" w:rsidP="00CE12D2">
            <w:pPr>
              <w:pStyle w:val="Tabletext9pt"/>
              <w:numPr>
                <w:ilvl w:val="0"/>
                <w:numId w:val="12"/>
              </w:numPr>
            </w:pPr>
            <w:r>
              <w:t xml:space="preserve">This activity supports the delivery of a range of initiatives to equip the specialist </w:t>
            </w:r>
            <w:r w:rsidDel="00F90553">
              <w:t xml:space="preserve">AOD </w:t>
            </w:r>
            <w:r>
              <w:t xml:space="preserve">sector to prevent the harmful uptake of </w:t>
            </w:r>
            <w:r w:rsidDel="00F90553">
              <w:t xml:space="preserve">AOD </w:t>
            </w:r>
            <w:r>
              <w:t xml:space="preserve">use, intervene earlier, deliver effective treatments and other holistic health interventions, and better understand the impact of </w:t>
            </w:r>
            <w:r w:rsidDel="00F90553">
              <w:t xml:space="preserve">AOD </w:t>
            </w:r>
            <w:r>
              <w:t>use across the community.</w:t>
            </w:r>
          </w:p>
          <w:p w14:paraId="203180FC" w14:textId="77777777" w:rsidR="005B699B" w:rsidRDefault="005B699B" w:rsidP="00785BA1">
            <w:pPr>
              <w:pStyle w:val="Tabletext9pt"/>
              <w:rPr>
                <w:szCs w:val="18"/>
              </w:rPr>
            </w:pPr>
            <w:r>
              <w:rPr>
                <w:szCs w:val="18"/>
              </w:rPr>
              <w:t>This enables the application of research findings, which inform policy, planning and practice.</w:t>
            </w:r>
          </w:p>
        </w:tc>
      </w:tr>
      <w:tr w:rsidR="005B699B" w14:paraId="70845028"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C1156DC" w14:textId="77777777" w:rsidR="005B699B" w:rsidRDefault="005B699B" w:rsidP="00785BA1">
            <w:pPr>
              <w:pStyle w:val="Tabletext9pt"/>
              <w:rPr>
                <w:szCs w:val="18"/>
              </w:rPr>
            </w:pPr>
            <w:r>
              <w:rPr>
                <w:szCs w:val="18"/>
              </w:rPr>
              <w:t>34040</w:t>
            </w:r>
          </w:p>
        </w:tc>
        <w:tc>
          <w:tcPr>
            <w:tcW w:w="2977" w:type="dxa"/>
            <w:tcBorders>
              <w:top w:val="single" w:sz="4" w:space="0" w:color="auto"/>
              <w:left w:val="single" w:sz="4" w:space="0" w:color="auto"/>
              <w:bottom w:val="single" w:sz="4" w:space="0" w:color="auto"/>
              <w:right w:val="single" w:sz="4" w:space="0" w:color="auto"/>
            </w:tcBorders>
            <w:hideMark/>
          </w:tcPr>
          <w:p w14:paraId="503E1BF9" w14:textId="77777777" w:rsidR="005B699B" w:rsidRDefault="005B699B" w:rsidP="00785BA1">
            <w:pPr>
              <w:pStyle w:val="Tabletext9pt"/>
              <w:rPr>
                <w:szCs w:val="18"/>
              </w:rPr>
            </w:pPr>
            <w:r>
              <w:rPr>
                <w:szCs w:val="18"/>
              </w:rPr>
              <w:t>Education (FOCiS)</w:t>
            </w:r>
          </w:p>
        </w:tc>
        <w:tc>
          <w:tcPr>
            <w:tcW w:w="4342" w:type="dxa"/>
            <w:tcBorders>
              <w:top w:val="single" w:sz="4" w:space="0" w:color="auto"/>
              <w:left w:val="single" w:sz="4" w:space="0" w:color="auto"/>
              <w:bottom w:val="single" w:sz="4" w:space="0" w:color="auto"/>
              <w:right w:val="single" w:sz="4" w:space="0" w:color="auto"/>
            </w:tcBorders>
            <w:hideMark/>
          </w:tcPr>
          <w:p w14:paraId="79C4086E" w14:textId="77777777" w:rsidR="005B699B" w:rsidRDefault="005B699B" w:rsidP="00785BA1">
            <w:pPr>
              <w:pStyle w:val="Tabletext9pt"/>
              <w:rPr>
                <w:szCs w:val="18"/>
              </w:rPr>
            </w:pPr>
            <w:r>
              <w:rPr>
                <w:szCs w:val="18"/>
              </w:rPr>
              <w:t>To provide a drug education program for people requiring it as a condition of their sentence for possessing a small amount of illicit drugs. The aim is to increase the likelihood of the individual maintaining behaviour that reduces drug-related harm.</w:t>
            </w:r>
          </w:p>
        </w:tc>
      </w:tr>
      <w:tr w:rsidR="005B699B" w14:paraId="4F7CC55B"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F03F376" w14:textId="77777777" w:rsidR="005B699B" w:rsidRDefault="005B699B" w:rsidP="00785BA1">
            <w:pPr>
              <w:pStyle w:val="Tabletext9pt"/>
              <w:rPr>
                <w:szCs w:val="18"/>
              </w:rPr>
            </w:pPr>
            <w:r>
              <w:rPr>
                <w:szCs w:val="18"/>
              </w:rPr>
              <w:t>34041</w:t>
            </w:r>
          </w:p>
        </w:tc>
        <w:tc>
          <w:tcPr>
            <w:tcW w:w="2977" w:type="dxa"/>
            <w:tcBorders>
              <w:top w:val="single" w:sz="4" w:space="0" w:color="auto"/>
              <w:left w:val="single" w:sz="4" w:space="0" w:color="auto"/>
              <w:bottom w:val="single" w:sz="4" w:space="0" w:color="auto"/>
              <w:right w:val="single" w:sz="4" w:space="0" w:color="auto"/>
            </w:tcBorders>
            <w:hideMark/>
          </w:tcPr>
          <w:p w14:paraId="759FC31E" w14:textId="77777777" w:rsidR="005B699B" w:rsidRDefault="005B699B" w:rsidP="00785BA1">
            <w:pPr>
              <w:pStyle w:val="Tabletext9pt"/>
              <w:rPr>
                <w:szCs w:val="18"/>
              </w:rPr>
            </w:pPr>
            <w:r>
              <w:rPr>
                <w:szCs w:val="18"/>
              </w:rPr>
              <w:t>Youth Day Program</w:t>
            </w:r>
          </w:p>
        </w:tc>
        <w:tc>
          <w:tcPr>
            <w:tcW w:w="4342" w:type="dxa"/>
            <w:tcBorders>
              <w:top w:val="single" w:sz="4" w:space="0" w:color="auto"/>
              <w:left w:val="single" w:sz="4" w:space="0" w:color="auto"/>
              <w:bottom w:val="single" w:sz="4" w:space="0" w:color="auto"/>
              <w:right w:val="single" w:sz="4" w:space="0" w:color="auto"/>
            </w:tcBorders>
            <w:hideMark/>
          </w:tcPr>
          <w:p w14:paraId="0D0D3A28" w14:textId="2421874B" w:rsidR="005B699B" w:rsidRDefault="005B699B" w:rsidP="00785BA1">
            <w:pPr>
              <w:pStyle w:val="Tabletext9pt"/>
              <w:rPr>
                <w:szCs w:val="18"/>
              </w:rPr>
            </w:pPr>
            <w:r>
              <w:rPr>
                <w:szCs w:val="18"/>
              </w:rPr>
              <w:t xml:space="preserve">To support young people who are currently involved in treatment with youth </w:t>
            </w:r>
            <w:r w:rsidDel="00F90553">
              <w:rPr>
                <w:szCs w:val="18"/>
              </w:rPr>
              <w:t xml:space="preserve">AOD </w:t>
            </w:r>
            <w:r>
              <w:rPr>
                <w:szCs w:val="18"/>
              </w:rPr>
              <w:t>treatment services and to complement these services to provide a pathway for the client following treatment.</w:t>
            </w:r>
          </w:p>
        </w:tc>
      </w:tr>
      <w:tr w:rsidR="005B699B" w14:paraId="725EF735"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00AC1013" w14:textId="77777777" w:rsidR="005B699B" w:rsidRDefault="005B699B" w:rsidP="00785BA1">
            <w:pPr>
              <w:pStyle w:val="Tabletext9pt"/>
              <w:rPr>
                <w:szCs w:val="18"/>
              </w:rPr>
            </w:pPr>
            <w:r>
              <w:rPr>
                <w:szCs w:val="18"/>
              </w:rPr>
              <w:t>34042</w:t>
            </w:r>
          </w:p>
        </w:tc>
        <w:tc>
          <w:tcPr>
            <w:tcW w:w="2977" w:type="dxa"/>
            <w:tcBorders>
              <w:top w:val="single" w:sz="4" w:space="0" w:color="auto"/>
              <w:left w:val="single" w:sz="4" w:space="0" w:color="auto"/>
              <w:bottom w:val="single" w:sz="4" w:space="0" w:color="auto"/>
              <w:right w:val="single" w:sz="4" w:space="0" w:color="auto"/>
            </w:tcBorders>
            <w:hideMark/>
          </w:tcPr>
          <w:p w14:paraId="63F15E79" w14:textId="77777777" w:rsidR="005B699B" w:rsidRDefault="005B699B" w:rsidP="00785BA1">
            <w:pPr>
              <w:pStyle w:val="Tabletext9pt"/>
            </w:pPr>
            <w:r>
              <w:t>Community Offenders Advice and Treatment Service</w:t>
            </w:r>
          </w:p>
        </w:tc>
        <w:tc>
          <w:tcPr>
            <w:tcW w:w="4342" w:type="dxa"/>
            <w:tcBorders>
              <w:top w:val="single" w:sz="4" w:space="0" w:color="auto"/>
              <w:left w:val="single" w:sz="4" w:space="0" w:color="auto"/>
              <w:bottom w:val="single" w:sz="4" w:space="0" w:color="auto"/>
              <w:right w:val="single" w:sz="4" w:space="0" w:color="auto"/>
            </w:tcBorders>
            <w:hideMark/>
          </w:tcPr>
          <w:p w14:paraId="3DC2434A" w14:textId="77777777" w:rsidR="005B699B" w:rsidRDefault="005B699B" w:rsidP="00785BA1">
            <w:pPr>
              <w:pStyle w:val="Tabletext9pt"/>
              <w:rPr>
                <w:szCs w:val="18"/>
              </w:rPr>
            </w:pPr>
            <w:r>
              <w:rPr>
                <w:szCs w:val="18"/>
              </w:rPr>
              <w:t>To provide post-sentence assessments and treatment plans for offenders who have received a community-based disposition from the courts.</w:t>
            </w:r>
          </w:p>
          <w:p w14:paraId="609C526F" w14:textId="77777777" w:rsidR="005B699B" w:rsidRDefault="005B699B" w:rsidP="00785BA1">
            <w:pPr>
              <w:pStyle w:val="Tabletext9pt"/>
              <w:rPr>
                <w:szCs w:val="18"/>
              </w:rPr>
            </w:pPr>
            <w:r>
              <w:rPr>
                <w:szCs w:val="18"/>
              </w:rPr>
              <w:t>To provide pre-sentence assessments (in exceptional circumstances) as ordered by the court and treatment plans for offenders whose offending is related to drug use.</w:t>
            </w:r>
          </w:p>
          <w:p w14:paraId="68136362" w14:textId="37FA9741" w:rsidR="005B699B" w:rsidRDefault="005B699B" w:rsidP="00785BA1">
            <w:pPr>
              <w:pStyle w:val="Tabletext9pt"/>
              <w:rPr>
                <w:szCs w:val="18"/>
              </w:rPr>
            </w:pPr>
            <w:r>
              <w:rPr>
                <w:szCs w:val="18"/>
              </w:rPr>
              <w:t xml:space="preserve">To provide pre-release assessment and treatment plans on release for prisoners on parole with an </w:t>
            </w:r>
            <w:r w:rsidDel="00F90553">
              <w:rPr>
                <w:szCs w:val="18"/>
              </w:rPr>
              <w:t xml:space="preserve">AOD </w:t>
            </w:r>
            <w:r>
              <w:rPr>
                <w:szCs w:val="18"/>
              </w:rPr>
              <w:t>treatment condition and offenders who have received a custody and community treatment order.</w:t>
            </w:r>
          </w:p>
          <w:p w14:paraId="4AD8987E" w14:textId="4DDF6D92" w:rsidR="005B699B" w:rsidRDefault="005B699B" w:rsidP="00785BA1">
            <w:pPr>
              <w:pStyle w:val="Tabletext9pt"/>
              <w:rPr>
                <w:szCs w:val="18"/>
              </w:rPr>
            </w:pPr>
            <w:r>
              <w:rPr>
                <w:szCs w:val="18"/>
              </w:rPr>
              <w:t xml:space="preserve">To purchase appropriate treatment from </w:t>
            </w:r>
            <w:r w:rsidDel="00F90553">
              <w:rPr>
                <w:szCs w:val="18"/>
              </w:rPr>
              <w:t xml:space="preserve">AOD </w:t>
            </w:r>
            <w:r>
              <w:rPr>
                <w:szCs w:val="18"/>
              </w:rPr>
              <w:t xml:space="preserve">agencies for offenders who have received a community-based disposition with an </w:t>
            </w:r>
            <w:r w:rsidDel="00F90553">
              <w:rPr>
                <w:szCs w:val="18"/>
              </w:rPr>
              <w:t xml:space="preserve">AOD </w:t>
            </w:r>
            <w:r>
              <w:rPr>
                <w:szCs w:val="18"/>
              </w:rPr>
              <w:t>treatment condition.</w:t>
            </w:r>
          </w:p>
        </w:tc>
      </w:tr>
      <w:tr w:rsidR="005B699B" w14:paraId="6C25BE95"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03E9980" w14:textId="77777777" w:rsidR="005B699B" w:rsidRDefault="005B699B" w:rsidP="00785BA1">
            <w:pPr>
              <w:pStyle w:val="Tabletext9pt"/>
              <w:rPr>
                <w:szCs w:val="18"/>
              </w:rPr>
            </w:pPr>
            <w:r>
              <w:rPr>
                <w:szCs w:val="18"/>
              </w:rPr>
              <w:t>34044</w:t>
            </w:r>
          </w:p>
        </w:tc>
        <w:tc>
          <w:tcPr>
            <w:tcW w:w="2977" w:type="dxa"/>
            <w:tcBorders>
              <w:top w:val="single" w:sz="4" w:space="0" w:color="auto"/>
              <w:left w:val="single" w:sz="4" w:space="0" w:color="auto"/>
              <w:bottom w:val="single" w:sz="4" w:space="0" w:color="auto"/>
              <w:right w:val="single" w:sz="4" w:space="0" w:color="auto"/>
            </w:tcBorders>
            <w:hideMark/>
          </w:tcPr>
          <w:p w14:paraId="3C9396E5" w14:textId="64E60724" w:rsidR="005B699B" w:rsidRDefault="005B699B" w:rsidP="00785BA1">
            <w:pPr>
              <w:pStyle w:val="Tabletext9pt"/>
              <w:rPr>
                <w:szCs w:val="18"/>
              </w:rPr>
            </w:pPr>
            <w:r>
              <w:rPr>
                <w:szCs w:val="18"/>
              </w:rPr>
              <w:t>Ante and post</w:t>
            </w:r>
            <w:r w:rsidR="00F90553">
              <w:rPr>
                <w:szCs w:val="18"/>
              </w:rPr>
              <w:t>-</w:t>
            </w:r>
            <w:r>
              <w:rPr>
                <w:szCs w:val="18"/>
              </w:rPr>
              <w:t>natal support</w:t>
            </w:r>
          </w:p>
        </w:tc>
        <w:tc>
          <w:tcPr>
            <w:tcW w:w="4342" w:type="dxa"/>
            <w:tcBorders>
              <w:top w:val="single" w:sz="4" w:space="0" w:color="auto"/>
              <w:left w:val="single" w:sz="4" w:space="0" w:color="auto"/>
              <w:bottom w:val="single" w:sz="4" w:space="0" w:color="auto"/>
              <w:right w:val="single" w:sz="4" w:space="0" w:color="auto"/>
            </w:tcBorders>
            <w:hideMark/>
          </w:tcPr>
          <w:p w14:paraId="0510AF67" w14:textId="7AC12A75" w:rsidR="005B699B" w:rsidRDefault="005B699B" w:rsidP="00785BA1">
            <w:pPr>
              <w:pStyle w:val="Tabletext9pt"/>
              <w:rPr>
                <w:szCs w:val="18"/>
              </w:rPr>
            </w:pPr>
            <w:r>
              <w:rPr>
                <w:szCs w:val="18"/>
              </w:rPr>
              <w:t xml:space="preserve">To provide inpatient, outpatient, distance case management and secondary consultation activities to minimise the harms of </w:t>
            </w:r>
            <w:r w:rsidDel="00F90553">
              <w:rPr>
                <w:szCs w:val="18"/>
              </w:rPr>
              <w:t xml:space="preserve">AOD </w:t>
            </w:r>
            <w:r>
              <w:rPr>
                <w:szCs w:val="18"/>
              </w:rPr>
              <w:t>use to mothers and their children.</w:t>
            </w:r>
          </w:p>
        </w:tc>
      </w:tr>
      <w:tr w:rsidR="005B699B" w14:paraId="3F51685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F0D54DC" w14:textId="77777777" w:rsidR="005B699B" w:rsidRDefault="005B699B" w:rsidP="00785BA1">
            <w:pPr>
              <w:pStyle w:val="Tabletext9pt"/>
              <w:rPr>
                <w:szCs w:val="18"/>
              </w:rPr>
            </w:pPr>
            <w:r>
              <w:rPr>
                <w:szCs w:val="18"/>
              </w:rPr>
              <w:t>34046</w:t>
            </w:r>
          </w:p>
        </w:tc>
        <w:tc>
          <w:tcPr>
            <w:tcW w:w="2977" w:type="dxa"/>
            <w:tcBorders>
              <w:top w:val="single" w:sz="4" w:space="0" w:color="auto"/>
              <w:left w:val="single" w:sz="4" w:space="0" w:color="auto"/>
              <w:bottom w:val="single" w:sz="4" w:space="0" w:color="auto"/>
              <w:right w:val="single" w:sz="4" w:space="0" w:color="auto"/>
            </w:tcBorders>
            <w:hideMark/>
          </w:tcPr>
          <w:p w14:paraId="3D7D69FE" w14:textId="77777777" w:rsidR="005B699B" w:rsidRDefault="005B699B" w:rsidP="00785BA1">
            <w:pPr>
              <w:pStyle w:val="Tabletext9pt"/>
              <w:rPr>
                <w:szCs w:val="18"/>
              </w:rPr>
            </w:pPr>
            <w:r>
              <w:rPr>
                <w:szCs w:val="18"/>
              </w:rPr>
              <w:t>Youth alcohol and drug supported accommodation</w:t>
            </w:r>
          </w:p>
        </w:tc>
        <w:tc>
          <w:tcPr>
            <w:tcW w:w="4342" w:type="dxa"/>
            <w:tcBorders>
              <w:top w:val="single" w:sz="4" w:space="0" w:color="auto"/>
              <w:left w:val="single" w:sz="4" w:space="0" w:color="auto"/>
              <w:bottom w:val="single" w:sz="4" w:space="0" w:color="auto"/>
              <w:right w:val="single" w:sz="4" w:space="0" w:color="auto"/>
            </w:tcBorders>
            <w:hideMark/>
          </w:tcPr>
          <w:p w14:paraId="0F5808AC" w14:textId="248B4D3A" w:rsidR="005B699B" w:rsidRDefault="005B699B" w:rsidP="00785BA1">
            <w:pPr>
              <w:pStyle w:val="Tabletext9pt"/>
              <w:rPr>
                <w:szCs w:val="18"/>
              </w:rPr>
            </w:pPr>
            <w:r>
              <w:rPr>
                <w:szCs w:val="18"/>
              </w:rPr>
              <w:t xml:space="preserve">To provide short-term accommodation support to those who require assistance in controlling their </w:t>
            </w:r>
            <w:r w:rsidDel="00F90553">
              <w:rPr>
                <w:szCs w:val="18"/>
              </w:rPr>
              <w:t xml:space="preserve">AOD </w:t>
            </w:r>
            <w:r>
              <w:rPr>
                <w:szCs w:val="18"/>
              </w:rPr>
              <w:t>use.</w:t>
            </w:r>
          </w:p>
        </w:tc>
      </w:tr>
      <w:tr w:rsidR="005B699B" w14:paraId="0D56C4E7"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11C410C" w14:textId="77777777" w:rsidR="005B699B" w:rsidRDefault="005B699B" w:rsidP="00785BA1">
            <w:pPr>
              <w:pStyle w:val="Tabletext9pt"/>
              <w:rPr>
                <w:szCs w:val="18"/>
              </w:rPr>
            </w:pPr>
            <w:r>
              <w:rPr>
                <w:szCs w:val="18"/>
              </w:rPr>
              <w:lastRenderedPageBreak/>
              <w:t>34047</w:t>
            </w:r>
          </w:p>
        </w:tc>
        <w:tc>
          <w:tcPr>
            <w:tcW w:w="2977" w:type="dxa"/>
            <w:tcBorders>
              <w:top w:val="single" w:sz="4" w:space="0" w:color="auto"/>
              <w:left w:val="single" w:sz="4" w:space="0" w:color="auto"/>
              <w:bottom w:val="single" w:sz="4" w:space="0" w:color="auto"/>
              <w:right w:val="single" w:sz="4" w:space="0" w:color="auto"/>
            </w:tcBorders>
            <w:hideMark/>
          </w:tcPr>
          <w:p w14:paraId="23F83DBB" w14:textId="77777777" w:rsidR="005B699B" w:rsidRDefault="005B699B" w:rsidP="00785BA1">
            <w:pPr>
              <w:pStyle w:val="Tabletext9pt"/>
              <w:rPr>
                <w:szCs w:val="18"/>
              </w:rPr>
            </w:pPr>
            <w:r>
              <w:rPr>
                <w:szCs w:val="18"/>
              </w:rPr>
              <w:t>Specialist Pharmacotherapy Program</w:t>
            </w:r>
          </w:p>
        </w:tc>
        <w:tc>
          <w:tcPr>
            <w:tcW w:w="4342" w:type="dxa"/>
            <w:tcBorders>
              <w:top w:val="single" w:sz="4" w:space="0" w:color="auto"/>
              <w:left w:val="single" w:sz="4" w:space="0" w:color="auto"/>
              <w:bottom w:val="single" w:sz="4" w:space="0" w:color="auto"/>
              <w:right w:val="single" w:sz="4" w:space="0" w:color="auto"/>
            </w:tcBorders>
            <w:hideMark/>
          </w:tcPr>
          <w:p w14:paraId="0564F6A5" w14:textId="77777777" w:rsidR="005B699B" w:rsidRDefault="005B699B" w:rsidP="00785BA1">
            <w:pPr>
              <w:pStyle w:val="Tabletext9pt"/>
              <w:rPr>
                <w:szCs w:val="18"/>
              </w:rPr>
            </w:pPr>
            <w:r>
              <w:rPr>
                <w:szCs w:val="18"/>
              </w:rPr>
              <w:t>To provide specialist assessment, treatment and stabilisation for people receiving methadone who have complex medical, psychiatric, or psychosocial problems and to provide training and consultancy services for relevant health practitioners.</w:t>
            </w:r>
          </w:p>
        </w:tc>
      </w:tr>
      <w:tr w:rsidR="005B699B" w14:paraId="5A3F3CF3"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54CC84CB" w14:textId="77777777" w:rsidR="005B699B" w:rsidRDefault="005B699B" w:rsidP="00785BA1">
            <w:pPr>
              <w:pStyle w:val="Tabletext9pt"/>
              <w:rPr>
                <w:szCs w:val="18"/>
              </w:rPr>
            </w:pPr>
            <w:r>
              <w:rPr>
                <w:szCs w:val="18"/>
              </w:rPr>
              <w:t>34048</w:t>
            </w:r>
          </w:p>
        </w:tc>
        <w:tc>
          <w:tcPr>
            <w:tcW w:w="2977" w:type="dxa"/>
            <w:tcBorders>
              <w:top w:val="single" w:sz="4" w:space="0" w:color="auto"/>
              <w:left w:val="single" w:sz="4" w:space="0" w:color="auto"/>
              <w:bottom w:val="single" w:sz="4" w:space="0" w:color="auto"/>
              <w:right w:val="single" w:sz="4" w:space="0" w:color="auto"/>
            </w:tcBorders>
            <w:hideMark/>
          </w:tcPr>
          <w:p w14:paraId="450F4666" w14:textId="77777777" w:rsidR="005B699B" w:rsidRDefault="005B699B" w:rsidP="00785BA1">
            <w:pPr>
              <w:pStyle w:val="Tabletext9pt"/>
              <w:rPr>
                <w:szCs w:val="18"/>
              </w:rPr>
            </w:pPr>
            <w:r>
              <w:rPr>
                <w:szCs w:val="18"/>
              </w:rPr>
              <w:t>Outdoor therapy</w:t>
            </w:r>
          </w:p>
        </w:tc>
        <w:tc>
          <w:tcPr>
            <w:tcW w:w="4342" w:type="dxa"/>
            <w:tcBorders>
              <w:top w:val="single" w:sz="4" w:space="0" w:color="auto"/>
              <w:left w:val="single" w:sz="4" w:space="0" w:color="auto"/>
              <w:bottom w:val="single" w:sz="4" w:space="0" w:color="auto"/>
              <w:right w:val="single" w:sz="4" w:space="0" w:color="auto"/>
            </w:tcBorders>
            <w:hideMark/>
          </w:tcPr>
          <w:p w14:paraId="760C8B0C" w14:textId="5982C21D" w:rsidR="005B699B" w:rsidRDefault="005B699B" w:rsidP="00785BA1">
            <w:pPr>
              <w:pStyle w:val="Tabletext9pt"/>
              <w:rPr>
                <w:szCs w:val="18"/>
              </w:rPr>
            </w:pPr>
            <w:r>
              <w:rPr>
                <w:szCs w:val="18"/>
              </w:rPr>
              <w:t xml:space="preserve">To coordinate case-managed, therapeutic wilderness adventures for young people aged 12–21 years who have </w:t>
            </w:r>
            <w:r w:rsidDel="00F90553">
              <w:rPr>
                <w:szCs w:val="18"/>
              </w:rPr>
              <w:t xml:space="preserve">AOD </w:t>
            </w:r>
            <w:r>
              <w:rPr>
                <w:szCs w:val="18"/>
              </w:rPr>
              <w:t xml:space="preserve">issues and to facilitate wilderness adventure skills in the </w:t>
            </w:r>
            <w:r w:rsidDel="00F90553">
              <w:rPr>
                <w:szCs w:val="18"/>
              </w:rPr>
              <w:t xml:space="preserve">AOD </w:t>
            </w:r>
            <w:r>
              <w:rPr>
                <w:szCs w:val="18"/>
              </w:rPr>
              <w:t>sector.</w:t>
            </w:r>
          </w:p>
        </w:tc>
      </w:tr>
      <w:tr w:rsidR="005B699B" w14:paraId="72E3E24E"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7121E34" w14:textId="77777777" w:rsidR="005B699B" w:rsidRDefault="005B699B" w:rsidP="00785BA1">
            <w:pPr>
              <w:pStyle w:val="Tabletext9pt"/>
              <w:rPr>
                <w:szCs w:val="18"/>
              </w:rPr>
            </w:pPr>
            <w:r>
              <w:rPr>
                <w:szCs w:val="18"/>
              </w:rPr>
              <w:t>34049</w:t>
            </w:r>
          </w:p>
        </w:tc>
        <w:tc>
          <w:tcPr>
            <w:tcW w:w="2977" w:type="dxa"/>
            <w:tcBorders>
              <w:top w:val="single" w:sz="4" w:space="0" w:color="auto"/>
              <w:left w:val="single" w:sz="4" w:space="0" w:color="auto"/>
              <w:bottom w:val="single" w:sz="4" w:space="0" w:color="auto"/>
              <w:right w:val="single" w:sz="4" w:space="0" w:color="auto"/>
            </w:tcBorders>
            <w:hideMark/>
          </w:tcPr>
          <w:p w14:paraId="1D1D8842" w14:textId="77777777" w:rsidR="005B699B" w:rsidRDefault="005B699B" w:rsidP="00785BA1">
            <w:pPr>
              <w:pStyle w:val="Tabletext9pt"/>
              <w:rPr>
                <w:szCs w:val="18"/>
              </w:rPr>
            </w:pPr>
            <w:r>
              <w:rPr>
                <w:szCs w:val="18"/>
              </w:rPr>
              <w:t>Koori community alcohol and drug worker</w:t>
            </w:r>
          </w:p>
        </w:tc>
        <w:tc>
          <w:tcPr>
            <w:tcW w:w="4342" w:type="dxa"/>
            <w:tcBorders>
              <w:top w:val="single" w:sz="4" w:space="0" w:color="auto"/>
              <w:left w:val="single" w:sz="4" w:space="0" w:color="auto"/>
              <w:bottom w:val="single" w:sz="4" w:space="0" w:color="auto"/>
              <w:right w:val="single" w:sz="4" w:space="0" w:color="auto"/>
            </w:tcBorders>
            <w:hideMark/>
          </w:tcPr>
          <w:p w14:paraId="11011DE0" w14:textId="4D83FEAB" w:rsidR="005B699B" w:rsidRDefault="005B699B" w:rsidP="00785BA1">
            <w:pPr>
              <w:pStyle w:val="Tabletext9pt"/>
              <w:rPr>
                <w:szCs w:val="18"/>
              </w:rPr>
            </w:pPr>
            <w:r>
              <w:rPr>
                <w:szCs w:val="18"/>
              </w:rPr>
              <w:t xml:space="preserve">Aboriginal </w:t>
            </w:r>
            <w:r w:rsidDel="00F90553">
              <w:rPr>
                <w:szCs w:val="18"/>
              </w:rPr>
              <w:t xml:space="preserve">AOD </w:t>
            </w:r>
            <w:r>
              <w:rPr>
                <w:szCs w:val="18"/>
              </w:rPr>
              <w:t xml:space="preserve">diversion workers operate in mainstream </w:t>
            </w:r>
            <w:r w:rsidDel="00F90553">
              <w:rPr>
                <w:szCs w:val="18"/>
              </w:rPr>
              <w:t xml:space="preserve">AOD </w:t>
            </w:r>
            <w:r>
              <w:rPr>
                <w:szCs w:val="18"/>
              </w:rPr>
              <w:t xml:space="preserve">services located near Koori courts. Their role is to provide a link between the Koori court, the Aboriginal community and the </w:t>
            </w:r>
            <w:r w:rsidDel="00F90553">
              <w:rPr>
                <w:szCs w:val="18"/>
              </w:rPr>
              <w:t xml:space="preserve">AOD </w:t>
            </w:r>
            <w:r>
              <w:rPr>
                <w:szCs w:val="18"/>
              </w:rPr>
              <w:t>treatment service system, and to provide a service tailored to the needs of offenders appearing before the Koori court.</w:t>
            </w:r>
          </w:p>
        </w:tc>
      </w:tr>
      <w:tr w:rsidR="005B699B" w14:paraId="2C2E294D"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B6DB290" w14:textId="77777777" w:rsidR="005B699B" w:rsidRDefault="005B699B" w:rsidP="00785BA1">
            <w:pPr>
              <w:pStyle w:val="Tabletext9pt"/>
              <w:rPr>
                <w:szCs w:val="18"/>
              </w:rPr>
            </w:pPr>
            <w:r>
              <w:rPr>
                <w:szCs w:val="18"/>
              </w:rPr>
              <w:t>34050</w:t>
            </w:r>
          </w:p>
        </w:tc>
        <w:tc>
          <w:tcPr>
            <w:tcW w:w="2977" w:type="dxa"/>
            <w:tcBorders>
              <w:top w:val="single" w:sz="4" w:space="0" w:color="auto"/>
              <w:left w:val="single" w:sz="4" w:space="0" w:color="auto"/>
              <w:bottom w:val="single" w:sz="4" w:space="0" w:color="auto"/>
              <w:right w:val="single" w:sz="4" w:space="0" w:color="auto"/>
            </w:tcBorders>
            <w:hideMark/>
          </w:tcPr>
          <w:p w14:paraId="2A680B44" w14:textId="77777777" w:rsidR="005B699B" w:rsidRDefault="005B699B" w:rsidP="00785BA1">
            <w:pPr>
              <w:pStyle w:val="Tabletext9pt"/>
              <w:rPr>
                <w:szCs w:val="18"/>
              </w:rPr>
            </w:pPr>
            <w:r>
              <w:rPr>
                <w:szCs w:val="18"/>
              </w:rPr>
              <w:t>Adult residential drug withdrawal</w:t>
            </w:r>
          </w:p>
        </w:tc>
        <w:tc>
          <w:tcPr>
            <w:tcW w:w="4342" w:type="dxa"/>
            <w:tcBorders>
              <w:top w:val="single" w:sz="4" w:space="0" w:color="auto"/>
              <w:left w:val="single" w:sz="4" w:space="0" w:color="auto"/>
              <w:bottom w:val="single" w:sz="4" w:space="0" w:color="auto"/>
              <w:right w:val="single" w:sz="4" w:space="0" w:color="auto"/>
            </w:tcBorders>
            <w:hideMark/>
          </w:tcPr>
          <w:p w14:paraId="7484F815" w14:textId="45E1CBA0" w:rsidR="005B699B" w:rsidRDefault="005B699B" w:rsidP="00785BA1">
            <w:pPr>
              <w:pStyle w:val="Tabletext9pt"/>
              <w:rPr>
                <w:szCs w:val="18"/>
              </w:rPr>
            </w:pPr>
            <w:r>
              <w:rPr>
                <w:szCs w:val="18"/>
              </w:rPr>
              <w:t xml:space="preserve">To provide support clients to safely withdraw from </w:t>
            </w:r>
            <w:r w:rsidDel="00F90553">
              <w:rPr>
                <w:szCs w:val="18"/>
              </w:rPr>
              <w:t xml:space="preserve">AOD </w:t>
            </w:r>
            <w:r>
              <w:rPr>
                <w:szCs w:val="18"/>
              </w:rPr>
              <w:t>dependence in a supervised residential or hospital facility.</w:t>
            </w:r>
          </w:p>
        </w:tc>
      </w:tr>
      <w:tr w:rsidR="005B699B" w14:paraId="553B60B1"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01F34991" w14:textId="77777777" w:rsidR="005B699B" w:rsidRDefault="005B699B" w:rsidP="00785BA1">
            <w:pPr>
              <w:pStyle w:val="Tabletext9pt"/>
              <w:rPr>
                <w:szCs w:val="18"/>
              </w:rPr>
            </w:pPr>
            <w:r>
              <w:rPr>
                <w:szCs w:val="18"/>
              </w:rPr>
              <w:t>34053</w:t>
            </w:r>
          </w:p>
        </w:tc>
        <w:tc>
          <w:tcPr>
            <w:tcW w:w="2977" w:type="dxa"/>
            <w:tcBorders>
              <w:top w:val="single" w:sz="4" w:space="0" w:color="auto"/>
              <w:left w:val="single" w:sz="4" w:space="0" w:color="auto"/>
              <w:bottom w:val="single" w:sz="4" w:space="0" w:color="auto"/>
              <w:right w:val="single" w:sz="4" w:space="0" w:color="auto"/>
            </w:tcBorders>
            <w:hideMark/>
          </w:tcPr>
          <w:p w14:paraId="6D59E3F0" w14:textId="77777777" w:rsidR="005B699B" w:rsidRDefault="005B699B" w:rsidP="00785BA1">
            <w:pPr>
              <w:pStyle w:val="Tabletext9pt"/>
              <w:rPr>
                <w:szCs w:val="18"/>
              </w:rPr>
            </w:pPr>
            <w:r>
              <w:rPr>
                <w:szCs w:val="18"/>
              </w:rPr>
              <w:t>Adult residential rehabilitation</w:t>
            </w:r>
          </w:p>
        </w:tc>
        <w:tc>
          <w:tcPr>
            <w:tcW w:w="4342" w:type="dxa"/>
            <w:tcBorders>
              <w:top w:val="single" w:sz="4" w:space="0" w:color="auto"/>
              <w:left w:val="single" w:sz="4" w:space="0" w:color="auto"/>
              <w:bottom w:val="single" w:sz="4" w:space="0" w:color="auto"/>
              <w:right w:val="single" w:sz="4" w:space="0" w:color="auto"/>
            </w:tcBorders>
            <w:hideMark/>
          </w:tcPr>
          <w:p w14:paraId="2C8A6B19" w14:textId="7391ECA5" w:rsidR="005B699B" w:rsidRDefault="005B699B" w:rsidP="00785BA1">
            <w:pPr>
              <w:pStyle w:val="Tabletext9pt"/>
              <w:rPr>
                <w:szCs w:val="18"/>
              </w:rPr>
            </w:pPr>
            <w:r>
              <w:rPr>
                <w:szCs w:val="18"/>
              </w:rPr>
              <w:t xml:space="preserve">To deliver a mix of evidence-based treatment interventions in a structured and therapeutic residential environment for people to address issues related to their </w:t>
            </w:r>
            <w:r w:rsidDel="00F90553">
              <w:rPr>
                <w:szCs w:val="18"/>
              </w:rPr>
              <w:t xml:space="preserve">AOD </w:t>
            </w:r>
            <w:r>
              <w:rPr>
                <w:szCs w:val="18"/>
              </w:rPr>
              <w:t>use and prepare for reintegration into community living.</w:t>
            </w:r>
          </w:p>
        </w:tc>
      </w:tr>
      <w:tr w:rsidR="005B699B" w14:paraId="2FDC5DFB"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61F9527F" w14:textId="77777777" w:rsidR="005B699B" w:rsidRDefault="005B699B" w:rsidP="00785BA1">
            <w:pPr>
              <w:pStyle w:val="Tabletext9pt"/>
              <w:rPr>
                <w:szCs w:val="18"/>
              </w:rPr>
            </w:pPr>
            <w:r>
              <w:rPr>
                <w:szCs w:val="18"/>
              </w:rPr>
              <w:t>34054</w:t>
            </w:r>
          </w:p>
        </w:tc>
        <w:tc>
          <w:tcPr>
            <w:tcW w:w="2977" w:type="dxa"/>
            <w:tcBorders>
              <w:top w:val="single" w:sz="4" w:space="0" w:color="auto"/>
              <w:left w:val="single" w:sz="4" w:space="0" w:color="auto"/>
              <w:bottom w:val="single" w:sz="4" w:space="0" w:color="auto"/>
              <w:right w:val="single" w:sz="4" w:space="0" w:color="auto"/>
            </w:tcBorders>
            <w:hideMark/>
          </w:tcPr>
          <w:p w14:paraId="34DEB711" w14:textId="77777777" w:rsidR="005B699B" w:rsidRDefault="005B699B" w:rsidP="00785BA1">
            <w:pPr>
              <w:pStyle w:val="Tabletext9pt"/>
              <w:rPr>
                <w:szCs w:val="18"/>
              </w:rPr>
            </w:pPr>
            <w:r>
              <w:rPr>
                <w:szCs w:val="18"/>
              </w:rPr>
              <w:t>Peer support</w:t>
            </w:r>
          </w:p>
        </w:tc>
        <w:tc>
          <w:tcPr>
            <w:tcW w:w="4342" w:type="dxa"/>
            <w:tcBorders>
              <w:top w:val="single" w:sz="4" w:space="0" w:color="auto"/>
              <w:left w:val="single" w:sz="4" w:space="0" w:color="auto"/>
              <w:bottom w:val="single" w:sz="4" w:space="0" w:color="auto"/>
              <w:right w:val="single" w:sz="4" w:space="0" w:color="auto"/>
            </w:tcBorders>
            <w:hideMark/>
          </w:tcPr>
          <w:p w14:paraId="5F21D45A" w14:textId="1C3BC596" w:rsidR="005B699B" w:rsidRDefault="005B699B" w:rsidP="00785BA1">
            <w:pPr>
              <w:pStyle w:val="Tabletext9pt"/>
              <w:rPr>
                <w:szCs w:val="18"/>
              </w:rPr>
            </w:pPr>
            <w:r>
              <w:rPr>
                <w:szCs w:val="18"/>
              </w:rPr>
              <w:t xml:space="preserve">Peer support facilitates workers with lived experience of </w:t>
            </w:r>
            <w:r w:rsidDel="00F90553">
              <w:rPr>
                <w:szCs w:val="18"/>
              </w:rPr>
              <w:t xml:space="preserve">AOD </w:t>
            </w:r>
            <w:r>
              <w:rPr>
                <w:szCs w:val="18"/>
              </w:rPr>
              <w:t xml:space="preserve">use to provide information and support to other people </w:t>
            </w:r>
            <w:r w:rsidDel="00C047EF">
              <w:rPr>
                <w:szCs w:val="18"/>
              </w:rPr>
              <w:t xml:space="preserve">with AOD use </w:t>
            </w:r>
            <w:r>
              <w:rPr>
                <w:szCs w:val="18"/>
              </w:rPr>
              <w:t>to improve their health, wellbeing, and safety, and facilitate access to treatment and support services.</w:t>
            </w:r>
          </w:p>
        </w:tc>
      </w:tr>
      <w:tr w:rsidR="005B699B" w14:paraId="7A2E0A8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40E457E" w14:textId="77777777" w:rsidR="005B699B" w:rsidRDefault="005B699B" w:rsidP="00785BA1">
            <w:pPr>
              <w:pStyle w:val="Tabletext9pt"/>
              <w:rPr>
                <w:szCs w:val="18"/>
              </w:rPr>
            </w:pPr>
            <w:r>
              <w:rPr>
                <w:szCs w:val="18"/>
              </w:rPr>
              <w:t>34056</w:t>
            </w:r>
          </w:p>
        </w:tc>
        <w:tc>
          <w:tcPr>
            <w:tcW w:w="2977" w:type="dxa"/>
            <w:tcBorders>
              <w:top w:val="single" w:sz="4" w:space="0" w:color="auto"/>
              <w:left w:val="single" w:sz="4" w:space="0" w:color="auto"/>
              <w:bottom w:val="single" w:sz="4" w:space="0" w:color="auto"/>
              <w:right w:val="single" w:sz="4" w:space="0" w:color="auto"/>
            </w:tcBorders>
            <w:hideMark/>
          </w:tcPr>
          <w:p w14:paraId="228CCE6A" w14:textId="77777777" w:rsidR="005B699B" w:rsidRDefault="005B699B" w:rsidP="00785BA1">
            <w:pPr>
              <w:pStyle w:val="Tabletext9pt"/>
              <w:rPr>
                <w:szCs w:val="18"/>
              </w:rPr>
            </w:pPr>
            <w:r>
              <w:rPr>
                <w:szCs w:val="18"/>
              </w:rPr>
              <w:t>Youth residential drug withdrawal</w:t>
            </w:r>
          </w:p>
        </w:tc>
        <w:tc>
          <w:tcPr>
            <w:tcW w:w="4342" w:type="dxa"/>
            <w:tcBorders>
              <w:top w:val="single" w:sz="4" w:space="0" w:color="auto"/>
              <w:left w:val="single" w:sz="4" w:space="0" w:color="auto"/>
              <w:bottom w:val="single" w:sz="4" w:space="0" w:color="auto"/>
              <w:right w:val="single" w:sz="4" w:space="0" w:color="auto"/>
            </w:tcBorders>
            <w:hideMark/>
          </w:tcPr>
          <w:p w14:paraId="0ED7719B" w14:textId="77777777" w:rsidR="005B699B" w:rsidRDefault="005B699B" w:rsidP="00785BA1">
            <w:pPr>
              <w:pStyle w:val="Tabletext9pt"/>
              <w:rPr>
                <w:szCs w:val="18"/>
              </w:rPr>
            </w:pPr>
            <w:r>
              <w:rPr>
                <w:szCs w:val="18"/>
              </w:rPr>
              <w:t>To provide a short-term drug withdrawal, time out and intensive support residential service for young people aged 12–21 years in a physically and emotionally safe, drug-free environment within a multidisciplinary, psychosocial health framework.</w:t>
            </w:r>
          </w:p>
        </w:tc>
      </w:tr>
      <w:tr w:rsidR="005B699B" w14:paraId="65559748"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53566788" w14:textId="77777777" w:rsidR="005B699B" w:rsidRDefault="005B699B" w:rsidP="00785BA1">
            <w:pPr>
              <w:pStyle w:val="Tabletext9pt"/>
              <w:rPr>
                <w:szCs w:val="18"/>
              </w:rPr>
            </w:pPr>
            <w:r>
              <w:rPr>
                <w:szCs w:val="18"/>
              </w:rPr>
              <w:t>34057</w:t>
            </w:r>
          </w:p>
        </w:tc>
        <w:tc>
          <w:tcPr>
            <w:tcW w:w="2977" w:type="dxa"/>
            <w:tcBorders>
              <w:top w:val="single" w:sz="4" w:space="0" w:color="auto"/>
              <w:left w:val="single" w:sz="4" w:space="0" w:color="auto"/>
              <w:bottom w:val="single" w:sz="4" w:space="0" w:color="auto"/>
              <w:right w:val="single" w:sz="4" w:space="0" w:color="auto"/>
            </w:tcBorders>
            <w:hideMark/>
          </w:tcPr>
          <w:p w14:paraId="34CEB6BB" w14:textId="77777777" w:rsidR="005B699B" w:rsidRDefault="005B699B" w:rsidP="00785BA1">
            <w:pPr>
              <w:pStyle w:val="Tabletext9pt"/>
              <w:rPr>
                <w:szCs w:val="18"/>
              </w:rPr>
            </w:pPr>
            <w:r>
              <w:rPr>
                <w:szCs w:val="18"/>
              </w:rPr>
              <w:t>Pharmacotherapy regional outreach</w:t>
            </w:r>
          </w:p>
        </w:tc>
        <w:tc>
          <w:tcPr>
            <w:tcW w:w="4342" w:type="dxa"/>
            <w:tcBorders>
              <w:top w:val="single" w:sz="4" w:space="0" w:color="auto"/>
              <w:left w:val="single" w:sz="4" w:space="0" w:color="auto"/>
              <w:bottom w:val="single" w:sz="4" w:space="0" w:color="auto"/>
              <w:right w:val="single" w:sz="4" w:space="0" w:color="auto"/>
            </w:tcBorders>
            <w:hideMark/>
          </w:tcPr>
          <w:p w14:paraId="7944F41B" w14:textId="77777777" w:rsidR="005B699B" w:rsidRDefault="005B699B" w:rsidP="00785BA1">
            <w:pPr>
              <w:pStyle w:val="Tabletext9pt"/>
              <w:rPr>
                <w:szCs w:val="18"/>
              </w:rPr>
            </w:pPr>
            <w:r>
              <w:rPr>
                <w:szCs w:val="18"/>
              </w:rPr>
              <w:t>To support and enhance the role of trained general practitioners and dispensers of drug substitute pharmacotherapies in encouraging, recruiting, and retaining opiate-dependent people in drug substitution programs.</w:t>
            </w:r>
          </w:p>
        </w:tc>
      </w:tr>
      <w:tr w:rsidR="005B699B" w14:paraId="16F0E696"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F999F84" w14:textId="77777777" w:rsidR="005B699B" w:rsidRDefault="005B699B" w:rsidP="00785BA1">
            <w:pPr>
              <w:pStyle w:val="Tabletext9pt"/>
              <w:rPr>
                <w:szCs w:val="18"/>
              </w:rPr>
            </w:pPr>
            <w:r>
              <w:rPr>
                <w:szCs w:val="18"/>
              </w:rPr>
              <w:t>34061</w:t>
            </w:r>
          </w:p>
        </w:tc>
        <w:tc>
          <w:tcPr>
            <w:tcW w:w="2977" w:type="dxa"/>
            <w:tcBorders>
              <w:top w:val="single" w:sz="4" w:space="0" w:color="auto"/>
              <w:left w:val="single" w:sz="4" w:space="0" w:color="auto"/>
              <w:bottom w:val="single" w:sz="4" w:space="0" w:color="auto"/>
              <w:right w:val="single" w:sz="4" w:space="0" w:color="auto"/>
            </w:tcBorders>
            <w:hideMark/>
          </w:tcPr>
          <w:p w14:paraId="6389562E" w14:textId="77777777" w:rsidR="005B699B" w:rsidRDefault="005B699B" w:rsidP="00785BA1">
            <w:pPr>
              <w:pStyle w:val="Tabletext9pt"/>
              <w:rPr>
                <w:szCs w:val="18"/>
              </w:rPr>
            </w:pPr>
            <w:r>
              <w:rPr>
                <w:szCs w:val="18"/>
              </w:rPr>
              <w:t>Mobile drug safety</w:t>
            </w:r>
          </w:p>
        </w:tc>
        <w:tc>
          <w:tcPr>
            <w:tcW w:w="4342" w:type="dxa"/>
            <w:tcBorders>
              <w:top w:val="single" w:sz="4" w:space="0" w:color="auto"/>
              <w:left w:val="single" w:sz="4" w:space="0" w:color="auto"/>
              <w:bottom w:val="single" w:sz="4" w:space="0" w:color="auto"/>
              <w:right w:val="single" w:sz="4" w:space="0" w:color="auto"/>
            </w:tcBorders>
            <w:hideMark/>
          </w:tcPr>
          <w:p w14:paraId="26BC0AA3" w14:textId="77777777" w:rsidR="005B699B" w:rsidRDefault="005B699B" w:rsidP="00785BA1">
            <w:pPr>
              <w:pStyle w:val="Tabletext9pt"/>
              <w:rPr>
                <w:szCs w:val="18"/>
              </w:rPr>
            </w:pPr>
            <w:r>
              <w:rPr>
                <w:szCs w:val="18"/>
              </w:rPr>
              <w:t>To provide education on drug safety to drug users and refer users for treatment and rehabilitation.</w:t>
            </w:r>
          </w:p>
        </w:tc>
      </w:tr>
      <w:tr w:rsidR="005B699B" w14:paraId="66CB71F3"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2CAB407" w14:textId="77777777" w:rsidR="005B699B" w:rsidRDefault="005B699B" w:rsidP="00785BA1">
            <w:pPr>
              <w:pStyle w:val="Tabletext9pt"/>
              <w:rPr>
                <w:szCs w:val="18"/>
              </w:rPr>
            </w:pPr>
            <w:r>
              <w:rPr>
                <w:szCs w:val="18"/>
              </w:rPr>
              <w:t>34062</w:t>
            </w:r>
          </w:p>
        </w:tc>
        <w:tc>
          <w:tcPr>
            <w:tcW w:w="2977" w:type="dxa"/>
            <w:tcBorders>
              <w:top w:val="single" w:sz="4" w:space="0" w:color="auto"/>
              <w:left w:val="single" w:sz="4" w:space="0" w:color="auto"/>
              <w:bottom w:val="single" w:sz="4" w:space="0" w:color="auto"/>
              <w:right w:val="single" w:sz="4" w:space="0" w:color="auto"/>
            </w:tcBorders>
            <w:hideMark/>
          </w:tcPr>
          <w:p w14:paraId="2569387A" w14:textId="77777777" w:rsidR="005B699B" w:rsidRDefault="005B699B" w:rsidP="00785BA1">
            <w:pPr>
              <w:pStyle w:val="Tabletext9pt"/>
              <w:rPr>
                <w:szCs w:val="18"/>
              </w:rPr>
            </w:pPr>
            <w:r>
              <w:rPr>
                <w:szCs w:val="18"/>
              </w:rPr>
              <w:t>Mobile overdose response</w:t>
            </w:r>
          </w:p>
        </w:tc>
        <w:tc>
          <w:tcPr>
            <w:tcW w:w="4342" w:type="dxa"/>
            <w:tcBorders>
              <w:top w:val="single" w:sz="4" w:space="0" w:color="auto"/>
              <w:left w:val="single" w:sz="4" w:space="0" w:color="auto"/>
              <w:bottom w:val="single" w:sz="4" w:space="0" w:color="auto"/>
              <w:right w:val="single" w:sz="4" w:space="0" w:color="auto"/>
            </w:tcBorders>
            <w:hideMark/>
          </w:tcPr>
          <w:p w14:paraId="50A8622E" w14:textId="77777777" w:rsidR="005B699B" w:rsidRDefault="005B699B" w:rsidP="00785BA1">
            <w:pPr>
              <w:pStyle w:val="Tabletext9pt"/>
              <w:rPr>
                <w:szCs w:val="18"/>
              </w:rPr>
            </w:pPr>
            <w:r>
              <w:rPr>
                <w:szCs w:val="18"/>
              </w:rPr>
              <w:t>To provide counselling, information and support to non-fatal overdose clients and facilitate access to treatment and support services.</w:t>
            </w:r>
          </w:p>
        </w:tc>
      </w:tr>
      <w:tr w:rsidR="005B699B" w14:paraId="341586E7"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5DF5F0E" w14:textId="77777777" w:rsidR="005B699B" w:rsidRDefault="005B699B" w:rsidP="00785BA1">
            <w:pPr>
              <w:pStyle w:val="Tabletext9pt"/>
              <w:rPr>
                <w:szCs w:val="18"/>
              </w:rPr>
            </w:pPr>
            <w:r>
              <w:rPr>
                <w:szCs w:val="18"/>
              </w:rPr>
              <w:t>34064</w:t>
            </w:r>
          </w:p>
        </w:tc>
        <w:tc>
          <w:tcPr>
            <w:tcW w:w="2977" w:type="dxa"/>
            <w:tcBorders>
              <w:top w:val="single" w:sz="4" w:space="0" w:color="auto"/>
              <w:left w:val="single" w:sz="4" w:space="0" w:color="auto"/>
              <w:bottom w:val="single" w:sz="4" w:space="0" w:color="auto"/>
              <w:right w:val="single" w:sz="4" w:space="0" w:color="auto"/>
            </w:tcBorders>
            <w:hideMark/>
          </w:tcPr>
          <w:p w14:paraId="054E6585" w14:textId="77777777" w:rsidR="005B699B" w:rsidRDefault="005B699B" w:rsidP="00785BA1">
            <w:pPr>
              <w:pStyle w:val="Tabletext9pt"/>
              <w:rPr>
                <w:szCs w:val="18"/>
              </w:rPr>
            </w:pPr>
            <w:r>
              <w:rPr>
                <w:szCs w:val="18"/>
              </w:rPr>
              <w:t>Youth home-based withdrawal</w:t>
            </w:r>
          </w:p>
        </w:tc>
        <w:tc>
          <w:tcPr>
            <w:tcW w:w="4342" w:type="dxa"/>
            <w:tcBorders>
              <w:top w:val="single" w:sz="4" w:space="0" w:color="auto"/>
              <w:left w:val="single" w:sz="4" w:space="0" w:color="auto"/>
              <w:bottom w:val="single" w:sz="4" w:space="0" w:color="auto"/>
              <w:right w:val="single" w:sz="4" w:space="0" w:color="auto"/>
            </w:tcBorders>
            <w:hideMark/>
          </w:tcPr>
          <w:p w14:paraId="2B995318" w14:textId="77777777" w:rsidR="005B699B" w:rsidRDefault="005B699B" w:rsidP="00785BA1">
            <w:pPr>
              <w:pStyle w:val="Tabletext9pt"/>
              <w:rPr>
                <w:szCs w:val="18"/>
              </w:rPr>
            </w:pPr>
            <w:r>
              <w:rPr>
                <w:szCs w:val="18"/>
              </w:rPr>
              <w:t>To provide a safe and effective drug withdrawal in a home-based setting with medical, pharmacotherapy and supportive care.</w:t>
            </w:r>
          </w:p>
        </w:tc>
      </w:tr>
      <w:tr w:rsidR="005B699B" w14:paraId="45ADBA9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8E514D3" w14:textId="77777777" w:rsidR="005B699B" w:rsidRDefault="005B699B" w:rsidP="00785BA1">
            <w:pPr>
              <w:pStyle w:val="Tabletext9pt"/>
              <w:rPr>
                <w:szCs w:val="18"/>
              </w:rPr>
            </w:pPr>
            <w:r>
              <w:rPr>
                <w:szCs w:val="18"/>
              </w:rPr>
              <w:t>34071</w:t>
            </w:r>
          </w:p>
        </w:tc>
        <w:tc>
          <w:tcPr>
            <w:tcW w:w="2977" w:type="dxa"/>
            <w:tcBorders>
              <w:top w:val="single" w:sz="4" w:space="0" w:color="auto"/>
              <w:left w:val="single" w:sz="4" w:space="0" w:color="auto"/>
              <w:bottom w:val="single" w:sz="4" w:space="0" w:color="auto"/>
              <w:right w:val="single" w:sz="4" w:space="0" w:color="auto"/>
            </w:tcBorders>
            <w:hideMark/>
          </w:tcPr>
          <w:p w14:paraId="475CB260" w14:textId="77777777" w:rsidR="005B699B" w:rsidRDefault="005B699B" w:rsidP="00785BA1">
            <w:pPr>
              <w:pStyle w:val="Tabletext9pt"/>
              <w:rPr>
                <w:szCs w:val="18"/>
              </w:rPr>
            </w:pPr>
            <w:r>
              <w:rPr>
                <w:szCs w:val="18"/>
              </w:rPr>
              <w:t>Youth outreach</w:t>
            </w:r>
          </w:p>
        </w:tc>
        <w:tc>
          <w:tcPr>
            <w:tcW w:w="4342" w:type="dxa"/>
            <w:tcBorders>
              <w:top w:val="single" w:sz="4" w:space="0" w:color="auto"/>
              <w:left w:val="single" w:sz="4" w:space="0" w:color="auto"/>
              <w:bottom w:val="single" w:sz="4" w:space="0" w:color="auto"/>
              <w:right w:val="single" w:sz="4" w:space="0" w:color="auto"/>
            </w:tcBorders>
            <w:hideMark/>
          </w:tcPr>
          <w:p w14:paraId="4A33F0E7" w14:textId="7B3F3FE7" w:rsidR="005B699B" w:rsidRDefault="005B699B" w:rsidP="00785BA1">
            <w:pPr>
              <w:pStyle w:val="Tabletext9pt"/>
              <w:rPr>
                <w:szCs w:val="18"/>
              </w:rPr>
            </w:pPr>
            <w:r>
              <w:rPr>
                <w:szCs w:val="18"/>
              </w:rPr>
              <w:t xml:space="preserve">To support generalist agencies that work with young people, through information, education, and training by providing youth-specific services. Includes mobile treatment and support service that provides assessment, support, and ongoing case coordination to young people with </w:t>
            </w:r>
            <w:r w:rsidDel="00C047EF">
              <w:rPr>
                <w:szCs w:val="18"/>
              </w:rPr>
              <w:t xml:space="preserve">AOD </w:t>
            </w:r>
            <w:r>
              <w:rPr>
                <w:szCs w:val="18"/>
              </w:rPr>
              <w:t xml:space="preserve">issues on their own or in a neutral environment. </w:t>
            </w:r>
          </w:p>
        </w:tc>
      </w:tr>
      <w:tr w:rsidR="005B699B" w14:paraId="6A8C7BB2"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4DB0EB0" w14:textId="77777777" w:rsidR="005B699B" w:rsidRDefault="005B699B" w:rsidP="00785BA1">
            <w:pPr>
              <w:pStyle w:val="Tabletext9pt"/>
              <w:rPr>
                <w:szCs w:val="18"/>
              </w:rPr>
            </w:pPr>
            <w:r>
              <w:rPr>
                <w:szCs w:val="18"/>
              </w:rPr>
              <w:lastRenderedPageBreak/>
              <w:t>34074</w:t>
            </w:r>
          </w:p>
        </w:tc>
        <w:tc>
          <w:tcPr>
            <w:tcW w:w="2977" w:type="dxa"/>
            <w:tcBorders>
              <w:top w:val="single" w:sz="4" w:space="0" w:color="auto"/>
              <w:left w:val="single" w:sz="4" w:space="0" w:color="auto"/>
              <w:bottom w:val="single" w:sz="4" w:space="0" w:color="auto"/>
              <w:right w:val="single" w:sz="4" w:space="0" w:color="auto"/>
            </w:tcBorders>
            <w:hideMark/>
          </w:tcPr>
          <w:p w14:paraId="52CF50C0" w14:textId="77777777" w:rsidR="005B699B" w:rsidRDefault="005B699B" w:rsidP="00785BA1">
            <w:pPr>
              <w:pStyle w:val="Tabletext9pt"/>
              <w:rPr>
                <w:szCs w:val="18"/>
              </w:rPr>
            </w:pPr>
            <w:r>
              <w:rPr>
                <w:szCs w:val="18"/>
              </w:rPr>
              <w:t>Counselling consultancy and continuing care</w:t>
            </w:r>
          </w:p>
        </w:tc>
        <w:tc>
          <w:tcPr>
            <w:tcW w:w="4342" w:type="dxa"/>
            <w:tcBorders>
              <w:top w:val="single" w:sz="4" w:space="0" w:color="auto"/>
              <w:left w:val="single" w:sz="4" w:space="0" w:color="auto"/>
              <w:bottom w:val="single" w:sz="4" w:space="0" w:color="auto"/>
              <w:right w:val="single" w:sz="4" w:space="0" w:color="auto"/>
            </w:tcBorders>
            <w:hideMark/>
          </w:tcPr>
          <w:p w14:paraId="7659B548" w14:textId="0061E7B3" w:rsidR="005B699B" w:rsidRDefault="00C047EF" w:rsidP="00785BA1">
            <w:pPr>
              <w:pStyle w:val="Tabletext9pt"/>
              <w:rPr>
                <w:szCs w:val="18"/>
              </w:rPr>
            </w:pPr>
            <w:r>
              <w:rPr>
                <w:szCs w:val="18"/>
              </w:rPr>
              <w:t xml:space="preserve">AOD </w:t>
            </w:r>
            <w:r w:rsidR="005B699B">
              <w:rPr>
                <w:szCs w:val="18"/>
              </w:rPr>
              <w:t>youth consultants provide secondary consultation, support and advice to child protection clients and staff in out-of-home care residential facilities, adolescent community placement and secure welfare services.</w:t>
            </w:r>
          </w:p>
        </w:tc>
      </w:tr>
      <w:tr w:rsidR="005B699B" w14:paraId="795444C2"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A725520" w14:textId="77777777" w:rsidR="005B699B" w:rsidRDefault="005B699B" w:rsidP="00785BA1">
            <w:pPr>
              <w:pStyle w:val="Tabletext9pt"/>
              <w:rPr>
                <w:szCs w:val="18"/>
              </w:rPr>
            </w:pPr>
            <w:r>
              <w:rPr>
                <w:szCs w:val="18"/>
              </w:rPr>
              <w:t>34076</w:t>
            </w:r>
          </w:p>
        </w:tc>
        <w:tc>
          <w:tcPr>
            <w:tcW w:w="2977" w:type="dxa"/>
            <w:tcBorders>
              <w:top w:val="single" w:sz="4" w:space="0" w:color="auto"/>
              <w:left w:val="single" w:sz="4" w:space="0" w:color="auto"/>
              <w:bottom w:val="single" w:sz="4" w:space="0" w:color="auto"/>
              <w:right w:val="single" w:sz="4" w:space="0" w:color="auto"/>
            </w:tcBorders>
            <w:hideMark/>
          </w:tcPr>
          <w:p w14:paraId="7F3870F5" w14:textId="77777777" w:rsidR="005B699B" w:rsidRDefault="005B699B" w:rsidP="00785BA1">
            <w:pPr>
              <w:pStyle w:val="Tabletext9pt"/>
              <w:rPr>
                <w:szCs w:val="18"/>
              </w:rPr>
            </w:pPr>
            <w:r>
              <w:rPr>
                <w:szCs w:val="18"/>
              </w:rPr>
              <w:t>Statewide support – drug treatment and rehabilitation</w:t>
            </w:r>
          </w:p>
        </w:tc>
        <w:tc>
          <w:tcPr>
            <w:tcW w:w="4342" w:type="dxa"/>
            <w:tcBorders>
              <w:top w:val="single" w:sz="4" w:space="0" w:color="auto"/>
              <w:left w:val="single" w:sz="4" w:space="0" w:color="auto"/>
              <w:bottom w:val="single" w:sz="4" w:space="0" w:color="auto"/>
              <w:right w:val="single" w:sz="4" w:space="0" w:color="auto"/>
            </w:tcBorders>
            <w:hideMark/>
          </w:tcPr>
          <w:p w14:paraId="33525A05" w14:textId="77777777" w:rsidR="005B699B" w:rsidRDefault="005B699B" w:rsidP="00785BA1">
            <w:pPr>
              <w:pStyle w:val="Tabletext9pt"/>
              <w:rPr>
                <w:szCs w:val="18"/>
              </w:rPr>
            </w:pPr>
            <w:r>
              <w:rPr>
                <w:szCs w:val="18"/>
              </w:rPr>
              <w:t>A range of services, including resourcing to the drug treatment and rehabilitation service system on a statewide, interregional or specific-purpose basis.</w:t>
            </w:r>
          </w:p>
        </w:tc>
      </w:tr>
      <w:tr w:rsidR="005B699B" w14:paraId="3FC944E8"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0DEC99A" w14:textId="77777777" w:rsidR="005B699B" w:rsidRDefault="005B699B" w:rsidP="00785BA1">
            <w:pPr>
              <w:pStyle w:val="Tabletext9pt"/>
              <w:rPr>
                <w:szCs w:val="18"/>
              </w:rPr>
            </w:pPr>
            <w:r>
              <w:rPr>
                <w:szCs w:val="18"/>
              </w:rPr>
              <w:t>34078</w:t>
            </w:r>
          </w:p>
        </w:tc>
        <w:tc>
          <w:tcPr>
            <w:tcW w:w="2977" w:type="dxa"/>
            <w:tcBorders>
              <w:top w:val="single" w:sz="4" w:space="0" w:color="auto"/>
              <w:left w:val="single" w:sz="4" w:space="0" w:color="auto"/>
              <w:bottom w:val="single" w:sz="4" w:space="0" w:color="auto"/>
              <w:right w:val="single" w:sz="4" w:space="0" w:color="auto"/>
            </w:tcBorders>
            <w:hideMark/>
          </w:tcPr>
          <w:p w14:paraId="6DE8EDD6" w14:textId="77777777" w:rsidR="005B699B" w:rsidRDefault="005B699B" w:rsidP="00785BA1">
            <w:pPr>
              <w:pStyle w:val="Tabletext9pt"/>
              <w:rPr>
                <w:szCs w:val="18"/>
              </w:rPr>
            </w:pPr>
            <w:r>
              <w:rPr>
                <w:szCs w:val="18"/>
              </w:rPr>
              <w:t>ACCO services – drug services</w:t>
            </w:r>
          </w:p>
        </w:tc>
        <w:tc>
          <w:tcPr>
            <w:tcW w:w="4342" w:type="dxa"/>
            <w:tcBorders>
              <w:top w:val="single" w:sz="4" w:space="0" w:color="auto"/>
              <w:left w:val="single" w:sz="4" w:space="0" w:color="auto"/>
              <w:bottom w:val="single" w:sz="4" w:space="0" w:color="auto"/>
              <w:right w:val="single" w:sz="4" w:space="0" w:color="auto"/>
            </w:tcBorders>
            <w:hideMark/>
          </w:tcPr>
          <w:p w14:paraId="1BF9233B" w14:textId="3BB9BC38" w:rsidR="005B699B" w:rsidRDefault="005B699B" w:rsidP="00785BA1">
            <w:pPr>
              <w:pStyle w:val="Tabletext9pt"/>
              <w:rPr>
                <w:szCs w:val="18"/>
              </w:rPr>
            </w:pPr>
            <w:r>
              <w:rPr>
                <w:szCs w:val="18"/>
              </w:rPr>
              <w:t>Aboriginal</w:t>
            </w:r>
            <w:r w:rsidDel="00C047EF">
              <w:rPr>
                <w:szCs w:val="18"/>
              </w:rPr>
              <w:t xml:space="preserve"> </w:t>
            </w:r>
            <w:r w:rsidR="00C047EF">
              <w:rPr>
                <w:szCs w:val="18"/>
              </w:rPr>
              <w:t xml:space="preserve">AOD </w:t>
            </w:r>
            <w:r>
              <w:rPr>
                <w:szCs w:val="18"/>
              </w:rPr>
              <w:t xml:space="preserve">workers provide Aboriginal people and families with a range of prevention, early intervention and group support services including counselling, brief intervention, and referral to appropriate </w:t>
            </w:r>
            <w:r w:rsidDel="00C047EF">
              <w:rPr>
                <w:szCs w:val="18"/>
              </w:rPr>
              <w:t xml:space="preserve">AOD </w:t>
            </w:r>
            <w:r>
              <w:rPr>
                <w:szCs w:val="18"/>
              </w:rPr>
              <w:t>services (e.g. withdrawal and rehabilitation treatment, care coordination and ongoing support).</w:t>
            </w:r>
          </w:p>
        </w:tc>
      </w:tr>
      <w:tr w:rsidR="005B699B" w14:paraId="3FE983AE"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7655425" w14:textId="77777777" w:rsidR="005B699B" w:rsidRDefault="005B699B" w:rsidP="00785BA1">
            <w:pPr>
              <w:pStyle w:val="Tabletext9pt"/>
              <w:rPr>
                <w:szCs w:val="18"/>
              </w:rPr>
            </w:pPr>
            <w:r>
              <w:rPr>
                <w:szCs w:val="18"/>
              </w:rPr>
              <w:t>34079</w:t>
            </w:r>
          </w:p>
        </w:tc>
        <w:tc>
          <w:tcPr>
            <w:tcW w:w="2977" w:type="dxa"/>
            <w:tcBorders>
              <w:top w:val="single" w:sz="4" w:space="0" w:color="auto"/>
              <w:left w:val="single" w:sz="4" w:space="0" w:color="auto"/>
              <w:bottom w:val="single" w:sz="4" w:space="0" w:color="auto"/>
              <w:right w:val="single" w:sz="4" w:space="0" w:color="auto"/>
            </w:tcBorders>
            <w:hideMark/>
          </w:tcPr>
          <w:p w14:paraId="7559DD70" w14:textId="77777777" w:rsidR="005B699B" w:rsidRDefault="005B699B" w:rsidP="00785BA1">
            <w:pPr>
              <w:pStyle w:val="Tabletext9pt"/>
              <w:rPr>
                <w:szCs w:val="18"/>
              </w:rPr>
            </w:pPr>
            <w:r>
              <w:rPr>
                <w:szCs w:val="18"/>
              </w:rPr>
              <w:t>Koori youth AOD healing service</w:t>
            </w:r>
          </w:p>
        </w:tc>
        <w:tc>
          <w:tcPr>
            <w:tcW w:w="4342" w:type="dxa"/>
            <w:tcBorders>
              <w:top w:val="single" w:sz="4" w:space="0" w:color="auto"/>
              <w:left w:val="single" w:sz="4" w:space="0" w:color="auto"/>
              <w:bottom w:val="single" w:sz="4" w:space="0" w:color="auto"/>
              <w:right w:val="single" w:sz="4" w:space="0" w:color="auto"/>
            </w:tcBorders>
            <w:hideMark/>
          </w:tcPr>
          <w:p w14:paraId="13911544" w14:textId="1C3AE1F9" w:rsidR="005B699B" w:rsidRDefault="005B699B" w:rsidP="00785BA1">
            <w:pPr>
              <w:pStyle w:val="Tabletext9pt"/>
              <w:rPr>
                <w:szCs w:val="18"/>
              </w:rPr>
            </w:pPr>
            <w:r>
              <w:rPr>
                <w:szCs w:val="18"/>
              </w:rPr>
              <w:t xml:space="preserve">To provide Aboriginal youth with a supportive environment to address their </w:t>
            </w:r>
            <w:r w:rsidDel="00C047EF">
              <w:rPr>
                <w:szCs w:val="18"/>
              </w:rPr>
              <w:t xml:space="preserve">AOD </w:t>
            </w:r>
            <w:r>
              <w:rPr>
                <w:szCs w:val="18"/>
              </w:rPr>
              <w:t>issues through active participation in therapeutic and structured programs designed to assist them to develop living skills, and to strengthen their cultural identity and spiritual wellbeing.</w:t>
            </w:r>
          </w:p>
        </w:tc>
      </w:tr>
      <w:tr w:rsidR="005B699B" w14:paraId="4AC197BE"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C6D89F7" w14:textId="77777777" w:rsidR="005B699B" w:rsidRDefault="005B699B" w:rsidP="00785BA1">
            <w:pPr>
              <w:pStyle w:val="Tabletext9pt"/>
              <w:rPr>
                <w:szCs w:val="18"/>
              </w:rPr>
            </w:pPr>
            <w:r>
              <w:rPr>
                <w:szCs w:val="18"/>
              </w:rPr>
              <w:t>34080</w:t>
            </w:r>
          </w:p>
        </w:tc>
        <w:tc>
          <w:tcPr>
            <w:tcW w:w="2977" w:type="dxa"/>
            <w:tcBorders>
              <w:top w:val="single" w:sz="4" w:space="0" w:color="auto"/>
              <w:left w:val="single" w:sz="4" w:space="0" w:color="auto"/>
              <w:bottom w:val="single" w:sz="4" w:space="0" w:color="auto"/>
              <w:right w:val="single" w:sz="4" w:space="0" w:color="auto"/>
            </w:tcBorders>
            <w:hideMark/>
          </w:tcPr>
          <w:p w14:paraId="1152CE2E" w14:textId="77777777" w:rsidR="005B699B" w:rsidRDefault="005B699B" w:rsidP="00785BA1">
            <w:pPr>
              <w:pStyle w:val="Tabletext9pt"/>
              <w:rPr>
                <w:szCs w:val="18"/>
              </w:rPr>
            </w:pPr>
            <w:r>
              <w:rPr>
                <w:szCs w:val="18"/>
              </w:rPr>
              <w:t>Youth residential rehabilitation</w:t>
            </w:r>
          </w:p>
        </w:tc>
        <w:tc>
          <w:tcPr>
            <w:tcW w:w="4342" w:type="dxa"/>
            <w:tcBorders>
              <w:top w:val="single" w:sz="4" w:space="0" w:color="auto"/>
              <w:left w:val="single" w:sz="4" w:space="0" w:color="auto"/>
              <w:bottom w:val="single" w:sz="4" w:space="0" w:color="auto"/>
              <w:right w:val="single" w:sz="4" w:space="0" w:color="auto"/>
            </w:tcBorders>
            <w:hideMark/>
          </w:tcPr>
          <w:p w14:paraId="30BC8185" w14:textId="25B09A21" w:rsidR="005B699B" w:rsidRDefault="005B699B" w:rsidP="00785BA1">
            <w:pPr>
              <w:pStyle w:val="Tabletext9pt"/>
              <w:rPr>
                <w:szCs w:val="18"/>
              </w:rPr>
            </w:pPr>
            <w:r>
              <w:rPr>
                <w:szCs w:val="18"/>
              </w:rPr>
              <w:t xml:space="preserve">To provide residential rehabilitation programs to young people who have undergone an </w:t>
            </w:r>
            <w:r w:rsidDel="00C047EF">
              <w:rPr>
                <w:szCs w:val="18"/>
              </w:rPr>
              <w:t xml:space="preserve">AOD </w:t>
            </w:r>
            <w:r>
              <w:rPr>
                <w:szCs w:val="18"/>
              </w:rPr>
              <w:t xml:space="preserve">withdrawal or treatment program and have not been successful in reducing or overcoming their </w:t>
            </w:r>
            <w:r w:rsidDel="00C047EF">
              <w:rPr>
                <w:szCs w:val="18"/>
              </w:rPr>
              <w:t xml:space="preserve">AOD </w:t>
            </w:r>
            <w:r>
              <w:rPr>
                <w:szCs w:val="18"/>
              </w:rPr>
              <w:t xml:space="preserve">issues and are not suited to attend an outpatient program. </w:t>
            </w:r>
          </w:p>
        </w:tc>
      </w:tr>
      <w:tr w:rsidR="005B699B" w14:paraId="6868A54D"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FE73859" w14:textId="77777777" w:rsidR="005B699B" w:rsidRDefault="005B699B" w:rsidP="00785BA1">
            <w:pPr>
              <w:pStyle w:val="Tabletext9pt"/>
              <w:rPr>
                <w:szCs w:val="18"/>
              </w:rPr>
            </w:pPr>
            <w:r>
              <w:rPr>
                <w:szCs w:val="18"/>
              </w:rPr>
              <w:t>34081</w:t>
            </w:r>
          </w:p>
        </w:tc>
        <w:tc>
          <w:tcPr>
            <w:tcW w:w="2977" w:type="dxa"/>
            <w:tcBorders>
              <w:top w:val="single" w:sz="4" w:space="0" w:color="auto"/>
              <w:left w:val="single" w:sz="4" w:space="0" w:color="auto"/>
              <w:bottom w:val="single" w:sz="4" w:space="0" w:color="auto"/>
              <w:right w:val="single" w:sz="4" w:space="0" w:color="auto"/>
            </w:tcBorders>
            <w:hideMark/>
          </w:tcPr>
          <w:p w14:paraId="6469B6D9" w14:textId="77777777" w:rsidR="005B699B" w:rsidRDefault="005B699B" w:rsidP="00785BA1">
            <w:pPr>
              <w:pStyle w:val="Tabletext9pt"/>
              <w:rPr>
                <w:szCs w:val="18"/>
              </w:rPr>
            </w:pPr>
            <w:r>
              <w:rPr>
                <w:szCs w:val="18"/>
              </w:rPr>
              <w:t>Workforce education and training</w:t>
            </w:r>
          </w:p>
        </w:tc>
        <w:tc>
          <w:tcPr>
            <w:tcW w:w="4342" w:type="dxa"/>
            <w:tcBorders>
              <w:top w:val="single" w:sz="4" w:space="0" w:color="auto"/>
              <w:left w:val="single" w:sz="4" w:space="0" w:color="auto"/>
              <w:bottom w:val="single" w:sz="4" w:space="0" w:color="auto"/>
              <w:right w:val="single" w:sz="4" w:space="0" w:color="auto"/>
            </w:tcBorders>
            <w:hideMark/>
          </w:tcPr>
          <w:p w14:paraId="4698A116" w14:textId="77777777" w:rsidR="005B699B" w:rsidRDefault="005B699B" w:rsidP="00785BA1">
            <w:pPr>
              <w:pStyle w:val="Tabletext9pt"/>
              <w:rPr>
                <w:szCs w:val="18"/>
              </w:rPr>
            </w:pPr>
            <w:r>
              <w:rPr>
                <w:szCs w:val="18"/>
              </w:rPr>
              <w:t>To provide workforce development education, information, training, and consultancy for workers dealing with clients with AOD problems, and to provide education to AOD treatment clients.</w:t>
            </w:r>
          </w:p>
        </w:tc>
      </w:tr>
      <w:tr w:rsidR="005B699B" w14:paraId="0F20B4D9"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19A72C9" w14:textId="77777777" w:rsidR="005B699B" w:rsidRDefault="005B699B" w:rsidP="00785BA1">
            <w:pPr>
              <w:pStyle w:val="Tabletext9pt"/>
              <w:rPr>
                <w:szCs w:val="18"/>
              </w:rPr>
            </w:pPr>
            <w:r>
              <w:rPr>
                <w:szCs w:val="18"/>
              </w:rPr>
              <w:t>34084</w:t>
            </w:r>
          </w:p>
        </w:tc>
        <w:tc>
          <w:tcPr>
            <w:tcW w:w="2977" w:type="dxa"/>
            <w:tcBorders>
              <w:top w:val="single" w:sz="4" w:space="0" w:color="auto"/>
              <w:left w:val="single" w:sz="4" w:space="0" w:color="auto"/>
              <w:bottom w:val="single" w:sz="4" w:space="0" w:color="auto"/>
              <w:right w:val="single" w:sz="4" w:space="0" w:color="auto"/>
            </w:tcBorders>
            <w:hideMark/>
          </w:tcPr>
          <w:p w14:paraId="6D324D80" w14:textId="77777777" w:rsidR="005B699B" w:rsidRDefault="005B699B" w:rsidP="00785BA1">
            <w:pPr>
              <w:pStyle w:val="Tabletext9pt"/>
              <w:rPr>
                <w:szCs w:val="18"/>
              </w:rPr>
            </w:pPr>
            <w:r>
              <w:rPr>
                <w:szCs w:val="18"/>
              </w:rPr>
              <w:t>Therapeutic counselling</w:t>
            </w:r>
          </w:p>
        </w:tc>
        <w:tc>
          <w:tcPr>
            <w:tcW w:w="4342" w:type="dxa"/>
            <w:tcBorders>
              <w:top w:val="single" w:sz="4" w:space="0" w:color="auto"/>
              <w:left w:val="single" w:sz="4" w:space="0" w:color="auto"/>
              <w:bottom w:val="single" w:sz="4" w:space="0" w:color="auto"/>
              <w:right w:val="single" w:sz="4" w:space="0" w:color="auto"/>
            </w:tcBorders>
            <w:hideMark/>
          </w:tcPr>
          <w:p w14:paraId="3DD42874" w14:textId="77777777" w:rsidR="005B699B" w:rsidRDefault="005B699B" w:rsidP="00785BA1">
            <w:pPr>
              <w:pStyle w:val="Tabletext9pt"/>
              <w:rPr>
                <w:szCs w:val="18"/>
              </w:rPr>
            </w:pPr>
            <w:r>
              <w:rPr>
                <w:szCs w:val="18"/>
              </w:rPr>
              <w:t>To deliver therapeutic interventions that assist young people and their parents/carer(s)/family to address difficulties associated with AOD use among young people. This supports young people to make positive choices about their AOD use and encourages stronger family relationships, promoting family function.</w:t>
            </w:r>
          </w:p>
        </w:tc>
      </w:tr>
      <w:tr w:rsidR="005B699B" w14:paraId="72E73AF3"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4C69FFA" w14:textId="77777777" w:rsidR="005B699B" w:rsidRDefault="005B699B" w:rsidP="00785BA1">
            <w:pPr>
              <w:pStyle w:val="Tabletext9pt"/>
              <w:rPr>
                <w:szCs w:val="18"/>
              </w:rPr>
            </w:pPr>
            <w:r>
              <w:rPr>
                <w:szCs w:val="18"/>
              </w:rPr>
              <w:t>34200</w:t>
            </w:r>
          </w:p>
        </w:tc>
        <w:tc>
          <w:tcPr>
            <w:tcW w:w="2977" w:type="dxa"/>
            <w:tcBorders>
              <w:top w:val="single" w:sz="4" w:space="0" w:color="auto"/>
              <w:left w:val="single" w:sz="4" w:space="0" w:color="auto"/>
              <w:bottom w:val="single" w:sz="4" w:space="0" w:color="auto"/>
              <w:right w:val="single" w:sz="4" w:space="0" w:color="auto"/>
            </w:tcBorders>
            <w:hideMark/>
          </w:tcPr>
          <w:p w14:paraId="02F42E0A" w14:textId="77777777" w:rsidR="005B699B" w:rsidRDefault="005B699B" w:rsidP="00785BA1">
            <w:pPr>
              <w:pStyle w:val="Tabletext9pt"/>
              <w:rPr>
                <w:szCs w:val="18"/>
              </w:rPr>
            </w:pPr>
            <w:r>
              <w:rPr>
                <w:szCs w:val="18"/>
              </w:rPr>
              <w:t>Forensic education and training (Cannabis)</w:t>
            </w:r>
          </w:p>
        </w:tc>
        <w:tc>
          <w:tcPr>
            <w:tcW w:w="4342" w:type="dxa"/>
            <w:tcBorders>
              <w:top w:val="single" w:sz="4" w:space="0" w:color="auto"/>
              <w:left w:val="single" w:sz="4" w:space="0" w:color="auto"/>
              <w:bottom w:val="single" w:sz="4" w:space="0" w:color="auto"/>
              <w:right w:val="single" w:sz="4" w:space="0" w:color="auto"/>
            </w:tcBorders>
            <w:hideMark/>
          </w:tcPr>
          <w:p w14:paraId="6C96DE9E" w14:textId="77777777" w:rsidR="005B699B" w:rsidRDefault="005B699B" w:rsidP="00785BA1">
            <w:pPr>
              <w:pStyle w:val="Tabletext9pt"/>
              <w:rPr>
                <w:szCs w:val="18"/>
              </w:rPr>
            </w:pPr>
            <w:r>
              <w:rPr>
                <w:szCs w:val="18"/>
              </w:rPr>
              <w:t>To provide education to clients issued with a cannabis caution, agency training, curriculum development and training needs analysis for workers.</w:t>
            </w:r>
          </w:p>
        </w:tc>
      </w:tr>
      <w:tr w:rsidR="005B699B" w14:paraId="0CDC04F8"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BCD6E18" w14:textId="77777777" w:rsidR="005B699B" w:rsidRDefault="005B699B" w:rsidP="00785BA1">
            <w:pPr>
              <w:pStyle w:val="Tabletext9pt"/>
              <w:rPr>
                <w:szCs w:val="18"/>
              </w:rPr>
            </w:pPr>
            <w:r>
              <w:rPr>
                <w:szCs w:val="18"/>
              </w:rPr>
              <w:t>34202</w:t>
            </w:r>
          </w:p>
        </w:tc>
        <w:tc>
          <w:tcPr>
            <w:tcW w:w="2977" w:type="dxa"/>
            <w:tcBorders>
              <w:top w:val="single" w:sz="4" w:space="0" w:color="auto"/>
              <w:left w:val="single" w:sz="4" w:space="0" w:color="auto"/>
              <w:bottom w:val="single" w:sz="4" w:space="0" w:color="auto"/>
              <w:right w:val="single" w:sz="4" w:space="0" w:color="auto"/>
            </w:tcBorders>
            <w:hideMark/>
          </w:tcPr>
          <w:p w14:paraId="03056544" w14:textId="77777777" w:rsidR="005B699B" w:rsidRDefault="005B699B" w:rsidP="00785BA1">
            <w:pPr>
              <w:pStyle w:val="Tabletext9pt"/>
              <w:rPr>
                <w:szCs w:val="18"/>
              </w:rPr>
            </w:pPr>
            <w:r>
              <w:rPr>
                <w:szCs w:val="18"/>
              </w:rPr>
              <w:t>COATS post sentence</w:t>
            </w:r>
          </w:p>
        </w:tc>
        <w:tc>
          <w:tcPr>
            <w:tcW w:w="4342" w:type="dxa"/>
            <w:tcBorders>
              <w:top w:val="single" w:sz="4" w:space="0" w:color="auto"/>
              <w:left w:val="single" w:sz="4" w:space="0" w:color="auto"/>
              <w:bottom w:val="single" w:sz="4" w:space="0" w:color="auto"/>
              <w:right w:val="single" w:sz="4" w:space="0" w:color="auto"/>
            </w:tcBorders>
            <w:hideMark/>
          </w:tcPr>
          <w:p w14:paraId="010A8D51" w14:textId="77777777" w:rsidR="005B699B" w:rsidRDefault="005B699B" w:rsidP="00785BA1">
            <w:pPr>
              <w:pStyle w:val="Tabletext9pt"/>
              <w:rPr>
                <w:szCs w:val="18"/>
              </w:rPr>
            </w:pPr>
            <w:r>
              <w:rPr>
                <w:szCs w:val="18"/>
              </w:rPr>
              <w:t>To provide AOD treatment to offenders sentenced to a community-based disposition with an attached AOD order.</w:t>
            </w:r>
          </w:p>
        </w:tc>
      </w:tr>
      <w:tr w:rsidR="005B699B" w14:paraId="6F04710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6FB74C77" w14:textId="77777777" w:rsidR="005B699B" w:rsidRDefault="005B699B" w:rsidP="00785BA1">
            <w:pPr>
              <w:pStyle w:val="Tabletext9pt"/>
              <w:rPr>
                <w:szCs w:val="18"/>
              </w:rPr>
            </w:pPr>
            <w:r>
              <w:rPr>
                <w:szCs w:val="18"/>
              </w:rPr>
              <w:t>34208</w:t>
            </w:r>
          </w:p>
        </w:tc>
        <w:tc>
          <w:tcPr>
            <w:tcW w:w="2977" w:type="dxa"/>
            <w:tcBorders>
              <w:top w:val="single" w:sz="4" w:space="0" w:color="auto"/>
              <w:left w:val="single" w:sz="4" w:space="0" w:color="auto"/>
              <w:bottom w:val="single" w:sz="4" w:space="0" w:color="auto"/>
              <w:right w:val="single" w:sz="4" w:space="0" w:color="auto"/>
            </w:tcBorders>
            <w:hideMark/>
          </w:tcPr>
          <w:p w14:paraId="65FD6F04" w14:textId="77777777" w:rsidR="005B699B" w:rsidRDefault="005B699B" w:rsidP="00785BA1">
            <w:pPr>
              <w:pStyle w:val="Tabletext9pt"/>
              <w:rPr>
                <w:szCs w:val="18"/>
              </w:rPr>
            </w:pPr>
            <w:r>
              <w:rPr>
                <w:szCs w:val="18"/>
              </w:rPr>
              <w:t>Forensic consultancy and continuing care</w:t>
            </w:r>
          </w:p>
        </w:tc>
        <w:tc>
          <w:tcPr>
            <w:tcW w:w="4342" w:type="dxa"/>
            <w:tcBorders>
              <w:top w:val="single" w:sz="4" w:space="0" w:color="auto"/>
              <w:left w:val="single" w:sz="4" w:space="0" w:color="auto"/>
              <w:bottom w:val="single" w:sz="4" w:space="0" w:color="auto"/>
              <w:right w:val="single" w:sz="4" w:space="0" w:color="auto"/>
            </w:tcBorders>
            <w:hideMark/>
          </w:tcPr>
          <w:p w14:paraId="4698CD2F" w14:textId="77777777" w:rsidR="005B699B" w:rsidRDefault="005B699B" w:rsidP="00785BA1">
            <w:pPr>
              <w:pStyle w:val="Tabletext9pt"/>
              <w:rPr>
                <w:szCs w:val="18"/>
              </w:rPr>
            </w:pPr>
            <w:r>
              <w:rPr>
                <w:szCs w:val="18"/>
              </w:rPr>
              <w:t>To provide specific service system responses and initiatives to enhance the AOD sector’s ability to provide enhanced responses to those presenting with highly complex needs including those referred Victoria’s Fixated Threat Assessment Centre.</w:t>
            </w:r>
          </w:p>
        </w:tc>
      </w:tr>
      <w:tr w:rsidR="005B699B" w14:paraId="2F6B11B9"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870AAB4" w14:textId="77777777" w:rsidR="005B699B" w:rsidRDefault="005B699B" w:rsidP="00785BA1">
            <w:pPr>
              <w:pStyle w:val="Tabletext9pt"/>
              <w:rPr>
                <w:szCs w:val="18"/>
              </w:rPr>
            </w:pPr>
            <w:r>
              <w:rPr>
                <w:szCs w:val="18"/>
              </w:rPr>
              <w:t>34210</w:t>
            </w:r>
          </w:p>
        </w:tc>
        <w:tc>
          <w:tcPr>
            <w:tcW w:w="2977" w:type="dxa"/>
            <w:tcBorders>
              <w:top w:val="single" w:sz="4" w:space="0" w:color="auto"/>
              <w:left w:val="single" w:sz="4" w:space="0" w:color="auto"/>
              <w:bottom w:val="single" w:sz="4" w:space="0" w:color="auto"/>
              <w:right w:val="single" w:sz="4" w:space="0" w:color="auto"/>
            </w:tcBorders>
            <w:hideMark/>
          </w:tcPr>
          <w:p w14:paraId="355185CC" w14:textId="77777777" w:rsidR="005B699B" w:rsidRDefault="005B699B" w:rsidP="00785BA1">
            <w:pPr>
              <w:pStyle w:val="Tabletext9pt"/>
              <w:rPr>
                <w:szCs w:val="18"/>
              </w:rPr>
            </w:pPr>
            <w:r>
              <w:rPr>
                <w:szCs w:val="18"/>
              </w:rPr>
              <w:t>Youth justice</w:t>
            </w:r>
          </w:p>
        </w:tc>
        <w:tc>
          <w:tcPr>
            <w:tcW w:w="4342" w:type="dxa"/>
            <w:tcBorders>
              <w:top w:val="single" w:sz="4" w:space="0" w:color="auto"/>
              <w:left w:val="single" w:sz="4" w:space="0" w:color="auto"/>
              <w:bottom w:val="single" w:sz="4" w:space="0" w:color="auto"/>
              <w:right w:val="single" w:sz="4" w:space="0" w:color="auto"/>
            </w:tcBorders>
            <w:hideMark/>
          </w:tcPr>
          <w:p w14:paraId="1386A4C0" w14:textId="77777777" w:rsidR="005B699B" w:rsidRDefault="005B699B" w:rsidP="00785BA1">
            <w:pPr>
              <w:pStyle w:val="Tabletext9pt"/>
              <w:rPr>
                <w:szCs w:val="18"/>
              </w:rPr>
            </w:pPr>
            <w:r>
              <w:rPr>
                <w:szCs w:val="18"/>
              </w:rPr>
              <w:t>To deliver AOD programs to youth justice clients.</w:t>
            </w:r>
          </w:p>
        </w:tc>
      </w:tr>
      <w:tr w:rsidR="005B699B" w14:paraId="2AFEEB31"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993B3FC" w14:textId="77777777" w:rsidR="005B699B" w:rsidRDefault="005B699B" w:rsidP="00785BA1">
            <w:pPr>
              <w:pStyle w:val="Tabletext9pt"/>
              <w:rPr>
                <w:szCs w:val="18"/>
              </w:rPr>
            </w:pPr>
            <w:r>
              <w:rPr>
                <w:szCs w:val="18"/>
              </w:rPr>
              <w:lastRenderedPageBreak/>
              <w:t>34211</w:t>
            </w:r>
          </w:p>
        </w:tc>
        <w:tc>
          <w:tcPr>
            <w:tcW w:w="2977" w:type="dxa"/>
            <w:tcBorders>
              <w:top w:val="single" w:sz="4" w:space="0" w:color="auto"/>
              <w:left w:val="single" w:sz="4" w:space="0" w:color="auto"/>
              <w:bottom w:val="single" w:sz="4" w:space="0" w:color="auto"/>
              <w:right w:val="single" w:sz="4" w:space="0" w:color="auto"/>
            </w:tcBorders>
            <w:hideMark/>
          </w:tcPr>
          <w:p w14:paraId="726C92DA" w14:textId="77777777" w:rsidR="005B699B" w:rsidRDefault="005B699B" w:rsidP="00785BA1">
            <w:pPr>
              <w:pStyle w:val="Tabletext9pt"/>
              <w:rPr>
                <w:szCs w:val="18"/>
              </w:rPr>
            </w:pPr>
            <w:r>
              <w:rPr>
                <w:szCs w:val="18"/>
              </w:rPr>
              <w:t>Diversion programs</w:t>
            </w:r>
          </w:p>
        </w:tc>
        <w:tc>
          <w:tcPr>
            <w:tcW w:w="4342" w:type="dxa"/>
            <w:tcBorders>
              <w:top w:val="single" w:sz="4" w:space="0" w:color="auto"/>
              <w:left w:val="single" w:sz="4" w:space="0" w:color="auto"/>
              <w:bottom w:val="single" w:sz="4" w:space="0" w:color="auto"/>
              <w:right w:val="single" w:sz="4" w:space="0" w:color="auto"/>
            </w:tcBorders>
            <w:hideMark/>
          </w:tcPr>
          <w:p w14:paraId="4A4A99E6" w14:textId="77777777" w:rsidR="005B699B" w:rsidRDefault="005B699B" w:rsidP="00785BA1">
            <w:pPr>
              <w:pStyle w:val="Tabletext9pt"/>
              <w:rPr>
                <w:szCs w:val="18"/>
              </w:rPr>
            </w:pPr>
            <w:r>
              <w:rPr>
                <w:szCs w:val="18"/>
              </w:rPr>
              <w:t>To divert clients away from the justice system by providing AOD therapeutic treatment for those who were referred by other services who wish to address their AOD-related offending behaviour, or to meet a condition of a diversion plan.</w:t>
            </w:r>
          </w:p>
        </w:tc>
      </w:tr>
      <w:tr w:rsidR="005B699B" w14:paraId="6876E1C5"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0917A17" w14:textId="77777777" w:rsidR="005B699B" w:rsidRDefault="005B699B" w:rsidP="00785BA1">
            <w:pPr>
              <w:pStyle w:val="Tabletext9pt"/>
              <w:rPr>
                <w:szCs w:val="18"/>
              </w:rPr>
            </w:pPr>
            <w:r>
              <w:rPr>
                <w:szCs w:val="18"/>
              </w:rPr>
              <w:t>34212</w:t>
            </w:r>
          </w:p>
        </w:tc>
        <w:tc>
          <w:tcPr>
            <w:tcW w:w="2977" w:type="dxa"/>
            <w:tcBorders>
              <w:top w:val="single" w:sz="4" w:space="0" w:color="auto"/>
              <w:left w:val="single" w:sz="4" w:space="0" w:color="auto"/>
              <w:bottom w:val="single" w:sz="4" w:space="0" w:color="auto"/>
              <w:right w:val="single" w:sz="4" w:space="0" w:color="auto"/>
            </w:tcBorders>
            <w:hideMark/>
          </w:tcPr>
          <w:p w14:paraId="38057C2E" w14:textId="77777777" w:rsidR="005B699B" w:rsidRDefault="005B699B" w:rsidP="00785BA1">
            <w:pPr>
              <w:pStyle w:val="Tabletext9pt"/>
              <w:rPr>
                <w:szCs w:val="18"/>
              </w:rPr>
            </w:pPr>
            <w:r>
              <w:rPr>
                <w:szCs w:val="18"/>
              </w:rPr>
              <w:t>COATS post sentence</w:t>
            </w:r>
          </w:p>
        </w:tc>
        <w:tc>
          <w:tcPr>
            <w:tcW w:w="4342" w:type="dxa"/>
            <w:tcBorders>
              <w:top w:val="single" w:sz="4" w:space="0" w:color="auto"/>
              <w:left w:val="single" w:sz="4" w:space="0" w:color="auto"/>
              <w:bottom w:val="single" w:sz="4" w:space="0" w:color="auto"/>
              <w:right w:val="single" w:sz="4" w:space="0" w:color="auto"/>
            </w:tcBorders>
            <w:hideMark/>
          </w:tcPr>
          <w:p w14:paraId="4579B08D" w14:textId="77777777" w:rsidR="005B699B" w:rsidRDefault="005B699B" w:rsidP="00785BA1">
            <w:pPr>
              <w:pStyle w:val="Tabletext9pt"/>
              <w:rPr>
                <w:szCs w:val="18"/>
              </w:rPr>
            </w:pPr>
            <w:r>
              <w:rPr>
                <w:szCs w:val="18"/>
              </w:rPr>
              <w:t>Community Offenders Advice and Treatment Service brokerage funds to purchase AOD therapeutic treatment for post-sentence/post-prison clients.</w:t>
            </w:r>
          </w:p>
        </w:tc>
      </w:tr>
      <w:tr w:rsidR="005B699B" w14:paraId="7615550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3C02686" w14:textId="77777777" w:rsidR="005B699B" w:rsidRDefault="005B699B" w:rsidP="00785BA1">
            <w:pPr>
              <w:pStyle w:val="Tabletext9pt"/>
              <w:rPr>
                <w:szCs w:val="18"/>
              </w:rPr>
            </w:pPr>
            <w:r>
              <w:rPr>
                <w:szCs w:val="18"/>
              </w:rPr>
              <w:t>34213</w:t>
            </w:r>
          </w:p>
        </w:tc>
        <w:tc>
          <w:tcPr>
            <w:tcW w:w="2977" w:type="dxa"/>
            <w:tcBorders>
              <w:top w:val="single" w:sz="4" w:space="0" w:color="auto"/>
              <w:left w:val="single" w:sz="4" w:space="0" w:color="auto"/>
              <w:bottom w:val="single" w:sz="4" w:space="0" w:color="auto"/>
              <w:right w:val="single" w:sz="4" w:space="0" w:color="auto"/>
            </w:tcBorders>
            <w:hideMark/>
          </w:tcPr>
          <w:p w14:paraId="6D92A1FE" w14:textId="77777777" w:rsidR="005B699B" w:rsidRDefault="005B699B" w:rsidP="00785BA1">
            <w:pPr>
              <w:pStyle w:val="Tabletext9pt"/>
              <w:rPr>
                <w:szCs w:val="18"/>
              </w:rPr>
            </w:pPr>
            <w:r>
              <w:rPr>
                <w:szCs w:val="18"/>
              </w:rPr>
              <w:t>Justice programs</w:t>
            </w:r>
          </w:p>
        </w:tc>
        <w:tc>
          <w:tcPr>
            <w:tcW w:w="4342" w:type="dxa"/>
            <w:tcBorders>
              <w:top w:val="single" w:sz="4" w:space="0" w:color="auto"/>
              <w:left w:val="single" w:sz="4" w:space="0" w:color="auto"/>
              <w:bottom w:val="single" w:sz="4" w:space="0" w:color="auto"/>
              <w:right w:val="single" w:sz="4" w:space="0" w:color="auto"/>
            </w:tcBorders>
            <w:hideMark/>
          </w:tcPr>
          <w:p w14:paraId="2D5D79C5" w14:textId="77777777" w:rsidR="005B699B" w:rsidRDefault="005B699B" w:rsidP="00785BA1">
            <w:pPr>
              <w:pStyle w:val="Tabletext9pt"/>
              <w:rPr>
                <w:szCs w:val="18"/>
              </w:rPr>
            </w:pPr>
            <w:r>
              <w:rPr>
                <w:szCs w:val="18"/>
              </w:rPr>
              <w:t>To deliver criminogenic AOD programs to clients attending treatment via the justice system. Programs currently funded under this activity include targeted criminogenic interventions delivered in group settings.</w:t>
            </w:r>
          </w:p>
        </w:tc>
      </w:tr>
      <w:tr w:rsidR="005B699B" w14:paraId="52BACA8E"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2B6AEA6C" w14:textId="77777777" w:rsidR="005B699B" w:rsidRDefault="005B699B" w:rsidP="00785BA1">
            <w:pPr>
              <w:pStyle w:val="Tabletext9pt"/>
              <w:rPr>
                <w:szCs w:val="18"/>
              </w:rPr>
            </w:pPr>
            <w:r>
              <w:rPr>
                <w:szCs w:val="18"/>
              </w:rPr>
              <w:t>34214</w:t>
            </w:r>
          </w:p>
        </w:tc>
        <w:tc>
          <w:tcPr>
            <w:tcW w:w="2977" w:type="dxa"/>
            <w:tcBorders>
              <w:top w:val="single" w:sz="4" w:space="0" w:color="auto"/>
              <w:left w:val="single" w:sz="4" w:space="0" w:color="auto"/>
              <w:bottom w:val="single" w:sz="4" w:space="0" w:color="auto"/>
              <w:right w:val="single" w:sz="4" w:space="0" w:color="auto"/>
            </w:tcBorders>
            <w:hideMark/>
          </w:tcPr>
          <w:p w14:paraId="3FAFE9A8" w14:textId="77777777" w:rsidR="005B699B" w:rsidRDefault="005B699B" w:rsidP="00785BA1">
            <w:pPr>
              <w:pStyle w:val="Tabletext9pt"/>
              <w:rPr>
                <w:szCs w:val="18"/>
              </w:rPr>
            </w:pPr>
            <w:r>
              <w:rPr>
                <w:szCs w:val="18"/>
              </w:rPr>
              <w:t>Severe substance dependence treatment withdrawal services</w:t>
            </w:r>
          </w:p>
        </w:tc>
        <w:tc>
          <w:tcPr>
            <w:tcW w:w="4342" w:type="dxa"/>
            <w:tcBorders>
              <w:top w:val="single" w:sz="4" w:space="0" w:color="auto"/>
              <w:left w:val="single" w:sz="4" w:space="0" w:color="auto"/>
              <w:bottom w:val="single" w:sz="4" w:space="0" w:color="auto"/>
              <w:right w:val="single" w:sz="4" w:space="0" w:color="auto"/>
            </w:tcBorders>
            <w:hideMark/>
          </w:tcPr>
          <w:p w14:paraId="5AA3A341" w14:textId="77777777" w:rsidR="005B699B" w:rsidRDefault="005B699B" w:rsidP="00785BA1">
            <w:pPr>
              <w:pStyle w:val="Tabletext9pt"/>
              <w:rPr>
                <w:szCs w:val="18"/>
              </w:rPr>
            </w:pPr>
            <w:r>
              <w:rPr>
                <w:szCs w:val="18"/>
              </w:rPr>
              <w:t>Specified services provided under the</w:t>
            </w:r>
            <w:r>
              <w:rPr>
                <w:i/>
                <w:szCs w:val="18"/>
              </w:rPr>
              <w:t xml:space="preserve"> Severe Substance Dependence Treatment Act 2010</w:t>
            </w:r>
            <w:r>
              <w:rPr>
                <w:szCs w:val="18"/>
              </w:rPr>
              <w:t xml:space="preserve"> including coordination of client care, individual care planning and ensuring clients are linked into services in their local area that provide appropriate care and support.</w:t>
            </w:r>
          </w:p>
        </w:tc>
      </w:tr>
      <w:tr w:rsidR="005B699B" w14:paraId="63BBC836"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62F99089" w14:textId="77777777" w:rsidR="005B699B" w:rsidRDefault="005B699B" w:rsidP="00785BA1">
            <w:pPr>
              <w:pStyle w:val="Tabletext9pt"/>
              <w:rPr>
                <w:szCs w:val="18"/>
              </w:rPr>
            </w:pPr>
            <w:r>
              <w:rPr>
                <w:szCs w:val="18"/>
              </w:rPr>
              <w:t>34300</w:t>
            </w:r>
          </w:p>
        </w:tc>
        <w:tc>
          <w:tcPr>
            <w:tcW w:w="2977" w:type="dxa"/>
            <w:tcBorders>
              <w:top w:val="single" w:sz="4" w:space="0" w:color="auto"/>
              <w:left w:val="single" w:sz="4" w:space="0" w:color="auto"/>
              <w:bottom w:val="single" w:sz="4" w:space="0" w:color="auto"/>
              <w:right w:val="single" w:sz="4" w:space="0" w:color="auto"/>
            </w:tcBorders>
            <w:hideMark/>
          </w:tcPr>
          <w:p w14:paraId="1B2AC7A4" w14:textId="77777777" w:rsidR="005B699B" w:rsidRDefault="005B699B" w:rsidP="00785BA1">
            <w:pPr>
              <w:pStyle w:val="Tabletext9pt"/>
              <w:rPr>
                <w:szCs w:val="18"/>
              </w:rPr>
            </w:pPr>
            <w:r>
              <w:rPr>
                <w:szCs w:val="18"/>
              </w:rPr>
              <w:t>Care and recovery coordination</w:t>
            </w:r>
          </w:p>
        </w:tc>
        <w:tc>
          <w:tcPr>
            <w:tcW w:w="4342" w:type="dxa"/>
            <w:tcBorders>
              <w:top w:val="single" w:sz="4" w:space="0" w:color="auto"/>
              <w:left w:val="single" w:sz="4" w:space="0" w:color="auto"/>
              <w:bottom w:val="single" w:sz="4" w:space="0" w:color="auto"/>
              <w:right w:val="single" w:sz="4" w:space="0" w:color="auto"/>
            </w:tcBorders>
            <w:hideMark/>
          </w:tcPr>
          <w:p w14:paraId="53399952" w14:textId="77777777" w:rsidR="005B699B" w:rsidRDefault="005B699B" w:rsidP="00785BA1">
            <w:pPr>
              <w:pStyle w:val="Tabletext9pt"/>
              <w:rPr>
                <w:szCs w:val="18"/>
              </w:rPr>
            </w:pPr>
            <w:r>
              <w:rPr>
                <w:szCs w:val="18"/>
              </w:rPr>
              <w:t>Facilitates seamless and integrated treatment pathways for complex clients and their families and improves access to other services and support systems in the community through a range of mechanisms including peer support options.</w:t>
            </w:r>
          </w:p>
        </w:tc>
      </w:tr>
      <w:tr w:rsidR="005B699B" w14:paraId="732DCDE3"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5FCAF43" w14:textId="77777777" w:rsidR="005B699B" w:rsidRDefault="005B699B" w:rsidP="00785BA1">
            <w:pPr>
              <w:pStyle w:val="Tabletext9pt"/>
              <w:rPr>
                <w:szCs w:val="18"/>
              </w:rPr>
            </w:pPr>
            <w:r>
              <w:rPr>
                <w:szCs w:val="18"/>
              </w:rPr>
              <w:t>34301</w:t>
            </w:r>
          </w:p>
        </w:tc>
        <w:tc>
          <w:tcPr>
            <w:tcW w:w="2977" w:type="dxa"/>
            <w:tcBorders>
              <w:top w:val="single" w:sz="4" w:space="0" w:color="auto"/>
              <w:left w:val="single" w:sz="4" w:space="0" w:color="auto"/>
              <w:bottom w:val="single" w:sz="4" w:space="0" w:color="auto"/>
              <w:right w:val="single" w:sz="4" w:space="0" w:color="auto"/>
            </w:tcBorders>
            <w:hideMark/>
          </w:tcPr>
          <w:p w14:paraId="39DC698B" w14:textId="77777777" w:rsidR="005B699B" w:rsidRDefault="005B699B" w:rsidP="00785BA1">
            <w:pPr>
              <w:pStyle w:val="Tabletext9pt"/>
              <w:rPr>
                <w:szCs w:val="18"/>
              </w:rPr>
            </w:pPr>
            <w:r>
              <w:rPr>
                <w:szCs w:val="18"/>
              </w:rPr>
              <w:t>Counselling</w:t>
            </w:r>
          </w:p>
        </w:tc>
        <w:tc>
          <w:tcPr>
            <w:tcW w:w="4342" w:type="dxa"/>
            <w:tcBorders>
              <w:top w:val="single" w:sz="4" w:space="0" w:color="auto"/>
              <w:left w:val="single" w:sz="4" w:space="0" w:color="auto"/>
              <w:bottom w:val="single" w:sz="4" w:space="0" w:color="auto"/>
              <w:right w:val="single" w:sz="4" w:space="0" w:color="auto"/>
            </w:tcBorders>
            <w:hideMark/>
          </w:tcPr>
          <w:p w14:paraId="57C9C8EB" w14:textId="77777777" w:rsidR="005B699B" w:rsidRDefault="005B699B" w:rsidP="00785BA1">
            <w:pPr>
              <w:pStyle w:val="Tabletext9pt"/>
              <w:rPr>
                <w:szCs w:val="18"/>
              </w:rPr>
            </w:pPr>
            <w:r>
              <w:rPr>
                <w:szCs w:val="18"/>
              </w:rPr>
              <w:t>Counselling includes providing face-to-face, online or telephone treatment and support for individuals and families, including group counselling and day programs. Duration can range from a single session to extended periods of engagement.</w:t>
            </w:r>
          </w:p>
        </w:tc>
      </w:tr>
      <w:tr w:rsidR="005B699B" w14:paraId="05556FA1"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F407A98" w14:textId="77777777" w:rsidR="005B699B" w:rsidRDefault="005B699B" w:rsidP="00785BA1">
            <w:pPr>
              <w:pStyle w:val="Tabletext9pt"/>
              <w:rPr>
                <w:szCs w:val="18"/>
              </w:rPr>
            </w:pPr>
            <w:r>
              <w:rPr>
                <w:szCs w:val="18"/>
              </w:rPr>
              <w:t>34303</w:t>
            </w:r>
          </w:p>
        </w:tc>
        <w:tc>
          <w:tcPr>
            <w:tcW w:w="2977" w:type="dxa"/>
            <w:tcBorders>
              <w:top w:val="single" w:sz="4" w:space="0" w:color="auto"/>
              <w:left w:val="single" w:sz="4" w:space="0" w:color="auto"/>
              <w:bottom w:val="single" w:sz="4" w:space="0" w:color="auto"/>
              <w:right w:val="single" w:sz="4" w:space="0" w:color="auto"/>
            </w:tcBorders>
            <w:hideMark/>
          </w:tcPr>
          <w:p w14:paraId="27AC0019" w14:textId="77777777" w:rsidR="005B699B" w:rsidRDefault="005B699B" w:rsidP="00785BA1">
            <w:pPr>
              <w:pStyle w:val="Tabletext9pt"/>
              <w:rPr>
                <w:szCs w:val="18"/>
              </w:rPr>
            </w:pPr>
            <w:r>
              <w:rPr>
                <w:szCs w:val="18"/>
              </w:rPr>
              <w:t>Non-residential withdrawal</w:t>
            </w:r>
          </w:p>
        </w:tc>
        <w:tc>
          <w:tcPr>
            <w:tcW w:w="4342" w:type="dxa"/>
            <w:tcBorders>
              <w:top w:val="single" w:sz="4" w:space="0" w:color="auto"/>
              <w:left w:val="single" w:sz="4" w:space="0" w:color="auto"/>
              <w:bottom w:val="single" w:sz="4" w:space="0" w:color="auto"/>
              <w:right w:val="single" w:sz="4" w:space="0" w:color="auto"/>
            </w:tcBorders>
            <w:hideMark/>
          </w:tcPr>
          <w:p w14:paraId="0C8C819F" w14:textId="77777777" w:rsidR="005B699B" w:rsidRDefault="005B699B" w:rsidP="00785BA1">
            <w:pPr>
              <w:pStyle w:val="Tabletext9pt"/>
              <w:rPr>
                <w:szCs w:val="18"/>
              </w:rPr>
            </w:pPr>
            <w:r>
              <w:rPr>
                <w:szCs w:val="18"/>
              </w:rPr>
              <w:t>Non-residential withdrawal services support people to safely achieve neuroadaptation reversal in conjunction with a medical practitioner. Includes clinical withdrawal assessment, withdrawal treatment and referral and information provision via home-based, outpatient, outreach, or hospital-supported modalities.</w:t>
            </w:r>
          </w:p>
        </w:tc>
      </w:tr>
      <w:tr w:rsidR="005B699B" w14:paraId="23FF8F97"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39A8362D" w14:textId="77777777" w:rsidR="005B699B" w:rsidRDefault="005B699B" w:rsidP="00785BA1">
            <w:pPr>
              <w:pStyle w:val="Tabletext9pt"/>
              <w:rPr>
                <w:szCs w:val="18"/>
              </w:rPr>
            </w:pPr>
            <w:r>
              <w:rPr>
                <w:szCs w:val="18"/>
              </w:rPr>
              <w:t>34304</w:t>
            </w:r>
          </w:p>
        </w:tc>
        <w:tc>
          <w:tcPr>
            <w:tcW w:w="2977" w:type="dxa"/>
            <w:tcBorders>
              <w:top w:val="single" w:sz="4" w:space="0" w:color="auto"/>
              <w:left w:val="single" w:sz="4" w:space="0" w:color="auto"/>
              <w:bottom w:val="single" w:sz="4" w:space="0" w:color="auto"/>
              <w:right w:val="single" w:sz="4" w:space="0" w:color="auto"/>
            </w:tcBorders>
            <w:hideMark/>
          </w:tcPr>
          <w:p w14:paraId="05332927" w14:textId="77777777" w:rsidR="005B699B" w:rsidRDefault="005B699B" w:rsidP="00785BA1">
            <w:pPr>
              <w:pStyle w:val="Tabletext9pt"/>
              <w:rPr>
                <w:szCs w:val="18"/>
              </w:rPr>
            </w:pPr>
            <w:r>
              <w:rPr>
                <w:szCs w:val="18"/>
              </w:rPr>
              <w:t>Area-based planning</w:t>
            </w:r>
          </w:p>
        </w:tc>
        <w:tc>
          <w:tcPr>
            <w:tcW w:w="4342" w:type="dxa"/>
            <w:tcBorders>
              <w:top w:val="single" w:sz="4" w:space="0" w:color="auto"/>
              <w:left w:val="single" w:sz="4" w:space="0" w:color="auto"/>
              <w:bottom w:val="single" w:sz="4" w:space="0" w:color="auto"/>
              <w:right w:val="single" w:sz="4" w:space="0" w:color="auto"/>
            </w:tcBorders>
            <w:hideMark/>
          </w:tcPr>
          <w:p w14:paraId="16BE779D" w14:textId="77777777" w:rsidR="005B699B" w:rsidRDefault="005B699B" w:rsidP="00785BA1">
            <w:pPr>
              <w:pStyle w:val="Tabletext9pt"/>
            </w:pPr>
            <w:r>
              <w:t>Area-based planning assists AOD treatment providers operating in a given Department of Health area to develop an evidence-based area plan which identifies essential service gaps and pressures and strategies to improve responsiveness to client and community need and population diversity, including disadvantaged population groups. Each plan provides the basis for improved cross-sector service coordination and by doing this achieves a more planned, joined-up approach to the needs of clients.</w:t>
            </w:r>
          </w:p>
        </w:tc>
      </w:tr>
      <w:tr w:rsidR="005B699B" w14:paraId="08AFB810"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1E344742" w14:textId="77777777" w:rsidR="005B699B" w:rsidRDefault="005B699B" w:rsidP="00785BA1">
            <w:pPr>
              <w:pStyle w:val="Tabletext9pt"/>
              <w:rPr>
                <w:szCs w:val="18"/>
              </w:rPr>
            </w:pPr>
            <w:r>
              <w:rPr>
                <w:szCs w:val="18"/>
              </w:rPr>
              <w:lastRenderedPageBreak/>
              <w:t>34305</w:t>
            </w:r>
          </w:p>
        </w:tc>
        <w:tc>
          <w:tcPr>
            <w:tcW w:w="2977" w:type="dxa"/>
            <w:tcBorders>
              <w:top w:val="single" w:sz="4" w:space="0" w:color="auto"/>
              <w:left w:val="single" w:sz="4" w:space="0" w:color="auto"/>
              <w:bottom w:val="single" w:sz="4" w:space="0" w:color="auto"/>
              <w:right w:val="single" w:sz="4" w:space="0" w:color="auto"/>
            </w:tcBorders>
            <w:hideMark/>
          </w:tcPr>
          <w:p w14:paraId="569E79AE" w14:textId="77777777" w:rsidR="005B699B" w:rsidRDefault="005B699B" w:rsidP="00785BA1">
            <w:pPr>
              <w:pStyle w:val="Tabletext9pt"/>
              <w:rPr>
                <w:szCs w:val="18"/>
              </w:rPr>
            </w:pPr>
            <w:r>
              <w:rPr>
                <w:szCs w:val="18"/>
              </w:rPr>
              <w:t>Therapeutic day rehabilitation</w:t>
            </w:r>
          </w:p>
        </w:tc>
        <w:tc>
          <w:tcPr>
            <w:tcW w:w="4342" w:type="dxa"/>
            <w:tcBorders>
              <w:top w:val="single" w:sz="4" w:space="0" w:color="auto"/>
              <w:left w:val="single" w:sz="4" w:space="0" w:color="auto"/>
              <w:bottom w:val="single" w:sz="4" w:space="0" w:color="auto"/>
              <w:right w:val="single" w:sz="4" w:space="0" w:color="auto"/>
            </w:tcBorders>
            <w:hideMark/>
          </w:tcPr>
          <w:p w14:paraId="18AEE5B9" w14:textId="77777777" w:rsidR="005B699B" w:rsidRDefault="005B699B" w:rsidP="00785BA1">
            <w:pPr>
              <w:pStyle w:val="Tabletext9pt"/>
              <w:rPr>
                <w:szCs w:val="18"/>
              </w:rPr>
            </w:pPr>
            <w:r>
              <w:rPr>
                <w:szCs w:val="18"/>
              </w:rPr>
              <w:t>Non-residential rehabilitation programs for people recovering from AOD substance misuse. These programs are intensive, structured interventions to address the psychosocial causes for drug dependence through evidence-based treatment, with the aim of sustainable recovery. The program typically includes a mix of motivational enhancement, cognitive behavioural therapies and individual and group counselling, self-help and peer support, and supported reintegration into the community and the re-engagement with recreation and activities.</w:t>
            </w:r>
          </w:p>
        </w:tc>
      </w:tr>
      <w:tr w:rsidR="005B699B" w14:paraId="72AD9574"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5834E6B9" w14:textId="77777777" w:rsidR="005B699B" w:rsidRDefault="005B699B" w:rsidP="00785BA1">
            <w:pPr>
              <w:pStyle w:val="Tabletext9pt"/>
              <w:rPr>
                <w:szCs w:val="18"/>
              </w:rPr>
            </w:pPr>
            <w:r>
              <w:rPr>
                <w:szCs w:val="18"/>
              </w:rPr>
              <w:t>34306</w:t>
            </w:r>
          </w:p>
        </w:tc>
        <w:tc>
          <w:tcPr>
            <w:tcW w:w="2977" w:type="dxa"/>
            <w:tcBorders>
              <w:top w:val="single" w:sz="4" w:space="0" w:color="auto"/>
              <w:left w:val="single" w:sz="4" w:space="0" w:color="auto"/>
              <w:bottom w:val="single" w:sz="4" w:space="0" w:color="auto"/>
              <w:right w:val="single" w:sz="4" w:space="0" w:color="auto"/>
            </w:tcBorders>
            <w:hideMark/>
          </w:tcPr>
          <w:p w14:paraId="008427CB" w14:textId="77777777" w:rsidR="005B699B" w:rsidRDefault="005B699B" w:rsidP="00785BA1">
            <w:pPr>
              <w:pStyle w:val="Tabletext9pt"/>
              <w:rPr>
                <w:szCs w:val="18"/>
              </w:rPr>
            </w:pPr>
            <w:r>
              <w:rPr>
                <w:szCs w:val="18"/>
              </w:rPr>
              <w:t>Intake</w:t>
            </w:r>
          </w:p>
        </w:tc>
        <w:tc>
          <w:tcPr>
            <w:tcW w:w="4342" w:type="dxa"/>
            <w:tcBorders>
              <w:top w:val="single" w:sz="4" w:space="0" w:color="auto"/>
              <w:left w:val="single" w:sz="4" w:space="0" w:color="auto"/>
              <w:bottom w:val="single" w:sz="4" w:space="0" w:color="auto"/>
              <w:right w:val="single" w:sz="4" w:space="0" w:color="auto"/>
            </w:tcBorders>
            <w:hideMark/>
          </w:tcPr>
          <w:p w14:paraId="68F74F64" w14:textId="77777777" w:rsidR="005B699B" w:rsidRDefault="005B699B" w:rsidP="00785BA1">
            <w:pPr>
              <w:pStyle w:val="Tabletext9pt"/>
              <w:rPr>
                <w:szCs w:val="18"/>
              </w:rPr>
            </w:pPr>
            <w:r>
              <w:rPr>
                <w:szCs w:val="18"/>
              </w:rPr>
              <w:t>The intake function delivers standardised good-practice triage to identify a person’s need for, and prioritise their referral to, specialist AOD treatment and other services. This activity includes brief interventions and bridging support, where appropriate, up until the point of a client’s assessment.</w:t>
            </w:r>
          </w:p>
        </w:tc>
      </w:tr>
      <w:tr w:rsidR="005B699B" w14:paraId="7AFDE93B"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084B7E8D" w14:textId="77777777" w:rsidR="005B699B" w:rsidRDefault="005B699B" w:rsidP="00785BA1">
            <w:pPr>
              <w:pStyle w:val="Tabletext9pt"/>
              <w:rPr>
                <w:szCs w:val="18"/>
              </w:rPr>
            </w:pPr>
            <w:r>
              <w:t>34307</w:t>
            </w:r>
          </w:p>
        </w:tc>
        <w:tc>
          <w:tcPr>
            <w:tcW w:w="2977" w:type="dxa"/>
            <w:tcBorders>
              <w:top w:val="single" w:sz="4" w:space="0" w:color="auto"/>
              <w:left w:val="single" w:sz="4" w:space="0" w:color="auto"/>
              <w:bottom w:val="single" w:sz="4" w:space="0" w:color="auto"/>
              <w:right w:val="single" w:sz="4" w:space="0" w:color="auto"/>
            </w:tcBorders>
            <w:hideMark/>
          </w:tcPr>
          <w:p w14:paraId="5342A0FE" w14:textId="77777777" w:rsidR="005B699B" w:rsidRDefault="005B699B" w:rsidP="00785BA1">
            <w:pPr>
              <w:pStyle w:val="Tabletext9pt"/>
              <w:rPr>
                <w:szCs w:val="18"/>
              </w:rPr>
            </w:pPr>
            <w:r>
              <w:rPr>
                <w:szCs w:val="18"/>
              </w:rPr>
              <w:t>Assessment</w:t>
            </w:r>
          </w:p>
        </w:tc>
        <w:tc>
          <w:tcPr>
            <w:tcW w:w="4342" w:type="dxa"/>
            <w:tcBorders>
              <w:top w:val="single" w:sz="4" w:space="0" w:color="auto"/>
              <w:left w:val="single" w:sz="4" w:space="0" w:color="auto"/>
              <w:bottom w:val="single" w:sz="4" w:space="0" w:color="auto"/>
              <w:right w:val="single" w:sz="4" w:space="0" w:color="auto"/>
            </w:tcBorders>
            <w:hideMark/>
          </w:tcPr>
          <w:p w14:paraId="3E270BD6" w14:textId="77777777" w:rsidR="005B699B" w:rsidRDefault="005B699B" w:rsidP="00785BA1">
            <w:pPr>
              <w:pStyle w:val="Tabletext9pt"/>
              <w:rPr>
                <w:szCs w:val="18"/>
              </w:rPr>
            </w:pPr>
            <w:r>
              <w:t>The assessment function delivers standardised, good-practice comprehensive assessment and treatment planning to identify and prioritise a person’s treatment and referral needs. This activity includes brief interventions and bridging support, where appropriate.</w:t>
            </w:r>
          </w:p>
        </w:tc>
      </w:tr>
      <w:tr w:rsidR="005B699B" w14:paraId="50D68092"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79E96A20" w14:textId="77777777" w:rsidR="005B699B" w:rsidRDefault="005B699B" w:rsidP="00785BA1">
            <w:pPr>
              <w:pStyle w:val="Tabletext9pt"/>
            </w:pPr>
            <w:r>
              <w:t>34308</w:t>
            </w:r>
          </w:p>
        </w:tc>
        <w:tc>
          <w:tcPr>
            <w:tcW w:w="2977" w:type="dxa"/>
            <w:tcBorders>
              <w:top w:val="single" w:sz="4" w:space="0" w:color="auto"/>
              <w:left w:val="single" w:sz="4" w:space="0" w:color="auto"/>
              <w:bottom w:val="single" w:sz="4" w:space="0" w:color="auto"/>
              <w:right w:val="single" w:sz="4" w:space="0" w:color="auto"/>
            </w:tcBorders>
            <w:hideMark/>
          </w:tcPr>
          <w:p w14:paraId="0A994AD5" w14:textId="77777777" w:rsidR="005B699B" w:rsidRDefault="005B699B" w:rsidP="00785BA1">
            <w:pPr>
              <w:pStyle w:val="Tabletext9pt"/>
              <w:rPr>
                <w:szCs w:val="18"/>
              </w:rPr>
            </w:pPr>
            <w:r>
              <w:rPr>
                <w:szCs w:val="18"/>
              </w:rPr>
              <w:t>Medically Supervised Injecting Room</w:t>
            </w:r>
          </w:p>
        </w:tc>
        <w:tc>
          <w:tcPr>
            <w:tcW w:w="4342" w:type="dxa"/>
            <w:tcBorders>
              <w:top w:val="single" w:sz="4" w:space="0" w:color="auto"/>
              <w:left w:val="single" w:sz="4" w:space="0" w:color="auto"/>
              <w:bottom w:val="single" w:sz="4" w:space="0" w:color="auto"/>
              <w:right w:val="single" w:sz="4" w:space="0" w:color="auto"/>
            </w:tcBorders>
            <w:hideMark/>
          </w:tcPr>
          <w:p w14:paraId="35D894F0" w14:textId="14D7EFEB" w:rsidR="005B699B" w:rsidRDefault="005B699B" w:rsidP="00785BA1">
            <w:pPr>
              <w:pStyle w:val="Tabletext9pt"/>
            </w:pPr>
            <w:r>
              <w:t xml:space="preserve">To provide a safer setting for people to inject drugs, consistent with the objects outlined in Part IIA of the </w:t>
            </w:r>
            <w:r w:rsidRPr="00272A06">
              <w:rPr>
                <w:i/>
              </w:rPr>
              <w:t>Drugs, Poisons and Controlled Substances Act 1981</w:t>
            </w:r>
            <w:r>
              <w:t>.</w:t>
            </w:r>
          </w:p>
        </w:tc>
      </w:tr>
    </w:tbl>
    <w:p w14:paraId="5E60AED9" w14:textId="77777777" w:rsidR="00A97999" w:rsidRDefault="00A97999" w:rsidP="00A97999">
      <w:pPr>
        <w:pStyle w:val="Body"/>
        <w:rPr>
          <w:b/>
          <w:bCs/>
        </w:rPr>
      </w:pPr>
    </w:p>
    <w:p w14:paraId="629A89E4" w14:textId="19CE483E" w:rsidR="00A97999" w:rsidRPr="00A97999" w:rsidRDefault="00A97999" w:rsidP="00A97999">
      <w:pPr>
        <w:pStyle w:val="Body"/>
        <w:rPr>
          <w:b/>
          <w:bCs/>
        </w:rPr>
      </w:pPr>
      <w:r w:rsidRPr="00A97999">
        <w:rPr>
          <w:b/>
          <w:bCs/>
        </w:rPr>
        <w:t>Table 1.</w:t>
      </w:r>
      <w:r w:rsidRPr="00A97999">
        <w:rPr>
          <w:b/>
          <w:bCs/>
        </w:rPr>
        <w:fldChar w:fldCharType="begin"/>
      </w:r>
      <w:r w:rsidRPr="00A97999">
        <w:rPr>
          <w:b/>
          <w:bCs/>
        </w:rPr>
        <w:instrText xml:space="preserve"> SEQ Table \* ARABIC </w:instrText>
      </w:r>
      <w:r w:rsidRPr="00A97999">
        <w:rPr>
          <w:b/>
          <w:bCs/>
        </w:rPr>
        <w:fldChar w:fldCharType="separate"/>
      </w:r>
      <w:r w:rsidR="00F30C16">
        <w:rPr>
          <w:b/>
          <w:bCs/>
          <w:noProof/>
        </w:rPr>
        <w:t>27</w:t>
      </w:r>
      <w:r w:rsidRPr="00A97999">
        <w:rPr>
          <w:b/>
          <w:bCs/>
        </w:rPr>
        <w:fldChar w:fldCharType="end"/>
      </w:r>
      <w:r w:rsidRPr="00A97999">
        <w:rPr>
          <w:b/>
          <w:bCs/>
        </w:rPr>
        <w:t>: Small rural health services – outputs and activities 2024–25</w:t>
      </w:r>
    </w:p>
    <w:p w14:paraId="7477CE37" w14:textId="77777777" w:rsidR="005B699B" w:rsidRDefault="005B699B" w:rsidP="005B699B">
      <w:pPr>
        <w:pStyle w:val="Body"/>
      </w:pPr>
      <w:bookmarkStart w:id="2376" w:name="_Ref12016891"/>
      <w:bookmarkStart w:id="2377" w:name="_Toc419623628"/>
      <w:bookmarkStart w:id="2378" w:name="_Toc419623740"/>
      <w:bookmarkStart w:id="2379" w:name="_Toc419644528"/>
      <w:bookmarkStart w:id="2380" w:name="_Toc487742092"/>
      <w:bookmarkEnd w:id="2365"/>
      <w:bookmarkEnd w:id="2366"/>
      <w:bookmarkEnd w:id="2367"/>
      <w:bookmarkEnd w:id="2368"/>
      <w:bookmarkEnd w:id="2369"/>
      <w:bookmarkEnd w:id="2370"/>
      <w:bookmarkEnd w:id="2371"/>
      <w:bookmarkEnd w:id="2372"/>
      <w:bookmarkEnd w:id="2373"/>
      <w:bookmarkEnd w:id="2374"/>
      <w:bookmarkEnd w:id="2375"/>
      <w:r>
        <w:t>Output name: Acute health</w:t>
      </w:r>
    </w:p>
    <w:tbl>
      <w:tblPr>
        <w:tblW w:w="9299" w:type="dxa"/>
        <w:tblLook w:val="06A0" w:firstRow="1" w:lastRow="0" w:firstColumn="1" w:lastColumn="0" w:noHBand="1" w:noVBand="1"/>
      </w:tblPr>
      <w:tblGrid>
        <w:gridCol w:w="1980"/>
        <w:gridCol w:w="2977"/>
        <w:gridCol w:w="4342"/>
      </w:tblGrid>
      <w:tr w:rsidR="005B699B" w14:paraId="17A5C5A8" w14:textId="77777777" w:rsidTr="00785BA1">
        <w:trPr>
          <w:tblHead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32F1562" w14:textId="77777777" w:rsidR="005B699B" w:rsidRPr="00F717FB" w:rsidRDefault="005B699B" w:rsidP="00785BA1">
            <w:pPr>
              <w:pStyle w:val="Tablecolhead"/>
              <w:rPr>
                <w:rFonts w:eastAsia="Arial"/>
                <w:szCs w:val="21"/>
              </w:rPr>
            </w:pPr>
            <w:r w:rsidRPr="00F717FB">
              <w:rPr>
                <w:rFonts w:eastAsia="Arial"/>
                <w:szCs w:val="21"/>
              </w:rPr>
              <w:t>Activity 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0541EC1"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262C96E6"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5E96E52F"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4D9C782D" w14:textId="77777777" w:rsidR="005B699B" w:rsidRDefault="005B699B" w:rsidP="00785BA1">
            <w:pPr>
              <w:pStyle w:val="Tabletext9pt"/>
              <w:rPr>
                <w:szCs w:val="18"/>
              </w:rPr>
            </w:pPr>
            <w:r>
              <w:rPr>
                <w:szCs w:val="18"/>
              </w:rPr>
              <w:t>35024</w:t>
            </w:r>
          </w:p>
        </w:tc>
        <w:tc>
          <w:tcPr>
            <w:tcW w:w="2977" w:type="dxa"/>
            <w:tcBorders>
              <w:top w:val="single" w:sz="4" w:space="0" w:color="auto"/>
              <w:left w:val="single" w:sz="4" w:space="0" w:color="auto"/>
              <w:bottom w:val="single" w:sz="4" w:space="0" w:color="auto"/>
              <w:right w:val="single" w:sz="4" w:space="0" w:color="auto"/>
            </w:tcBorders>
            <w:hideMark/>
          </w:tcPr>
          <w:p w14:paraId="06BB2E64" w14:textId="77777777" w:rsidR="005B699B" w:rsidRDefault="005B699B" w:rsidP="00785BA1">
            <w:pPr>
              <w:pStyle w:val="Tabletext9pt"/>
              <w:rPr>
                <w:szCs w:val="18"/>
              </w:rPr>
            </w:pPr>
            <w:r>
              <w:rPr>
                <w:szCs w:val="18"/>
              </w:rPr>
              <w:t>Small rural – flexible health service delivery</w:t>
            </w:r>
          </w:p>
        </w:tc>
        <w:tc>
          <w:tcPr>
            <w:tcW w:w="4342" w:type="dxa"/>
            <w:tcBorders>
              <w:top w:val="single" w:sz="4" w:space="0" w:color="auto"/>
              <w:left w:val="single" w:sz="4" w:space="0" w:color="auto"/>
              <w:bottom w:val="single" w:sz="4" w:space="0" w:color="auto"/>
              <w:right w:val="single" w:sz="4" w:space="0" w:color="auto"/>
            </w:tcBorders>
            <w:hideMark/>
          </w:tcPr>
          <w:p w14:paraId="55EF7636" w14:textId="4D58D4AB" w:rsidR="005B699B" w:rsidRDefault="00C047EF" w:rsidP="00785BA1">
            <w:pPr>
              <w:pStyle w:val="Tabletext9pt"/>
              <w:rPr>
                <w:szCs w:val="18"/>
              </w:rPr>
            </w:pPr>
            <w:r>
              <w:rPr>
                <w:szCs w:val="18"/>
              </w:rPr>
              <w:t>H</w:t>
            </w:r>
            <w:r w:rsidR="005B699B">
              <w:rPr>
                <w:szCs w:val="18"/>
              </w:rPr>
              <w:t>ealth services provided to small rural communities.</w:t>
            </w:r>
          </w:p>
        </w:tc>
      </w:tr>
      <w:tr w:rsidR="005B699B" w14:paraId="2A3FB93A"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5DE327AB" w14:textId="77777777" w:rsidR="005B699B" w:rsidRDefault="005B699B" w:rsidP="00785BA1">
            <w:pPr>
              <w:pStyle w:val="Tabletext9pt"/>
              <w:rPr>
                <w:szCs w:val="18"/>
              </w:rPr>
            </w:pPr>
            <w:r>
              <w:rPr>
                <w:szCs w:val="18"/>
              </w:rPr>
              <w:t>35025</w:t>
            </w:r>
          </w:p>
        </w:tc>
        <w:tc>
          <w:tcPr>
            <w:tcW w:w="2977" w:type="dxa"/>
            <w:tcBorders>
              <w:top w:val="single" w:sz="4" w:space="0" w:color="auto"/>
              <w:left w:val="single" w:sz="4" w:space="0" w:color="auto"/>
              <w:bottom w:val="single" w:sz="4" w:space="0" w:color="auto"/>
              <w:right w:val="single" w:sz="4" w:space="0" w:color="auto"/>
            </w:tcBorders>
            <w:hideMark/>
          </w:tcPr>
          <w:p w14:paraId="6E75C507" w14:textId="77777777" w:rsidR="005B699B" w:rsidRDefault="005B699B" w:rsidP="00785BA1">
            <w:pPr>
              <w:pStyle w:val="Tabletext9pt"/>
              <w:rPr>
                <w:szCs w:val="18"/>
              </w:rPr>
            </w:pPr>
            <w:r>
              <w:rPr>
                <w:szCs w:val="18"/>
              </w:rPr>
              <w:t>Small rural – TAC – acute health</w:t>
            </w:r>
          </w:p>
        </w:tc>
        <w:tc>
          <w:tcPr>
            <w:tcW w:w="4342" w:type="dxa"/>
            <w:tcBorders>
              <w:top w:val="single" w:sz="4" w:space="0" w:color="auto"/>
              <w:left w:val="single" w:sz="4" w:space="0" w:color="auto"/>
              <w:bottom w:val="single" w:sz="4" w:space="0" w:color="auto"/>
              <w:right w:val="single" w:sz="4" w:space="0" w:color="auto"/>
            </w:tcBorders>
            <w:hideMark/>
          </w:tcPr>
          <w:p w14:paraId="37148BB0" w14:textId="77777777" w:rsidR="005B699B" w:rsidRDefault="005B699B" w:rsidP="00785BA1">
            <w:pPr>
              <w:pStyle w:val="Tabletext9pt"/>
              <w:rPr>
                <w:szCs w:val="18"/>
              </w:rPr>
            </w:pPr>
            <w:r>
              <w:rPr>
                <w:szCs w:val="18"/>
              </w:rPr>
              <w:t>Transport Accident Commission-funded inpatient services.</w:t>
            </w:r>
          </w:p>
        </w:tc>
      </w:tr>
      <w:tr w:rsidR="005B699B" w14:paraId="0DD74661"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69B1BB30" w14:textId="77777777" w:rsidR="005B699B" w:rsidRDefault="005B699B" w:rsidP="00785BA1">
            <w:pPr>
              <w:pStyle w:val="Tabletext9pt"/>
              <w:rPr>
                <w:szCs w:val="18"/>
              </w:rPr>
            </w:pPr>
            <w:r>
              <w:rPr>
                <w:szCs w:val="18"/>
              </w:rPr>
              <w:t>35026</w:t>
            </w:r>
          </w:p>
        </w:tc>
        <w:tc>
          <w:tcPr>
            <w:tcW w:w="2977" w:type="dxa"/>
            <w:tcBorders>
              <w:top w:val="single" w:sz="4" w:space="0" w:color="auto"/>
              <w:left w:val="single" w:sz="4" w:space="0" w:color="auto"/>
              <w:bottom w:val="single" w:sz="4" w:space="0" w:color="auto"/>
              <w:right w:val="single" w:sz="4" w:space="0" w:color="auto"/>
            </w:tcBorders>
            <w:hideMark/>
          </w:tcPr>
          <w:p w14:paraId="62670776" w14:textId="77777777" w:rsidR="005B699B" w:rsidRDefault="005B699B" w:rsidP="00785BA1">
            <w:pPr>
              <w:pStyle w:val="Tabletext9pt"/>
              <w:rPr>
                <w:szCs w:val="18"/>
              </w:rPr>
            </w:pPr>
            <w:r>
              <w:rPr>
                <w:szCs w:val="18"/>
              </w:rPr>
              <w:t>Small rural – DVA – acute health</w:t>
            </w:r>
          </w:p>
        </w:tc>
        <w:tc>
          <w:tcPr>
            <w:tcW w:w="4342" w:type="dxa"/>
            <w:tcBorders>
              <w:top w:val="single" w:sz="4" w:space="0" w:color="auto"/>
              <w:left w:val="single" w:sz="4" w:space="0" w:color="auto"/>
              <w:bottom w:val="single" w:sz="4" w:space="0" w:color="auto"/>
              <w:right w:val="single" w:sz="4" w:space="0" w:color="auto"/>
            </w:tcBorders>
            <w:hideMark/>
          </w:tcPr>
          <w:p w14:paraId="259630B5" w14:textId="77777777" w:rsidR="005B699B" w:rsidRDefault="005B699B" w:rsidP="00785BA1">
            <w:pPr>
              <w:pStyle w:val="Tabletext9pt"/>
              <w:rPr>
                <w:szCs w:val="18"/>
              </w:rPr>
            </w:pPr>
            <w:r>
              <w:rPr>
                <w:szCs w:val="18"/>
              </w:rPr>
              <w:t>Department of Veterans’ Affairs-funded inpatient services.</w:t>
            </w:r>
          </w:p>
        </w:tc>
      </w:tr>
      <w:tr w:rsidR="005B699B" w14:paraId="2C62445D"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16B3BAAD" w14:textId="77777777" w:rsidR="005B699B" w:rsidRDefault="005B699B" w:rsidP="00785BA1">
            <w:pPr>
              <w:pStyle w:val="Tabletext9pt"/>
              <w:rPr>
                <w:szCs w:val="18"/>
              </w:rPr>
            </w:pPr>
            <w:r>
              <w:rPr>
                <w:szCs w:val="18"/>
              </w:rPr>
              <w:t>35028</w:t>
            </w:r>
          </w:p>
        </w:tc>
        <w:tc>
          <w:tcPr>
            <w:tcW w:w="2977" w:type="dxa"/>
            <w:tcBorders>
              <w:top w:val="single" w:sz="4" w:space="0" w:color="auto"/>
              <w:left w:val="single" w:sz="4" w:space="0" w:color="auto"/>
              <w:bottom w:val="single" w:sz="4" w:space="0" w:color="auto"/>
              <w:right w:val="single" w:sz="4" w:space="0" w:color="auto"/>
            </w:tcBorders>
            <w:hideMark/>
          </w:tcPr>
          <w:p w14:paraId="080D449C" w14:textId="77777777" w:rsidR="005B699B" w:rsidRDefault="005B699B" w:rsidP="00785BA1">
            <w:pPr>
              <w:pStyle w:val="Tabletext9pt"/>
              <w:rPr>
                <w:szCs w:val="18"/>
              </w:rPr>
            </w:pPr>
            <w:r>
              <w:rPr>
                <w:szCs w:val="18"/>
              </w:rPr>
              <w:t>Small rural – acute health service system development and resourcing</w:t>
            </w:r>
          </w:p>
        </w:tc>
        <w:tc>
          <w:tcPr>
            <w:tcW w:w="4342" w:type="dxa"/>
            <w:tcBorders>
              <w:top w:val="single" w:sz="4" w:space="0" w:color="auto"/>
              <w:left w:val="single" w:sz="4" w:space="0" w:color="auto"/>
              <w:bottom w:val="single" w:sz="4" w:space="0" w:color="auto"/>
              <w:right w:val="single" w:sz="4" w:space="0" w:color="auto"/>
            </w:tcBorders>
            <w:hideMark/>
          </w:tcPr>
          <w:p w14:paraId="000DCC46" w14:textId="77777777" w:rsidR="005B699B" w:rsidRDefault="005B699B" w:rsidP="00785BA1">
            <w:pPr>
              <w:pStyle w:val="Tabletext9pt"/>
              <w:rPr>
                <w:szCs w:val="18"/>
              </w:rPr>
            </w:pPr>
            <w:r>
              <w:rPr>
                <w:szCs w:val="18"/>
              </w:rPr>
              <w:t xml:space="preserve">Provides funds for workforce, community, service </w:t>
            </w:r>
            <w:r>
              <w:t>development</w:t>
            </w:r>
            <w:r>
              <w:rPr>
                <w:szCs w:val="18"/>
              </w:rPr>
              <w:t xml:space="preserve"> and IT projects that support SRHSs.</w:t>
            </w:r>
          </w:p>
        </w:tc>
      </w:tr>
      <w:tr w:rsidR="005B699B" w14:paraId="2CF5D024"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50E580B2" w14:textId="77777777" w:rsidR="005B699B" w:rsidRDefault="005B699B" w:rsidP="00785BA1">
            <w:pPr>
              <w:pStyle w:val="Tabletext9pt"/>
              <w:rPr>
                <w:szCs w:val="18"/>
              </w:rPr>
            </w:pPr>
            <w:r>
              <w:rPr>
                <w:szCs w:val="18"/>
              </w:rPr>
              <w:t>35051</w:t>
            </w:r>
          </w:p>
        </w:tc>
        <w:tc>
          <w:tcPr>
            <w:tcW w:w="2977" w:type="dxa"/>
            <w:tcBorders>
              <w:top w:val="single" w:sz="4" w:space="0" w:color="auto"/>
              <w:left w:val="single" w:sz="4" w:space="0" w:color="auto"/>
              <w:bottom w:val="single" w:sz="4" w:space="0" w:color="auto"/>
              <w:right w:val="single" w:sz="4" w:space="0" w:color="auto"/>
            </w:tcBorders>
            <w:hideMark/>
          </w:tcPr>
          <w:p w14:paraId="0F871D22" w14:textId="77777777" w:rsidR="005B699B" w:rsidRDefault="005B699B" w:rsidP="00785BA1">
            <w:pPr>
              <w:pStyle w:val="Tabletext9pt"/>
              <w:rPr>
                <w:szCs w:val="18"/>
              </w:rPr>
            </w:pPr>
            <w:r>
              <w:rPr>
                <w:szCs w:val="18"/>
              </w:rPr>
              <w:t>Acute health – bush nursing hospitals</w:t>
            </w:r>
          </w:p>
        </w:tc>
        <w:tc>
          <w:tcPr>
            <w:tcW w:w="4342" w:type="dxa"/>
            <w:tcBorders>
              <w:top w:val="single" w:sz="4" w:space="0" w:color="auto"/>
              <w:left w:val="single" w:sz="4" w:space="0" w:color="auto"/>
              <w:bottom w:val="single" w:sz="4" w:space="0" w:color="auto"/>
              <w:right w:val="single" w:sz="4" w:space="0" w:color="auto"/>
            </w:tcBorders>
            <w:hideMark/>
          </w:tcPr>
          <w:p w14:paraId="4D756D7A" w14:textId="77777777" w:rsidR="005B699B" w:rsidRDefault="005B699B" w:rsidP="00785BA1">
            <w:pPr>
              <w:pStyle w:val="Tabletext9pt"/>
              <w:rPr>
                <w:szCs w:val="18"/>
              </w:rPr>
            </w:pPr>
            <w:r>
              <w:rPr>
                <w:szCs w:val="18"/>
              </w:rPr>
              <w:t>Provides funds to bush nursing hospitals to support a variety of purposes including inpatient services, 24-hour emergency stabilisation services, agency support and stabilisation grants.</w:t>
            </w:r>
          </w:p>
        </w:tc>
      </w:tr>
      <w:tr w:rsidR="005B699B" w14:paraId="44CE095C"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6D3EC15A" w14:textId="77777777" w:rsidR="005B699B" w:rsidRDefault="005B699B" w:rsidP="00785BA1">
            <w:pPr>
              <w:pStyle w:val="Tabletext9pt"/>
              <w:rPr>
                <w:szCs w:val="18"/>
              </w:rPr>
            </w:pPr>
            <w:r>
              <w:rPr>
                <w:szCs w:val="18"/>
              </w:rPr>
              <w:t>35052</w:t>
            </w:r>
          </w:p>
        </w:tc>
        <w:tc>
          <w:tcPr>
            <w:tcW w:w="2977" w:type="dxa"/>
            <w:tcBorders>
              <w:top w:val="single" w:sz="4" w:space="0" w:color="auto"/>
              <w:left w:val="single" w:sz="4" w:space="0" w:color="auto"/>
              <w:bottom w:val="single" w:sz="4" w:space="0" w:color="auto"/>
              <w:right w:val="single" w:sz="4" w:space="0" w:color="auto"/>
            </w:tcBorders>
            <w:hideMark/>
          </w:tcPr>
          <w:p w14:paraId="1B8C9674" w14:textId="77777777" w:rsidR="005B699B" w:rsidRDefault="005B699B" w:rsidP="00785BA1">
            <w:pPr>
              <w:pStyle w:val="Tabletext9pt"/>
              <w:rPr>
                <w:szCs w:val="18"/>
              </w:rPr>
            </w:pPr>
            <w:r>
              <w:rPr>
                <w:szCs w:val="18"/>
              </w:rPr>
              <w:t>Small rural – specified services</w:t>
            </w:r>
          </w:p>
        </w:tc>
        <w:tc>
          <w:tcPr>
            <w:tcW w:w="4342" w:type="dxa"/>
            <w:tcBorders>
              <w:top w:val="single" w:sz="4" w:space="0" w:color="auto"/>
              <w:left w:val="single" w:sz="4" w:space="0" w:color="auto"/>
              <w:bottom w:val="single" w:sz="4" w:space="0" w:color="auto"/>
              <w:right w:val="single" w:sz="4" w:space="0" w:color="auto"/>
            </w:tcBorders>
            <w:hideMark/>
          </w:tcPr>
          <w:p w14:paraId="7B74A43F" w14:textId="77777777" w:rsidR="005B699B" w:rsidRDefault="005B699B" w:rsidP="00785BA1">
            <w:pPr>
              <w:pStyle w:val="Tabletext9pt"/>
              <w:rPr>
                <w:szCs w:val="18"/>
              </w:rPr>
            </w:pPr>
            <w:r>
              <w:rPr>
                <w:szCs w:val="18"/>
              </w:rPr>
              <w:t>Provides funding for services and projects as specified in applicable grant descriptions and conditions of funding. Includes specific-purpose activities of both a one-off and recurrent nature.</w:t>
            </w:r>
          </w:p>
        </w:tc>
      </w:tr>
      <w:tr w:rsidR="005B699B" w14:paraId="00C2AB83"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2F49EDA8" w14:textId="77777777" w:rsidR="005B699B" w:rsidRDefault="005B699B" w:rsidP="00785BA1">
            <w:pPr>
              <w:pStyle w:val="Tabletext9pt"/>
              <w:rPr>
                <w:szCs w:val="18"/>
              </w:rPr>
            </w:pPr>
            <w:r>
              <w:rPr>
                <w:szCs w:val="18"/>
              </w:rPr>
              <w:t>35023</w:t>
            </w:r>
          </w:p>
        </w:tc>
        <w:tc>
          <w:tcPr>
            <w:tcW w:w="2977" w:type="dxa"/>
            <w:tcBorders>
              <w:top w:val="single" w:sz="4" w:space="0" w:color="auto"/>
              <w:left w:val="single" w:sz="4" w:space="0" w:color="auto"/>
              <w:bottom w:val="single" w:sz="4" w:space="0" w:color="auto"/>
              <w:right w:val="single" w:sz="4" w:space="0" w:color="auto"/>
            </w:tcBorders>
            <w:hideMark/>
          </w:tcPr>
          <w:p w14:paraId="422F1AB3" w14:textId="77777777" w:rsidR="005B699B" w:rsidRDefault="005B699B" w:rsidP="00785BA1">
            <w:pPr>
              <w:pStyle w:val="Tabletext9pt"/>
              <w:rPr>
                <w:szCs w:val="18"/>
              </w:rPr>
            </w:pPr>
            <w:r>
              <w:rPr>
                <w:szCs w:val="18"/>
              </w:rPr>
              <w:t>Acute health – bush nursing centres</w:t>
            </w:r>
          </w:p>
        </w:tc>
        <w:tc>
          <w:tcPr>
            <w:tcW w:w="4342" w:type="dxa"/>
            <w:tcBorders>
              <w:top w:val="single" w:sz="4" w:space="0" w:color="auto"/>
              <w:left w:val="single" w:sz="4" w:space="0" w:color="auto"/>
              <w:bottom w:val="single" w:sz="4" w:space="0" w:color="auto"/>
              <w:right w:val="single" w:sz="4" w:space="0" w:color="auto"/>
            </w:tcBorders>
            <w:hideMark/>
          </w:tcPr>
          <w:p w14:paraId="2420289C" w14:textId="77777777" w:rsidR="005B699B" w:rsidRDefault="005B699B" w:rsidP="00785BA1">
            <w:pPr>
              <w:pStyle w:val="Tabletext9pt"/>
              <w:rPr>
                <w:szCs w:val="18"/>
              </w:rPr>
            </w:pPr>
            <w:r>
              <w:rPr>
                <w:szCs w:val="18"/>
              </w:rPr>
              <w:t xml:space="preserve">Provides funds to bush nursing centres to support clinical care, practical assistance, support, referral, </w:t>
            </w:r>
            <w:r>
              <w:rPr>
                <w:szCs w:val="18"/>
              </w:rPr>
              <w:lastRenderedPageBreak/>
              <w:t>and advocacy with the goal of improving quality of life, social function, and health.</w:t>
            </w:r>
          </w:p>
        </w:tc>
      </w:tr>
    </w:tbl>
    <w:p w14:paraId="473A74F7" w14:textId="77777777" w:rsidR="005B699B" w:rsidRDefault="005B699B" w:rsidP="00272A06">
      <w:pPr>
        <w:pStyle w:val="Bodyafterfiguretable"/>
      </w:pPr>
      <w:r>
        <w:lastRenderedPageBreak/>
        <w:t>Output name: Small rural services</w:t>
      </w:r>
    </w:p>
    <w:tbl>
      <w:tblPr>
        <w:tblW w:w="9299" w:type="dxa"/>
        <w:tblLook w:val="06A0" w:firstRow="1" w:lastRow="0" w:firstColumn="1" w:lastColumn="0" w:noHBand="1" w:noVBand="1"/>
      </w:tblPr>
      <w:tblGrid>
        <w:gridCol w:w="1980"/>
        <w:gridCol w:w="2977"/>
        <w:gridCol w:w="4342"/>
      </w:tblGrid>
      <w:tr w:rsidR="005B699B" w14:paraId="25FF4947" w14:textId="77777777" w:rsidTr="00161B56">
        <w:trPr>
          <w:tblHead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8A6004C" w14:textId="77777777" w:rsidR="005B699B" w:rsidRPr="00F717FB" w:rsidRDefault="005B699B" w:rsidP="00785BA1">
            <w:pPr>
              <w:pStyle w:val="Tablecolhead"/>
              <w:rPr>
                <w:rFonts w:eastAsia="Arial"/>
                <w:szCs w:val="21"/>
              </w:rPr>
            </w:pPr>
            <w:r w:rsidRPr="00F717FB">
              <w:rPr>
                <w:rFonts w:eastAsia="Arial"/>
                <w:szCs w:val="21"/>
              </w:rPr>
              <w:t>Activity 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3663D61"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044D5695"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2866B853"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4DAAF6A5" w14:textId="77777777" w:rsidR="005B699B" w:rsidRDefault="005B699B" w:rsidP="00785BA1">
            <w:pPr>
              <w:pStyle w:val="Tabletext9pt"/>
              <w:rPr>
                <w:szCs w:val="18"/>
              </w:rPr>
            </w:pPr>
            <w:r>
              <w:rPr>
                <w:szCs w:val="18"/>
              </w:rPr>
              <w:t>35010</w:t>
            </w:r>
          </w:p>
        </w:tc>
        <w:tc>
          <w:tcPr>
            <w:tcW w:w="2977" w:type="dxa"/>
            <w:tcBorders>
              <w:top w:val="single" w:sz="4" w:space="0" w:color="auto"/>
              <w:left w:val="single" w:sz="4" w:space="0" w:color="auto"/>
              <w:bottom w:val="single" w:sz="4" w:space="0" w:color="auto"/>
              <w:right w:val="single" w:sz="4" w:space="0" w:color="auto"/>
            </w:tcBorders>
            <w:hideMark/>
          </w:tcPr>
          <w:p w14:paraId="32C4E737" w14:textId="77777777" w:rsidR="005B699B" w:rsidRDefault="005B699B" w:rsidP="00785BA1">
            <w:pPr>
              <w:pStyle w:val="Tabletext9pt"/>
              <w:rPr>
                <w:szCs w:val="18"/>
              </w:rPr>
            </w:pPr>
            <w:r>
              <w:rPr>
                <w:szCs w:val="18"/>
              </w:rPr>
              <w:t>Small rural – aged support services</w:t>
            </w:r>
          </w:p>
        </w:tc>
        <w:tc>
          <w:tcPr>
            <w:tcW w:w="4342" w:type="dxa"/>
            <w:tcBorders>
              <w:top w:val="single" w:sz="4" w:space="0" w:color="auto"/>
              <w:left w:val="single" w:sz="4" w:space="0" w:color="auto"/>
              <w:bottom w:val="single" w:sz="4" w:space="0" w:color="auto"/>
              <w:right w:val="single" w:sz="4" w:space="0" w:color="auto"/>
            </w:tcBorders>
            <w:hideMark/>
          </w:tcPr>
          <w:p w14:paraId="46E70990" w14:textId="458EA658" w:rsidR="005B699B" w:rsidRDefault="00C047EF" w:rsidP="00785BA1">
            <w:pPr>
              <w:pStyle w:val="Tabletext9pt"/>
              <w:rPr>
                <w:szCs w:val="18"/>
              </w:rPr>
            </w:pPr>
            <w:r>
              <w:rPr>
                <w:szCs w:val="18"/>
              </w:rPr>
              <w:t>H</w:t>
            </w:r>
            <w:r w:rsidR="005B699B">
              <w:rPr>
                <w:szCs w:val="18"/>
              </w:rPr>
              <w:t>ealth promotion and community service activities that support older Victorians and their carers in small rural communities</w:t>
            </w:r>
            <w:r>
              <w:rPr>
                <w:szCs w:val="18"/>
              </w:rPr>
              <w:t>. This includes</w:t>
            </w:r>
            <w:r w:rsidR="005B699B" w:rsidDel="00C047EF">
              <w:rPr>
                <w:szCs w:val="18"/>
              </w:rPr>
              <w:t xml:space="preserve"> </w:t>
            </w:r>
            <w:r w:rsidR="005B699B">
              <w:rPr>
                <w:szCs w:val="18"/>
              </w:rPr>
              <w:t>seniors health promotion, aged carer support and respite, dementia services and aged care community grants.</w:t>
            </w:r>
          </w:p>
        </w:tc>
      </w:tr>
      <w:tr w:rsidR="005B699B" w14:paraId="57FB4EFF"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07BA07EC" w14:textId="77777777" w:rsidR="005B699B" w:rsidRDefault="005B699B" w:rsidP="00785BA1">
            <w:pPr>
              <w:pStyle w:val="Tabletext9pt"/>
              <w:rPr>
                <w:szCs w:val="18"/>
              </w:rPr>
            </w:pPr>
            <w:r>
              <w:rPr>
                <w:szCs w:val="18"/>
              </w:rPr>
              <w:t>35052</w:t>
            </w:r>
          </w:p>
        </w:tc>
        <w:tc>
          <w:tcPr>
            <w:tcW w:w="2977" w:type="dxa"/>
            <w:tcBorders>
              <w:top w:val="single" w:sz="4" w:space="0" w:color="auto"/>
              <w:left w:val="single" w:sz="4" w:space="0" w:color="auto"/>
              <w:bottom w:val="single" w:sz="4" w:space="0" w:color="auto"/>
              <w:right w:val="single" w:sz="4" w:space="0" w:color="auto"/>
            </w:tcBorders>
            <w:hideMark/>
          </w:tcPr>
          <w:p w14:paraId="06CE8BF4" w14:textId="77777777" w:rsidR="005B699B" w:rsidRDefault="005B699B" w:rsidP="00785BA1">
            <w:pPr>
              <w:pStyle w:val="Tabletext9pt"/>
              <w:rPr>
                <w:szCs w:val="18"/>
              </w:rPr>
            </w:pPr>
            <w:r>
              <w:rPr>
                <w:szCs w:val="18"/>
              </w:rPr>
              <w:t xml:space="preserve">Small rural services home and community care </w:t>
            </w:r>
          </w:p>
        </w:tc>
        <w:tc>
          <w:tcPr>
            <w:tcW w:w="4342" w:type="dxa"/>
            <w:tcBorders>
              <w:top w:val="single" w:sz="4" w:space="0" w:color="auto"/>
              <w:left w:val="single" w:sz="4" w:space="0" w:color="auto"/>
              <w:bottom w:val="single" w:sz="4" w:space="0" w:color="auto"/>
              <w:right w:val="single" w:sz="4" w:space="0" w:color="auto"/>
            </w:tcBorders>
            <w:hideMark/>
          </w:tcPr>
          <w:p w14:paraId="3CDBD15A" w14:textId="77777777" w:rsidR="005B699B" w:rsidRDefault="005B699B" w:rsidP="00785BA1">
            <w:pPr>
              <w:pStyle w:val="Tabletext9pt"/>
              <w:rPr>
                <w:szCs w:val="18"/>
              </w:rPr>
            </w:pPr>
            <w:r>
              <w:rPr>
                <w:szCs w:val="18"/>
              </w:rPr>
              <w:t>A range of services to support younger people who have difficulty with the activities of daily living and their carers to remain at home</w:t>
            </w:r>
            <w:r>
              <w:t xml:space="preserve"> and participate in the community</w:t>
            </w:r>
            <w:r>
              <w:rPr>
                <w:szCs w:val="18"/>
              </w:rPr>
              <w:t>.</w:t>
            </w:r>
          </w:p>
        </w:tc>
      </w:tr>
      <w:tr w:rsidR="005B699B" w14:paraId="10634801"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5F127CA7" w14:textId="77777777" w:rsidR="005B699B" w:rsidRDefault="005B699B" w:rsidP="00785BA1">
            <w:pPr>
              <w:pStyle w:val="Tabletext9pt"/>
              <w:rPr>
                <w:szCs w:val="18"/>
              </w:rPr>
            </w:pPr>
            <w:r>
              <w:rPr>
                <w:szCs w:val="18"/>
              </w:rPr>
              <w:t>35011</w:t>
            </w:r>
          </w:p>
        </w:tc>
        <w:tc>
          <w:tcPr>
            <w:tcW w:w="2977" w:type="dxa"/>
            <w:tcBorders>
              <w:top w:val="single" w:sz="4" w:space="0" w:color="auto"/>
              <w:left w:val="single" w:sz="4" w:space="0" w:color="auto"/>
              <w:bottom w:val="single" w:sz="4" w:space="0" w:color="auto"/>
              <w:right w:val="single" w:sz="4" w:space="0" w:color="auto"/>
            </w:tcBorders>
            <w:hideMark/>
          </w:tcPr>
          <w:p w14:paraId="634501B6" w14:textId="77777777" w:rsidR="005B699B" w:rsidRDefault="005B699B" w:rsidP="00785BA1">
            <w:pPr>
              <w:pStyle w:val="Tabletext9pt"/>
              <w:rPr>
                <w:szCs w:val="18"/>
              </w:rPr>
            </w:pPr>
            <w:r>
              <w:rPr>
                <w:szCs w:val="18"/>
              </w:rPr>
              <w:t>Small rural – residential aged care</w:t>
            </w:r>
          </w:p>
        </w:tc>
        <w:tc>
          <w:tcPr>
            <w:tcW w:w="4342" w:type="dxa"/>
            <w:tcBorders>
              <w:top w:val="single" w:sz="4" w:space="0" w:color="auto"/>
              <w:left w:val="single" w:sz="4" w:space="0" w:color="auto"/>
              <w:bottom w:val="single" w:sz="4" w:space="0" w:color="auto"/>
              <w:right w:val="single" w:sz="4" w:space="0" w:color="auto"/>
            </w:tcBorders>
            <w:hideMark/>
          </w:tcPr>
          <w:p w14:paraId="695F844C" w14:textId="5FCA1E59" w:rsidR="005B699B" w:rsidRDefault="005B699B" w:rsidP="00785BA1">
            <w:pPr>
              <w:pStyle w:val="Tabletext9pt"/>
              <w:rPr>
                <w:szCs w:val="18"/>
              </w:rPr>
            </w:pPr>
            <w:r>
              <w:rPr>
                <w:szCs w:val="18"/>
              </w:rPr>
              <w:t>Care and support for people in small rural communities who are approved for care and accommodation in residential aged care facilities. This includes the</w:t>
            </w:r>
            <w:r w:rsidDel="00C047EF">
              <w:rPr>
                <w:szCs w:val="18"/>
              </w:rPr>
              <w:t xml:space="preserve"> </w:t>
            </w:r>
            <w:r w:rsidR="00C047EF">
              <w:rPr>
                <w:szCs w:val="18"/>
              </w:rPr>
              <w:t xml:space="preserve">state </w:t>
            </w:r>
            <w:r>
              <w:rPr>
                <w:szCs w:val="18"/>
              </w:rPr>
              <w:t>contribution towards matching the reduction in the recurrent funding paid by the Commonwealth to public sector residential aged care providers for the adjusted subsidy reduction for pre-1997 places.</w:t>
            </w:r>
          </w:p>
        </w:tc>
      </w:tr>
      <w:tr w:rsidR="005B699B" w14:paraId="65322CA6"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4BCE1386" w14:textId="77777777" w:rsidR="005B699B" w:rsidRDefault="005B699B" w:rsidP="00785BA1">
            <w:pPr>
              <w:pStyle w:val="Tabletext9pt"/>
              <w:rPr>
                <w:szCs w:val="18"/>
              </w:rPr>
            </w:pPr>
            <w:r>
              <w:rPr>
                <w:szCs w:val="18"/>
              </w:rPr>
              <w:t>35042</w:t>
            </w:r>
          </w:p>
        </w:tc>
        <w:tc>
          <w:tcPr>
            <w:tcW w:w="2977" w:type="dxa"/>
            <w:tcBorders>
              <w:top w:val="single" w:sz="4" w:space="0" w:color="auto"/>
              <w:left w:val="single" w:sz="4" w:space="0" w:color="auto"/>
              <w:bottom w:val="single" w:sz="4" w:space="0" w:color="auto"/>
              <w:right w:val="single" w:sz="4" w:space="0" w:color="auto"/>
            </w:tcBorders>
            <w:hideMark/>
          </w:tcPr>
          <w:p w14:paraId="3BCFC842" w14:textId="77777777" w:rsidR="005B699B" w:rsidRDefault="005B699B" w:rsidP="00785BA1">
            <w:pPr>
              <w:pStyle w:val="Tabletext9pt"/>
              <w:rPr>
                <w:szCs w:val="18"/>
              </w:rPr>
            </w:pPr>
            <w:r>
              <w:rPr>
                <w:szCs w:val="18"/>
              </w:rPr>
              <w:t>Small rural – drugs services</w:t>
            </w:r>
          </w:p>
        </w:tc>
        <w:tc>
          <w:tcPr>
            <w:tcW w:w="4342" w:type="dxa"/>
            <w:tcBorders>
              <w:top w:val="single" w:sz="4" w:space="0" w:color="auto"/>
              <w:left w:val="single" w:sz="4" w:space="0" w:color="auto"/>
              <w:bottom w:val="single" w:sz="4" w:space="0" w:color="auto"/>
              <w:right w:val="single" w:sz="4" w:space="0" w:color="auto"/>
            </w:tcBorders>
            <w:hideMark/>
          </w:tcPr>
          <w:p w14:paraId="2D4257E1" w14:textId="1D650F26" w:rsidR="005B699B" w:rsidRDefault="005B699B" w:rsidP="00785BA1">
            <w:pPr>
              <w:pStyle w:val="Tabletext9pt"/>
              <w:rPr>
                <w:szCs w:val="18"/>
              </w:rPr>
            </w:pPr>
            <w:r>
              <w:rPr>
                <w:szCs w:val="18"/>
              </w:rPr>
              <w:t>Delivery of health and aged care services as per an agreed service profile and business rules.</w:t>
            </w:r>
          </w:p>
        </w:tc>
      </w:tr>
      <w:tr w:rsidR="005B699B" w14:paraId="0E8A2CEE" w14:textId="77777777" w:rsidTr="00785BA1">
        <w:trPr>
          <w:trHeight w:val="96"/>
        </w:trPr>
        <w:tc>
          <w:tcPr>
            <w:tcW w:w="1980" w:type="dxa"/>
            <w:tcBorders>
              <w:top w:val="single" w:sz="4" w:space="0" w:color="auto"/>
              <w:left w:val="single" w:sz="4" w:space="0" w:color="auto"/>
              <w:bottom w:val="single" w:sz="4" w:space="0" w:color="auto"/>
              <w:right w:val="single" w:sz="4" w:space="0" w:color="auto"/>
            </w:tcBorders>
            <w:hideMark/>
          </w:tcPr>
          <w:p w14:paraId="50E7DB4F" w14:textId="77777777" w:rsidR="005B699B" w:rsidRDefault="005B699B" w:rsidP="00785BA1">
            <w:pPr>
              <w:pStyle w:val="Tabletext9pt"/>
              <w:rPr>
                <w:szCs w:val="18"/>
              </w:rPr>
            </w:pPr>
            <w:r>
              <w:rPr>
                <w:szCs w:val="18"/>
              </w:rPr>
              <w:t>35048</w:t>
            </w:r>
          </w:p>
        </w:tc>
        <w:tc>
          <w:tcPr>
            <w:tcW w:w="2977" w:type="dxa"/>
            <w:tcBorders>
              <w:top w:val="single" w:sz="4" w:space="0" w:color="auto"/>
              <w:left w:val="single" w:sz="4" w:space="0" w:color="auto"/>
              <w:bottom w:val="single" w:sz="4" w:space="0" w:color="auto"/>
              <w:right w:val="single" w:sz="4" w:space="0" w:color="auto"/>
            </w:tcBorders>
            <w:hideMark/>
          </w:tcPr>
          <w:p w14:paraId="69D53AF7" w14:textId="77777777" w:rsidR="005B699B" w:rsidRDefault="005B699B" w:rsidP="00785BA1">
            <w:pPr>
              <w:pStyle w:val="Tabletext9pt"/>
              <w:rPr>
                <w:szCs w:val="18"/>
              </w:rPr>
            </w:pPr>
            <w:r>
              <w:rPr>
                <w:szCs w:val="18"/>
              </w:rPr>
              <w:t xml:space="preserve">Small rural – primary health </w:t>
            </w:r>
          </w:p>
        </w:tc>
        <w:tc>
          <w:tcPr>
            <w:tcW w:w="4342" w:type="dxa"/>
            <w:tcBorders>
              <w:top w:val="single" w:sz="4" w:space="0" w:color="auto"/>
              <w:left w:val="single" w:sz="4" w:space="0" w:color="auto"/>
              <w:bottom w:val="single" w:sz="4" w:space="0" w:color="auto"/>
              <w:right w:val="single" w:sz="4" w:space="0" w:color="auto"/>
            </w:tcBorders>
            <w:hideMark/>
          </w:tcPr>
          <w:p w14:paraId="34440AB2" w14:textId="38DD6853" w:rsidR="005B699B" w:rsidRDefault="005B699B" w:rsidP="00785BA1">
            <w:pPr>
              <w:pStyle w:val="Tabletext9pt"/>
              <w:rPr>
                <w:szCs w:val="18"/>
              </w:rPr>
            </w:pPr>
            <w:r>
              <w:rPr>
                <w:szCs w:val="18"/>
              </w:rPr>
              <w:t>Suitably qualified people assessing and providing direct care</w:t>
            </w:r>
            <w:r w:rsidR="00C047EF">
              <w:rPr>
                <w:szCs w:val="18"/>
              </w:rPr>
              <w:t>.</w:t>
            </w:r>
            <w:r>
              <w:rPr>
                <w:szCs w:val="18"/>
              </w:rPr>
              <w:t xml:space="preserve"> </w:t>
            </w:r>
            <w:r w:rsidR="00C047EF">
              <w:rPr>
                <w:szCs w:val="18"/>
              </w:rPr>
              <w:t>This includes</w:t>
            </w:r>
            <w:r>
              <w:rPr>
                <w:szCs w:val="18"/>
              </w:rPr>
              <w:t xml:space="preserve"> therapeutic intervention, clinical care, practical assistance, support, referral, and advocacy with the goal of improving quality of life, social function and health.</w:t>
            </w:r>
          </w:p>
          <w:p w14:paraId="315B16E5" w14:textId="77777777" w:rsidR="005B699B" w:rsidRDefault="005B699B" w:rsidP="00785BA1">
            <w:pPr>
              <w:pStyle w:val="Tabletext9pt"/>
              <w:rPr>
                <w:szCs w:val="18"/>
              </w:rPr>
            </w:pPr>
            <w:r>
              <w:rPr>
                <w:szCs w:val="18"/>
              </w:rPr>
              <w:t>Promoting health, independence, and wellbeing to prevent illness, injury and disease through screening, risk assessment, immunisation, social marketing of health information, community action for social and environmental change, organisational development, workforce development and resources.</w:t>
            </w:r>
          </w:p>
        </w:tc>
      </w:tr>
    </w:tbl>
    <w:p w14:paraId="3B3C4FB6" w14:textId="77777777" w:rsidR="00A97999" w:rsidRDefault="00A97999" w:rsidP="00297FC9">
      <w:pPr>
        <w:pStyle w:val="Tablecaption"/>
      </w:pPr>
      <w:bookmarkStart w:id="2381" w:name="_Toc14194761"/>
      <w:bookmarkStart w:id="2382" w:name="_Toc54261417"/>
      <w:bookmarkStart w:id="2383" w:name="_Toc54616291"/>
      <w:bookmarkStart w:id="2384" w:name="_Toc109894125"/>
      <w:bookmarkEnd w:id="2376"/>
    </w:p>
    <w:p w14:paraId="2A140A54" w14:textId="5339BEAC" w:rsidR="00A97999" w:rsidRPr="00A97999" w:rsidRDefault="00A97999" w:rsidP="00A97999">
      <w:pPr>
        <w:pStyle w:val="Body"/>
        <w:rPr>
          <w:b/>
          <w:bCs/>
        </w:rPr>
      </w:pPr>
      <w:r w:rsidRPr="00A97999">
        <w:rPr>
          <w:b/>
        </w:rPr>
        <w:t>Table 1.</w:t>
      </w:r>
      <w:r w:rsidRPr="00A97999">
        <w:rPr>
          <w:b/>
        </w:rPr>
        <w:fldChar w:fldCharType="begin"/>
      </w:r>
      <w:r w:rsidRPr="00A97999">
        <w:rPr>
          <w:b/>
        </w:rPr>
        <w:instrText xml:space="preserve"> SEQ Table \* ARABIC </w:instrText>
      </w:r>
      <w:r w:rsidRPr="00A97999">
        <w:rPr>
          <w:b/>
        </w:rPr>
        <w:fldChar w:fldCharType="separate"/>
      </w:r>
      <w:r w:rsidR="00F30C16">
        <w:rPr>
          <w:b/>
          <w:noProof/>
        </w:rPr>
        <w:t>28</w:t>
      </w:r>
      <w:r w:rsidRPr="00A97999">
        <w:rPr>
          <w:b/>
        </w:rPr>
        <w:fldChar w:fldCharType="end"/>
      </w:r>
      <w:r w:rsidRPr="00A97999">
        <w:rPr>
          <w:b/>
        </w:rPr>
        <w:t xml:space="preserve">: Aged and home care – outputs and activities </w:t>
      </w:r>
      <w:r w:rsidRPr="00A97999">
        <w:rPr>
          <w:b/>
          <w:bCs/>
        </w:rPr>
        <w:t>2024–25</w:t>
      </w:r>
    </w:p>
    <w:p w14:paraId="6BDF2E78" w14:textId="77777777" w:rsidR="005B699B" w:rsidRDefault="005B699B" w:rsidP="005B699B">
      <w:pPr>
        <w:pStyle w:val="Body"/>
      </w:pPr>
      <w:bookmarkStart w:id="2385" w:name="_Toc419623629"/>
      <w:bookmarkStart w:id="2386" w:name="_Toc419623741"/>
      <w:bookmarkStart w:id="2387" w:name="_Toc419644529"/>
      <w:bookmarkStart w:id="2388" w:name="_Toc487742093"/>
      <w:bookmarkEnd w:id="2377"/>
      <w:bookmarkEnd w:id="2378"/>
      <w:bookmarkEnd w:id="2379"/>
      <w:bookmarkEnd w:id="2380"/>
      <w:bookmarkEnd w:id="2381"/>
      <w:bookmarkEnd w:id="2382"/>
      <w:bookmarkEnd w:id="2383"/>
      <w:bookmarkEnd w:id="2384"/>
      <w:r>
        <w:t>Output name: Commonwealth Aged Care Assessment – Aged Care Assessment Service</w:t>
      </w:r>
    </w:p>
    <w:tbl>
      <w:tblPr>
        <w:tblW w:w="9299" w:type="dxa"/>
        <w:tblLook w:val="06A0" w:firstRow="1" w:lastRow="0" w:firstColumn="1" w:lastColumn="0" w:noHBand="1" w:noVBand="1"/>
      </w:tblPr>
      <w:tblGrid>
        <w:gridCol w:w="1838"/>
        <w:gridCol w:w="3119"/>
        <w:gridCol w:w="4342"/>
      </w:tblGrid>
      <w:tr w:rsidR="005B699B" w14:paraId="0A0971EF" w14:textId="77777777" w:rsidTr="00785BA1">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6C06934C" w14:textId="77777777" w:rsidR="005B699B" w:rsidRPr="00F717FB" w:rsidRDefault="005B699B" w:rsidP="00785BA1">
            <w:pPr>
              <w:pStyle w:val="Tablecolhead"/>
              <w:rPr>
                <w:rFonts w:eastAsia="Arial"/>
                <w:szCs w:val="21"/>
              </w:rPr>
            </w:pPr>
            <w:r w:rsidRPr="00F717FB">
              <w:rPr>
                <w:rFonts w:eastAsia="Arial"/>
                <w:szCs w:val="21"/>
              </w:rPr>
              <w:t>Activity no.</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534DC56A"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699B689E"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4BD50E58" w14:textId="77777777" w:rsidTr="00785BA1">
        <w:tc>
          <w:tcPr>
            <w:tcW w:w="1838" w:type="dxa"/>
            <w:tcBorders>
              <w:top w:val="single" w:sz="4" w:space="0" w:color="auto"/>
              <w:left w:val="single" w:sz="4" w:space="0" w:color="auto"/>
              <w:bottom w:val="single" w:sz="4" w:space="0" w:color="auto"/>
              <w:right w:val="single" w:sz="4" w:space="0" w:color="auto"/>
            </w:tcBorders>
            <w:hideMark/>
          </w:tcPr>
          <w:p w14:paraId="27648CF5" w14:textId="77777777" w:rsidR="005B699B" w:rsidRDefault="005B699B" w:rsidP="00785BA1">
            <w:pPr>
              <w:pStyle w:val="Tabletext9pt"/>
              <w:rPr>
                <w:szCs w:val="18"/>
                <w:lang w:eastAsia="en-AU"/>
              </w:rPr>
            </w:pPr>
            <w:r>
              <w:t>13005</w:t>
            </w:r>
          </w:p>
        </w:tc>
        <w:tc>
          <w:tcPr>
            <w:tcW w:w="3119" w:type="dxa"/>
            <w:tcBorders>
              <w:top w:val="single" w:sz="4" w:space="0" w:color="auto"/>
              <w:left w:val="single" w:sz="4" w:space="0" w:color="auto"/>
              <w:bottom w:val="single" w:sz="4" w:space="0" w:color="auto"/>
              <w:right w:val="single" w:sz="4" w:space="0" w:color="auto"/>
            </w:tcBorders>
            <w:hideMark/>
          </w:tcPr>
          <w:p w14:paraId="57805025" w14:textId="77777777" w:rsidR="005B699B" w:rsidRDefault="005B699B" w:rsidP="00785BA1">
            <w:pPr>
              <w:pStyle w:val="Tabletext9pt"/>
              <w:rPr>
                <w:lang w:eastAsia="en-AU"/>
              </w:rPr>
            </w:pPr>
            <w:r>
              <w:t>Aged Care Assessment Services Assessment</w:t>
            </w:r>
          </w:p>
        </w:tc>
        <w:tc>
          <w:tcPr>
            <w:tcW w:w="4342" w:type="dxa"/>
            <w:tcBorders>
              <w:top w:val="single" w:sz="4" w:space="0" w:color="auto"/>
              <w:left w:val="single" w:sz="4" w:space="0" w:color="auto"/>
              <w:bottom w:val="single" w:sz="4" w:space="0" w:color="auto"/>
              <w:right w:val="single" w:sz="4" w:space="0" w:color="auto"/>
            </w:tcBorders>
            <w:hideMark/>
          </w:tcPr>
          <w:p w14:paraId="708F7DAB" w14:textId="77777777" w:rsidR="005B699B" w:rsidRDefault="005B699B" w:rsidP="00785BA1">
            <w:pPr>
              <w:pStyle w:val="Tabletext9pt"/>
              <w:rPr>
                <w:szCs w:val="18"/>
                <w:lang w:eastAsia="en-AU"/>
              </w:rPr>
            </w:pPr>
            <w:r>
              <w:t xml:space="preserve">Assess care needs of frail older people and determine eligibility for services under the </w:t>
            </w:r>
            <w:r>
              <w:rPr>
                <w:i/>
              </w:rPr>
              <w:t>Aged Care Act 1997.</w:t>
            </w:r>
          </w:p>
        </w:tc>
      </w:tr>
    </w:tbl>
    <w:p w14:paraId="47941E29" w14:textId="77777777" w:rsidR="005B699B" w:rsidRDefault="005B699B" w:rsidP="008C2F45">
      <w:pPr>
        <w:pStyle w:val="Bodyafterfiguretable"/>
      </w:pPr>
      <w:r>
        <w:t xml:space="preserve">Output name: </w:t>
      </w:r>
      <w:r>
        <w:rPr>
          <w:lang w:eastAsia="en-AU"/>
        </w:rPr>
        <w:t>Residential aged care</w:t>
      </w:r>
    </w:p>
    <w:tbl>
      <w:tblPr>
        <w:tblW w:w="9299" w:type="dxa"/>
        <w:tblLook w:val="06A0" w:firstRow="1" w:lastRow="0" w:firstColumn="1" w:lastColumn="0" w:noHBand="1" w:noVBand="1"/>
      </w:tblPr>
      <w:tblGrid>
        <w:gridCol w:w="1980"/>
        <w:gridCol w:w="2977"/>
        <w:gridCol w:w="4342"/>
      </w:tblGrid>
      <w:tr w:rsidR="005B699B" w14:paraId="609C0D93" w14:textId="77777777" w:rsidTr="00785BA1">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1855DCB8" w14:textId="77777777" w:rsidR="005B699B" w:rsidRPr="00F717FB" w:rsidRDefault="005B699B" w:rsidP="00785BA1">
            <w:pPr>
              <w:pStyle w:val="Tablecolhead"/>
              <w:rPr>
                <w:rFonts w:eastAsia="Arial"/>
                <w:szCs w:val="21"/>
              </w:rPr>
            </w:pPr>
            <w:r w:rsidRPr="00F717FB">
              <w:rPr>
                <w:rFonts w:eastAsia="Arial"/>
                <w:szCs w:val="21"/>
              </w:rPr>
              <w:t>Activity no.</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31013FCF"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17F9AE2F"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4F96324A"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5DC1ABB3" w14:textId="77777777" w:rsidR="005B699B" w:rsidRDefault="005B699B" w:rsidP="00785BA1">
            <w:pPr>
              <w:pStyle w:val="Tabletext9pt"/>
              <w:rPr>
                <w:szCs w:val="18"/>
                <w:lang w:eastAsia="en-AU"/>
              </w:rPr>
            </w:pPr>
            <w:r>
              <w:rPr>
                <w:szCs w:val="18"/>
                <w:lang w:eastAsia="en-AU"/>
              </w:rPr>
              <w:t>13031</w:t>
            </w:r>
          </w:p>
        </w:tc>
        <w:tc>
          <w:tcPr>
            <w:tcW w:w="2977" w:type="dxa"/>
            <w:tcBorders>
              <w:top w:val="single" w:sz="4" w:space="0" w:color="auto"/>
              <w:left w:val="single" w:sz="4" w:space="0" w:color="auto"/>
              <w:bottom w:val="single" w:sz="4" w:space="0" w:color="auto"/>
              <w:right w:val="single" w:sz="4" w:space="0" w:color="auto"/>
            </w:tcBorders>
            <w:hideMark/>
          </w:tcPr>
          <w:p w14:paraId="69E4D00F" w14:textId="77777777" w:rsidR="005B699B" w:rsidRDefault="005B699B" w:rsidP="00785BA1">
            <w:pPr>
              <w:pStyle w:val="Tabletext9pt"/>
              <w:rPr>
                <w:szCs w:val="18"/>
                <w:lang w:eastAsia="en-AU"/>
              </w:rPr>
            </w:pPr>
            <w:r>
              <w:rPr>
                <w:szCs w:val="18"/>
                <w:lang w:eastAsia="en-AU"/>
              </w:rPr>
              <w:t>Public sector residential aged care supplement</w:t>
            </w:r>
          </w:p>
        </w:tc>
        <w:tc>
          <w:tcPr>
            <w:tcW w:w="4342" w:type="dxa"/>
            <w:tcBorders>
              <w:top w:val="single" w:sz="4" w:space="0" w:color="auto"/>
              <w:left w:val="single" w:sz="4" w:space="0" w:color="auto"/>
              <w:bottom w:val="single" w:sz="4" w:space="0" w:color="auto"/>
              <w:right w:val="single" w:sz="4" w:space="0" w:color="auto"/>
            </w:tcBorders>
            <w:hideMark/>
          </w:tcPr>
          <w:p w14:paraId="0A0ECE15" w14:textId="77777777" w:rsidR="005B699B" w:rsidRDefault="005B699B" w:rsidP="00785BA1">
            <w:pPr>
              <w:pStyle w:val="Tablebullet9pt"/>
              <w:rPr>
                <w:lang w:eastAsia="en-AU"/>
              </w:rPr>
            </w:pPr>
            <w:r w:rsidRPr="204DFB60">
              <w:rPr>
                <w:lang w:eastAsia="en-AU"/>
              </w:rPr>
              <w:t>Funds designa</w:t>
            </w:r>
            <w:r w:rsidRPr="6E8A1694">
              <w:rPr>
                <w:lang w:eastAsia="en-AU"/>
              </w:rPr>
              <w:t>ted places for contribution to public sector wage adjustments.</w:t>
            </w:r>
          </w:p>
          <w:p w14:paraId="7504AE0E" w14:textId="77777777" w:rsidR="005B699B" w:rsidRPr="002618FB" w:rsidRDefault="005B699B" w:rsidP="00785BA1">
            <w:pPr>
              <w:pStyle w:val="Tablebullet9pt"/>
              <w:spacing w:line="259" w:lineRule="auto"/>
              <w:rPr>
                <w:szCs w:val="18"/>
              </w:rPr>
            </w:pPr>
            <w:r>
              <w:rPr>
                <w:lang w:eastAsia="en-AU"/>
              </w:rPr>
              <w:lastRenderedPageBreak/>
              <w:t xml:space="preserve">The adjusted subsidy reduction </w:t>
            </w:r>
            <w:r w:rsidRPr="204DFB60">
              <w:rPr>
                <w:lang w:eastAsia="en-AU"/>
              </w:rPr>
              <w:t>has been</w:t>
            </w:r>
            <w:r>
              <w:rPr>
                <w:lang w:eastAsia="en-AU"/>
              </w:rPr>
              <w:t xml:space="preserve"> removed by the Commonwealth part-way through 2022–23 as their new funding model was introduced. </w:t>
            </w:r>
            <w:r w:rsidRPr="204DFB60">
              <w:rPr>
                <w:lang w:eastAsia="en-AU"/>
              </w:rPr>
              <w:t>The</w:t>
            </w:r>
            <w:r>
              <w:rPr>
                <w:lang w:eastAsia="en-AU"/>
              </w:rPr>
              <w:t xml:space="preserve"> department </w:t>
            </w:r>
            <w:r w:rsidRPr="6E8A1694">
              <w:rPr>
                <w:lang w:eastAsia="en-AU"/>
              </w:rPr>
              <w:t>is</w:t>
            </w:r>
            <w:r w:rsidRPr="204DFB60">
              <w:rPr>
                <w:lang w:eastAsia="en-AU"/>
              </w:rPr>
              <w:t xml:space="preserve"> reviewing</w:t>
            </w:r>
            <w:r>
              <w:rPr>
                <w:lang w:eastAsia="en-AU"/>
              </w:rPr>
              <w:t xml:space="preserve"> the allocation of funding and </w:t>
            </w:r>
            <w:r w:rsidRPr="6E8A1694">
              <w:rPr>
                <w:lang w:eastAsia="en-AU"/>
              </w:rPr>
              <w:t xml:space="preserve">this </w:t>
            </w:r>
            <w:r>
              <w:rPr>
                <w:lang w:eastAsia="en-AU"/>
              </w:rPr>
              <w:t xml:space="preserve">may change </w:t>
            </w:r>
            <w:r w:rsidRPr="6E8A1694">
              <w:rPr>
                <w:lang w:eastAsia="en-AU"/>
              </w:rPr>
              <w:t>in 202</w:t>
            </w:r>
            <w:r>
              <w:rPr>
                <w:lang w:eastAsia="en-AU"/>
              </w:rPr>
              <w:t>4–</w:t>
            </w:r>
            <w:r w:rsidRPr="6E8A1694">
              <w:rPr>
                <w:lang w:eastAsia="en-AU"/>
              </w:rPr>
              <w:t>2</w:t>
            </w:r>
            <w:r>
              <w:rPr>
                <w:lang w:eastAsia="en-AU"/>
              </w:rPr>
              <w:t>5</w:t>
            </w:r>
            <w:r w:rsidRPr="6E8A1694">
              <w:rPr>
                <w:lang w:eastAsia="en-AU"/>
              </w:rPr>
              <w:t>.</w:t>
            </w:r>
          </w:p>
        </w:tc>
      </w:tr>
      <w:tr w:rsidR="005B699B" w14:paraId="0D0C3C50"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50142D9A" w14:textId="77777777" w:rsidR="005B699B" w:rsidRDefault="005B699B" w:rsidP="00785BA1">
            <w:pPr>
              <w:pStyle w:val="Tabletext9pt"/>
              <w:rPr>
                <w:szCs w:val="18"/>
                <w:lang w:eastAsia="en-AU"/>
              </w:rPr>
            </w:pPr>
            <w:r>
              <w:rPr>
                <w:szCs w:val="18"/>
                <w:lang w:eastAsia="en-AU"/>
              </w:rPr>
              <w:lastRenderedPageBreak/>
              <w:t>13059</w:t>
            </w:r>
          </w:p>
        </w:tc>
        <w:tc>
          <w:tcPr>
            <w:tcW w:w="2977" w:type="dxa"/>
            <w:tcBorders>
              <w:top w:val="single" w:sz="4" w:space="0" w:color="auto"/>
              <w:left w:val="single" w:sz="4" w:space="0" w:color="auto"/>
              <w:bottom w:val="single" w:sz="4" w:space="0" w:color="auto"/>
              <w:right w:val="single" w:sz="4" w:space="0" w:color="auto"/>
            </w:tcBorders>
            <w:hideMark/>
          </w:tcPr>
          <w:p w14:paraId="31265C4A" w14:textId="77777777" w:rsidR="005B699B" w:rsidRDefault="005B699B" w:rsidP="00785BA1">
            <w:pPr>
              <w:pStyle w:val="Tabletext9pt"/>
              <w:rPr>
                <w:szCs w:val="18"/>
                <w:lang w:eastAsia="en-AU"/>
              </w:rPr>
            </w:pPr>
            <w:r>
              <w:rPr>
                <w:szCs w:val="18"/>
                <w:lang w:eastAsia="en-AU"/>
              </w:rPr>
              <w:t>Residential aged care complex supplement</w:t>
            </w:r>
          </w:p>
        </w:tc>
        <w:tc>
          <w:tcPr>
            <w:tcW w:w="4342" w:type="dxa"/>
            <w:tcBorders>
              <w:top w:val="single" w:sz="4" w:space="0" w:color="auto"/>
              <w:left w:val="single" w:sz="4" w:space="0" w:color="auto"/>
              <w:bottom w:val="single" w:sz="4" w:space="0" w:color="auto"/>
              <w:right w:val="single" w:sz="4" w:space="0" w:color="auto"/>
            </w:tcBorders>
            <w:hideMark/>
          </w:tcPr>
          <w:p w14:paraId="27AF5994" w14:textId="77777777" w:rsidR="005B699B" w:rsidRDefault="005B699B" w:rsidP="00785BA1">
            <w:pPr>
              <w:pStyle w:val="Tabletext9pt"/>
              <w:rPr>
                <w:szCs w:val="18"/>
                <w:lang w:eastAsia="en-AU"/>
              </w:rPr>
            </w:pPr>
            <w:r>
              <w:rPr>
                <w:szCs w:val="18"/>
                <w:lang w:eastAsia="en-AU"/>
              </w:rPr>
              <w:t>Funds designated places to support services targeting people with particular complex conditions to provide a higher level of specialised care management.</w:t>
            </w:r>
          </w:p>
        </w:tc>
      </w:tr>
      <w:tr w:rsidR="005B699B" w14:paraId="7DA384CC"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29728FB9" w14:textId="77777777" w:rsidR="005B699B" w:rsidRDefault="005B699B" w:rsidP="00785BA1">
            <w:pPr>
              <w:pStyle w:val="Tabletext9pt"/>
              <w:rPr>
                <w:szCs w:val="18"/>
                <w:lang w:eastAsia="en-AU"/>
              </w:rPr>
            </w:pPr>
            <w:r>
              <w:rPr>
                <w:szCs w:val="18"/>
                <w:lang w:eastAsia="en-AU"/>
              </w:rPr>
              <w:t>13107</w:t>
            </w:r>
          </w:p>
        </w:tc>
        <w:tc>
          <w:tcPr>
            <w:tcW w:w="2977" w:type="dxa"/>
            <w:tcBorders>
              <w:top w:val="single" w:sz="4" w:space="0" w:color="auto"/>
              <w:left w:val="single" w:sz="4" w:space="0" w:color="auto"/>
              <w:bottom w:val="single" w:sz="4" w:space="0" w:color="auto"/>
              <w:right w:val="single" w:sz="4" w:space="0" w:color="auto"/>
            </w:tcBorders>
            <w:hideMark/>
          </w:tcPr>
          <w:p w14:paraId="2B006AB3" w14:textId="77777777" w:rsidR="005B699B" w:rsidRDefault="005B699B" w:rsidP="00785BA1">
            <w:pPr>
              <w:pStyle w:val="Tabletext9pt"/>
              <w:rPr>
                <w:szCs w:val="18"/>
                <w:lang w:eastAsia="en-AU"/>
              </w:rPr>
            </w:pPr>
            <w:r>
              <w:rPr>
                <w:szCs w:val="18"/>
                <w:lang w:eastAsia="en-AU"/>
              </w:rPr>
              <w:t>Rural small high-care supplement</w:t>
            </w:r>
          </w:p>
        </w:tc>
        <w:tc>
          <w:tcPr>
            <w:tcW w:w="4342" w:type="dxa"/>
            <w:tcBorders>
              <w:top w:val="single" w:sz="4" w:space="0" w:color="auto"/>
              <w:left w:val="single" w:sz="4" w:space="0" w:color="auto"/>
              <w:bottom w:val="single" w:sz="4" w:space="0" w:color="auto"/>
              <w:right w:val="single" w:sz="4" w:space="0" w:color="auto"/>
            </w:tcBorders>
            <w:hideMark/>
          </w:tcPr>
          <w:p w14:paraId="4A0A1B3C" w14:textId="77777777" w:rsidR="005B699B" w:rsidRDefault="005B699B" w:rsidP="00785BA1">
            <w:pPr>
              <w:pStyle w:val="Tabletext9pt"/>
              <w:rPr>
                <w:szCs w:val="18"/>
                <w:lang w:eastAsia="en-AU"/>
              </w:rPr>
            </w:pPr>
            <w:r>
              <w:rPr>
                <w:szCs w:val="18"/>
                <w:lang w:eastAsia="en-AU"/>
              </w:rPr>
              <w:t>Funds designated small-sized high-care public sector residential aged care services (up to 30 places) that are located in rural Victoria. There are three levels of supplement paid for services of various sizes:</w:t>
            </w:r>
          </w:p>
          <w:p w14:paraId="00C3AE35" w14:textId="77777777" w:rsidR="005B699B" w:rsidRDefault="005B699B" w:rsidP="00785BA1">
            <w:pPr>
              <w:pStyle w:val="Tablebullet9pt"/>
            </w:pPr>
            <w:r>
              <w:t>services with one to 10 high-care places</w:t>
            </w:r>
          </w:p>
          <w:p w14:paraId="6DFEDFD3" w14:textId="77777777" w:rsidR="005B699B" w:rsidRDefault="005B699B" w:rsidP="00785BA1">
            <w:pPr>
              <w:pStyle w:val="Tablebullet9pt"/>
            </w:pPr>
            <w:r>
              <w:t>services with 11–20 high-care places</w:t>
            </w:r>
          </w:p>
          <w:p w14:paraId="65DD80CF" w14:textId="77777777" w:rsidR="005B699B" w:rsidRDefault="005B699B" w:rsidP="00785BA1">
            <w:pPr>
              <w:pStyle w:val="Tablebullet9pt"/>
              <w:rPr>
                <w:lang w:eastAsia="en-AU"/>
              </w:rPr>
            </w:pPr>
            <w:r>
              <w:t>services with 2</w:t>
            </w:r>
            <w:r>
              <w:rPr>
                <w:lang w:eastAsia="en-AU"/>
              </w:rPr>
              <w:t>1–30 high-care places.</w:t>
            </w:r>
          </w:p>
        </w:tc>
      </w:tr>
      <w:tr w:rsidR="005B699B" w14:paraId="50D9EDD6"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052A9321" w14:textId="77777777" w:rsidR="005B699B" w:rsidRDefault="005B699B" w:rsidP="00785BA1">
            <w:pPr>
              <w:pStyle w:val="Tabletext9pt"/>
              <w:rPr>
                <w:szCs w:val="18"/>
                <w:lang w:eastAsia="en-AU"/>
              </w:rPr>
            </w:pPr>
            <w:r>
              <w:rPr>
                <w:szCs w:val="18"/>
                <w:lang w:eastAsia="en-AU"/>
              </w:rPr>
              <w:t>13211</w:t>
            </w:r>
          </w:p>
        </w:tc>
        <w:tc>
          <w:tcPr>
            <w:tcW w:w="2977" w:type="dxa"/>
            <w:tcBorders>
              <w:top w:val="single" w:sz="4" w:space="0" w:color="auto"/>
              <w:left w:val="single" w:sz="4" w:space="0" w:color="auto"/>
              <w:bottom w:val="single" w:sz="4" w:space="0" w:color="auto"/>
              <w:right w:val="single" w:sz="4" w:space="0" w:color="auto"/>
            </w:tcBorders>
            <w:hideMark/>
          </w:tcPr>
          <w:p w14:paraId="4D5B069E" w14:textId="77777777" w:rsidR="005B699B" w:rsidRDefault="005B699B" w:rsidP="00785BA1">
            <w:pPr>
              <w:pStyle w:val="Tabletext9pt"/>
              <w:rPr>
                <w:szCs w:val="18"/>
                <w:lang w:eastAsia="en-AU"/>
              </w:rPr>
            </w:pPr>
            <w:r>
              <w:rPr>
                <w:szCs w:val="18"/>
                <w:lang w:eastAsia="en-AU"/>
              </w:rPr>
              <w:t>Aged annual provisions – minor works</w:t>
            </w:r>
          </w:p>
        </w:tc>
        <w:tc>
          <w:tcPr>
            <w:tcW w:w="4342" w:type="dxa"/>
            <w:tcBorders>
              <w:top w:val="single" w:sz="4" w:space="0" w:color="auto"/>
              <w:left w:val="single" w:sz="4" w:space="0" w:color="auto"/>
              <w:bottom w:val="single" w:sz="4" w:space="0" w:color="auto"/>
              <w:right w:val="single" w:sz="4" w:space="0" w:color="auto"/>
            </w:tcBorders>
            <w:hideMark/>
          </w:tcPr>
          <w:p w14:paraId="3819CCFE" w14:textId="77777777" w:rsidR="005B699B" w:rsidRDefault="005B699B" w:rsidP="00785BA1">
            <w:pPr>
              <w:pStyle w:val="Tabletext9pt"/>
              <w:rPr>
                <w:szCs w:val="18"/>
                <w:lang w:eastAsia="en-AU"/>
              </w:rPr>
            </w:pPr>
            <w:r>
              <w:rPr>
                <w:szCs w:val="18"/>
                <w:lang w:eastAsia="en-AU"/>
              </w:rPr>
              <w:t>This activity provides minor capital funds for funded organisations and includes vehicles, minor building modifications, repairs and furniture and equipment expenses.</w:t>
            </w:r>
          </w:p>
        </w:tc>
      </w:tr>
      <w:tr w:rsidR="005B699B" w14:paraId="015863D3"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5386021C" w14:textId="77777777" w:rsidR="005B699B" w:rsidRDefault="005B699B" w:rsidP="00785BA1">
            <w:pPr>
              <w:pStyle w:val="Tabletext9pt"/>
              <w:rPr>
                <w:szCs w:val="18"/>
                <w:lang w:eastAsia="en-AU"/>
              </w:rPr>
            </w:pPr>
            <w:r>
              <w:rPr>
                <w:szCs w:val="18"/>
                <w:lang w:eastAsia="en-AU"/>
              </w:rPr>
              <w:t>13301</w:t>
            </w:r>
          </w:p>
        </w:tc>
        <w:tc>
          <w:tcPr>
            <w:tcW w:w="2977" w:type="dxa"/>
            <w:tcBorders>
              <w:top w:val="single" w:sz="4" w:space="0" w:color="auto"/>
              <w:left w:val="single" w:sz="4" w:space="0" w:color="auto"/>
              <w:bottom w:val="single" w:sz="4" w:space="0" w:color="auto"/>
              <w:right w:val="single" w:sz="4" w:space="0" w:color="auto"/>
            </w:tcBorders>
            <w:hideMark/>
          </w:tcPr>
          <w:p w14:paraId="570BBE11" w14:textId="77777777" w:rsidR="005B699B" w:rsidRDefault="005B699B" w:rsidP="00785BA1">
            <w:pPr>
              <w:pStyle w:val="Tabletext9pt"/>
              <w:rPr>
                <w:szCs w:val="18"/>
                <w:lang w:eastAsia="en-AU"/>
              </w:rPr>
            </w:pPr>
            <w:r>
              <w:rPr>
                <w:szCs w:val="18"/>
                <w:lang w:eastAsia="en-AU"/>
              </w:rPr>
              <w:t>Aged quality improvement</w:t>
            </w:r>
          </w:p>
        </w:tc>
        <w:tc>
          <w:tcPr>
            <w:tcW w:w="4342" w:type="dxa"/>
            <w:tcBorders>
              <w:top w:val="single" w:sz="4" w:space="0" w:color="auto"/>
              <w:left w:val="single" w:sz="4" w:space="0" w:color="auto"/>
              <w:bottom w:val="single" w:sz="4" w:space="0" w:color="auto"/>
              <w:right w:val="single" w:sz="4" w:space="0" w:color="auto"/>
            </w:tcBorders>
            <w:hideMark/>
          </w:tcPr>
          <w:p w14:paraId="78878078" w14:textId="77777777" w:rsidR="005B699B" w:rsidRDefault="005B699B" w:rsidP="00785BA1">
            <w:pPr>
              <w:pStyle w:val="Tabletext9pt"/>
              <w:rPr>
                <w:szCs w:val="18"/>
                <w:lang w:eastAsia="en-AU"/>
              </w:rPr>
            </w:pPr>
            <w:r>
              <w:rPr>
                <w:szCs w:val="18"/>
                <w:lang w:eastAsia="en-AU"/>
              </w:rPr>
              <w:t>To support safety through a range of activities including performance monitoring, workforce development, infection management, infrastructure development and social inclusion.</w:t>
            </w:r>
          </w:p>
        </w:tc>
      </w:tr>
    </w:tbl>
    <w:p w14:paraId="36FA3C3E" w14:textId="77777777" w:rsidR="005B699B" w:rsidRDefault="005B699B" w:rsidP="008C2F45">
      <w:pPr>
        <w:pStyle w:val="Bodyafterfiguretable"/>
      </w:pPr>
      <w:r w:rsidRPr="00FF3AE6">
        <w:t>Output name: Community health care</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1923"/>
        <w:gridCol w:w="2977"/>
        <w:gridCol w:w="4399"/>
      </w:tblGrid>
      <w:tr w:rsidR="005B699B" w:rsidRPr="005B481D" w14:paraId="76BADF71" w14:textId="77777777" w:rsidTr="00785BA1">
        <w:trPr>
          <w:tblHeader/>
        </w:trPr>
        <w:tc>
          <w:tcPr>
            <w:tcW w:w="1923" w:type="dxa"/>
            <w:shd w:val="clear" w:color="auto" w:fill="auto"/>
          </w:tcPr>
          <w:p w14:paraId="38E5DEE8" w14:textId="77777777" w:rsidR="005B699B" w:rsidRPr="00F717FB" w:rsidRDefault="005B699B" w:rsidP="00785BA1">
            <w:pPr>
              <w:pStyle w:val="Tablecolhead"/>
              <w:rPr>
                <w:rFonts w:eastAsia="Arial"/>
                <w:szCs w:val="21"/>
              </w:rPr>
            </w:pPr>
            <w:r w:rsidRPr="00F717FB">
              <w:rPr>
                <w:rFonts w:eastAsia="Arial"/>
                <w:szCs w:val="21"/>
              </w:rPr>
              <w:t>Activity no.</w:t>
            </w:r>
          </w:p>
        </w:tc>
        <w:tc>
          <w:tcPr>
            <w:tcW w:w="2977" w:type="dxa"/>
            <w:shd w:val="clear" w:color="auto" w:fill="auto"/>
          </w:tcPr>
          <w:p w14:paraId="65A53B0D"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99" w:type="dxa"/>
            <w:shd w:val="clear" w:color="auto" w:fill="auto"/>
          </w:tcPr>
          <w:p w14:paraId="0ED75A96"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rsidRPr="005B481D" w14:paraId="39E5566C" w14:textId="77777777" w:rsidTr="00785BA1">
        <w:tc>
          <w:tcPr>
            <w:tcW w:w="1923" w:type="dxa"/>
            <w:shd w:val="clear" w:color="auto" w:fill="auto"/>
          </w:tcPr>
          <w:p w14:paraId="7A1ADFAB" w14:textId="77777777" w:rsidR="005B699B" w:rsidRPr="005B481D" w:rsidRDefault="005B699B" w:rsidP="00785BA1">
            <w:pPr>
              <w:pStyle w:val="Tabletext9pt"/>
              <w:rPr>
                <w:lang w:eastAsia="en-AU"/>
              </w:rPr>
            </w:pPr>
            <w:r w:rsidRPr="005B481D">
              <w:rPr>
                <w:lang w:eastAsia="en-AU"/>
              </w:rPr>
              <w:t>28066</w:t>
            </w:r>
          </w:p>
        </w:tc>
        <w:tc>
          <w:tcPr>
            <w:tcW w:w="2977" w:type="dxa"/>
            <w:shd w:val="clear" w:color="auto" w:fill="auto"/>
          </w:tcPr>
          <w:p w14:paraId="7403996E" w14:textId="77777777" w:rsidR="005B699B" w:rsidRPr="005B481D" w:rsidRDefault="005B699B" w:rsidP="00785BA1">
            <w:pPr>
              <w:pStyle w:val="Tabletext9pt"/>
              <w:rPr>
                <w:lang w:eastAsia="en-AU"/>
              </w:rPr>
            </w:pPr>
            <w:r w:rsidRPr="006E6C39">
              <w:rPr>
                <w:lang w:eastAsia="en-AU"/>
              </w:rPr>
              <w:t>Innovative</w:t>
            </w:r>
            <w:r>
              <w:rPr>
                <w:lang w:eastAsia="en-AU"/>
              </w:rPr>
              <w:t xml:space="preserve"> </w:t>
            </w:r>
            <w:r w:rsidRPr="006E6C39">
              <w:rPr>
                <w:lang w:eastAsia="en-AU"/>
              </w:rPr>
              <w:t>health</w:t>
            </w:r>
            <w:r>
              <w:rPr>
                <w:lang w:eastAsia="en-AU"/>
              </w:rPr>
              <w:t xml:space="preserve"> </w:t>
            </w:r>
            <w:r w:rsidRPr="006E6C39">
              <w:rPr>
                <w:lang w:eastAsia="en-AU"/>
              </w:rPr>
              <w:t>services</w:t>
            </w:r>
            <w:r>
              <w:rPr>
                <w:lang w:eastAsia="en-AU"/>
              </w:rPr>
              <w:t xml:space="preserve"> </w:t>
            </w:r>
            <w:r w:rsidRPr="006E6C39">
              <w:rPr>
                <w:lang w:eastAsia="en-AU"/>
              </w:rPr>
              <w:t>for</w:t>
            </w:r>
            <w:r>
              <w:rPr>
                <w:lang w:eastAsia="en-AU"/>
              </w:rPr>
              <w:t xml:space="preserve"> </w:t>
            </w:r>
            <w:r w:rsidRPr="006E6C39">
              <w:rPr>
                <w:lang w:eastAsia="en-AU"/>
              </w:rPr>
              <w:t>homeless</w:t>
            </w:r>
            <w:r>
              <w:rPr>
                <w:lang w:eastAsia="en-AU"/>
              </w:rPr>
              <w:t xml:space="preserve"> </w:t>
            </w:r>
            <w:r w:rsidRPr="006E6C39">
              <w:rPr>
                <w:lang w:eastAsia="en-AU"/>
              </w:rPr>
              <w:t>youth</w:t>
            </w:r>
          </w:p>
        </w:tc>
        <w:tc>
          <w:tcPr>
            <w:tcW w:w="4399" w:type="dxa"/>
            <w:shd w:val="clear" w:color="auto" w:fill="auto"/>
          </w:tcPr>
          <w:p w14:paraId="492209F8" w14:textId="382CC3BC" w:rsidR="005B699B" w:rsidRPr="005B481D" w:rsidRDefault="005B699B" w:rsidP="00785BA1">
            <w:pPr>
              <w:pStyle w:val="Tabletext9pt"/>
              <w:rPr>
                <w:lang w:eastAsia="en-AU"/>
              </w:rPr>
            </w:pPr>
            <w:r w:rsidRPr="00D459D0">
              <w:rPr>
                <w:lang w:eastAsia="en-AU"/>
              </w:rPr>
              <w:t xml:space="preserve">To promote health care and improve access to ACCO Services that respond to and support the Aboriginal </w:t>
            </w:r>
            <w:r w:rsidR="00C047EF">
              <w:rPr>
                <w:lang w:eastAsia="en-AU"/>
              </w:rPr>
              <w:t>c</w:t>
            </w:r>
            <w:r w:rsidR="00C047EF" w:rsidRPr="00D459D0">
              <w:rPr>
                <w:lang w:eastAsia="en-AU"/>
              </w:rPr>
              <w:t>ommunity</w:t>
            </w:r>
            <w:r w:rsidRPr="00D459D0">
              <w:rPr>
                <w:lang w:eastAsia="en-AU"/>
              </w:rPr>
              <w:t>.</w:t>
            </w:r>
          </w:p>
        </w:tc>
      </w:tr>
      <w:tr w:rsidR="005B699B" w:rsidRPr="005B481D" w14:paraId="4B54713D" w14:textId="77777777" w:rsidTr="00785BA1">
        <w:tc>
          <w:tcPr>
            <w:tcW w:w="1923" w:type="dxa"/>
            <w:shd w:val="clear" w:color="auto" w:fill="auto"/>
          </w:tcPr>
          <w:p w14:paraId="2E313338" w14:textId="77777777" w:rsidR="005B699B" w:rsidRPr="005B481D" w:rsidRDefault="005B699B" w:rsidP="00785BA1">
            <w:pPr>
              <w:pStyle w:val="Tabletext9pt"/>
              <w:rPr>
                <w:lang w:eastAsia="en-AU"/>
              </w:rPr>
            </w:pPr>
            <w:r w:rsidRPr="005B481D">
              <w:rPr>
                <w:lang w:eastAsia="en-AU"/>
              </w:rPr>
              <w:t>28068</w:t>
            </w:r>
          </w:p>
        </w:tc>
        <w:tc>
          <w:tcPr>
            <w:tcW w:w="2977" w:type="dxa"/>
            <w:shd w:val="clear" w:color="auto" w:fill="auto"/>
          </w:tcPr>
          <w:p w14:paraId="3086B7D9" w14:textId="77777777" w:rsidR="005B699B" w:rsidRPr="005B481D" w:rsidRDefault="005B699B" w:rsidP="00785BA1">
            <w:pPr>
              <w:pStyle w:val="Tabletext9pt"/>
              <w:rPr>
                <w:lang w:eastAsia="en-AU"/>
              </w:rPr>
            </w:pPr>
            <w:r w:rsidRPr="005B481D">
              <w:rPr>
                <w:lang w:eastAsia="en-AU"/>
              </w:rPr>
              <w:t>Family</w:t>
            </w:r>
            <w:r>
              <w:rPr>
                <w:lang w:eastAsia="en-AU"/>
              </w:rPr>
              <w:t xml:space="preserve"> </w:t>
            </w:r>
            <w:r w:rsidRPr="005B481D">
              <w:rPr>
                <w:lang w:eastAsia="en-AU"/>
              </w:rPr>
              <w:t>planning</w:t>
            </w:r>
            <w:r>
              <w:rPr>
                <w:lang w:eastAsia="en-AU"/>
              </w:rPr>
              <w:t xml:space="preserve"> </w:t>
            </w:r>
          </w:p>
        </w:tc>
        <w:tc>
          <w:tcPr>
            <w:tcW w:w="4399" w:type="dxa"/>
            <w:shd w:val="clear" w:color="auto" w:fill="auto"/>
          </w:tcPr>
          <w:p w14:paraId="3B47C4C4" w14:textId="77777777" w:rsidR="005B699B" w:rsidRPr="005B481D" w:rsidRDefault="005B699B" w:rsidP="00785BA1">
            <w:pPr>
              <w:pStyle w:val="Tabletext9pt"/>
              <w:rPr>
                <w:lang w:eastAsia="en-AU"/>
              </w:rPr>
            </w:pPr>
            <w:r w:rsidRPr="00DF1B50">
              <w:rPr>
                <w:lang w:eastAsia="en-AU"/>
              </w:rPr>
              <w:t>Provision of therapeutic intervention, clinical care, practical assistance, support, referral and/or advocacy that is responsive and culturally relevant.</w:t>
            </w:r>
          </w:p>
        </w:tc>
      </w:tr>
      <w:tr w:rsidR="005B699B" w:rsidRPr="005B481D" w14:paraId="3A2FE9D8" w14:textId="77777777" w:rsidTr="00785BA1">
        <w:tc>
          <w:tcPr>
            <w:tcW w:w="1923" w:type="dxa"/>
            <w:shd w:val="clear" w:color="auto" w:fill="auto"/>
          </w:tcPr>
          <w:p w14:paraId="0189096E" w14:textId="77777777" w:rsidR="005B699B" w:rsidRPr="005B481D" w:rsidRDefault="005B699B" w:rsidP="00785BA1">
            <w:pPr>
              <w:pStyle w:val="Tabletext9pt"/>
              <w:rPr>
                <w:lang w:eastAsia="en-AU"/>
              </w:rPr>
            </w:pPr>
            <w:r w:rsidRPr="00523F60">
              <w:rPr>
                <w:lang w:eastAsia="en-AU"/>
              </w:rPr>
              <w:t>28069</w:t>
            </w:r>
          </w:p>
        </w:tc>
        <w:tc>
          <w:tcPr>
            <w:tcW w:w="2977" w:type="dxa"/>
            <w:shd w:val="clear" w:color="auto" w:fill="auto"/>
          </w:tcPr>
          <w:p w14:paraId="013B7364" w14:textId="77777777" w:rsidR="005B699B" w:rsidRPr="005B481D" w:rsidRDefault="005B699B" w:rsidP="00785BA1">
            <w:pPr>
              <w:pStyle w:val="Tabletext9pt"/>
              <w:rPr>
                <w:lang w:eastAsia="en-AU"/>
              </w:rPr>
            </w:pPr>
            <w:r w:rsidRPr="00355DE5">
              <w:rPr>
                <w:lang w:eastAsia="en-AU"/>
              </w:rPr>
              <w:t>Service system development</w:t>
            </w:r>
          </w:p>
        </w:tc>
        <w:tc>
          <w:tcPr>
            <w:tcW w:w="4399" w:type="dxa"/>
            <w:shd w:val="clear" w:color="auto" w:fill="auto"/>
          </w:tcPr>
          <w:p w14:paraId="60C6802B" w14:textId="77777777" w:rsidR="005B699B" w:rsidRPr="00DF1B50" w:rsidRDefault="005B699B" w:rsidP="00785BA1">
            <w:pPr>
              <w:pStyle w:val="Tabletext9pt"/>
              <w:rPr>
                <w:lang w:eastAsia="en-AU"/>
              </w:rPr>
            </w:pPr>
            <w:r w:rsidRPr="004E3CB1">
              <w:rPr>
                <w:lang w:eastAsia="en-AU"/>
              </w:rPr>
              <w:t>Funding to improve the planning, coordination and delivery of primary care services that is not specific to a direct care activity. For example, board expenses funding or non-recurrent funding for projects.</w:t>
            </w:r>
          </w:p>
        </w:tc>
      </w:tr>
      <w:tr w:rsidR="005B699B" w:rsidRPr="005B481D" w14:paraId="62DD0203" w14:textId="77777777" w:rsidTr="00785BA1">
        <w:tc>
          <w:tcPr>
            <w:tcW w:w="1923" w:type="dxa"/>
            <w:shd w:val="clear" w:color="auto" w:fill="auto"/>
          </w:tcPr>
          <w:p w14:paraId="5B2AC421" w14:textId="77777777" w:rsidR="005B699B" w:rsidRPr="005B481D" w:rsidRDefault="005B699B" w:rsidP="00785BA1">
            <w:pPr>
              <w:pStyle w:val="Tabletext9pt"/>
              <w:rPr>
                <w:lang w:eastAsia="en-AU"/>
              </w:rPr>
            </w:pPr>
            <w:r w:rsidRPr="005B481D">
              <w:rPr>
                <w:lang w:eastAsia="en-AU"/>
              </w:rPr>
              <w:t>28072</w:t>
            </w:r>
          </w:p>
        </w:tc>
        <w:tc>
          <w:tcPr>
            <w:tcW w:w="2977" w:type="dxa"/>
            <w:shd w:val="clear" w:color="auto" w:fill="auto"/>
          </w:tcPr>
          <w:p w14:paraId="12B31CD4" w14:textId="77777777" w:rsidR="005B699B" w:rsidRPr="005B481D" w:rsidRDefault="005B699B" w:rsidP="00785BA1">
            <w:pPr>
              <w:pStyle w:val="Tabletext9pt"/>
              <w:rPr>
                <w:lang w:eastAsia="en-AU"/>
              </w:rPr>
            </w:pPr>
            <w:r w:rsidRPr="005B481D">
              <w:rPr>
                <w:lang w:eastAsia="en-AU"/>
              </w:rPr>
              <w:t>Integrated</w:t>
            </w:r>
            <w:r>
              <w:rPr>
                <w:lang w:eastAsia="en-AU"/>
              </w:rPr>
              <w:t xml:space="preserve"> </w:t>
            </w:r>
            <w:r w:rsidRPr="005B481D">
              <w:rPr>
                <w:lang w:eastAsia="en-AU"/>
              </w:rPr>
              <w:t>chronic</w:t>
            </w:r>
            <w:r>
              <w:rPr>
                <w:lang w:eastAsia="en-AU"/>
              </w:rPr>
              <w:t xml:space="preserve"> </w:t>
            </w:r>
            <w:r w:rsidRPr="005B481D">
              <w:rPr>
                <w:lang w:eastAsia="en-AU"/>
              </w:rPr>
              <w:t>disease</w:t>
            </w:r>
            <w:r>
              <w:rPr>
                <w:lang w:eastAsia="en-AU"/>
              </w:rPr>
              <w:t xml:space="preserve"> </w:t>
            </w:r>
            <w:r w:rsidRPr="005B481D">
              <w:rPr>
                <w:lang w:eastAsia="en-AU"/>
              </w:rPr>
              <w:t>management</w:t>
            </w:r>
          </w:p>
        </w:tc>
        <w:tc>
          <w:tcPr>
            <w:tcW w:w="4399" w:type="dxa"/>
            <w:shd w:val="clear" w:color="auto" w:fill="auto"/>
          </w:tcPr>
          <w:p w14:paraId="7C65A7A3" w14:textId="452FAB31" w:rsidR="005B699B" w:rsidRPr="005B481D" w:rsidRDefault="005B699B" w:rsidP="00785BA1">
            <w:pPr>
              <w:pStyle w:val="Tabletext9pt"/>
              <w:rPr>
                <w:lang w:eastAsia="en-AU"/>
              </w:rPr>
            </w:pPr>
            <w:r w:rsidRPr="00AD5DEB">
              <w:rPr>
                <w:lang w:eastAsia="en-AU"/>
              </w:rPr>
              <w:t>Provides funds to community health services for integrated chronic disease management encompassing direct care and change management</w:t>
            </w:r>
            <w:r w:rsidR="002E5A5C">
              <w:rPr>
                <w:lang w:eastAsia="en-AU"/>
              </w:rPr>
              <w:t>.</w:t>
            </w:r>
          </w:p>
        </w:tc>
      </w:tr>
      <w:tr w:rsidR="005B699B" w:rsidRPr="005B481D" w14:paraId="58ACBFB9" w14:textId="77777777" w:rsidTr="00785BA1">
        <w:tc>
          <w:tcPr>
            <w:tcW w:w="1923" w:type="dxa"/>
            <w:shd w:val="clear" w:color="auto" w:fill="auto"/>
          </w:tcPr>
          <w:p w14:paraId="53A31936" w14:textId="77777777" w:rsidR="005B699B" w:rsidRPr="005B481D" w:rsidRDefault="005B699B" w:rsidP="00785BA1">
            <w:pPr>
              <w:pStyle w:val="Tabletext9pt"/>
              <w:rPr>
                <w:lang w:eastAsia="en-AU"/>
              </w:rPr>
            </w:pPr>
            <w:r w:rsidRPr="005B481D">
              <w:rPr>
                <w:lang w:eastAsia="en-AU"/>
              </w:rPr>
              <w:t>28076</w:t>
            </w:r>
          </w:p>
        </w:tc>
        <w:tc>
          <w:tcPr>
            <w:tcW w:w="2977" w:type="dxa"/>
            <w:shd w:val="clear" w:color="auto" w:fill="auto"/>
          </w:tcPr>
          <w:p w14:paraId="330B0A94" w14:textId="77777777" w:rsidR="005B699B" w:rsidRPr="005B481D" w:rsidRDefault="005B699B" w:rsidP="00785BA1">
            <w:pPr>
              <w:pStyle w:val="Tabletext9pt"/>
              <w:rPr>
                <w:lang w:eastAsia="en-AU"/>
              </w:rPr>
            </w:pPr>
            <w:r w:rsidRPr="005B481D">
              <w:rPr>
                <w:lang w:eastAsia="en-AU"/>
              </w:rPr>
              <w:t>Refugee</w:t>
            </w:r>
            <w:r>
              <w:rPr>
                <w:lang w:eastAsia="en-AU"/>
              </w:rPr>
              <w:t xml:space="preserve"> </w:t>
            </w:r>
            <w:r w:rsidRPr="005B481D">
              <w:rPr>
                <w:lang w:eastAsia="en-AU"/>
              </w:rPr>
              <w:t>and</w:t>
            </w:r>
            <w:r>
              <w:rPr>
                <w:lang w:eastAsia="en-AU"/>
              </w:rPr>
              <w:t xml:space="preserve"> </w:t>
            </w:r>
            <w:r w:rsidRPr="005B481D">
              <w:rPr>
                <w:lang w:eastAsia="en-AU"/>
              </w:rPr>
              <w:t>asylum</w:t>
            </w:r>
            <w:r>
              <w:rPr>
                <w:lang w:eastAsia="en-AU"/>
              </w:rPr>
              <w:t xml:space="preserve"> </w:t>
            </w:r>
            <w:r w:rsidRPr="005B481D">
              <w:rPr>
                <w:lang w:eastAsia="en-AU"/>
              </w:rPr>
              <w:t>seeker</w:t>
            </w:r>
            <w:r>
              <w:rPr>
                <w:lang w:eastAsia="en-AU"/>
              </w:rPr>
              <w:t xml:space="preserve"> </w:t>
            </w:r>
            <w:r w:rsidRPr="005B481D">
              <w:rPr>
                <w:lang w:eastAsia="en-AU"/>
              </w:rPr>
              <w:t>health</w:t>
            </w:r>
            <w:r>
              <w:rPr>
                <w:lang w:eastAsia="en-AU"/>
              </w:rPr>
              <w:t xml:space="preserve"> </w:t>
            </w:r>
            <w:r w:rsidRPr="005B481D">
              <w:rPr>
                <w:lang w:eastAsia="en-AU"/>
              </w:rPr>
              <w:t>services</w:t>
            </w:r>
          </w:p>
        </w:tc>
        <w:tc>
          <w:tcPr>
            <w:tcW w:w="4399" w:type="dxa"/>
            <w:shd w:val="clear" w:color="auto" w:fill="auto"/>
          </w:tcPr>
          <w:p w14:paraId="49A1A110" w14:textId="77777777" w:rsidR="005B699B" w:rsidRPr="005B481D" w:rsidRDefault="005B699B" w:rsidP="00785BA1">
            <w:pPr>
              <w:pStyle w:val="Tabletext9pt"/>
              <w:rPr>
                <w:lang w:eastAsia="en-AU"/>
              </w:rPr>
            </w:pPr>
            <w:r w:rsidRPr="00DF1B50">
              <w:rPr>
                <w:lang w:eastAsia="en-AU"/>
              </w:rPr>
              <w:t>Responding to the poor health and complex health issues of arriving refugees in Victoria.</w:t>
            </w:r>
          </w:p>
        </w:tc>
      </w:tr>
      <w:tr w:rsidR="005B699B" w:rsidRPr="005B481D" w14:paraId="2564022B" w14:textId="77777777" w:rsidTr="00785BA1">
        <w:tc>
          <w:tcPr>
            <w:tcW w:w="1923" w:type="dxa"/>
            <w:shd w:val="clear" w:color="auto" w:fill="auto"/>
          </w:tcPr>
          <w:p w14:paraId="7643FF09" w14:textId="77777777" w:rsidR="005B699B" w:rsidRPr="005B481D" w:rsidRDefault="005B699B" w:rsidP="00785BA1">
            <w:pPr>
              <w:pStyle w:val="Tabletext9pt"/>
              <w:rPr>
                <w:lang w:eastAsia="en-AU"/>
              </w:rPr>
            </w:pPr>
            <w:r w:rsidRPr="005B481D">
              <w:rPr>
                <w:lang w:eastAsia="en-AU"/>
              </w:rPr>
              <w:t>28080</w:t>
            </w:r>
          </w:p>
        </w:tc>
        <w:tc>
          <w:tcPr>
            <w:tcW w:w="2977" w:type="dxa"/>
            <w:shd w:val="clear" w:color="auto" w:fill="auto"/>
          </w:tcPr>
          <w:p w14:paraId="299BEC84" w14:textId="77777777" w:rsidR="005B699B" w:rsidRPr="005B481D" w:rsidRDefault="005B699B" w:rsidP="00785BA1">
            <w:pPr>
              <w:pStyle w:val="Tabletext9pt"/>
              <w:rPr>
                <w:lang w:eastAsia="en-AU"/>
              </w:rPr>
            </w:pPr>
            <w:r w:rsidRPr="005B481D">
              <w:rPr>
                <w:lang w:eastAsia="en-AU"/>
              </w:rPr>
              <w:t>Healthy</w:t>
            </w:r>
            <w:r>
              <w:rPr>
                <w:lang w:eastAsia="en-AU"/>
              </w:rPr>
              <w:t xml:space="preserve"> </w:t>
            </w:r>
            <w:r w:rsidRPr="005B481D">
              <w:rPr>
                <w:lang w:eastAsia="en-AU"/>
              </w:rPr>
              <w:t>Mothers</w:t>
            </w:r>
            <w:r>
              <w:rPr>
                <w:lang w:eastAsia="en-AU"/>
              </w:rPr>
              <w:t xml:space="preserve"> </w:t>
            </w:r>
            <w:r w:rsidRPr="005B481D">
              <w:rPr>
                <w:lang w:eastAsia="en-AU"/>
              </w:rPr>
              <w:t>Healthy</w:t>
            </w:r>
            <w:r>
              <w:rPr>
                <w:lang w:eastAsia="en-AU"/>
              </w:rPr>
              <w:t xml:space="preserve"> </w:t>
            </w:r>
            <w:r w:rsidRPr="005B481D">
              <w:rPr>
                <w:lang w:eastAsia="en-AU"/>
              </w:rPr>
              <w:t>Babies</w:t>
            </w:r>
          </w:p>
        </w:tc>
        <w:tc>
          <w:tcPr>
            <w:tcW w:w="4399" w:type="dxa"/>
            <w:shd w:val="clear" w:color="auto" w:fill="auto"/>
          </w:tcPr>
          <w:p w14:paraId="5DCD3B2C" w14:textId="77777777" w:rsidR="005B699B" w:rsidRPr="005B481D" w:rsidRDefault="005B699B" w:rsidP="00785BA1">
            <w:pPr>
              <w:pStyle w:val="Tabletext9pt"/>
              <w:rPr>
                <w:lang w:eastAsia="en-AU"/>
              </w:rPr>
            </w:pPr>
            <w:r w:rsidRPr="00976697">
              <w:rPr>
                <w:lang w:eastAsia="en-AU"/>
              </w:rPr>
              <w:t>To improve the health and wellbeing of mothers and babies and reduce health inequity by addressing maternal risk behaviours and providing support during pregnancy.</w:t>
            </w:r>
          </w:p>
        </w:tc>
      </w:tr>
      <w:tr w:rsidR="005B699B" w:rsidRPr="00C530DF" w14:paraId="27CA1F3D" w14:textId="77777777" w:rsidTr="00785BA1">
        <w:tc>
          <w:tcPr>
            <w:tcW w:w="1923" w:type="dxa"/>
            <w:shd w:val="clear" w:color="auto" w:fill="auto"/>
          </w:tcPr>
          <w:p w14:paraId="08B3F6C7" w14:textId="77777777" w:rsidR="005B699B" w:rsidRPr="005B481D" w:rsidRDefault="005B699B" w:rsidP="00785BA1">
            <w:pPr>
              <w:pStyle w:val="Tabletext9pt"/>
              <w:rPr>
                <w:lang w:eastAsia="en-AU"/>
              </w:rPr>
            </w:pPr>
            <w:r w:rsidRPr="005B481D">
              <w:rPr>
                <w:lang w:eastAsia="en-AU"/>
              </w:rPr>
              <w:t>28081</w:t>
            </w:r>
          </w:p>
        </w:tc>
        <w:tc>
          <w:tcPr>
            <w:tcW w:w="2977" w:type="dxa"/>
            <w:shd w:val="clear" w:color="auto" w:fill="auto"/>
          </w:tcPr>
          <w:p w14:paraId="7B0EEAE2" w14:textId="77777777" w:rsidR="005B699B" w:rsidRPr="00C530DF" w:rsidRDefault="005B699B" w:rsidP="00785BA1">
            <w:pPr>
              <w:pStyle w:val="Tabletext9pt"/>
              <w:rPr>
                <w:lang w:eastAsia="en-AU"/>
              </w:rPr>
            </w:pPr>
            <w:r w:rsidRPr="005B481D">
              <w:rPr>
                <w:lang w:eastAsia="en-AU"/>
              </w:rPr>
              <w:t>National</w:t>
            </w:r>
            <w:r>
              <w:rPr>
                <w:lang w:eastAsia="en-AU"/>
              </w:rPr>
              <w:t xml:space="preserve"> </w:t>
            </w:r>
            <w:r w:rsidRPr="005B481D">
              <w:rPr>
                <w:lang w:eastAsia="en-AU"/>
              </w:rPr>
              <w:t>Diabetes</w:t>
            </w:r>
            <w:r>
              <w:rPr>
                <w:lang w:eastAsia="en-AU"/>
              </w:rPr>
              <w:t xml:space="preserve"> </w:t>
            </w:r>
            <w:r w:rsidRPr="005B481D">
              <w:rPr>
                <w:lang w:eastAsia="en-AU"/>
              </w:rPr>
              <w:t>Services</w:t>
            </w:r>
            <w:r>
              <w:rPr>
                <w:lang w:eastAsia="en-AU"/>
              </w:rPr>
              <w:t xml:space="preserve"> </w:t>
            </w:r>
            <w:r w:rsidRPr="005B481D">
              <w:rPr>
                <w:lang w:eastAsia="en-AU"/>
              </w:rPr>
              <w:t>Scheme</w:t>
            </w:r>
            <w:r>
              <w:rPr>
                <w:lang w:eastAsia="en-AU"/>
              </w:rPr>
              <w:t xml:space="preserve"> </w:t>
            </w:r>
          </w:p>
        </w:tc>
        <w:tc>
          <w:tcPr>
            <w:tcW w:w="4399" w:type="dxa"/>
            <w:shd w:val="clear" w:color="auto" w:fill="auto"/>
          </w:tcPr>
          <w:p w14:paraId="0655E1F5" w14:textId="77777777" w:rsidR="005B699B" w:rsidRPr="00C530DF" w:rsidRDefault="005B699B" w:rsidP="00785BA1">
            <w:pPr>
              <w:pStyle w:val="Tabletext9pt"/>
              <w:rPr>
                <w:lang w:eastAsia="en-AU"/>
              </w:rPr>
            </w:pPr>
            <w:r w:rsidRPr="00C15718">
              <w:rPr>
                <w:lang w:eastAsia="en-AU"/>
              </w:rPr>
              <w:t>To enhance the capacity of people with diabetes to understand and self-manage their condition and distribute of packs of needles and syringes.</w:t>
            </w:r>
          </w:p>
        </w:tc>
      </w:tr>
      <w:tr w:rsidR="005B699B" w:rsidRPr="00C530DF" w14:paraId="4E047C87" w14:textId="77777777" w:rsidTr="00785BA1">
        <w:tc>
          <w:tcPr>
            <w:tcW w:w="1923" w:type="dxa"/>
            <w:shd w:val="clear" w:color="auto" w:fill="auto"/>
          </w:tcPr>
          <w:p w14:paraId="101D3996" w14:textId="77777777" w:rsidR="005B699B" w:rsidRPr="005B481D" w:rsidRDefault="005B699B" w:rsidP="00785BA1">
            <w:pPr>
              <w:pStyle w:val="Tabletext9pt"/>
              <w:rPr>
                <w:lang w:eastAsia="en-AU"/>
              </w:rPr>
            </w:pPr>
            <w:r w:rsidRPr="003F049C">
              <w:rPr>
                <w:lang w:eastAsia="en-AU"/>
              </w:rPr>
              <w:lastRenderedPageBreak/>
              <w:t>28048</w:t>
            </w:r>
          </w:p>
        </w:tc>
        <w:tc>
          <w:tcPr>
            <w:tcW w:w="2977" w:type="dxa"/>
            <w:shd w:val="clear" w:color="auto" w:fill="auto"/>
          </w:tcPr>
          <w:p w14:paraId="4C36DB7A" w14:textId="77777777" w:rsidR="005B699B" w:rsidRPr="005B481D" w:rsidRDefault="005B699B" w:rsidP="00785BA1">
            <w:pPr>
              <w:pStyle w:val="Tabletext9pt"/>
              <w:rPr>
                <w:lang w:eastAsia="en-AU"/>
              </w:rPr>
            </w:pPr>
            <w:r>
              <w:rPr>
                <w:rFonts w:cs="Arial"/>
                <w:color w:val="000000"/>
                <w:sz w:val="20"/>
                <w:shd w:val="clear" w:color="auto" w:fill="FFFFFF"/>
              </w:rPr>
              <w:t>L</w:t>
            </w:r>
            <w:r>
              <w:rPr>
                <w:rFonts w:cs="Arial"/>
                <w:color w:val="000000"/>
                <w:shd w:val="clear" w:color="auto" w:fill="FFFFFF"/>
              </w:rPr>
              <w:t>anguage services</w:t>
            </w:r>
          </w:p>
        </w:tc>
        <w:tc>
          <w:tcPr>
            <w:tcW w:w="4399" w:type="dxa"/>
            <w:shd w:val="clear" w:color="auto" w:fill="auto"/>
          </w:tcPr>
          <w:p w14:paraId="6F8EA2B2" w14:textId="77777777" w:rsidR="005B699B" w:rsidRPr="00C15718" w:rsidRDefault="005B699B" w:rsidP="00785BA1">
            <w:pPr>
              <w:pStyle w:val="Tabletext9pt"/>
              <w:rPr>
                <w:lang w:eastAsia="en-AU"/>
              </w:rPr>
            </w:pPr>
            <w:r w:rsidRPr="00643C70">
              <w:rPr>
                <w:lang w:eastAsia="en-AU"/>
              </w:rPr>
              <w:t>Provision of accredited interpreting and translation services by specialist agencies</w:t>
            </w:r>
          </w:p>
        </w:tc>
      </w:tr>
      <w:tr w:rsidR="005B699B" w:rsidRPr="00C530DF" w14:paraId="2FA1F34C" w14:textId="77777777" w:rsidTr="00785BA1">
        <w:tc>
          <w:tcPr>
            <w:tcW w:w="1923" w:type="dxa"/>
            <w:shd w:val="clear" w:color="auto" w:fill="auto"/>
          </w:tcPr>
          <w:p w14:paraId="1D2A163F" w14:textId="77777777" w:rsidR="005B699B" w:rsidRPr="005B481D" w:rsidRDefault="005B699B" w:rsidP="00785BA1">
            <w:pPr>
              <w:pStyle w:val="Tabletext9pt"/>
              <w:rPr>
                <w:lang w:eastAsia="en-AU"/>
              </w:rPr>
            </w:pPr>
            <w:r w:rsidRPr="005B481D">
              <w:rPr>
                <w:lang w:eastAsia="en-AU"/>
              </w:rPr>
              <w:t>28086</w:t>
            </w:r>
          </w:p>
        </w:tc>
        <w:tc>
          <w:tcPr>
            <w:tcW w:w="2977" w:type="dxa"/>
            <w:shd w:val="clear" w:color="auto" w:fill="auto"/>
          </w:tcPr>
          <w:p w14:paraId="72A42223" w14:textId="77777777" w:rsidR="005B699B" w:rsidRPr="00C530DF" w:rsidRDefault="005B699B" w:rsidP="00785BA1">
            <w:pPr>
              <w:pStyle w:val="Tabletext9pt"/>
              <w:rPr>
                <w:lang w:eastAsia="en-AU"/>
              </w:rPr>
            </w:pPr>
            <w:r w:rsidRPr="005B481D">
              <w:rPr>
                <w:lang w:eastAsia="en-AU"/>
              </w:rPr>
              <w:t>Community</w:t>
            </w:r>
            <w:r>
              <w:rPr>
                <w:lang w:eastAsia="en-AU"/>
              </w:rPr>
              <w:t xml:space="preserve"> </w:t>
            </w:r>
            <w:r w:rsidRPr="005B481D">
              <w:rPr>
                <w:lang w:eastAsia="en-AU"/>
              </w:rPr>
              <w:t>health</w:t>
            </w:r>
          </w:p>
        </w:tc>
        <w:tc>
          <w:tcPr>
            <w:tcW w:w="4399" w:type="dxa"/>
            <w:shd w:val="clear" w:color="auto" w:fill="auto"/>
          </w:tcPr>
          <w:p w14:paraId="1DBE7BD9" w14:textId="77777777" w:rsidR="005B699B" w:rsidRPr="00C530DF" w:rsidRDefault="005B699B" w:rsidP="00785BA1">
            <w:pPr>
              <w:pStyle w:val="Tabletext9pt"/>
              <w:rPr>
                <w:lang w:eastAsia="en-AU"/>
              </w:rPr>
            </w:pPr>
            <w:r w:rsidRPr="006954FD">
              <w:rPr>
                <w:lang w:eastAsia="en-AU"/>
              </w:rPr>
              <w:t>The program funds general counselling, allied health and nursing services.</w:t>
            </w:r>
          </w:p>
        </w:tc>
      </w:tr>
      <w:tr w:rsidR="005B699B" w:rsidRPr="00993142" w14:paraId="457C6A1B" w14:textId="77777777" w:rsidTr="00785BA1">
        <w:tc>
          <w:tcPr>
            <w:tcW w:w="1923" w:type="dxa"/>
            <w:shd w:val="clear" w:color="auto" w:fill="auto"/>
          </w:tcPr>
          <w:p w14:paraId="72FF7EAD" w14:textId="77777777" w:rsidR="005B699B" w:rsidRPr="00993142" w:rsidRDefault="005B699B" w:rsidP="00785BA1">
            <w:pPr>
              <w:pStyle w:val="Tabletext9pt"/>
              <w:rPr>
                <w:lang w:eastAsia="en-AU"/>
              </w:rPr>
            </w:pPr>
            <w:r w:rsidRPr="00993142">
              <w:rPr>
                <w:lang w:eastAsia="en-AU"/>
              </w:rPr>
              <w:t>28090</w:t>
            </w:r>
          </w:p>
        </w:tc>
        <w:tc>
          <w:tcPr>
            <w:tcW w:w="2977" w:type="dxa"/>
            <w:shd w:val="clear" w:color="auto" w:fill="auto"/>
          </w:tcPr>
          <w:p w14:paraId="4EABAB68" w14:textId="77777777" w:rsidR="005B699B" w:rsidRPr="00993142" w:rsidRDefault="005B699B" w:rsidP="00785BA1">
            <w:pPr>
              <w:pStyle w:val="Tabletext9pt"/>
              <w:rPr>
                <w:lang w:eastAsia="en-AU"/>
              </w:rPr>
            </w:pPr>
            <w:r w:rsidRPr="00993142">
              <w:rPr>
                <w:lang w:eastAsia="en-AU"/>
              </w:rPr>
              <w:t>MDC</w:t>
            </w:r>
            <w:r>
              <w:rPr>
                <w:lang w:eastAsia="en-AU"/>
              </w:rPr>
              <w:t xml:space="preserve"> </w:t>
            </w:r>
            <w:r w:rsidRPr="00993142">
              <w:rPr>
                <w:lang w:eastAsia="en-AU"/>
              </w:rPr>
              <w:t>–</w:t>
            </w:r>
            <w:r>
              <w:rPr>
                <w:lang w:eastAsia="en-AU"/>
              </w:rPr>
              <w:t xml:space="preserve"> </w:t>
            </w:r>
            <w:r w:rsidRPr="00993142">
              <w:rPr>
                <w:lang w:eastAsia="en-AU"/>
              </w:rPr>
              <w:t>community</w:t>
            </w:r>
            <w:r>
              <w:rPr>
                <w:lang w:eastAsia="en-AU"/>
              </w:rPr>
              <w:t xml:space="preserve"> </w:t>
            </w:r>
            <w:r w:rsidRPr="00993142">
              <w:rPr>
                <w:lang w:eastAsia="en-AU"/>
              </w:rPr>
              <w:t>health</w:t>
            </w:r>
            <w:r>
              <w:rPr>
                <w:lang w:eastAsia="en-AU"/>
              </w:rPr>
              <w:t xml:space="preserve"> </w:t>
            </w:r>
            <w:r w:rsidRPr="00993142">
              <w:rPr>
                <w:lang w:eastAsia="en-AU"/>
              </w:rPr>
              <w:t>nurse</w:t>
            </w:r>
          </w:p>
        </w:tc>
        <w:tc>
          <w:tcPr>
            <w:tcW w:w="4399" w:type="dxa"/>
            <w:shd w:val="clear" w:color="auto" w:fill="auto"/>
          </w:tcPr>
          <w:p w14:paraId="2ADB98AA" w14:textId="77777777" w:rsidR="005B699B" w:rsidRPr="00993142" w:rsidRDefault="005B699B" w:rsidP="00785BA1">
            <w:pPr>
              <w:pStyle w:val="Tabletext9pt"/>
              <w:rPr>
                <w:lang w:eastAsia="en-AU"/>
              </w:rPr>
            </w:pPr>
            <w:r w:rsidRPr="00DC423E">
              <w:rPr>
                <w:lang w:eastAsia="en-AU"/>
              </w:rPr>
              <w:t xml:space="preserve">Community health nurses work with clients to identity and determine health and care needs and provide support to navigate and access services and programs to meet each individual’s needs.  </w:t>
            </w:r>
          </w:p>
        </w:tc>
      </w:tr>
      <w:tr w:rsidR="005B699B" w:rsidRPr="008A243A" w14:paraId="7BF4C7BD" w14:textId="77777777" w:rsidTr="00785BA1">
        <w:trPr>
          <w:cantSplit/>
        </w:trPr>
        <w:tc>
          <w:tcPr>
            <w:tcW w:w="1923" w:type="dxa"/>
            <w:shd w:val="clear" w:color="auto" w:fill="auto"/>
          </w:tcPr>
          <w:p w14:paraId="50FF5810" w14:textId="77777777" w:rsidR="005B699B" w:rsidRPr="008A243A" w:rsidRDefault="005B699B" w:rsidP="00785BA1">
            <w:pPr>
              <w:pStyle w:val="Tabletext9pt"/>
              <w:rPr>
                <w:lang w:eastAsia="en-AU"/>
              </w:rPr>
            </w:pPr>
            <w:r>
              <w:rPr>
                <w:lang w:eastAsia="en-AU"/>
              </w:rPr>
              <w:t>28091</w:t>
            </w:r>
          </w:p>
        </w:tc>
        <w:tc>
          <w:tcPr>
            <w:tcW w:w="2977" w:type="dxa"/>
            <w:shd w:val="clear" w:color="auto" w:fill="auto"/>
          </w:tcPr>
          <w:p w14:paraId="6EE237E0" w14:textId="77777777" w:rsidR="005B699B" w:rsidRPr="008A243A" w:rsidRDefault="005B699B" w:rsidP="00785BA1">
            <w:pPr>
              <w:pStyle w:val="Tabletext9pt"/>
              <w:rPr>
                <w:lang w:eastAsia="en-AU"/>
              </w:rPr>
            </w:pPr>
            <w:r>
              <w:rPr>
                <w:lang w:eastAsia="en-AU"/>
              </w:rPr>
              <w:t>Community Asthma Program</w:t>
            </w:r>
          </w:p>
        </w:tc>
        <w:tc>
          <w:tcPr>
            <w:tcW w:w="4399" w:type="dxa"/>
            <w:shd w:val="clear" w:color="auto" w:fill="auto"/>
          </w:tcPr>
          <w:p w14:paraId="778672F3" w14:textId="77777777" w:rsidR="005B699B" w:rsidRPr="008A243A" w:rsidRDefault="005B699B" w:rsidP="00785BA1">
            <w:pPr>
              <w:pStyle w:val="Tabletext9pt"/>
              <w:rPr>
                <w:lang w:eastAsia="en-AU"/>
              </w:rPr>
            </w:pPr>
            <w:r w:rsidRPr="0050157B">
              <w:rPr>
                <w:lang w:eastAsia="en-AU"/>
              </w:rPr>
              <w:t>The Community Asthma Program supports avoidable hospital admissions through the delivery of community</w:t>
            </w:r>
            <w:r>
              <w:rPr>
                <w:lang w:eastAsia="en-AU"/>
              </w:rPr>
              <w:t>-</w:t>
            </w:r>
            <w:r w:rsidRPr="0050157B">
              <w:rPr>
                <w:lang w:eastAsia="en-AU"/>
              </w:rPr>
              <w:t xml:space="preserve">based services, with a focus on asthma self-management and improved cohesion of services for children and young people presenting with asthma symptoms.  </w:t>
            </w:r>
          </w:p>
        </w:tc>
      </w:tr>
      <w:tr w:rsidR="005B699B" w:rsidRPr="008A243A" w14:paraId="3459D95A" w14:textId="77777777" w:rsidTr="00785BA1">
        <w:tc>
          <w:tcPr>
            <w:tcW w:w="1923" w:type="dxa"/>
            <w:shd w:val="clear" w:color="auto" w:fill="auto"/>
          </w:tcPr>
          <w:p w14:paraId="789F9A6A" w14:textId="77777777" w:rsidR="005B699B" w:rsidRDefault="005B699B" w:rsidP="00785BA1">
            <w:pPr>
              <w:pStyle w:val="Tabletext9pt"/>
              <w:rPr>
                <w:lang w:eastAsia="en-AU"/>
              </w:rPr>
            </w:pPr>
            <w:r w:rsidRPr="00866022">
              <w:rPr>
                <w:lang w:eastAsia="en-AU"/>
              </w:rPr>
              <w:t>28092</w:t>
            </w:r>
          </w:p>
        </w:tc>
        <w:tc>
          <w:tcPr>
            <w:tcW w:w="2977" w:type="dxa"/>
            <w:shd w:val="clear" w:color="auto" w:fill="auto"/>
          </w:tcPr>
          <w:p w14:paraId="1DF3BEFC" w14:textId="77777777" w:rsidR="005B699B" w:rsidRDefault="005B699B" w:rsidP="00785BA1">
            <w:pPr>
              <w:pStyle w:val="Tabletext9pt"/>
              <w:rPr>
                <w:lang w:eastAsia="en-AU"/>
              </w:rPr>
            </w:pPr>
            <w:r w:rsidRPr="001F4069">
              <w:rPr>
                <w:lang w:eastAsia="en-AU"/>
              </w:rPr>
              <w:t>Infant Child and Family Health and Wellbeing Hubs – Community Health</w:t>
            </w:r>
          </w:p>
        </w:tc>
        <w:tc>
          <w:tcPr>
            <w:tcW w:w="4399" w:type="dxa"/>
            <w:shd w:val="clear" w:color="auto" w:fill="auto"/>
          </w:tcPr>
          <w:p w14:paraId="2AF2815F" w14:textId="77777777" w:rsidR="005B699B" w:rsidRPr="0050157B" w:rsidRDefault="005B699B" w:rsidP="00785BA1">
            <w:pPr>
              <w:pStyle w:val="Tabletext9pt"/>
              <w:rPr>
                <w:lang w:eastAsia="en-AU"/>
              </w:rPr>
            </w:pPr>
            <w:r w:rsidRPr="009D3DA1">
              <w:rPr>
                <w:lang w:eastAsia="en-AU"/>
              </w:rPr>
              <w:t>Provision of integrated and community-based multidisciplinary health services and supports for children experiencing developmental, emotional, relational and behavioural challenges and their families. Hub services delivered in community health will include the establishment of the service and delivery of specialist medical appointments, allied health service hours, intake, care coordination and in</w:t>
            </w:r>
            <w:r>
              <w:rPr>
                <w:lang w:eastAsia="en-AU"/>
              </w:rPr>
              <w:t>-</w:t>
            </w:r>
            <w:r w:rsidRPr="009D3DA1">
              <w:rPr>
                <w:lang w:eastAsia="en-AU"/>
              </w:rPr>
              <w:t>reach supports.</w:t>
            </w:r>
          </w:p>
        </w:tc>
      </w:tr>
      <w:tr w:rsidR="005B699B" w:rsidRPr="008A243A" w14:paraId="1AE94423" w14:textId="77777777" w:rsidTr="00785BA1">
        <w:tc>
          <w:tcPr>
            <w:tcW w:w="1923" w:type="dxa"/>
            <w:shd w:val="clear" w:color="auto" w:fill="auto"/>
          </w:tcPr>
          <w:p w14:paraId="75F4223E" w14:textId="77777777" w:rsidR="005B699B" w:rsidRPr="00866022" w:rsidRDefault="005B699B" w:rsidP="00785BA1">
            <w:pPr>
              <w:pStyle w:val="Tabletext9pt"/>
              <w:rPr>
                <w:lang w:eastAsia="en-AU"/>
              </w:rPr>
            </w:pPr>
            <w:r w:rsidRPr="00130D99">
              <w:rPr>
                <w:lang w:eastAsia="en-AU"/>
              </w:rPr>
              <w:t>28095</w:t>
            </w:r>
          </w:p>
        </w:tc>
        <w:tc>
          <w:tcPr>
            <w:tcW w:w="2977" w:type="dxa"/>
            <w:shd w:val="clear" w:color="auto" w:fill="auto"/>
          </w:tcPr>
          <w:p w14:paraId="31D2887B" w14:textId="77777777" w:rsidR="005B699B" w:rsidRPr="001F4069" w:rsidRDefault="005B699B" w:rsidP="00785BA1">
            <w:pPr>
              <w:pStyle w:val="Tabletext9pt"/>
              <w:rPr>
                <w:lang w:eastAsia="en-AU"/>
              </w:rPr>
            </w:pPr>
            <w:r w:rsidRPr="008D3414">
              <w:rPr>
                <w:lang w:eastAsia="en-AU"/>
              </w:rPr>
              <w:t>Putting Families First – Community Health</w:t>
            </w:r>
          </w:p>
        </w:tc>
        <w:tc>
          <w:tcPr>
            <w:tcW w:w="4399" w:type="dxa"/>
            <w:shd w:val="clear" w:color="auto" w:fill="auto"/>
          </w:tcPr>
          <w:p w14:paraId="74CA95FF" w14:textId="77777777" w:rsidR="005B699B" w:rsidRPr="009D3DA1" w:rsidRDefault="005B699B" w:rsidP="00785BA1">
            <w:pPr>
              <w:pStyle w:val="Tabletext9pt"/>
              <w:rPr>
                <w:lang w:eastAsia="en-AU"/>
              </w:rPr>
            </w:pPr>
            <w:r w:rsidRPr="00AD73A8">
              <w:rPr>
                <w:lang w:eastAsia="en-AU"/>
              </w:rPr>
              <w:t>To work as part of an interdisciplinary team to enhance family health, wellbeing and inclusion by improving identification of family health needs and access and engagement with relevant health services.</w:t>
            </w:r>
          </w:p>
        </w:tc>
      </w:tr>
      <w:tr w:rsidR="005B699B" w:rsidRPr="008A243A" w14:paraId="3A4F5B2F" w14:textId="77777777" w:rsidTr="00785BA1">
        <w:tc>
          <w:tcPr>
            <w:tcW w:w="1923" w:type="dxa"/>
            <w:shd w:val="clear" w:color="auto" w:fill="auto"/>
          </w:tcPr>
          <w:p w14:paraId="01E7A6CB" w14:textId="77777777" w:rsidR="005B699B" w:rsidRPr="008A243A" w:rsidRDefault="005B699B" w:rsidP="00785BA1">
            <w:pPr>
              <w:pStyle w:val="Tabletext9pt"/>
              <w:rPr>
                <w:lang w:eastAsia="en-AU"/>
              </w:rPr>
            </w:pPr>
            <w:r w:rsidRPr="008A243A">
              <w:rPr>
                <w:lang w:eastAsia="en-AU"/>
              </w:rPr>
              <w:t>35048</w:t>
            </w:r>
          </w:p>
        </w:tc>
        <w:tc>
          <w:tcPr>
            <w:tcW w:w="2977" w:type="dxa"/>
            <w:shd w:val="clear" w:color="auto" w:fill="auto"/>
          </w:tcPr>
          <w:p w14:paraId="2EF67670" w14:textId="77777777" w:rsidR="005B699B" w:rsidRPr="008A243A" w:rsidRDefault="005B699B" w:rsidP="00785BA1">
            <w:pPr>
              <w:pStyle w:val="Tabletext9pt"/>
              <w:rPr>
                <w:lang w:eastAsia="en-AU"/>
              </w:rPr>
            </w:pPr>
            <w:r w:rsidRPr="008A243A">
              <w:rPr>
                <w:lang w:eastAsia="en-AU"/>
              </w:rPr>
              <w:t>Small</w:t>
            </w:r>
            <w:r>
              <w:rPr>
                <w:lang w:eastAsia="en-AU"/>
              </w:rPr>
              <w:t xml:space="preserve"> r</w:t>
            </w:r>
            <w:r w:rsidRPr="008A243A">
              <w:rPr>
                <w:lang w:eastAsia="en-AU"/>
              </w:rPr>
              <w:t>ural</w:t>
            </w:r>
            <w:r>
              <w:rPr>
                <w:lang w:eastAsia="en-AU"/>
              </w:rPr>
              <w:t xml:space="preserve"> </w:t>
            </w:r>
            <w:r w:rsidRPr="008A243A">
              <w:rPr>
                <w:lang w:eastAsia="en-AU"/>
              </w:rPr>
              <w:t>–</w:t>
            </w:r>
            <w:r>
              <w:rPr>
                <w:lang w:eastAsia="en-AU"/>
              </w:rPr>
              <w:t xml:space="preserve"> </w:t>
            </w:r>
            <w:r w:rsidRPr="008A243A">
              <w:rPr>
                <w:lang w:eastAsia="en-AU"/>
              </w:rPr>
              <w:t>Primary</w:t>
            </w:r>
            <w:r>
              <w:rPr>
                <w:lang w:eastAsia="en-AU"/>
              </w:rPr>
              <w:t xml:space="preserve"> </w:t>
            </w:r>
            <w:r w:rsidRPr="008A243A">
              <w:rPr>
                <w:lang w:eastAsia="en-AU"/>
              </w:rPr>
              <w:t>Health</w:t>
            </w:r>
            <w:r>
              <w:rPr>
                <w:lang w:eastAsia="en-AU"/>
              </w:rPr>
              <w:t xml:space="preserve"> </w:t>
            </w:r>
          </w:p>
        </w:tc>
        <w:tc>
          <w:tcPr>
            <w:tcW w:w="4399" w:type="dxa"/>
            <w:shd w:val="clear" w:color="auto" w:fill="auto"/>
          </w:tcPr>
          <w:p w14:paraId="402A8579" w14:textId="77777777" w:rsidR="005B699B" w:rsidRPr="008A243A" w:rsidRDefault="005B699B" w:rsidP="00785BA1">
            <w:pPr>
              <w:pStyle w:val="Tabletext9pt"/>
              <w:rPr>
                <w:lang w:eastAsia="en-AU"/>
              </w:rPr>
            </w:pPr>
            <w:r w:rsidRPr="000648BF">
              <w:rPr>
                <w:lang w:eastAsia="en-AU"/>
              </w:rPr>
              <w:t xml:space="preserve">Provision of general counselling, allied health, nursing and health promotion services. Note this funding can be used flexibly to provide other service types under the small rural health services funding model.  </w:t>
            </w:r>
          </w:p>
        </w:tc>
      </w:tr>
    </w:tbl>
    <w:p w14:paraId="1169E6F4" w14:textId="77777777" w:rsidR="005B699B" w:rsidRDefault="005B699B" w:rsidP="005D3438">
      <w:pPr>
        <w:pStyle w:val="Bodyafterfiguretable"/>
      </w:pPr>
      <w:r>
        <w:t xml:space="preserve">Output name: </w:t>
      </w:r>
      <w:r>
        <w:rPr>
          <w:lang w:eastAsia="en-AU"/>
        </w:rPr>
        <w:t xml:space="preserve">Home and Community Care Program for Younger People </w:t>
      </w:r>
    </w:p>
    <w:tbl>
      <w:tblPr>
        <w:tblW w:w="9299" w:type="dxa"/>
        <w:tblLook w:val="06A0" w:firstRow="1" w:lastRow="0" w:firstColumn="1" w:lastColumn="0" w:noHBand="1" w:noVBand="1"/>
      </w:tblPr>
      <w:tblGrid>
        <w:gridCol w:w="1980"/>
        <w:gridCol w:w="2977"/>
        <w:gridCol w:w="4342"/>
      </w:tblGrid>
      <w:tr w:rsidR="005B699B" w14:paraId="60860BE6" w14:textId="77777777" w:rsidTr="00785BA1">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26CDE00E" w14:textId="77777777" w:rsidR="005B699B" w:rsidRPr="00F717FB" w:rsidRDefault="005B699B" w:rsidP="00785BA1">
            <w:pPr>
              <w:pStyle w:val="Tablecolhead"/>
              <w:rPr>
                <w:rFonts w:eastAsia="Arial"/>
                <w:szCs w:val="21"/>
              </w:rPr>
            </w:pPr>
            <w:r w:rsidRPr="00F717FB">
              <w:rPr>
                <w:rFonts w:eastAsia="Arial"/>
                <w:szCs w:val="21"/>
              </w:rPr>
              <w:t>Activity no.</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43194284"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3B199C18"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730D4FA3"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118365D4" w14:textId="77777777" w:rsidR="005B699B" w:rsidRDefault="005B699B" w:rsidP="00785BA1">
            <w:pPr>
              <w:pStyle w:val="Tabletext9pt"/>
              <w:rPr>
                <w:szCs w:val="18"/>
                <w:lang w:eastAsia="en-AU"/>
              </w:rPr>
            </w:pPr>
            <w:r>
              <w:rPr>
                <w:szCs w:val="18"/>
                <w:lang w:eastAsia="en-AU"/>
              </w:rPr>
              <w:t>13015</w:t>
            </w:r>
          </w:p>
        </w:tc>
        <w:tc>
          <w:tcPr>
            <w:tcW w:w="2977" w:type="dxa"/>
            <w:tcBorders>
              <w:top w:val="single" w:sz="4" w:space="0" w:color="auto"/>
              <w:left w:val="single" w:sz="4" w:space="0" w:color="auto"/>
              <w:bottom w:val="single" w:sz="4" w:space="0" w:color="auto"/>
              <w:right w:val="single" w:sz="4" w:space="0" w:color="auto"/>
            </w:tcBorders>
            <w:hideMark/>
          </w:tcPr>
          <w:p w14:paraId="78E61F5F" w14:textId="77777777" w:rsidR="005B699B" w:rsidRDefault="005B699B" w:rsidP="00785BA1">
            <w:pPr>
              <w:pStyle w:val="Tabletext9pt"/>
              <w:rPr>
                <w:szCs w:val="18"/>
                <w:lang w:eastAsia="en-AU"/>
              </w:rPr>
            </w:pPr>
            <w:r>
              <w:rPr>
                <w:szCs w:val="18"/>
                <w:lang w:eastAsia="en-AU"/>
              </w:rPr>
              <w:t>HACC-PYP linkages</w:t>
            </w:r>
          </w:p>
        </w:tc>
        <w:tc>
          <w:tcPr>
            <w:tcW w:w="4342" w:type="dxa"/>
            <w:tcBorders>
              <w:top w:val="single" w:sz="4" w:space="0" w:color="auto"/>
              <w:left w:val="single" w:sz="4" w:space="0" w:color="auto"/>
              <w:bottom w:val="single" w:sz="4" w:space="0" w:color="auto"/>
              <w:right w:val="single" w:sz="4" w:space="0" w:color="auto"/>
            </w:tcBorders>
            <w:hideMark/>
          </w:tcPr>
          <w:p w14:paraId="2F4E89E8" w14:textId="77777777" w:rsidR="005B699B" w:rsidRDefault="005B699B" w:rsidP="00785BA1">
            <w:pPr>
              <w:pStyle w:val="Tabletext9pt"/>
              <w:rPr>
                <w:szCs w:val="18"/>
                <w:lang w:eastAsia="en-AU"/>
              </w:rPr>
            </w:pPr>
            <w:r>
              <w:rPr>
                <w:szCs w:val="18"/>
                <w:lang w:eastAsia="en-AU"/>
              </w:rPr>
              <w:t xml:space="preserve">Individualised packages of care incorporating assessment, case management and funds to purchase services to </w:t>
            </w:r>
            <w:r>
              <w:t xml:space="preserve">support </w:t>
            </w:r>
            <w:r>
              <w:rPr>
                <w:szCs w:val="18"/>
                <w:lang w:eastAsia="en-AU"/>
              </w:rPr>
              <w:t>HACC-PYP clients.</w:t>
            </w:r>
          </w:p>
        </w:tc>
      </w:tr>
      <w:tr w:rsidR="005B699B" w14:paraId="1128F812"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60B50F8E" w14:textId="77777777" w:rsidR="005B699B" w:rsidRDefault="005B699B" w:rsidP="00785BA1">
            <w:pPr>
              <w:pStyle w:val="Tabletext9pt"/>
              <w:rPr>
                <w:szCs w:val="18"/>
                <w:lang w:eastAsia="en-AU"/>
              </w:rPr>
            </w:pPr>
            <w:r>
              <w:rPr>
                <w:szCs w:val="18"/>
                <w:lang w:eastAsia="en-AU"/>
              </w:rPr>
              <w:t>13023</w:t>
            </w:r>
          </w:p>
        </w:tc>
        <w:tc>
          <w:tcPr>
            <w:tcW w:w="2977" w:type="dxa"/>
            <w:tcBorders>
              <w:top w:val="single" w:sz="4" w:space="0" w:color="auto"/>
              <w:left w:val="single" w:sz="4" w:space="0" w:color="auto"/>
              <w:bottom w:val="single" w:sz="4" w:space="0" w:color="auto"/>
              <w:right w:val="single" w:sz="4" w:space="0" w:color="auto"/>
            </w:tcBorders>
            <w:hideMark/>
          </w:tcPr>
          <w:p w14:paraId="1D22B7A5" w14:textId="77777777" w:rsidR="005B699B" w:rsidRDefault="005B699B" w:rsidP="00785BA1">
            <w:pPr>
              <w:pStyle w:val="Tabletext9pt"/>
              <w:rPr>
                <w:szCs w:val="18"/>
                <w:lang w:eastAsia="en-AU"/>
              </w:rPr>
            </w:pPr>
            <w:r>
              <w:rPr>
                <w:szCs w:val="18"/>
                <w:lang w:eastAsia="en-AU"/>
              </w:rPr>
              <w:t>HACC-PYP Service Development Grant</w:t>
            </w:r>
          </w:p>
        </w:tc>
        <w:tc>
          <w:tcPr>
            <w:tcW w:w="4342" w:type="dxa"/>
            <w:tcBorders>
              <w:top w:val="single" w:sz="4" w:space="0" w:color="auto"/>
              <w:left w:val="single" w:sz="4" w:space="0" w:color="auto"/>
              <w:bottom w:val="single" w:sz="4" w:space="0" w:color="auto"/>
              <w:right w:val="single" w:sz="4" w:space="0" w:color="auto"/>
            </w:tcBorders>
            <w:hideMark/>
          </w:tcPr>
          <w:p w14:paraId="57EBEE7C" w14:textId="77777777" w:rsidR="005B699B" w:rsidRDefault="005B699B" w:rsidP="00785BA1">
            <w:pPr>
              <w:pStyle w:val="Tabletext9pt"/>
              <w:rPr>
                <w:szCs w:val="18"/>
                <w:lang w:eastAsia="en-AU"/>
              </w:rPr>
            </w:pPr>
            <w:r>
              <w:rPr>
                <w:szCs w:val="18"/>
                <w:lang w:eastAsia="en-AU"/>
              </w:rPr>
              <w:t xml:space="preserve">One-off projects (up to six months’ duration) to improve quality, effectiveness, and efficiency of HACC-PYP services and service system. </w:t>
            </w:r>
          </w:p>
        </w:tc>
      </w:tr>
      <w:tr w:rsidR="005B699B" w14:paraId="0D88BF6F"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6BC18907" w14:textId="77777777" w:rsidR="005B699B" w:rsidRDefault="005B699B" w:rsidP="00785BA1">
            <w:pPr>
              <w:pStyle w:val="Tabletext9pt"/>
              <w:rPr>
                <w:szCs w:val="18"/>
                <w:lang w:eastAsia="en-AU"/>
              </w:rPr>
            </w:pPr>
            <w:r>
              <w:rPr>
                <w:szCs w:val="18"/>
                <w:lang w:eastAsia="en-AU"/>
              </w:rPr>
              <w:t>13024</w:t>
            </w:r>
          </w:p>
        </w:tc>
        <w:tc>
          <w:tcPr>
            <w:tcW w:w="2977" w:type="dxa"/>
            <w:tcBorders>
              <w:top w:val="single" w:sz="4" w:space="0" w:color="auto"/>
              <w:left w:val="single" w:sz="4" w:space="0" w:color="auto"/>
              <w:bottom w:val="single" w:sz="4" w:space="0" w:color="auto"/>
              <w:right w:val="single" w:sz="4" w:space="0" w:color="auto"/>
            </w:tcBorders>
            <w:hideMark/>
          </w:tcPr>
          <w:p w14:paraId="7AB2BE1C" w14:textId="77777777" w:rsidR="005B699B" w:rsidRDefault="005B699B" w:rsidP="00785BA1">
            <w:pPr>
              <w:pStyle w:val="Tabletext9pt"/>
              <w:rPr>
                <w:szCs w:val="18"/>
                <w:lang w:eastAsia="en-AU"/>
              </w:rPr>
            </w:pPr>
            <w:r>
              <w:rPr>
                <w:szCs w:val="18"/>
                <w:lang w:eastAsia="en-AU"/>
              </w:rPr>
              <w:t>HACC-PYP assessment</w:t>
            </w:r>
          </w:p>
        </w:tc>
        <w:tc>
          <w:tcPr>
            <w:tcW w:w="4342" w:type="dxa"/>
            <w:tcBorders>
              <w:top w:val="single" w:sz="4" w:space="0" w:color="auto"/>
              <w:left w:val="single" w:sz="4" w:space="0" w:color="auto"/>
              <w:bottom w:val="single" w:sz="4" w:space="0" w:color="auto"/>
              <w:right w:val="single" w:sz="4" w:space="0" w:color="auto"/>
            </w:tcBorders>
            <w:hideMark/>
          </w:tcPr>
          <w:p w14:paraId="36344005" w14:textId="35A09867" w:rsidR="005B699B" w:rsidRDefault="005B699B" w:rsidP="00785BA1">
            <w:pPr>
              <w:pStyle w:val="Tabletext9pt"/>
              <w:rPr>
                <w:szCs w:val="18"/>
                <w:lang w:eastAsia="en-AU"/>
              </w:rPr>
            </w:pPr>
            <w:r>
              <w:rPr>
                <w:szCs w:val="18"/>
                <w:lang w:eastAsia="en-AU"/>
              </w:rPr>
              <w:t xml:space="preserve">This activity is described in the </w:t>
            </w:r>
            <w:r>
              <w:rPr>
                <w:i/>
                <w:iCs/>
                <w:szCs w:val="18"/>
                <w:lang w:eastAsia="en-AU"/>
              </w:rPr>
              <w:t>Framework for assessment</w:t>
            </w:r>
            <w:r>
              <w:rPr>
                <w:szCs w:val="18"/>
                <w:lang w:eastAsia="en-AU"/>
              </w:rPr>
              <w:t xml:space="preserve"> </w:t>
            </w:r>
            <w:r>
              <w:rPr>
                <w:i/>
                <w:szCs w:val="18"/>
                <w:lang w:eastAsia="en-AU"/>
              </w:rPr>
              <w:t>in the HACC program</w:t>
            </w:r>
            <w:r>
              <w:rPr>
                <w:szCs w:val="18"/>
                <w:lang w:eastAsia="en-AU"/>
              </w:rPr>
              <w:t xml:space="preserve">. Living-at-home assessments for </w:t>
            </w:r>
            <w:r>
              <w:t>HACC-PYP clients</w:t>
            </w:r>
            <w:r>
              <w:rPr>
                <w:szCs w:val="18"/>
                <w:lang w:eastAsia="en-AU"/>
              </w:rPr>
              <w:t xml:space="preserve"> include home-based holistic assessment of need, service-specific assessments, and warm transfer to more relevant programs.</w:t>
            </w:r>
          </w:p>
        </w:tc>
      </w:tr>
      <w:tr w:rsidR="005B699B" w14:paraId="75BA25B4"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5224C0F7" w14:textId="77777777" w:rsidR="005B699B" w:rsidRDefault="005B699B" w:rsidP="00785BA1">
            <w:pPr>
              <w:pStyle w:val="Tabletext9pt"/>
              <w:rPr>
                <w:szCs w:val="18"/>
                <w:lang w:eastAsia="en-AU"/>
              </w:rPr>
            </w:pPr>
            <w:r>
              <w:rPr>
                <w:szCs w:val="18"/>
                <w:lang w:eastAsia="en-AU"/>
              </w:rPr>
              <w:t>13026</w:t>
            </w:r>
          </w:p>
        </w:tc>
        <w:tc>
          <w:tcPr>
            <w:tcW w:w="2977" w:type="dxa"/>
            <w:tcBorders>
              <w:top w:val="single" w:sz="4" w:space="0" w:color="auto"/>
              <w:left w:val="single" w:sz="4" w:space="0" w:color="auto"/>
              <w:bottom w:val="single" w:sz="4" w:space="0" w:color="auto"/>
              <w:right w:val="single" w:sz="4" w:space="0" w:color="auto"/>
            </w:tcBorders>
            <w:hideMark/>
          </w:tcPr>
          <w:p w14:paraId="670BB40C" w14:textId="77777777" w:rsidR="005B699B" w:rsidRDefault="005B699B" w:rsidP="00785BA1">
            <w:pPr>
              <w:pStyle w:val="Tabletext9pt"/>
              <w:rPr>
                <w:szCs w:val="18"/>
                <w:lang w:eastAsia="en-AU"/>
              </w:rPr>
            </w:pPr>
            <w:r>
              <w:rPr>
                <w:szCs w:val="18"/>
                <w:lang w:eastAsia="en-AU"/>
              </w:rPr>
              <w:t>HACC-PYP community care</w:t>
            </w:r>
          </w:p>
        </w:tc>
        <w:tc>
          <w:tcPr>
            <w:tcW w:w="4342" w:type="dxa"/>
            <w:tcBorders>
              <w:top w:val="single" w:sz="4" w:space="0" w:color="auto"/>
              <w:left w:val="single" w:sz="4" w:space="0" w:color="auto"/>
              <w:bottom w:val="single" w:sz="4" w:space="0" w:color="auto"/>
              <w:right w:val="single" w:sz="4" w:space="0" w:color="auto"/>
            </w:tcBorders>
            <w:hideMark/>
          </w:tcPr>
          <w:p w14:paraId="470714EA" w14:textId="77777777" w:rsidR="005B699B" w:rsidRDefault="005B699B" w:rsidP="00785BA1">
            <w:pPr>
              <w:pStyle w:val="Tabletext9pt"/>
              <w:rPr>
                <w:szCs w:val="18"/>
                <w:lang w:eastAsia="en-AU"/>
              </w:rPr>
            </w:pPr>
            <w:r>
              <w:rPr>
                <w:szCs w:val="18"/>
                <w:lang w:eastAsia="en-AU"/>
              </w:rPr>
              <w:t>Personal and in-home supports to people</w:t>
            </w:r>
            <w:r>
              <w:t xml:space="preserve"> birth to 65 years of age who have difficulty with the activities of daily living</w:t>
            </w:r>
          </w:p>
        </w:tc>
      </w:tr>
      <w:tr w:rsidR="005B699B" w14:paraId="1D27454F"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01455C49" w14:textId="77777777" w:rsidR="005B699B" w:rsidRDefault="005B699B" w:rsidP="00785BA1">
            <w:pPr>
              <w:pStyle w:val="Tabletext9pt"/>
              <w:rPr>
                <w:szCs w:val="18"/>
                <w:lang w:eastAsia="en-AU"/>
              </w:rPr>
            </w:pPr>
            <w:r>
              <w:rPr>
                <w:szCs w:val="18"/>
                <w:lang w:eastAsia="en-AU"/>
              </w:rPr>
              <w:t>13038</w:t>
            </w:r>
          </w:p>
        </w:tc>
        <w:tc>
          <w:tcPr>
            <w:tcW w:w="2977" w:type="dxa"/>
            <w:tcBorders>
              <w:top w:val="single" w:sz="4" w:space="0" w:color="auto"/>
              <w:left w:val="single" w:sz="4" w:space="0" w:color="auto"/>
              <w:bottom w:val="single" w:sz="4" w:space="0" w:color="auto"/>
              <w:right w:val="single" w:sz="4" w:space="0" w:color="auto"/>
            </w:tcBorders>
            <w:hideMark/>
          </w:tcPr>
          <w:p w14:paraId="5CF21397" w14:textId="77777777" w:rsidR="005B699B" w:rsidRDefault="005B699B" w:rsidP="00785BA1">
            <w:pPr>
              <w:pStyle w:val="Tabletext9pt"/>
              <w:rPr>
                <w:szCs w:val="18"/>
                <w:lang w:eastAsia="en-AU"/>
              </w:rPr>
            </w:pPr>
            <w:r>
              <w:rPr>
                <w:szCs w:val="18"/>
                <w:lang w:eastAsia="en-AU"/>
              </w:rPr>
              <w:t>HACC-PYP service system resourcing</w:t>
            </w:r>
          </w:p>
        </w:tc>
        <w:tc>
          <w:tcPr>
            <w:tcW w:w="4342" w:type="dxa"/>
            <w:tcBorders>
              <w:top w:val="single" w:sz="4" w:space="0" w:color="auto"/>
              <w:left w:val="single" w:sz="4" w:space="0" w:color="auto"/>
              <w:bottom w:val="single" w:sz="4" w:space="0" w:color="auto"/>
              <w:right w:val="single" w:sz="4" w:space="0" w:color="auto"/>
            </w:tcBorders>
            <w:hideMark/>
          </w:tcPr>
          <w:p w14:paraId="4DE6751A" w14:textId="1391479D" w:rsidR="005B699B" w:rsidRDefault="005B699B" w:rsidP="00785BA1">
            <w:pPr>
              <w:pStyle w:val="Tabletext9pt"/>
              <w:rPr>
                <w:lang w:eastAsia="en-AU"/>
              </w:rPr>
            </w:pPr>
            <w:r>
              <w:rPr>
                <w:lang w:eastAsia="en-AU"/>
              </w:rPr>
              <w:t xml:space="preserve">Resources to assist the sector to better meet the needs of younger people in the HACC-PYP target </w:t>
            </w:r>
            <w:r>
              <w:rPr>
                <w:lang w:eastAsia="en-AU"/>
              </w:rPr>
              <w:lastRenderedPageBreak/>
              <w:t xml:space="preserve">group and assist clients to gain better access to services. This also includes the </w:t>
            </w:r>
            <w:r w:rsidR="00875BF5">
              <w:rPr>
                <w:lang w:eastAsia="en-AU"/>
              </w:rPr>
              <w:t xml:space="preserve">Social </w:t>
            </w:r>
            <w:r w:rsidR="00202A93">
              <w:rPr>
                <w:lang w:eastAsia="en-AU"/>
              </w:rPr>
              <w:t>and</w:t>
            </w:r>
            <w:r w:rsidR="00875BF5">
              <w:rPr>
                <w:lang w:eastAsia="en-AU"/>
              </w:rPr>
              <w:t xml:space="preserve"> Community </w:t>
            </w:r>
            <w:r w:rsidR="00487B9B">
              <w:rPr>
                <w:lang w:eastAsia="en-AU"/>
              </w:rPr>
              <w:t>Service</w:t>
            </w:r>
            <w:r>
              <w:rPr>
                <w:lang w:eastAsia="en-AU"/>
              </w:rPr>
              <w:t xml:space="preserve"> Award.</w:t>
            </w:r>
          </w:p>
        </w:tc>
      </w:tr>
      <w:tr w:rsidR="005B699B" w14:paraId="79F58717"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069A9988" w14:textId="77777777" w:rsidR="005B699B" w:rsidRDefault="005B699B" w:rsidP="00785BA1">
            <w:pPr>
              <w:pStyle w:val="Tabletext9pt"/>
              <w:rPr>
                <w:szCs w:val="18"/>
                <w:lang w:eastAsia="en-AU"/>
              </w:rPr>
            </w:pPr>
            <w:r>
              <w:rPr>
                <w:szCs w:val="18"/>
                <w:lang w:eastAsia="en-AU"/>
              </w:rPr>
              <w:lastRenderedPageBreak/>
              <w:t>13043</w:t>
            </w:r>
          </w:p>
        </w:tc>
        <w:tc>
          <w:tcPr>
            <w:tcW w:w="2977" w:type="dxa"/>
            <w:tcBorders>
              <w:top w:val="single" w:sz="4" w:space="0" w:color="auto"/>
              <w:left w:val="single" w:sz="4" w:space="0" w:color="auto"/>
              <w:bottom w:val="single" w:sz="4" w:space="0" w:color="auto"/>
              <w:right w:val="single" w:sz="4" w:space="0" w:color="auto"/>
            </w:tcBorders>
            <w:hideMark/>
          </w:tcPr>
          <w:p w14:paraId="7400A1DD" w14:textId="77777777" w:rsidR="005B699B" w:rsidRDefault="005B699B" w:rsidP="00785BA1">
            <w:pPr>
              <w:pStyle w:val="Tabletext9pt"/>
              <w:rPr>
                <w:szCs w:val="18"/>
                <w:lang w:eastAsia="en-AU"/>
              </w:rPr>
            </w:pPr>
            <w:r>
              <w:rPr>
                <w:szCs w:val="18"/>
                <w:lang w:eastAsia="en-AU"/>
              </w:rPr>
              <w:t>HACC-PYP flexible service response</w:t>
            </w:r>
          </w:p>
        </w:tc>
        <w:tc>
          <w:tcPr>
            <w:tcW w:w="4342" w:type="dxa"/>
            <w:tcBorders>
              <w:top w:val="single" w:sz="4" w:space="0" w:color="auto"/>
              <w:left w:val="single" w:sz="4" w:space="0" w:color="auto"/>
              <w:bottom w:val="single" w:sz="4" w:space="0" w:color="auto"/>
              <w:right w:val="single" w:sz="4" w:space="0" w:color="auto"/>
            </w:tcBorders>
            <w:hideMark/>
          </w:tcPr>
          <w:p w14:paraId="574E829C" w14:textId="77777777" w:rsidR="005B699B" w:rsidRDefault="005B699B" w:rsidP="00785BA1">
            <w:pPr>
              <w:pStyle w:val="Tabletext9pt"/>
              <w:rPr>
                <w:szCs w:val="18"/>
                <w:lang w:eastAsia="en-AU"/>
              </w:rPr>
            </w:pPr>
            <w:r>
              <w:rPr>
                <w:szCs w:val="18"/>
                <w:lang w:eastAsia="en-AU"/>
              </w:rPr>
              <w:t>Funding to support innovative</w:t>
            </w:r>
            <w:r>
              <w:t xml:space="preserve"> and/or</w:t>
            </w:r>
            <w:r>
              <w:rPr>
                <w:szCs w:val="18"/>
                <w:lang w:eastAsia="en-AU"/>
              </w:rPr>
              <w:t xml:space="preserve"> developmental approaches to HACC-PYP and/or service delivery that cannot be funded under the unit pricing structure.</w:t>
            </w:r>
          </w:p>
        </w:tc>
      </w:tr>
      <w:tr w:rsidR="005B699B" w14:paraId="7949C628" w14:textId="77777777" w:rsidTr="00785BA1">
        <w:trPr>
          <w:cantSplit/>
        </w:trPr>
        <w:tc>
          <w:tcPr>
            <w:tcW w:w="0" w:type="dxa"/>
            <w:tcBorders>
              <w:top w:val="single" w:sz="4" w:space="0" w:color="auto"/>
              <w:left w:val="single" w:sz="4" w:space="0" w:color="auto"/>
              <w:bottom w:val="single" w:sz="4" w:space="0" w:color="auto"/>
              <w:right w:val="single" w:sz="4" w:space="0" w:color="auto"/>
            </w:tcBorders>
            <w:hideMark/>
          </w:tcPr>
          <w:p w14:paraId="5B4C7730" w14:textId="77777777" w:rsidR="005B699B" w:rsidRDefault="005B699B" w:rsidP="00785BA1">
            <w:pPr>
              <w:pStyle w:val="Tabletext9pt"/>
              <w:rPr>
                <w:szCs w:val="18"/>
                <w:lang w:eastAsia="en-AU"/>
              </w:rPr>
            </w:pPr>
            <w:r>
              <w:rPr>
                <w:szCs w:val="18"/>
                <w:lang w:eastAsia="en-AU"/>
              </w:rPr>
              <w:t>13056</w:t>
            </w:r>
          </w:p>
        </w:tc>
        <w:tc>
          <w:tcPr>
            <w:tcW w:w="0" w:type="dxa"/>
            <w:tcBorders>
              <w:top w:val="single" w:sz="4" w:space="0" w:color="auto"/>
              <w:left w:val="single" w:sz="4" w:space="0" w:color="auto"/>
              <w:bottom w:val="single" w:sz="4" w:space="0" w:color="auto"/>
              <w:right w:val="single" w:sz="4" w:space="0" w:color="auto"/>
            </w:tcBorders>
            <w:hideMark/>
          </w:tcPr>
          <w:p w14:paraId="1F85539E" w14:textId="77777777" w:rsidR="005B699B" w:rsidRDefault="005B699B" w:rsidP="00785BA1">
            <w:pPr>
              <w:pStyle w:val="Tabletext9pt"/>
              <w:rPr>
                <w:szCs w:val="18"/>
                <w:lang w:eastAsia="en-AU"/>
              </w:rPr>
            </w:pPr>
            <w:r>
              <w:rPr>
                <w:szCs w:val="18"/>
                <w:lang w:eastAsia="en-AU"/>
              </w:rPr>
              <w:t>HACC-PYP planned activity group (PAG)</w:t>
            </w:r>
          </w:p>
        </w:tc>
        <w:tc>
          <w:tcPr>
            <w:tcW w:w="0" w:type="dxa"/>
            <w:tcBorders>
              <w:top w:val="single" w:sz="4" w:space="0" w:color="auto"/>
              <w:left w:val="single" w:sz="4" w:space="0" w:color="auto"/>
              <w:bottom w:val="single" w:sz="4" w:space="0" w:color="auto"/>
              <w:right w:val="single" w:sz="4" w:space="0" w:color="auto"/>
            </w:tcBorders>
            <w:hideMark/>
          </w:tcPr>
          <w:p w14:paraId="58E58C72" w14:textId="77777777" w:rsidR="005B699B" w:rsidRDefault="005B699B" w:rsidP="00785BA1">
            <w:pPr>
              <w:pStyle w:val="Tabletext9pt"/>
              <w:rPr>
                <w:szCs w:val="18"/>
                <w:lang w:eastAsia="en-AU"/>
              </w:rPr>
            </w:pPr>
            <w:r>
              <w:rPr>
                <w:szCs w:val="18"/>
                <w:lang w:eastAsia="en-AU"/>
              </w:rPr>
              <w:t>Planned program of group activity to maintain a younger person’s capacity to perform the activities of daily living and social skills. PAG can be offered in a centre or in the community</w:t>
            </w:r>
          </w:p>
        </w:tc>
      </w:tr>
      <w:tr w:rsidR="005B699B" w14:paraId="344130AC"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1E43D715" w14:textId="77777777" w:rsidR="005B699B" w:rsidRDefault="005B699B" w:rsidP="00785BA1">
            <w:pPr>
              <w:pStyle w:val="Tabletext9pt"/>
              <w:rPr>
                <w:szCs w:val="18"/>
                <w:lang w:eastAsia="en-AU"/>
              </w:rPr>
            </w:pPr>
            <w:r>
              <w:rPr>
                <w:szCs w:val="18"/>
                <w:lang w:eastAsia="en-AU"/>
              </w:rPr>
              <w:t>13063</w:t>
            </w:r>
          </w:p>
        </w:tc>
        <w:tc>
          <w:tcPr>
            <w:tcW w:w="2977" w:type="dxa"/>
            <w:tcBorders>
              <w:top w:val="single" w:sz="4" w:space="0" w:color="auto"/>
              <w:left w:val="single" w:sz="4" w:space="0" w:color="auto"/>
              <w:bottom w:val="single" w:sz="4" w:space="0" w:color="auto"/>
              <w:right w:val="single" w:sz="4" w:space="0" w:color="auto"/>
            </w:tcBorders>
            <w:hideMark/>
          </w:tcPr>
          <w:p w14:paraId="2B9EFF58" w14:textId="77777777" w:rsidR="005B699B" w:rsidRDefault="005B699B" w:rsidP="00785BA1">
            <w:pPr>
              <w:pStyle w:val="Tabletext9pt"/>
              <w:rPr>
                <w:szCs w:val="18"/>
                <w:lang w:eastAsia="en-AU"/>
              </w:rPr>
            </w:pPr>
            <w:r>
              <w:rPr>
                <w:szCs w:val="18"/>
                <w:lang w:eastAsia="en-AU"/>
              </w:rPr>
              <w:t>HACC-PYP volunteer coordination</w:t>
            </w:r>
          </w:p>
        </w:tc>
        <w:tc>
          <w:tcPr>
            <w:tcW w:w="4342" w:type="dxa"/>
            <w:tcBorders>
              <w:top w:val="single" w:sz="4" w:space="0" w:color="auto"/>
              <w:left w:val="single" w:sz="4" w:space="0" w:color="auto"/>
              <w:bottom w:val="single" w:sz="4" w:space="0" w:color="auto"/>
              <w:right w:val="single" w:sz="4" w:space="0" w:color="auto"/>
            </w:tcBorders>
            <w:hideMark/>
          </w:tcPr>
          <w:p w14:paraId="0DB6AE16" w14:textId="77777777" w:rsidR="005B699B" w:rsidRDefault="005B699B" w:rsidP="00785BA1">
            <w:pPr>
              <w:pStyle w:val="Tabletext9pt"/>
              <w:rPr>
                <w:szCs w:val="18"/>
                <w:lang w:eastAsia="en-AU"/>
              </w:rPr>
            </w:pPr>
            <w:r>
              <w:rPr>
                <w:szCs w:val="18"/>
                <w:lang w:eastAsia="en-AU"/>
              </w:rPr>
              <w:t>Funding to coordinators to recruit, train and supervise volunteers and manage the volunteer services to HACC-PYP clients.</w:t>
            </w:r>
          </w:p>
        </w:tc>
      </w:tr>
      <w:tr w:rsidR="005B699B" w14:paraId="08DE660E"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43F5168B" w14:textId="77777777" w:rsidR="005B699B" w:rsidRDefault="005B699B" w:rsidP="00785BA1">
            <w:pPr>
              <w:pStyle w:val="Tabletext9pt"/>
              <w:rPr>
                <w:szCs w:val="18"/>
                <w:lang w:eastAsia="en-AU"/>
              </w:rPr>
            </w:pPr>
            <w:r>
              <w:rPr>
                <w:szCs w:val="18"/>
                <w:lang w:eastAsia="en-AU"/>
              </w:rPr>
              <w:t>13096</w:t>
            </w:r>
          </w:p>
        </w:tc>
        <w:tc>
          <w:tcPr>
            <w:tcW w:w="2977" w:type="dxa"/>
            <w:tcBorders>
              <w:top w:val="single" w:sz="4" w:space="0" w:color="auto"/>
              <w:left w:val="single" w:sz="4" w:space="0" w:color="auto"/>
              <w:bottom w:val="single" w:sz="4" w:space="0" w:color="auto"/>
              <w:right w:val="single" w:sz="4" w:space="0" w:color="auto"/>
            </w:tcBorders>
            <w:hideMark/>
          </w:tcPr>
          <w:p w14:paraId="2C6EA717" w14:textId="77777777" w:rsidR="005B699B" w:rsidRDefault="005B699B" w:rsidP="00785BA1">
            <w:pPr>
              <w:pStyle w:val="Tabletext9pt"/>
              <w:rPr>
                <w:szCs w:val="18"/>
                <w:lang w:eastAsia="en-AU"/>
              </w:rPr>
            </w:pPr>
            <w:r>
              <w:rPr>
                <w:szCs w:val="18"/>
                <w:lang w:eastAsia="en-AU"/>
              </w:rPr>
              <w:t>HACC-PYP allied health</w:t>
            </w:r>
          </w:p>
        </w:tc>
        <w:tc>
          <w:tcPr>
            <w:tcW w:w="4342" w:type="dxa"/>
            <w:tcBorders>
              <w:top w:val="single" w:sz="4" w:space="0" w:color="auto"/>
              <w:left w:val="single" w:sz="4" w:space="0" w:color="auto"/>
              <w:bottom w:val="single" w:sz="4" w:space="0" w:color="auto"/>
              <w:right w:val="single" w:sz="4" w:space="0" w:color="auto"/>
            </w:tcBorders>
            <w:hideMark/>
          </w:tcPr>
          <w:p w14:paraId="2C0CF9F8" w14:textId="77777777" w:rsidR="005B699B" w:rsidRDefault="005B699B" w:rsidP="00785BA1">
            <w:pPr>
              <w:pStyle w:val="Tabletext9pt"/>
              <w:rPr>
                <w:szCs w:val="18"/>
                <w:lang w:eastAsia="en-AU"/>
              </w:rPr>
            </w:pPr>
            <w:r>
              <w:rPr>
                <w:szCs w:val="18"/>
                <w:lang w:eastAsia="en-AU"/>
              </w:rPr>
              <w:t>Allied health services, including clinical assessment, treatment, therapy, or professional advice</w:t>
            </w:r>
            <w:r>
              <w:t xml:space="preserve"> to HACC-PYP clients</w:t>
            </w:r>
            <w:r>
              <w:rPr>
                <w:szCs w:val="18"/>
                <w:lang w:eastAsia="en-AU"/>
              </w:rPr>
              <w:t xml:space="preserve">, </w:t>
            </w:r>
            <w:r>
              <w:t>that</w:t>
            </w:r>
            <w:r>
              <w:rPr>
                <w:szCs w:val="18"/>
                <w:lang w:eastAsia="en-AU"/>
              </w:rPr>
              <w:t xml:space="preserve"> may be provided in the home or at a centre.</w:t>
            </w:r>
          </w:p>
        </w:tc>
      </w:tr>
      <w:tr w:rsidR="005B699B" w14:paraId="57A931D5"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56FDDB16" w14:textId="77777777" w:rsidR="005B699B" w:rsidRDefault="005B699B" w:rsidP="00785BA1">
            <w:pPr>
              <w:pStyle w:val="Tabletext9pt"/>
              <w:rPr>
                <w:szCs w:val="18"/>
                <w:lang w:eastAsia="en-AU"/>
              </w:rPr>
            </w:pPr>
            <w:r>
              <w:rPr>
                <w:szCs w:val="18"/>
                <w:lang w:eastAsia="en-AU"/>
              </w:rPr>
              <w:t>13097</w:t>
            </w:r>
          </w:p>
        </w:tc>
        <w:tc>
          <w:tcPr>
            <w:tcW w:w="2977" w:type="dxa"/>
            <w:tcBorders>
              <w:top w:val="single" w:sz="4" w:space="0" w:color="auto"/>
              <w:left w:val="single" w:sz="4" w:space="0" w:color="auto"/>
              <w:bottom w:val="single" w:sz="4" w:space="0" w:color="auto"/>
              <w:right w:val="single" w:sz="4" w:space="0" w:color="auto"/>
            </w:tcBorders>
            <w:hideMark/>
          </w:tcPr>
          <w:p w14:paraId="63CAB714" w14:textId="77777777" w:rsidR="005B699B" w:rsidRDefault="005B699B" w:rsidP="00785BA1">
            <w:pPr>
              <w:pStyle w:val="Tabletext9pt"/>
              <w:rPr>
                <w:szCs w:val="18"/>
                <w:lang w:eastAsia="en-AU"/>
              </w:rPr>
            </w:pPr>
            <w:r>
              <w:rPr>
                <w:szCs w:val="18"/>
                <w:lang w:eastAsia="en-AU"/>
              </w:rPr>
              <w:t>HACC-PYP delivered meals</w:t>
            </w:r>
          </w:p>
        </w:tc>
        <w:tc>
          <w:tcPr>
            <w:tcW w:w="4342" w:type="dxa"/>
            <w:tcBorders>
              <w:top w:val="single" w:sz="4" w:space="0" w:color="auto"/>
              <w:left w:val="single" w:sz="4" w:space="0" w:color="auto"/>
              <w:bottom w:val="single" w:sz="4" w:space="0" w:color="auto"/>
              <w:right w:val="single" w:sz="4" w:space="0" w:color="auto"/>
            </w:tcBorders>
            <w:hideMark/>
          </w:tcPr>
          <w:p w14:paraId="72DE5D2B" w14:textId="77777777" w:rsidR="005B699B" w:rsidRDefault="005B699B" w:rsidP="00785BA1">
            <w:pPr>
              <w:pStyle w:val="Tabletext9pt"/>
              <w:rPr>
                <w:szCs w:val="18"/>
                <w:lang w:eastAsia="en-AU"/>
              </w:rPr>
            </w:pPr>
            <w:r>
              <w:rPr>
                <w:szCs w:val="18"/>
                <w:lang w:eastAsia="en-AU"/>
              </w:rPr>
              <w:t>Subsidy for meals delivered to people in the HACC-PYP target group at home and or in a local venue.</w:t>
            </w:r>
          </w:p>
        </w:tc>
      </w:tr>
      <w:tr w:rsidR="005B699B" w14:paraId="3BEF95F5"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10E991EC" w14:textId="77777777" w:rsidR="005B699B" w:rsidRDefault="005B699B" w:rsidP="00785BA1">
            <w:pPr>
              <w:pStyle w:val="Tabletext9pt"/>
              <w:rPr>
                <w:szCs w:val="18"/>
                <w:lang w:eastAsia="en-AU"/>
              </w:rPr>
            </w:pPr>
            <w:r>
              <w:rPr>
                <w:szCs w:val="18"/>
                <w:lang w:eastAsia="en-AU"/>
              </w:rPr>
              <w:t>13099</w:t>
            </w:r>
          </w:p>
        </w:tc>
        <w:tc>
          <w:tcPr>
            <w:tcW w:w="2977" w:type="dxa"/>
            <w:tcBorders>
              <w:top w:val="single" w:sz="4" w:space="0" w:color="auto"/>
              <w:left w:val="single" w:sz="4" w:space="0" w:color="auto"/>
              <w:bottom w:val="single" w:sz="4" w:space="0" w:color="auto"/>
              <w:right w:val="single" w:sz="4" w:space="0" w:color="auto"/>
            </w:tcBorders>
            <w:hideMark/>
          </w:tcPr>
          <w:p w14:paraId="6B8FC088" w14:textId="77777777" w:rsidR="005B699B" w:rsidRDefault="005B699B" w:rsidP="00785BA1">
            <w:pPr>
              <w:pStyle w:val="Tabletext9pt"/>
              <w:rPr>
                <w:szCs w:val="18"/>
                <w:lang w:eastAsia="en-AU"/>
              </w:rPr>
            </w:pPr>
            <w:r>
              <w:rPr>
                <w:szCs w:val="18"/>
                <w:lang w:eastAsia="en-AU"/>
              </w:rPr>
              <w:t>HACC-PYP property maintenance</w:t>
            </w:r>
          </w:p>
        </w:tc>
        <w:tc>
          <w:tcPr>
            <w:tcW w:w="4342" w:type="dxa"/>
            <w:tcBorders>
              <w:top w:val="single" w:sz="4" w:space="0" w:color="auto"/>
              <w:left w:val="single" w:sz="4" w:space="0" w:color="auto"/>
              <w:bottom w:val="single" w:sz="4" w:space="0" w:color="auto"/>
              <w:right w:val="single" w:sz="4" w:space="0" w:color="auto"/>
            </w:tcBorders>
            <w:hideMark/>
          </w:tcPr>
          <w:p w14:paraId="04DA0B49" w14:textId="77777777" w:rsidR="005B699B" w:rsidRDefault="005B699B" w:rsidP="00785BA1">
            <w:pPr>
              <w:pStyle w:val="Tabletext9pt"/>
              <w:rPr>
                <w:szCs w:val="18"/>
                <w:lang w:eastAsia="en-AU"/>
              </w:rPr>
            </w:pPr>
            <w:r>
              <w:rPr>
                <w:szCs w:val="18"/>
                <w:lang w:eastAsia="en-AU"/>
              </w:rPr>
              <w:t>Assistance with home maintenance or modification, including maintenance and repair of the client’s home, garden, or yard to keep it in a safe and habitable condition, and home modification or minor renovations to the client’s home to help them cope with a disabling condition.</w:t>
            </w:r>
          </w:p>
        </w:tc>
      </w:tr>
      <w:tr w:rsidR="005B699B" w14:paraId="3F9D779F"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7158B8CF" w14:textId="77777777" w:rsidR="005B699B" w:rsidRDefault="005B699B" w:rsidP="00785BA1">
            <w:pPr>
              <w:pStyle w:val="Tabletext9pt"/>
              <w:rPr>
                <w:szCs w:val="18"/>
                <w:lang w:eastAsia="en-AU"/>
              </w:rPr>
            </w:pPr>
            <w:r>
              <w:rPr>
                <w:szCs w:val="18"/>
                <w:lang w:eastAsia="en-AU"/>
              </w:rPr>
              <w:t>13130</w:t>
            </w:r>
          </w:p>
        </w:tc>
        <w:tc>
          <w:tcPr>
            <w:tcW w:w="2977" w:type="dxa"/>
            <w:tcBorders>
              <w:top w:val="single" w:sz="4" w:space="0" w:color="auto"/>
              <w:left w:val="single" w:sz="4" w:space="0" w:color="auto"/>
              <w:bottom w:val="single" w:sz="4" w:space="0" w:color="auto"/>
              <w:right w:val="single" w:sz="4" w:space="0" w:color="auto"/>
            </w:tcBorders>
            <w:hideMark/>
          </w:tcPr>
          <w:p w14:paraId="73B6D11C" w14:textId="77777777" w:rsidR="005B699B" w:rsidRDefault="005B699B" w:rsidP="00785BA1">
            <w:pPr>
              <w:pStyle w:val="Tabletext9pt"/>
              <w:rPr>
                <w:szCs w:val="18"/>
                <w:lang w:eastAsia="en-AU"/>
              </w:rPr>
            </w:pPr>
            <w:r>
              <w:rPr>
                <w:szCs w:val="18"/>
                <w:lang w:eastAsia="en-AU"/>
              </w:rPr>
              <w:t>HACC-PYP volunteer coordination – other</w:t>
            </w:r>
          </w:p>
        </w:tc>
        <w:tc>
          <w:tcPr>
            <w:tcW w:w="4342" w:type="dxa"/>
            <w:tcBorders>
              <w:top w:val="single" w:sz="4" w:space="0" w:color="auto"/>
              <w:left w:val="single" w:sz="4" w:space="0" w:color="auto"/>
              <w:bottom w:val="single" w:sz="4" w:space="0" w:color="auto"/>
              <w:right w:val="single" w:sz="4" w:space="0" w:color="auto"/>
            </w:tcBorders>
            <w:hideMark/>
          </w:tcPr>
          <w:p w14:paraId="47811F60" w14:textId="77777777" w:rsidR="005B699B" w:rsidRDefault="005B699B" w:rsidP="00785BA1">
            <w:pPr>
              <w:pStyle w:val="Tabletext9pt"/>
              <w:rPr>
                <w:szCs w:val="18"/>
                <w:lang w:eastAsia="en-AU"/>
              </w:rPr>
            </w:pPr>
            <w:r>
              <w:rPr>
                <w:szCs w:val="18"/>
                <w:lang w:eastAsia="en-AU"/>
              </w:rPr>
              <w:t>Block funding to offset costs of volunteer programs including volunteer reimbursements, police checks and some program costs.</w:t>
            </w:r>
          </w:p>
        </w:tc>
      </w:tr>
      <w:tr w:rsidR="005B699B" w14:paraId="1CD15840" w14:textId="77777777" w:rsidTr="00785BA1">
        <w:trPr>
          <w:trHeight w:val="322"/>
        </w:trPr>
        <w:tc>
          <w:tcPr>
            <w:tcW w:w="1980" w:type="dxa"/>
            <w:tcBorders>
              <w:top w:val="single" w:sz="4" w:space="0" w:color="auto"/>
              <w:left w:val="single" w:sz="4" w:space="0" w:color="auto"/>
              <w:bottom w:val="single" w:sz="4" w:space="0" w:color="auto"/>
              <w:right w:val="single" w:sz="4" w:space="0" w:color="auto"/>
            </w:tcBorders>
            <w:hideMark/>
          </w:tcPr>
          <w:p w14:paraId="1702EF1F" w14:textId="77777777" w:rsidR="005B699B" w:rsidRDefault="005B699B" w:rsidP="00785BA1">
            <w:pPr>
              <w:pStyle w:val="Tabletext9pt"/>
              <w:rPr>
                <w:szCs w:val="18"/>
                <w:lang w:eastAsia="en-AU"/>
              </w:rPr>
            </w:pPr>
            <w:r>
              <w:rPr>
                <w:szCs w:val="18"/>
                <w:lang w:eastAsia="en-AU"/>
              </w:rPr>
              <w:t>13217</w:t>
            </w:r>
          </w:p>
        </w:tc>
        <w:tc>
          <w:tcPr>
            <w:tcW w:w="2977" w:type="dxa"/>
            <w:tcBorders>
              <w:top w:val="single" w:sz="4" w:space="0" w:color="auto"/>
              <w:left w:val="single" w:sz="4" w:space="0" w:color="auto"/>
              <w:bottom w:val="single" w:sz="4" w:space="0" w:color="auto"/>
              <w:right w:val="single" w:sz="4" w:space="0" w:color="auto"/>
            </w:tcBorders>
            <w:hideMark/>
          </w:tcPr>
          <w:p w14:paraId="669C425D" w14:textId="77777777" w:rsidR="005B699B" w:rsidRDefault="005B699B" w:rsidP="00785BA1">
            <w:pPr>
              <w:pStyle w:val="Tabletext9pt"/>
              <w:rPr>
                <w:szCs w:val="18"/>
                <w:lang w:eastAsia="en-AU"/>
              </w:rPr>
            </w:pPr>
            <w:r>
              <w:rPr>
                <w:szCs w:val="18"/>
                <w:lang w:eastAsia="en-AU"/>
              </w:rPr>
              <w:t>HACC-PYP minor capital</w:t>
            </w:r>
          </w:p>
        </w:tc>
        <w:tc>
          <w:tcPr>
            <w:tcW w:w="4342" w:type="dxa"/>
            <w:tcBorders>
              <w:top w:val="single" w:sz="4" w:space="0" w:color="auto"/>
              <w:left w:val="single" w:sz="4" w:space="0" w:color="auto"/>
              <w:bottom w:val="single" w:sz="4" w:space="0" w:color="auto"/>
              <w:right w:val="single" w:sz="4" w:space="0" w:color="auto"/>
            </w:tcBorders>
            <w:hideMark/>
          </w:tcPr>
          <w:p w14:paraId="13AADC47" w14:textId="77777777" w:rsidR="005B699B" w:rsidRDefault="005B699B" w:rsidP="00785BA1">
            <w:pPr>
              <w:pStyle w:val="Tabletext9pt"/>
              <w:rPr>
                <w:szCs w:val="18"/>
                <w:lang w:eastAsia="en-AU"/>
              </w:rPr>
            </w:pPr>
            <w:r>
              <w:rPr>
                <w:szCs w:val="18"/>
                <w:lang w:eastAsia="en-AU"/>
              </w:rPr>
              <w:t>Minor capital funds to HACC-PYP funded organisations to maintain, refurbish or upgrade infrastructure to support HACC-PYP services.</w:t>
            </w:r>
          </w:p>
        </w:tc>
      </w:tr>
      <w:tr w:rsidR="005B699B" w14:paraId="1C488C5A"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26335B87" w14:textId="77777777" w:rsidR="005B699B" w:rsidRDefault="005B699B" w:rsidP="00785BA1">
            <w:pPr>
              <w:pStyle w:val="Tabletext9pt"/>
              <w:rPr>
                <w:szCs w:val="18"/>
                <w:lang w:eastAsia="en-AU"/>
              </w:rPr>
            </w:pPr>
            <w:r>
              <w:rPr>
                <w:szCs w:val="18"/>
                <w:lang w:eastAsia="en-AU"/>
              </w:rPr>
              <w:t>13223</w:t>
            </w:r>
          </w:p>
        </w:tc>
        <w:tc>
          <w:tcPr>
            <w:tcW w:w="2977" w:type="dxa"/>
            <w:tcBorders>
              <w:top w:val="single" w:sz="4" w:space="0" w:color="auto"/>
              <w:left w:val="single" w:sz="4" w:space="0" w:color="auto"/>
              <w:bottom w:val="single" w:sz="4" w:space="0" w:color="auto"/>
              <w:right w:val="single" w:sz="4" w:space="0" w:color="auto"/>
            </w:tcBorders>
            <w:hideMark/>
          </w:tcPr>
          <w:p w14:paraId="1B4B2070" w14:textId="77777777" w:rsidR="005B699B" w:rsidRDefault="005B699B" w:rsidP="00785BA1">
            <w:pPr>
              <w:pStyle w:val="Tabletext9pt"/>
              <w:rPr>
                <w:szCs w:val="18"/>
                <w:lang w:eastAsia="en-AU"/>
              </w:rPr>
            </w:pPr>
            <w:r>
              <w:rPr>
                <w:szCs w:val="18"/>
                <w:lang w:eastAsia="en-AU"/>
              </w:rPr>
              <w:t>HACC-PYP nursing</w:t>
            </w:r>
          </w:p>
        </w:tc>
        <w:tc>
          <w:tcPr>
            <w:tcW w:w="4342" w:type="dxa"/>
            <w:tcBorders>
              <w:top w:val="single" w:sz="4" w:space="0" w:color="auto"/>
              <w:left w:val="single" w:sz="4" w:space="0" w:color="auto"/>
              <w:bottom w:val="single" w:sz="4" w:space="0" w:color="auto"/>
              <w:right w:val="single" w:sz="4" w:space="0" w:color="auto"/>
            </w:tcBorders>
            <w:hideMark/>
          </w:tcPr>
          <w:p w14:paraId="2C282CB9" w14:textId="77777777" w:rsidR="005B699B" w:rsidRDefault="005B699B" w:rsidP="00785BA1">
            <w:pPr>
              <w:pStyle w:val="Tabletext9pt"/>
              <w:rPr>
                <w:szCs w:val="18"/>
                <w:lang w:eastAsia="en-AU"/>
              </w:rPr>
            </w:pPr>
            <w:r>
              <w:rPr>
                <w:szCs w:val="18"/>
                <w:lang w:eastAsia="en-AU"/>
              </w:rPr>
              <w:t xml:space="preserve">Professional nursing care including direct clinical care, clinical assessment to </w:t>
            </w:r>
            <w:r>
              <w:t>HACC-PYP clients</w:t>
            </w:r>
            <w:r>
              <w:rPr>
                <w:szCs w:val="18"/>
                <w:lang w:eastAsia="en-AU"/>
              </w:rPr>
              <w:t>.</w:t>
            </w:r>
          </w:p>
        </w:tc>
      </w:tr>
      <w:tr w:rsidR="005B699B" w14:paraId="0200A237"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263D15B0" w14:textId="77777777" w:rsidR="005B699B" w:rsidRDefault="005B699B" w:rsidP="00785BA1">
            <w:pPr>
              <w:pStyle w:val="Tabletext9pt"/>
              <w:rPr>
                <w:szCs w:val="18"/>
                <w:lang w:eastAsia="en-AU"/>
              </w:rPr>
            </w:pPr>
            <w:r>
              <w:rPr>
                <w:szCs w:val="18"/>
                <w:lang w:eastAsia="en-AU"/>
              </w:rPr>
              <w:t>13227</w:t>
            </w:r>
          </w:p>
        </w:tc>
        <w:tc>
          <w:tcPr>
            <w:tcW w:w="2977" w:type="dxa"/>
            <w:tcBorders>
              <w:top w:val="single" w:sz="4" w:space="0" w:color="auto"/>
              <w:left w:val="single" w:sz="4" w:space="0" w:color="auto"/>
              <w:bottom w:val="single" w:sz="4" w:space="0" w:color="auto"/>
              <w:right w:val="single" w:sz="4" w:space="0" w:color="auto"/>
            </w:tcBorders>
            <w:hideMark/>
          </w:tcPr>
          <w:p w14:paraId="1075D53C" w14:textId="77777777" w:rsidR="005B699B" w:rsidRDefault="005B699B" w:rsidP="00785BA1">
            <w:pPr>
              <w:pStyle w:val="Tabletext9pt"/>
              <w:rPr>
                <w:szCs w:val="18"/>
                <w:lang w:eastAsia="en-AU"/>
              </w:rPr>
            </w:pPr>
            <w:r>
              <w:rPr>
                <w:szCs w:val="18"/>
                <w:lang w:eastAsia="en-AU"/>
              </w:rPr>
              <w:t>ACCO services – HACC-PYP</w:t>
            </w:r>
          </w:p>
        </w:tc>
        <w:tc>
          <w:tcPr>
            <w:tcW w:w="4342" w:type="dxa"/>
            <w:tcBorders>
              <w:top w:val="single" w:sz="4" w:space="0" w:color="auto"/>
              <w:left w:val="single" w:sz="4" w:space="0" w:color="auto"/>
              <w:bottom w:val="single" w:sz="4" w:space="0" w:color="auto"/>
              <w:right w:val="single" w:sz="4" w:space="0" w:color="auto"/>
            </w:tcBorders>
            <w:hideMark/>
          </w:tcPr>
          <w:p w14:paraId="13821F8A" w14:textId="77777777" w:rsidR="005B699B" w:rsidRDefault="005B699B" w:rsidP="00785BA1">
            <w:pPr>
              <w:pStyle w:val="Tabletext9pt"/>
              <w:rPr>
                <w:szCs w:val="18"/>
                <w:lang w:eastAsia="en-AU"/>
              </w:rPr>
            </w:pPr>
            <w:r>
              <w:rPr>
                <w:szCs w:val="18"/>
                <w:lang w:eastAsia="en-AU"/>
              </w:rPr>
              <w:t>Funding for HACC-PYP services provided by Aboriginal community-controlled organisations.</w:t>
            </w:r>
          </w:p>
        </w:tc>
      </w:tr>
      <w:tr w:rsidR="005B699B" w14:paraId="35ED029F"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6D5BCA7B" w14:textId="77777777" w:rsidR="005B699B" w:rsidRDefault="005B699B" w:rsidP="00785BA1">
            <w:pPr>
              <w:pStyle w:val="Tabletext9pt"/>
              <w:rPr>
                <w:szCs w:val="18"/>
                <w:lang w:eastAsia="en-AU"/>
              </w:rPr>
            </w:pPr>
            <w:r>
              <w:rPr>
                <w:szCs w:val="18"/>
                <w:lang w:eastAsia="en-AU"/>
              </w:rPr>
              <w:t>13229</w:t>
            </w:r>
          </w:p>
        </w:tc>
        <w:tc>
          <w:tcPr>
            <w:tcW w:w="2977" w:type="dxa"/>
            <w:tcBorders>
              <w:top w:val="single" w:sz="4" w:space="0" w:color="auto"/>
              <w:left w:val="single" w:sz="4" w:space="0" w:color="auto"/>
              <w:bottom w:val="single" w:sz="4" w:space="0" w:color="auto"/>
              <w:right w:val="single" w:sz="4" w:space="0" w:color="auto"/>
            </w:tcBorders>
            <w:hideMark/>
          </w:tcPr>
          <w:p w14:paraId="7573BADB" w14:textId="77777777" w:rsidR="005B699B" w:rsidRDefault="005B699B" w:rsidP="00785BA1">
            <w:pPr>
              <w:pStyle w:val="Tabletext9pt"/>
              <w:keepNext/>
              <w:keepLines/>
              <w:rPr>
                <w:szCs w:val="18"/>
                <w:lang w:eastAsia="en-AU"/>
              </w:rPr>
            </w:pPr>
            <w:r>
              <w:rPr>
                <w:szCs w:val="18"/>
                <w:lang w:eastAsia="en-AU"/>
              </w:rPr>
              <w:t>HACC-PYP access and support</w:t>
            </w:r>
          </w:p>
        </w:tc>
        <w:tc>
          <w:tcPr>
            <w:tcW w:w="4342" w:type="dxa"/>
            <w:tcBorders>
              <w:top w:val="single" w:sz="4" w:space="0" w:color="auto"/>
              <w:left w:val="single" w:sz="4" w:space="0" w:color="auto"/>
              <w:bottom w:val="single" w:sz="4" w:space="0" w:color="auto"/>
              <w:right w:val="single" w:sz="4" w:space="0" w:color="auto"/>
            </w:tcBorders>
            <w:hideMark/>
          </w:tcPr>
          <w:p w14:paraId="73D46329" w14:textId="77777777" w:rsidR="005B699B" w:rsidRDefault="005B699B" w:rsidP="00785BA1">
            <w:pPr>
              <w:pStyle w:val="Tabletext9pt"/>
              <w:rPr>
                <w:szCs w:val="18"/>
                <w:lang w:eastAsia="en-AU"/>
              </w:rPr>
            </w:pPr>
            <w:r>
              <w:rPr>
                <w:szCs w:val="18"/>
                <w:lang w:eastAsia="en-AU"/>
              </w:rPr>
              <w:t xml:space="preserve">One-on-one support for eligible people aged birth to 65 years who experience barriers in accessing a wide range of services.  </w:t>
            </w:r>
          </w:p>
        </w:tc>
      </w:tr>
    </w:tbl>
    <w:p w14:paraId="608A68CC" w14:textId="77777777" w:rsidR="005B699B" w:rsidRDefault="005B699B" w:rsidP="005D3438">
      <w:pPr>
        <w:pStyle w:val="Bodyafterfiguretable"/>
      </w:pPr>
      <w:r>
        <w:t>Output name: Aged Care Assessment Service</w:t>
      </w:r>
    </w:p>
    <w:tbl>
      <w:tblPr>
        <w:tblW w:w="9299" w:type="dxa"/>
        <w:tblLook w:val="06A0" w:firstRow="1" w:lastRow="0" w:firstColumn="1" w:lastColumn="0" w:noHBand="1" w:noVBand="1"/>
      </w:tblPr>
      <w:tblGrid>
        <w:gridCol w:w="1980"/>
        <w:gridCol w:w="2977"/>
        <w:gridCol w:w="4342"/>
      </w:tblGrid>
      <w:tr w:rsidR="005B699B" w14:paraId="3B4F4F55" w14:textId="77777777" w:rsidTr="00785BA1">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38E34E8C" w14:textId="77777777" w:rsidR="005B699B" w:rsidRPr="00F717FB" w:rsidRDefault="005B699B" w:rsidP="00785BA1">
            <w:pPr>
              <w:pStyle w:val="Tablecolhead"/>
              <w:rPr>
                <w:rFonts w:eastAsia="Arial"/>
                <w:szCs w:val="21"/>
              </w:rPr>
            </w:pPr>
            <w:r w:rsidRPr="00F717FB">
              <w:rPr>
                <w:rFonts w:eastAsia="Arial"/>
                <w:szCs w:val="21"/>
              </w:rPr>
              <w:t>Activity no.</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0349350B"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2A8494DB"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115C674B"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6CA33C14" w14:textId="77777777" w:rsidR="005B699B" w:rsidRDefault="005B699B" w:rsidP="00785BA1">
            <w:pPr>
              <w:pStyle w:val="Tabletext9pt"/>
              <w:rPr>
                <w:szCs w:val="18"/>
                <w:lang w:eastAsia="en-AU"/>
              </w:rPr>
            </w:pPr>
            <w:r>
              <w:t>13109</w:t>
            </w:r>
          </w:p>
        </w:tc>
        <w:tc>
          <w:tcPr>
            <w:tcW w:w="2977" w:type="dxa"/>
            <w:tcBorders>
              <w:top w:val="single" w:sz="4" w:space="0" w:color="auto"/>
              <w:left w:val="single" w:sz="4" w:space="0" w:color="auto"/>
              <w:bottom w:val="single" w:sz="4" w:space="0" w:color="auto"/>
              <w:right w:val="single" w:sz="4" w:space="0" w:color="auto"/>
            </w:tcBorders>
            <w:hideMark/>
          </w:tcPr>
          <w:p w14:paraId="4D44C10D" w14:textId="77777777" w:rsidR="005B699B" w:rsidRDefault="005B699B" w:rsidP="00785BA1">
            <w:pPr>
              <w:pStyle w:val="Tabletext9pt"/>
              <w:rPr>
                <w:szCs w:val="18"/>
                <w:lang w:eastAsia="en-AU"/>
              </w:rPr>
            </w:pPr>
            <w:r>
              <w:t>Aged Care Assessment Services evaluation</w:t>
            </w:r>
          </w:p>
        </w:tc>
        <w:tc>
          <w:tcPr>
            <w:tcW w:w="4342" w:type="dxa"/>
            <w:tcBorders>
              <w:top w:val="single" w:sz="4" w:space="0" w:color="auto"/>
              <w:left w:val="single" w:sz="4" w:space="0" w:color="auto"/>
              <w:bottom w:val="single" w:sz="4" w:space="0" w:color="auto"/>
              <w:right w:val="single" w:sz="4" w:space="0" w:color="auto"/>
            </w:tcBorders>
            <w:hideMark/>
          </w:tcPr>
          <w:p w14:paraId="61AEFE3D" w14:textId="77777777" w:rsidR="005B699B" w:rsidRDefault="005B699B" w:rsidP="00785BA1">
            <w:pPr>
              <w:pStyle w:val="Tabletext9pt"/>
              <w:rPr>
                <w:szCs w:val="18"/>
                <w:lang w:eastAsia="en-AU"/>
              </w:rPr>
            </w:pPr>
            <w:r>
              <w:t>Audit data integrity and conformance with My Aged Care systems and processes.</w:t>
            </w:r>
          </w:p>
        </w:tc>
      </w:tr>
    </w:tbl>
    <w:p w14:paraId="20F368C3" w14:textId="77777777" w:rsidR="005B699B" w:rsidRDefault="005B699B" w:rsidP="005D3438">
      <w:pPr>
        <w:pStyle w:val="Bodyafterfiguretable"/>
        <w:rPr>
          <w:lang w:eastAsia="en-AU"/>
        </w:rPr>
      </w:pPr>
      <w:r>
        <w:t xml:space="preserve">Output name: </w:t>
      </w:r>
      <w:r>
        <w:rPr>
          <w:lang w:eastAsia="en-AU"/>
        </w:rPr>
        <w:t xml:space="preserve">Commonwealth Aged Care Assessment </w:t>
      </w:r>
      <w:r>
        <w:t xml:space="preserve">– </w:t>
      </w:r>
      <w:r>
        <w:rPr>
          <w:lang w:eastAsia="en-AU"/>
        </w:rPr>
        <w:t>Regional Assessment Service</w:t>
      </w:r>
    </w:p>
    <w:tbl>
      <w:tblPr>
        <w:tblW w:w="9299" w:type="dxa"/>
        <w:tblLook w:val="06A0" w:firstRow="1" w:lastRow="0" w:firstColumn="1" w:lastColumn="0" w:noHBand="1" w:noVBand="1"/>
      </w:tblPr>
      <w:tblGrid>
        <w:gridCol w:w="1980"/>
        <w:gridCol w:w="2977"/>
        <w:gridCol w:w="4342"/>
      </w:tblGrid>
      <w:tr w:rsidR="005B699B" w14:paraId="1DDC01F1" w14:textId="77777777" w:rsidTr="00785BA1">
        <w:trPr>
          <w:tblHeader/>
        </w:trPr>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3506C361" w14:textId="77777777" w:rsidR="005B699B" w:rsidRPr="00731B6C" w:rsidRDefault="005B699B" w:rsidP="00785BA1">
            <w:pPr>
              <w:pStyle w:val="Tablecolhead"/>
            </w:pPr>
            <w:r w:rsidRPr="00794737">
              <w:t>Activity no.</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5F821F1A" w14:textId="77777777" w:rsidR="005B699B" w:rsidRPr="00731B6C" w:rsidRDefault="005B699B" w:rsidP="00785BA1">
            <w:pPr>
              <w:pStyle w:val="Tablecolhead"/>
            </w:pPr>
            <w:r w:rsidRPr="00794737">
              <w:t>Activity name</w:t>
            </w:r>
          </w:p>
        </w:tc>
        <w:tc>
          <w:tcPr>
            <w:tcW w:w="0" w:type="dxa"/>
            <w:tcBorders>
              <w:top w:val="single" w:sz="4" w:space="0" w:color="auto"/>
              <w:left w:val="single" w:sz="4" w:space="0" w:color="auto"/>
              <w:bottom w:val="single" w:sz="4" w:space="0" w:color="auto"/>
              <w:right w:val="single" w:sz="4" w:space="0" w:color="auto"/>
            </w:tcBorders>
            <w:shd w:val="clear" w:color="auto" w:fill="auto"/>
            <w:hideMark/>
          </w:tcPr>
          <w:p w14:paraId="1DF0117F" w14:textId="77777777" w:rsidR="005B699B" w:rsidRPr="00731B6C" w:rsidRDefault="005B699B" w:rsidP="00785BA1">
            <w:pPr>
              <w:pStyle w:val="Tablecolhead"/>
            </w:pPr>
            <w:r w:rsidRPr="00794737">
              <w:t>Activity description</w:t>
            </w:r>
          </w:p>
        </w:tc>
      </w:tr>
      <w:tr w:rsidR="005B699B" w14:paraId="55F0BC98"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1C4334FF" w14:textId="77777777" w:rsidR="005B699B" w:rsidRDefault="005B699B" w:rsidP="00785BA1">
            <w:pPr>
              <w:pStyle w:val="Tabletext9pt"/>
              <w:rPr>
                <w:szCs w:val="18"/>
                <w:lang w:eastAsia="en-AU"/>
              </w:rPr>
            </w:pPr>
            <w:r>
              <w:t>13230</w:t>
            </w:r>
          </w:p>
        </w:tc>
        <w:tc>
          <w:tcPr>
            <w:tcW w:w="2977" w:type="dxa"/>
            <w:tcBorders>
              <w:top w:val="single" w:sz="4" w:space="0" w:color="auto"/>
              <w:left w:val="single" w:sz="4" w:space="0" w:color="auto"/>
              <w:bottom w:val="single" w:sz="4" w:space="0" w:color="auto"/>
              <w:right w:val="single" w:sz="4" w:space="0" w:color="auto"/>
            </w:tcBorders>
            <w:hideMark/>
          </w:tcPr>
          <w:p w14:paraId="5954E830" w14:textId="77777777" w:rsidR="005B699B" w:rsidRDefault="005B699B" w:rsidP="00785BA1">
            <w:pPr>
              <w:pStyle w:val="Tabletext9pt"/>
              <w:rPr>
                <w:szCs w:val="18"/>
                <w:lang w:eastAsia="en-AU"/>
              </w:rPr>
            </w:pPr>
            <w:r>
              <w:t>Regional Assessment Service</w:t>
            </w:r>
          </w:p>
        </w:tc>
        <w:tc>
          <w:tcPr>
            <w:tcW w:w="4342" w:type="dxa"/>
            <w:tcBorders>
              <w:top w:val="single" w:sz="4" w:space="0" w:color="auto"/>
              <w:left w:val="single" w:sz="4" w:space="0" w:color="auto"/>
              <w:bottom w:val="single" w:sz="4" w:space="0" w:color="auto"/>
              <w:right w:val="single" w:sz="4" w:space="0" w:color="auto"/>
            </w:tcBorders>
            <w:hideMark/>
          </w:tcPr>
          <w:p w14:paraId="295C5334" w14:textId="77777777" w:rsidR="005B699B" w:rsidRDefault="005B699B" w:rsidP="00785BA1">
            <w:pPr>
              <w:pStyle w:val="Tabletext9pt"/>
              <w:rPr>
                <w:szCs w:val="18"/>
                <w:lang w:eastAsia="en-AU"/>
              </w:rPr>
            </w:pPr>
            <w:r>
              <w:t>Assess care needs of frail older people and determine eligibility for the Commonwealth Home Support Programme.</w:t>
            </w:r>
          </w:p>
        </w:tc>
      </w:tr>
    </w:tbl>
    <w:p w14:paraId="0F7FF0BC" w14:textId="77777777" w:rsidR="005B699B" w:rsidRDefault="005B699B" w:rsidP="00794737">
      <w:pPr>
        <w:pStyle w:val="Bodyafterfiguretable"/>
        <w:rPr>
          <w:lang w:eastAsia="en-AU"/>
        </w:rPr>
      </w:pPr>
      <w:r>
        <w:lastRenderedPageBreak/>
        <w:t>Output name: Aged support services</w:t>
      </w:r>
    </w:p>
    <w:tbl>
      <w:tblPr>
        <w:tblW w:w="9299" w:type="dxa"/>
        <w:tblLook w:val="06A0" w:firstRow="1" w:lastRow="0" w:firstColumn="1" w:lastColumn="0" w:noHBand="1" w:noVBand="1"/>
      </w:tblPr>
      <w:tblGrid>
        <w:gridCol w:w="1980"/>
        <w:gridCol w:w="2977"/>
        <w:gridCol w:w="4342"/>
      </w:tblGrid>
      <w:tr w:rsidR="005B699B" w14:paraId="164F1A07" w14:textId="77777777" w:rsidTr="00161B56">
        <w:trPr>
          <w:tblHead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4303C9" w14:textId="77777777" w:rsidR="005B699B" w:rsidRPr="00F717FB" w:rsidRDefault="005B699B" w:rsidP="00785BA1">
            <w:pPr>
              <w:pStyle w:val="Tablecolhead"/>
              <w:rPr>
                <w:rFonts w:eastAsia="Arial"/>
                <w:szCs w:val="21"/>
              </w:rPr>
            </w:pPr>
            <w:r w:rsidRPr="00F717FB">
              <w:rPr>
                <w:rFonts w:eastAsia="Arial"/>
                <w:szCs w:val="21"/>
              </w:rPr>
              <w:t>Activity no.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7F5054B"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14:paraId="4DD8EED4"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14:paraId="02827EF5"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73A63E4E" w14:textId="77777777" w:rsidR="005B699B" w:rsidRDefault="005B699B" w:rsidP="00785BA1">
            <w:pPr>
              <w:pStyle w:val="Tabletext9pt"/>
              <w:keepNext/>
              <w:keepLines/>
            </w:pPr>
            <w:r>
              <w:t>13019</w:t>
            </w:r>
          </w:p>
        </w:tc>
        <w:tc>
          <w:tcPr>
            <w:tcW w:w="2977" w:type="dxa"/>
            <w:tcBorders>
              <w:top w:val="single" w:sz="4" w:space="0" w:color="auto"/>
              <w:left w:val="single" w:sz="4" w:space="0" w:color="auto"/>
              <w:bottom w:val="single" w:sz="4" w:space="0" w:color="auto"/>
              <w:right w:val="single" w:sz="4" w:space="0" w:color="auto"/>
            </w:tcBorders>
            <w:hideMark/>
          </w:tcPr>
          <w:p w14:paraId="4BB12647" w14:textId="77777777" w:rsidR="005B699B" w:rsidRDefault="005B699B" w:rsidP="00785BA1">
            <w:pPr>
              <w:pStyle w:val="Tabletext9pt"/>
              <w:keepNext/>
              <w:keepLines/>
            </w:pPr>
            <w:r>
              <w:t>Personal Alert Victoria</w:t>
            </w:r>
          </w:p>
        </w:tc>
        <w:tc>
          <w:tcPr>
            <w:tcW w:w="4342" w:type="dxa"/>
            <w:tcBorders>
              <w:top w:val="single" w:sz="4" w:space="0" w:color="auto"/>
              <w:left w:val="single" w:sz="4" w:space="0" w:color="auto"/>
              <w:bottom w:val="single" w:sz="4" w:space="0" w:color="auto"/>
              <w:right w:val="single" w:sz="4" w:space="0" w:color="auto"/>
            </w:tcBorders>
            <w:hideMark/>
          </w:tcPr>
          <w:p w14:paraId="661659DE" w14:textId="77777777" w:rsidR="005B699B" w:rsidRDefault="005B699B" w:rsidP="00785BA1">
            <w:pPr>
              <w:pStyle w:val="Tabletext9pt"/>
              <w:keepNext/>
              <w:keepLines/>
            </w:pPr>
            <w:r>
              <w:t>Daily monitoring and emergency response service for frail older people and people with a disability who have high ongoing health and support needs and mostly live alone.</w:t>
            </w:r>
          </w:p>
        </w:tc>
      </w:tr>
      <w:tr w:rsidR="005B699B" w14:paraId="08FF1281"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634D204B" w14:textId="77777777" w:rsidR="005B699B" w:rsidRDefault="005B699B" w:rsidP="00785BA1">
            <w:pPr>
              <w:pStyle w:val="Tabletext9pt"/>
              <w:keepNext/>
              <w:keepLines/>
            </w:pPr>
            <w:r>
              <w:t>13053</w:t>
            </w:r>
          </w:p>
        </w:tc>
        <w:tc>
          <w:tcPr>
            <w:tcW w:w="2977" w:type="dxa"/>
            <w:tcBorders>
              <w:top w:val="single" w:sz="4" w:space="0" w:color="auto"/>
              <w:left w:val="single" w:sz="4" w:space="0" w:color="auto"/>
              <w:bottom w:val="single" w:sz="4" w:space="0" w:color="auto"/>
              <w:right w:val="single" w:sz="4" w:space="0" w:color="auto"/>
            </w:tcBorders>
            <w:hideMark/>
          </w:tcPr>
          <w:p w14:paraId="20DCCC4B" w14:textId="77777777" w:rsidR="005B699B" w:rsidRDefault="005B699B" w:rsidP="00785BA1">
            <w:pPr>
              <w:pStyle w:val="Tabletext9pt"/>
              <w:keepNext/>
              <w:keepLines/>
            </w:pPr>
            <w:r>
              <w:t>Victorian Eyecare Service</w:t>
            </w:r>
          </w:p>
        </w:tc>
        <w:tc>
          <w:tcPr>
            <w:tcW w:w="4342" w:type="dxa"/>
            <w:tcBorders>
              <w:top w:val="single" w:sz="4" w:space="0" w:color="auto"/>
              <w:left w:val="single" w:sz="4" w:space="0" w:color="auto"/>
              <w:bottom w:val="single" w:sz="4" w:space="0" w:color="auto"/>
              <w:right w:val="single" w:sz="4" w:space="0" w:color="auto"/>
            </w:tcBorders>
            <w:hideMark/>
          </w:tcPr>
          <w:p w14:paraId="51962B11" w14:textId="77777777" w:rsidR="005B699B" w:rsidRDefault="005B699B" w:rsidP="00785BA1">
            <w:pPr>
              <w:pStyle w:val="Tabletext9pt"/>
              <w:keepNext/>
              <w:keepLines/>
            </w:pPr>
            <w:r>
              <w:t>Provides subsidised eyecare and visual aids to people experiencing disadvantage via metropolitan, outreach and rural services.</w:t>
            </w:r>
          </w:p>
        </w:tc>
      </w:tr>
      <w:tr w:rsidR="005B699B" w14:paraId="3F237162" w14:textId="77777777" w:rsidTr="00785BA1">
        <w:tc>
          <w:tcPr>
            <w:tcW w:w="1980" w:type="dxa"/>
            <w:tcBorders>
              <w:top w:val="single" w:sz="4" w:space="0" w:color="auto"/>
              <w:left w:val="single" w:sz="4" w:space="0" w:color="auto"/>
              <w:bottom w:val="single" w:sz="4" w:space="0" w:color="auto"/>
              <w:right w:val="single" w:sz="4" w:space="0" w:color="auto"/>
            </w:tcBorders>
            <w:hideMark/>
          </w:tcPr>
          <w:p w14:paraId="3C75A4D9" w14:textId="77777777" w:rsidR="005B699B" w:rsidRDefault="005B699B" w:rsidP="00785BA1">
            <w:pPr>
              <w:pStyle w:val="Tabletext9pt"/>
            </w:pPr>
            <w:r>
              <w:t>13155</w:t>
            </w:r>
          </w:p>
        </w:tc>
        <w:tc>
          <w:tcPr>
            <w:tcW w:w="2977" w:type="dxa"/>
            <w:tcBorders>
              <w:top w:val="single" w:sz="4" w:space="0" w:color="auto"/>
              <w:left w:val="single" w:sz="4" w:space="0" w:color="auto"/>
              <w:bottom w:val="single" w:sz="4" w:space="0" w:color="auto"/>
              <w:right w:val="single" w:sz="4" w:space="0" w:color="auto"/>
            </w:tcBorders>
            <w:hideMark/>
          </w:tcPr>
          <w:p w14:paraId="0841E556" w14:textId="77777777" w:rsidR="005B699B" w:rsidRDefault="005B699B" w:rsidP="00785BA1">
            <w:pPr>
              <w:pStyle w:val="Tabletext9pt"/>
            </w:pPr>
            <w:r>
              <w:t>Dementia Services</w:t>
            </w:r>
          </w:p>
        </w:tc>
        <w:tc>
          <w:tcPr>
            <w:tcW w:w="4342" w:type="dxa"/>
            <w:tcBorders>
              <w:top w:val="single" w:sz="4" w:space="0" w:color="auto"/>
              <w:left w:val="single" w:sz="4" w:space="0" w:color="auto"/>
              <w:bottom w:val="single" w:sz="4" w:space="0" w:color="auto"/>
              <w:right w:val="single" w:sz="4" w:space="0" w:color="auto"/>
            </w:tcBorders>
            <w:hideMark/>
          </w:tcPr>
          <w:p w14:paraId="6307D92D" w14:textId="77777777" w:rsidR="005B699B" w:rsidRDefault="005B699B" w:rsidP="00785BA1">
            <w:pPr>
              <w:pStyle w:val="Tabletext9pt"/>
            </w:pPr>
            <w:r>
              <w:t>Funding to Dementia Australia (Victoria) for direct client and carer support, sector education and training, consumer engagement and dementia awareness activities.</w:t>
            </w:r>
          </w:p>
        </w:tc>
      </w:tr>
      <w:tr w:rsidR="005B699B" w14:paraId="1E5DDF8D" w14:textId="77777777" w:rsidTr="00785BA1">
        <w:trPr>
          <w:cantSplit/>
        </w:trPr>
        <w:tc>
          <w:tcPr>
            <w:tcW w:w="1980" w:type="dxa"/>
            <w:tcBorders>
              <w:top w:val="single" w:sz="4" w:space="0" w:color="auto"/>
              <w:left w:val="single" w:sz="4" w:space="0" w:color="auto"/>
              <w:bottom w:val="single" w:sz="4" w:space="0" w:color="auto"/>
              <w:right w:val="single" w:sz="4" w:space="0" w:color="auto"/>
            </w:tcBorders>
            <w:hideMark/>
          </w:tcPr>
          <w:p w14:paraId="4DC194DE" w14:textId="77777777" w:rsidR="005B699B" w:rsidRPr="00731B6C" w:rsidRDefault="005B699B" w:rsidP="00785BA1">
            <w:pPr>
              <w:pStyle w:val="Tabletext9pt"/>
            </w:pPr>
            <w:r w:rsidRPr="00731B6C">
              <w:t>13082</w:t>
            </w:r>
          </w:p>
        </w:tc>
        <w:tc>
          <w:tcPr>
            <w:tcW w:w="2977" w:type="dxa"/>
            <w:tcBorders>
              <w:top w:val="single" w:sz="4" w:space="0" w:color="auto"/>
              <w:left w:val="single" w:sz="4" w:space="0" w:color="auto"/>
              <w:bottom w:val="single" w:sz="4" w:space="0" w:color="auto"/>
              <w:right w:val="single" w:sz="4" w:space="0" w:color="auto"/>
            </w:tcBorders>
            <w:hideMark/>
          </w:tcPr>
          <w:p w14:paraId="1678E171" w14:textId="77777777" w:rsidR="005B699B" w:rsidRPr="00731B6C" w:rsidRDefault="005B699B" w:rsidP="00785BA1">
            <w:pPr>
              <w:pStyle w:val="Tabletext9pt"/>
            </w:pPr>
            <w:r w:rsidRPr="00731B6C">
              <w:t>Low-cost Accommodation Support</w:t>
            </w:r>
          </w:p>
        </w:tc>
        <w:tc>
          <w:tcPr>
            <w:tcW w:w="4342" w:type="dxa"/>
            <w:tcBorders>
              <w:top w:val="single" w:sz="4" w:space="0" w:color="auto"/>
              <w:left w:val="single" w:sz="4" w:space="0" w:color="auto"/>
              <w:bottom w:val="single" w:sz="4" w:space="0" w:color="auto"/>
              <w:right w:val="single" w:sz="4" w:space="0" w:color="auto"/>
            </w:tcBorders>
            <w:hideMark/>
          </w:tcPr>
          <w:p w14:paraId="366D68E5" w14:textId="77777777" w:rsidR="005B699B" w:rsidRDefault="005B699B" w:rsidP="00785BA1">
            <w:pPr>
              <w:pStyle w:val="Tabletext9pt"/>
            </w:pPr>
            <w:r>
              <w:t>Outreach programs for older and vulnerable Victorians with unmet complex needs who are homeless or living in insecure or low-cost accommodation. Programs link clients to relevant health, community care and welfare services to improve their health, social connectedness and stabilise their tenancies.</w:t>
            </w:r>
          </w:p>
        </w:tc>
      </w:tr>
    </w:tbl>
    <w:p w14:paraId="36727806" w14:textId="77777777" w:rsidR="00A97999" w:rsidRDefault="00A97999" w:rsidP="00A97999">
      <w:pPr>
        <w:pStyle w:val="Body"/>
        <w:rPr>
          <w:b/>
        </w:rPr>
      </w:pPr>
    </w:p>
    <w:p w14:paraId="4625EAED" w14:textId="3FD84713" w:rsidR="00A97999" w:rsidRPr="00A97999" w:rsidRDefault="00A97999" w:rsidP="00A97999">
      <w:pPr>
        <w:pStyle w:val="Body"/>
        <w:rPr>
          <w:b/>
          <w:bCs/>
        </w:rPr>
      </w:pPr>
      <w:r w:rsidRPr="00A97999">
        <w:rPr>
          <w:b/>
        </w:rPr>
        <w:t>Table 1.</w:t>
      </w:r>
      <w:r w:rsidRPr="00A97999">
        <w:rPr>
          <w:b/>
        </w:rPr>
        <w:fldChar w:fldCharType="begin"/>
      </w:r>
      <w:r w:rsidRPr="00A97999">
        <w:rPr>
          <w:b/>
        </w:rPr>
        <w:instrText xml:space="preserve"> SEQ Table \* ARABIC </w:instrText>
      </w:r>
      <w:r w:rsidRPr="00A97999">
        <w:rPr>
          <w:b/>
        </w:rPr>
        <w:fldChar w:fldCharType="separate"/>
      </w:r>
      <w:r w:rsidR="00F30C16">
        <w:rPr>
          <w:b/>
          <w:noProof/>
        </w:rPr>
        <w:t>29</w:t>
      </w:r>
      <w:r w:rsidRPr="00A97999">
        <w:rPr>
          <w:b/>
        </w:rPr>
        <w:fldChar w:fldCharType="end"/>
      </w:r>
      <w:r w:rsidRPr="00A97999">
        <w:rPr>
          <w:b/>
        </w:rPr>
        <w:t xml:space="preserve">: </w:t>
      </w:r>
      <w:r w:rsidRPr="00A97999">
        <w:rPr>
          <w:b/>
          <w:bCs/>
        </w:rPr>
        <w:t>Public health – outputs and activities</w:t>
      </w:r>
      <w:r>
        <w:t xml:space="preserve"> </w:t>
      </w:r>
      <w:r w:rsidRPr="00A97999">
        <w:rPr>
          <w:b/>
          <w:bCs/>
        </w:rPr>
        <w:t>2024–25</w:t>
      </w:r>
    </w:p>
    <w:p w14:paraId="0579BA96" w14:textId="77777777" w:rsidR="005B699B" w:rsidRDefault="005B699B" w:rsidP="003A26BD">
      <w:pPr>
        <w:pStyle w:val="Body"/>
        <w:keepNext/>
        <w:keepLines/>
        <w:spacing w:line="240" w:lineRule="auto"/>
      </w:pPr>
      <w:r>
        <w:t>Output name: Health advancement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13"/>
        <w:gridCol w:w="3740"/>
        <w:gridCol w:w="4056"/>
      </w:tblGrid>
      <w:tr w:rsidR="005B699B" w:rsidRPr="0090298C" w14:paraId="1A8B1BDF" w14:textId="77777777" w:rsidTr="003A26BD">
        <w:trPr>
          <w:tblHeader/>
        </w:trPr>
        <w:tc>
          <w:tcPr>
            <w:tcW w:w="1413" w:type="dxa"/>
            <w:shd w:val="clear" w:color="auto" w:fill="auto"/>
          </w:tcPr>
          <w:p w14:paraId="29F7C60A" w14:textId="77777777" w:rsidR="005B699B" w:rsidRPr="002A2CD9" w:rsidRDefault="005B699B" w:rsidP="00785BA1">
            <w:pPr>
              <w:pStyle w:val="Tablecolhead"/>
              <w:rPr>
                <w:rFonts w:eastAsia="Arial"/>
                <w:szCs w:val="21"/>
              </w:rPr>
            </w:pPr>
            <w:r w:rsidRPr="002A2CD9">
              <w:rPr>
                <w:rFonts w:eastAsia="Arial"/>
                <w:szCs w:val="21"/>
              </w:rPr>
              <w:t>Activity no.</w:t>
            </w:r>
          </w:p>
        </w:tc>
        <w:tc>
          <w:tcPr>
            <w:tcW w:w="3740" w:type="dxa"/>
            <w:shd w:val="clear" w:color="auto" w:fill="auto"/>
          </w:tcPr>
          <w:p w14:paraId="2175344B" w14:textId="77777777" w:rsidR="005B699B" w:rsidRPr="002A2CD9" w:rsidRDefault="005B699B" w:rsidP="00785BA1">
            <w:pPr>
              <w:pStyle w:val="Tablecolhead"/>
              <w:rPr>
                <w:rFonts w:eastAsia="Arial"/>
                <w:szCs w:val="21"/>
              </w:rPr>
            </w:pPr>
            <w:r w:rsidRPr="002A2CD9">
              <w:rPr>
                <w:rFonts w:eastAsia="Arial"/>
                <w:szCs w:val="21"/>
              </w:rPr>
              <w:t>Activity name</w:t>
            </w:r>
          </w:p>
        </w:tc>
        <w:tc>
          <w:tcPr>
            <w:tcW w:w="4056" w:type="dxa"/>
            <w:shd w:val="clear" w:color="auto" w:fill="auto"/>
          </w:tcPr>
          <w:p w14:paraId="2863DFBD" w14:textId="77777777" w:rsidR="005B699B" w:rsidRPr="002A2CD9" w:rsidRDefault="005B699B" w:rsidP="00785BA1">
            <w:pPr>
              <w:pStyle w:val="Tablecolhead"/>
              <w:rPr>
                <w:rFonts w:eastAsia="Arial"/>
                <w:szCs w:val="21"/>
              </w:rPr>
            </w:pPr>
            <w:r w:rsidRPr="002A2CD9">
              <w:rPr>
                <w:rFonts w:eastAsia="Arial"/>
                <w:szCs w:val="21"/>
              </w:rPr>
              <w:t>Activity description</w:t>
            </w:r>
          </w:p>
        </w:tc>
      </w:tr>
      <w:tr w:rsidR="005B699B" w:rsidRPr="004E0550" w14:paraId="33762B86" w14:textId="77777777" w:rsidTr="003A26BD">
        <w:tc>
          <w:tcPr>
            <w:tcW w:w="1413" w:type="dxa"/>
          </w:tcPr>
          <w:p w14:paraId="65B8F50E" w14:textId="77777777" w:rsidR="005B699B" w:rsidRPr="00674F20" w:rsidRDefault="005B699B" w:rsidP="00785BA1">
            <w:pPr>
              <w:pStyle w:val="Tabletext9pt"/>
              <w:rPr>
                <w:szCs w:val="18"/>
              </w:rPr>
            </w:pPr>
            <w:r w:rsidRPr="00674F20">
              <w:rPr>
                <w:szCs w:val="18"/>
              </w:rPr>
              <w:t>16035</w:t>
            </w:r>
          </w:p>
        </w:tc>
        <w:tc>
          <w:tcPr>
            <w:tcW w:w="3740" w:type="dxa"/>
          </w:tcPr>
          <w:p w14:paraId="039DF906" w14:textId="77777777" w:rsidR="005B699B" w:rsidRPr="00674F20" w:rsidRDefault="005B699B" w:rsidP="00785BA1">
            <w:pPr>
              <w:pStyle w:val="Tabletext9pt"/>
              <w:rPr>
                <w:szCs w:val="18"/>
              </w:rPr>
            </w:pPr>
            <w:r w:rsidRPr="00674F20">
              <w:rPr>
                <w:szCs w:val="18"/>
              </w:rPr>
              <w:t>Communication</w:t>
            </w:r>
            <w:r>
              <w:rPr>
                <w:szCs w:val="18"/>
              </w:rPr>
              <w:t>,</w:t>
            </w:r>
            <w:r w:rsidRPr="00674F20">
              <w:rPr>
                <w:szCs w:val="18"/>
              </w:rPr>
              <w:t xml:space="preserve"> </w:t>
            </w:r>
            <w:r>
              <w:rPr>
                <w:szCs w:val="18"/>
              </w:rPr>
              <w:t>i</w:t>
            </w:r>
            <w:r w:rsidRPr="00674F20">
              <w:rPr>
                <w:szCs w:val="18"/>
              </w:rPr>
              <w:t>nformation,</w:t>
            </w:r>
            <w:r>
              <w:rPr>
                <w:szCs w:val="18"/>
              </w:rPr>
              <w:t xml:space="preserve"> and</w:t>
            </w:r>
            <w:r w:rsidRPr="00674F20">
              <w:rPr>
                <w:szCs w:val="18"/>
              </w:rPr>
              <w:t xml:space="preserve"> </w:t>
            </w:r>
            <w:r>
              <w:rPr>
                <w:szCs w:val="18"/>
              </w:rPr>
              <w:t>a</w:t>
            </w:r>
            <w:r w:rsidRPr="00674F20">
              <w:rPr>
                <w:szCs w:val="18"/>
              </w:rPr>
              <w:t>dvice</w:t>
            </w:r>
          </w:p>
        </w:tc>
        <w:tc>
          <w:tcPr>
            <w:tcW w:w="4056" w:type="dxa"/>
          </w:tcPr>
          <w:p w14:paraId="5E6713F9" w14:textId="77777777" w:rsidR="005B699B" w:rsidRPr="00674F20" w:rsidRDefault="005B699B" w:rsidP="00785BA1">
            <w:pPr>
              <w:pStyle w:val="Tabletext9pt"/>
              <w:rPr>
                <w:szCs w:val="18"/>
              </w:rPr>
            </w:pPr>
            <w:r w:rsidRPr="00674F20">
              <w:rPr>
                <w:szCs w:val="18"/>
              </w:rPr>
              <w:t>To communicate information, via one or more media, to members of the public or other specific external people and groups.</w:t>
            </w:r>
          </w:p>
        </w:tc>
      </w:tr>
      <w:tr w:rsidR="005B699B" w:rsidRPr="004E0550" w14:paraId="241474E5" w14:textId="77777777" w:rsidTr="003A26BD">
        <w:tc>
          <w:tcPr>
            <w:tcW w:w="1413" w:type="dxa"/>
          </w:tcPr>
          <w:p w14:paraId="57707504" w14:textId="77777777" w:rsidR="005B699B" w:rsidRPr="003A26BD" w:rsidRDefault="005B699B" w:rsidP="00785BA1">
            <w:pPr>
              <w:pStyle w:val="Tabletext9pt"/>
            </w:pPr>
            <w:r w:rsidRPr="003A26BD">
              <w:t>16308</w:t>
            </w:r>
          </w:p>
        </w:tc>
        <w:tc>
          <w:tcPr>
            <w:tcW w:w="3740" w:type="dxa"/>
          </w:tcPr>
          <w:p w14:paraId="10460348" w14:textId="77777777" w:rsidR="005B699B" w:rsidRPr="003A26BD" w:rsidRDefault="005B699B" w:rsidP="00785BA1">
            <w:pPr>
              <w:pStyle w:val="Tabletext9pt"/>
            </w:pPr>
            <w:r w:rsidRPr="003A26BD">
              <w:t>Injury prevention</w:t>
            </w:r>
          </w:p>
        </w:tc>
        <w:tc>
          <w:tcPr>
            <w:tcW w:w="4056" w:type="dxa"/>
          </w:tcPr>
          <w:p w14:paraId="68F8990D" w14:textId="77777777" w:rsidR="005B699B" w:rsidRPr="003A26BD" w:rsidRDefault="005B699B" w:rsidP="00785BA1">
            <w:pPr>
              <w:pStyle w:val="Tabletext9pt"/>
            </w:pPr>
            <w:r w:rsidRPr="003A26BD">
              <w:t>To undertake the design, management and evaluation of projects aimed at fostering best practice in injury prevention program planning and delivery.</w:t>
            </w:r>
          </w:p>
        </w:tc>
      </w:tr>
      <w:tr w:rsidR="005B699B" w:rsidRPr="004E0550" w14:paraId="7051F275" w14:textId="77777777" w:rsidTr="003A26BD">
        <w:tc>
          <w:tcPr>
            <w:tcW w:w="1413" w:type="dxa"/>
          </w:tcPr>
          <w:p w14:paraId="3FD5419E" w14:textId="77777777" w:rsidR="005B699B" w:rsidRPr="003A26BD" w:rsidRDefault="005B699B" w:rsidP="00785BA1">
            <w:pPr>
              <w:pStyle w:val="Tabletext9pt"/>
            </w:pPr>
            <w:r w:rsidRPr="003A26BD">
              <w:t>16348</w:t>
            </w:r>
          </w:p>
        </w:tc>
        <w:tc>
          <w:tcPr>
            <w:tcW w:w="3740" w:type="dxa"/>
          </w:tcPr>
          <w:p w14:paraId="73432EBA" w14:textId="77777777" w:rsidR="005B699B" w:rsidRPr="003A26BD" w:rsidRDefault="005B699B" w:rsidP="00785BA1">
            <w:pPr>
              <w:pStyle w:val="Tabletext9pt"/>
            </w:pPr>
            <w:r w:rsidRPr="003A26BD">
              <w:t>Children’s obesity</w:t>
            </w:r>
          </w:p>
        </w:tc>
        <w:tc>
          <w:tcPr>
            <w:tcW w:w="4056" w:type="dxa"/>
          </w:tcPr>
          <w:p w14:paraId="736477B9" w14:textId="77777777" w:rsidR="005B699B" w:rsidRPr="003A26BD" w:rsidRDefault="005B699B" w:rsidP="00785BA1">
            <w:pPr>
              <w:pStyle w:val="Tabletext9pt"/>
            </w:pPr>
            <w:r w:rsidRPr="003A26BD">
              <w:t>To implement initiatives to increase healthy eating and physical activity among children.</w:t>
            </w:r>
          </w:p>
        </w:tc>
      </w:tr>
      <w:tr w:rsidR="005B699B" w:rsidRPr="004E0550" w14:paraId="2B6FF1EC" w14:textId="77777777" w:rsidTr="003A26BD">
        <w:tc>
          <w:tcPr>
            <w:tcW w:w="1413" w:type="dxa"/>
          </w:tcPr>
          <w:p w14:paraId="12CF7542" w14:textId="77777777" w:rsidR="005B699B" w:rsidRPr="003A26BD" w:rsidRDefault="005B699B" w:rsidP="00785BA1">
            <w:pPr>
              <w:pStyle w:val="Tabletext9pt"/>
            </w:pPr>
            <w:r w:rsidRPr="003A26BD">
              <w:t>16349</w:t>
            </w:r>
          </w:p>
        </w:tc>
        <w:tc>
          <w:tcPr>
            <w:tcW w:w="3740" w:type="dxa"/>
          </w:tcPr>
          <w:p w14:paraId="3BD2171B" w14:textId="77777777" w:rsidR="005B699B" w:rsidRPr="003A26BD" w:rsidRDefault="005B699B" w:rsidP="00785BA1">
            <w:pPr>
              <w:pStyle w:val="Tabletext9pt"/>
            </w:pPr>
            <w:r w:rsidRPr="003A26BD">
              <w:t>Obesity – community projects</w:t>
            </w:r>
          </w:p>
        </w:tc>
        <w:tc>
          <w:tcPr>
            <w:tcW w:w="4056" w:type="dxa"/>
          </w:tcPr>
          <w:p w14:paraId="05CD2E25" w14:textId="77777777" w:rsidR="005B699B" w:rsidRPr="003A26BD" w:rsidRDefault="005B699B" w:rsidP="00785BA1">
            <w:pPr>
              <w:pStyle w:val="Tabletext9pt"/>
            </w:pPr>
            <w:r w:rsidRPr="003A26BD">
              <w:t>To implement obesity prevention place-based initiatives in a community and develop activities to increase healthy eating and physical activity.</w:t>
            </w:r>
          </w:p>
        </w:tc>
      </w:tr>
      <w:tr w:rsidR="005B699B" w:rsidRPr="004E0550" w14:paraId="3404344C" w14:textId="77777777" w:rsidTr="003A26BD">
        <w:trPr>
          <w:cantSplit/>
        </w:trPr>
        <w:tc>
          <w:tcPr>
            <w:tcW w:w="1413" w:type="dxa"/>
          </w:tcPr>
          <w:p w14:paraId="00A0B238" w14:textId="77777777" w:rsidR="005B699B" w:rsidRPr="003A26BD" w:rsidRDefault="005B699B" w:rsidP="00785BA1">
            <w:pPr>
              <w:pStyle w:val="Tabletext9pt"/>
            </w:pPr>
            <w:r w:rsidRPr="003A26BD">
              <w:t>16449</w:t>
            </w:r>
          </w:p>
        </w:tc>
        <w:tc>
          <w:tcPr>
            <w:tcW w:w="3740" w:type="dxa"/>
          </w:tcPr>
          <w:p w14:paraId="2FE1CCC3" w14:textId="77777777" w:rsidR="005B699B" w:rsidRPr="003A26BD" w:rsidRDefault="005B699B" w:rsidP="00785BA1">
            <w:pPr>
              <w:pStyle w:val="Tabletext9pt"/>
            </w:pPr>
            <w:r w:rsidRPr="003A26BD">
              <w:t>Smoking/vaping information – advice and interventions</w:t>
            </w:r>
          </w:p>
        </w:tc>
        <w:tc>
          <w:tcPr>
            <w:tcW w:w="4056" w:type="dxa"/>
          </w:tcPr>
          <w:p w14:paraId="04791416" w14:textId="4339D151" w:rsidR="005B699B" w:rsidRPr="003A26BD" w:rsidRDefault="005B699B" w:rsidP="00785BA1">
            <w:pPr>
              <w:pStyle w:val="Tabletext9pt"/>
            </w:pPr>
            <w:r w:rsidRPr="003A26BD">
              <w:t xml:space="preserve">To provide smoking and vaping cessation advice/support and to educate the community and stakeholders about tobacco, e-cigarettes and smoking/vaping-related legislative requirements and to enforce the </w:t>
            </w:r>
            <w:r w:rsidRPr="003A26BD">
              <w:rPr>
                <w:rStyle w:val="Emphasis"/>
              </w:rPr>
              <w:t>Tobacco Act 1987</w:t>
            </w:r>
            <w:r w:rsidRPr="003A26BD">
              <w:t>.</w:t>
            </w:r>
          </w:p>
        </w:tc>
      </w:tr>
      <w:tr w:rsidR="005B699B" w:rsidRPr="004E0550" w14:paraId="7BBA4F7B" w14:textId="77777777" w:rsidTr="003A26BD">
        <w:tc>
          <w:tcPr>
            <w:tcW w:w="1413" w:type="dxa"/>
          </w:tcPr>
          <w:p w14:paraId="20570E75" w14:textId="77777777" w:rsidR="005B699B" w:rsidRPr="003A26BD" w:rsidRDefault="005B699B" w:rsidP="00785BA1">
            <w:pPr>
              <w:pStyle w:val="Tabletext9pt"/>
            </w:pPr>
            <w:r w:rsidRPr="003A26BD">
              <w:t>16450</w:t>
            </w:r>
          </w:p>
        </w:tc>
        <w:tc>
          <w:tcPr>
            <w:tcW w:w="3740" w:type="dxa"/>
          </w:tcPr>
          <w:p w14:paraId="46D25B3C" w14:textId="77777777" w:rsidR="005B699B" w:rsidRPr="003A26BD" w:rsidRDefault="005B699B" w:rsidP="00785BA1">
            <w:pPr>
              <w:pStyle w:val="Tabletext9pt"/>
            </w:pPr>
            <w:r w:rsidRPr="003A26BD">
              <w:t>Diabetes prevention</w:t>
            </w:r>
          </w:p>
        </w:tc>
        <w:tc>
          <w:tcPr>
            <w:tcW w:w="4056" w:type="dxa"/>
          </w:tcPr>
          <w:p w14:paraId="0F02DBE3" w14:textId="77777777" w:rsidR="005B699B" w:rsidRPr="003A26BD" w:rsidRDefault="005B699B" w:rsidP="00785BA1">
            <w:pPr>
              <w:pStyle w:val="Tabletext9pt"/>
            </w:pPr>
            <w:r w:rsidRPr="003A26BD">
              <w:t>To undertake primary and secondary prevention initiatives aimed at reducing the number of people in the Victorian community developing type 2 diabetes and cardiovascular disease.</w:t>
            </w:r>
          </w:p>
        </w:tc>
      </w:tr>
      <w:tr w:rsidR="005B699B" w:rsidRPr="004E0550" w14:paraId="78331884" w14:textId="77777777" w:rsidTr="003A26BD">
        <w:tc>
          <w:tcPr>
            <w:tcW w:w="1413" w:type="dxa"/>
          </w:tcPr>
          <w:p w14:paraId="35880E7B" w14:textId="77777777" w:rsidR="005B699B" w:rsidRPr="00674F20" w:rsidRDefault="005B699B" w:rsidP="00785BA1">
            <w:pPr>
              <w:pStyle w:val="Tabletext9pt"/>
              <w:rPr>
                <w:szCs w:val="18"/>
              </w:rPr>
            </w:pPr>
            <w:r w:rsidRPr="00674F20">
              <w:rPr>
                <w:szCs w:val="18"/>
              </w:rPr>
              <w:t>16454</w:t>
            </w:r>
          </w:p>
        </w:tc>
        <w:tc>
          <w:tcPr>
            <w:tcW w:w="3740" w:type="dxa"/>
          </w:tcPr>
          <w:p w14:paraId="3FA054A2" w14:textId="77777777" w:rsidR="005B699B" w:rsidRPr="00674F20" w:rsidRDefault="005B699B" w:rsidP="00785BA1">
            <w:pPr>
              <w:pStyle w:val="Tabletext9pt"/>
            </w:pPr>
            <w:r>
              <w:t>Health promotion initiatives</w:t>
            </w:r>
          </w:p>
        </w:tc>
        <w:tc>
          <w:tcPr>
            <w:tcW w:w="4056" w:type="dxa"/>
          </w:tcPr>
          <w:p w14:paraId="04DB9D6D" w14:textId="7A6AC07E" w:rsidR="005B699B" w:rsidRPr="00674F20" w:rsidRDefault="005B699B" w:rsidP="00785BA1">
            <w:pPr>
              <w:pStyle w:val="Tabletext9pt"/>
              <w:rPr>
                <w:szCs w:val="18"/>
              </w:rPr>
            </w:pPr>
            <w:r w:rsidRPr="00674F20">
              <w:rPr>
                <w:szCs w:val="18"/>
              </w:rPr>
              <w:t xml:space="preserve">To develop and support programs that prevent illness and promote wellbeing through using a mix of health promotion interventions and capacity-building strategies </w:t>
            </w:r>
            <w:r>
              <w:rPr>
                <w:szCs w:val="18"/>
              </w:rPr>
              <w:t xml:space="preserve">delivering place-based approaches in Victorian communities </w:t>
            </w:r>
            <w:r w:rsidR="002E5A5C">
              <w:rPr>
                <w:szCs w:val="18"/>
              </w:rPr>
              <w:t xml:space="preserve">– </w:t>
            </w:r>
            <w:r w:rsidRPr="003E6F87">
              <w:rPr>
                <w:szCs w:val="18"/>
              </w:rPr>
              <w:lastRenderedPageBreak/>
              <w:t>including activity delivered through LPHU catchment plans</w:t>
            </w:r>
          </w:p>
        </w:tc>
      </w:tr>
      <w:tr w:rsidR="005B699B" w:rsidRPr="004E0550" w14:paraId="1C340EF2" w14:textId="77777777" w:rsidTr="003A26BD">
        <w:tc>
          <w:tcPr>
            <w:tcW w:w="1413" w:type="dxa"/>
          </w:tcPr>
          <w:p w14:paraId="5B406973" w14:textId="77777777" w:rsidR="005B699B" w:rsidRPr="00674F20" w:rsidRDefault="005B699B" w:rsidP="00785BA1">
            <w:pPr>
              <w:pStyle w:val="Tabletext9pt"/>
              <w:rPr>
                <w:szCs w:val="18"/>
              </w:rPr>
            </w:pPr>
            <w:r w:rsidRPr="00674F20">
              <w:rPr>
                <w:szCs w:val="18"/>
              </w:rPr>
              <w:lastRenderedPageBreak/>
              <w:t>16460</w:t>
            </w:r>
          </w:p>
        </w:tc>
        <w:tc>
          <w:tcPr>
            <w:tcW w:w="3740" w:type="dxa"/>
          </w:tcPr>
          <w:p w14:paraId="511A5763" w14:textId="77777777" w:rsidR="005B699B" w:rsidRPr="00674F20" w:rsidRDefault="005B699B" w:rsidP="00785BA1">
            <w:pPr>
              <w:pStyle w:val="Tabletext9pt"/>
            </w:pPr>
            <w:r>
              <w:t>Targeted recruitment for screening programs</w:t>
            </w:r>
          </w:p>
        </w:tc>
        <w:tc>
          <w:tcPr>
            <w:tcW w:w="4056" w:type="dxa"/>
          </w:tcPr>
          <w:p w14:paraId="7A975F68" w14:textId="77777777" w:rsidR="005B699B" w:rsidRPr="00674F20" w:rsidRDefault="005B699B" w:rsidP="00785BA1">
            <w:pPr>
              <w:pStyle w:val="Tabletext9pt"/>
              <w:rPr>
                <w:szCs w:val="18"/>
              </w:rPr>
            </w:pPr>
            <w:r w:rsidRPr="00674F20">
              <w:rPr>
                <w:szCs w:val="18"/>
              </w:rPr>
              <w:t>To undertake a range of activities aimed at improving participation of under-screened and never-screened people in screening programs.</w:t>
            </w:r>
          </w:p>
        </w:tc>
      </w:tr>
      <w:tr w:rsidR="005B699B" w:rsidRPr="004E0550" w14:paraId="6585AD30" w14:textId="77777777" w:rsidTr="003A26BD">
        <w:tc>
          <w:tcPr>
            <w:tcW w:w="1413" w:type="dxa"/>
          </w:tcPr>
          <w:p w14:paraId="142E1EA0" w14:textId="77777777" w:rsidR="005B699B" w:rsidRPr="00674F20" w:rsidRDefault="005B699B" w:rsidP="00785BA1">
            <w:pPr>
              <w:pStyle w:val="Tabletext9pt"/>
              <w:rPr>
                <w:szCs w:val="18"/>
              </w:rPr>
            </w:pPr>
            <w:r w:rsidRPr="00674F20">
              <w:rPr>
                <w:szCs w:val="18"/>
              </w:rPr>
              <w:t>16461</w:t>
            </w:r>
          </w:p>
        </w:tc>
        <w:tc>
          <w:tcPr>
            <w:tcW w:w="3740" w:type="dxa"/>
          </w:tcPr>
          <w:p w14:paraId="4859A941" w14:textId="77777777" w:rsidR="005B699B" w:rsidRPr="00674F20" w:rsidRDefault="005B699B" w:rsidP="00785BA1">
            <w:pPr>
              <w:pStyle w:val="Tabletext9pt"/>
            </w:pPr>
            <w:r>
              <w:t>ACCO services</w:t>
            </w:r>
            <w:r w:rsidRPr="72967CCD">
              <w:rPr>
                <w:lang w:eastAsia="en-AU"/>
              </w:rPr>
              <w:t xml:space="preserve"> – </w:t>
            </w:r>
            <w:r>
              <w:t>public health</w:t>
            </w:r>
          </w:p>
        </w:tc>
        <w:tc>
          <w:tcPr>
            <w:tcW w:w="4056" w:type="dxa"/>
          </w:tcPr>
          <w:p w14:paraId="32BF073E" w14:textId="77777777" w:rsidR="005B699B" w:rsidRPr="00674F20" w:rsidRDefault="005B699B" w:rsidP="00785BA1">
            <w:pPr>
              <w:pStyle w:val="Tabletext9pt"/>
              <w:rPr>
                <w:szCs w:val="18"/>
              </w:rPr>
            </w:pPr>
            <w:r w:rsidRPr="00674F20">
              <w:rPr>
                <w:szCs w:val="18"/>
              </w:rPr>
              <w:t>Funding for those public health services provided by Aboriginal community-controlled organisations.</w:t>
            </w:r>
          </w:p>
        </w:tc>
      </w:tr>
      <w:tr w:rsidR="005B699B" w:rsidRPr="004E0550" w14:paraId="5DEE7EEC" w14:textId="77777777" w:rsidTr="003A26BD">
        <w:tc>
          <w:tcPr>
            <w:tcW w:w="1413" w:type="dxa"/>
            <w:shd w:val="clear" w:color="auto" w:fill="auto"/>
          </w:tcPr>
          <w:p w14:paraId="5451F835" w14:textId="77777777" w:rsidR="005B699B" w:rsidRPr="00674F20" w:rsidRDefault="005B699B" w:rsidP="00785BA1">
            <w:pPr>
              <w:pStyle w:val="Tabletext9pt"/>
              <w:rPr>
                <w:szCs w:val="18"/>
              </w:rPr>
            </w:pPr>
            <w:r w:rsidRPr="00674F20">
              <w:rPr>
                <w:szCs w:val="18"/>
              </w:rPr>
              <w:t>16508</w:t>
            </w:r>
          </w:p>
        </w:tc>
        <w:tc>
          <w:tcPr>
            <w:tcW w:w="3740" w:type="dxa"/>
            <w:shd w:val="clear" w:color="auto" w:fill="auto"/>
          </w:tcPr>
          <w:p w14:paraId="67ABE710" w14:textId="77777777" w:rsidR="005B699B" w:rsidRPr="00674F20" w:rsidRDefault="005B699B" w:rsidP="00785BA1">
            <w:pPr>
              <w:pStyle w:val="Tabletext9pt"/>
              <w:rPr>
                <w:szCs w:val="18"/>
              </w:rPr>
            </w:pPr>
            <w:r w:rsidRPr="00674F20">
              <w:rPr>
                <w:szCs w:val="18"/>
              </w:rPr>
              <w:t>BBV and STI – health promotion</w:t>
            </w:r>
            <w:r>
              <w:rPr>
                <w:szCs w:val="18"/>
              </w:rPr>
              <w:t xml:space="preserve"> </w:t>
            </w:r>
          </w:p>
        </w:tc>
        <w:tc>
          <w:tcPr>
            <w:tcW w:w="4056" w:type="dxa"/>
            <w:shd w:val="clear" w:color="auto" w:fill="auto"/>
          </w:tcPr>
          <w:p w14:paraId="48CC3A89" w14:textId="77777777" w:rsidR="005B699B" w:rsidRPr="00674F20" w:rsidRDefault="005B699B" w:rsidP="00785BA1">
            <w:pPr>
              <w:pStyle w:val="Tabletext9pt"/>
              <w:rPr>
                <w:szCs w:val="18"/>
              </w:rPr>
            </w:pPr>
            <w:r w:rsidRPr="00674F20">
              <w:rPr>
                <w:szCs w:val="18"/>
              </w:rPr>
              <w:t>To provide for the delivery of BBV/STI health promotion/prevention services to the community or targeted population groups.</w:t>
            </w:r>
          </w:p>
        </w:tc>
      </w:tr>
      <w:tr w:rsidR="005B699B" w:rsidRPr="004E0550" w14:paraId="0AE37DDB" w14:textId="77777777" w:rsidTr="003A26BD">
        <w:tc>
          <w:tcPr>
            <w:tcW w:w="1413" w:type="dxa"/>
            <w:shd w:val="clear" w:color="auto" w:fill="auto"/>
          </w:tcPr>
          <w:p w14:paraId="218805D1" w14:textId="77777777" w:rsidR="005B699B" w:rsidRPr="00674F20" w:rsidRDefault="005B699B" w:rsidP="00785BA1">
            <w:pPr>
              <w:pStyle w:val="Tabletext9pt"/>
              <w:rPr>
                <w:szCs w:val="18"/>
              </w:rPr>
            </w:pPr>
            <w:r w:rsidRPr="00674F20">
              <w:rPr>
                <w:szCs w:val="18"/>
              </w:rPr>
              <w:t>16509</w:t>
            </w:r>
          </w:p>
        </w:tc>
        <w:tc>
          <w:tcPr>
            <w:tcW w:w="3740" w:type="dxa"/>
            <w:shd w:val="clear" w:color="auto" w:fill="auto"/>
          </w:tcPr>
          <w:p w14:paraId="7A53F3D8" w14:textId="77777777" w:rsidR="005B699B" w:rsidRPr="00674F20" w:rsidRDefault="005B699B" w:rsidP="00785BA1">
            <w:pPr>
              <w:pStyle w:val="Tabletext9pt"/>
            </w:pPr>
            <w:r>
              <w:t xml:space="preserve">BBV and STI – community-based care and support </w:t>
            </w:r>
          </w:p>
        </w:tc>
        <w:tc>
          <w:tcPr>
            <w:tcW w:w="4056" w:type="dxa"/>
            <w:shd w:val="clear" w:color="auto" w:fill="auto"/>
          </w:tcPr>
          <w:p w14:paraId="01BEAC45" w14:textId="77777777" w:rsidR="005B699B" w:rsidRPr="00674F20" w:rsidRDefault="005B699B" w:rsidP="00785BA1">
            <w:pPr>
              <w:pStyle w:val="Tabletext9pt"/>
              <w:rPr>
                <w:szCs w:val="18"/>
              </w:rPr>
            </w:pPr>
            <w:r w:rsidRPr="00674F20">
              <w:rPr>
                <w:szCs w:val="18"/>
              </w:rPr>
              <w:t>To provide the delivery of community-based care and support to clients, carers, and significant others.</w:t>
            </w:r>
          </w:p>
        </w:tc>
      </w:tr>
      <w:tr w:rsidR="005B699B" w:rsidRPr="004E0550" w14:paraId="5DDC97B2" w14:textId="77777777" w:rsidTr="003A26BD">
        <w:tc>
          <w:tcPr>
            <w:tcW w:w="1413" w:type="dxa"/>
            <w:shd w:val="clear" w:color="auto" w:fill="auto"/>
          </w:tcPr>
          <w:p w14:paraId="545FE32C" w14:textId="77777777" w:rsidR="005B699B" w:rsidRPr="00674F20" w:rsidRDefault="005B699B" w:rsidP="00785BA1">
            <w:pPr>
              <w:pStyle w:val="Tabletext9pt"/>
              <w:rPr>
                <w:szCs w:val="18"/>
              </w:rPr>
            </w:pPr>
            <w:r w:rsidRPr="00B67FDD">
              <w:rPr>
                <w:szCs w:val="18"/>
              </w:rPr>
              <w:t>16513</w:t>
            </w:r>
          </w:p>
        </w:tc>
        <w:tc>
          <w:tcPr>
            <w:tcW w:w="3740" w:type="dxa"/>
            <w:shd w:val="clear" w:color="auto" w:fill="auto"/>
          </w:tcPr>
          <w:p w14:paraId="7D9AEAAF" w14:textId="77777777" w:rsidR="005B699B" w:rsidRPr="00674F20" w:rsidRDefault="005B699B" w:rsidP="00785BA1">
            <w:pPr>
              <w:pStyle w:val="Tabletext9pt"/>
              <w:rPr>
                <w:szCs w:val="18"/>
              </w:rPr>
            </w:pPr>
            <w:r w:rsidRPr="00674F20">
              <w:rPr>
                <w:szCs w:val="18"/>
              </w:rPr>
              <w:t>Screening and preventive messages</w:t>
            </w:r>
            <w:r>
              <w:rPr>
                <w:szCs w:val="18"/>
              </w:rPr>
              <w:t xml:space="preserve"> </w:t>
            </w:r>
          </w:p>
        </w:tc>
        <w:tc>
          <w:tcPr>
            <w:tcW w:w="4056" w:type="dxa"/>
            <w:shd w:val="clear" w:color="auto" w:fill="auto"/>
          </w:tcPr>
          <w:p w14:paraId="3B2A3914" w14:textId="77777777" w:rsidR="005B699B" w:rsidRPr="00674F20" w:rsidRDefault="005B699B" w:rsidP="00785BA1">
            <w:pPr>
              <w:pStyle w:val="Tabletext9pt"/>
              <w:rPr>
                <w:szCs w:val="18"/>
              </w:rPr>
            </w:pPr>
            <w:r w:rsidRPr="00674F20">
              <w:rPr>
                <w:szCs w:val="18"/>
              </w:rPr>
              <w:t>To undertake a range of activities within the community aimed at enabling people to make positive decisions about their health and wellbeing.</w:t>
            </w:r>
          </w:p>
        </w:tc>
      </w:tr>
      <w:tr w:rsidR="005B699B" w:rsidRPr="004E0550" w14:paraId="27DFBED8" w14:textId="77777777" w:rsidTr="003A26BD">
        <w:trPr>
          <w:trHeight w:val="615"/>
        </w:trPr>
        <w:tc>
          <w:tcPr>
            <w:tcW w:w="1413" w:type="dxa"/>
            <w:shd w:val="clear" w:color="auto" w:fill="auto"/>
          </w:tcPr>
          <w:p w14:paraId="72B462ED" w14:textId="77777777" w:rsidR="005B699B" w:rsidRPr="00674F20" w:rsidRDefault="005B699B" w:rsidP="00785BA1">
            <w:pPr>
              <w:pStyle w:val="Tabletext9pt"/>
              <w:rPr>
                <w:szCs w:val="18"/>
              </w:rPr>
            </w:pPr>
            <w:r w:rsidRPr="00B67FDD">
              <w:rPr>
                <w:szCs w:val="18"/>
              </w:rPr>
              <w:t>16514</w:t>
            </w:r>
          </w:p>
        </w:tc>
        <w:tc>
          <w:tcPr>
            <w:tcW w:w="3740" w:type="dxa"/>
            <w:shd w:val="clear" w:color="auto" w:fill="auto"/>
          </w:tcPr>
          <w:p w14:paraId="0D440115" w14:textId="77777777" w:rsidR="005B699B" w:rsidRPr="00674F20" w:rsidRDefault="005B699B" w:rsidP="00785BA1">
            <w:pPr>
              <w:pStyle w:val="Tabletext9pt"/>
              <w:rPr>
                <w:szCs w:val="18"/>
              </w:rPr>
            </w:pPr>
            <w:r w:rsidRPr="00674F20">
              <w:rPr>
                <w:szCs w:val="18"/>
              </w:rPr>
              <w:t>Screening service development</w:t>
            </w:r>
            <w:r>
              <w:rPr>
                <w:szCs w:val="18"/>
              </w:rPr>
              <w:t xml:space="preserve"> </w:t>
            </w:r>
          </w:p>
        </w:tc>
        <w:tc>
          <w:tcPr>
            <w:tcW w:w="4056" w:type="dxa"/>
            <w:shd w:val="clear" w:color="auto" w:fill="auto"/>
          </w:tcPr>
          <w:p w14:paraId="04EA3429" w14:textId="77777777" w:rsidR="005B699B" w:rsidRPr="00674F20" w:rsidRDefault="005B699B" w:rsidP="00785BA1">
            <w:pPr>
              <w:pStyle w:val="Tabletext9pt"/>
              <w:rPr>
                <w:szCs w:val="18"/>
              </w:rPr>
            </w:pPr>
            <w:r w:rsidRPr="00674F20">
              <w:rPr>
                <w:szCs w:val="18"/>
              </w:rPr>
              <w:t>To undertake specific activities to improve service delivery, capacity, and program effectiveness.</w:t>
            </w:r>
          </w:p>
        </w:tc>
      </w:tr>
      <w:tr w:rsidR="005B699B" w:rsidRPr="004E0550" w14:paraId="30E31482" w14:textId="77777777" w:rsidTr="003A26BD">
        <w:trPr>
          <w:trHeight w:val="742"/>
        </w:trPr>
        <w:tc>
          <w:tcPr>
            <w:tcW w:w="1413" w:type="dxa"/>
            <w:shd w:val="clear" w:color="auto" w:fill="auto"/>
          </w:tcPr>
          <w:p w14:paraId="4DA935EA" w14:textId="77777777" w:rsidR="005B699B" w:rsidRPr="00674F20" w:rsidRDefault="005B699B" w:rsidP="00785BA1">
            <w:pPr>
              <w:pStyle w:val="Tabletext9pt"/>
              <w:rPr>
                <w:szCs w:val="18"/>
              </w:rPr>
            </w:pPr>
            <w:r w:rsidRPr="00B67FDD">
              <w:rPr>
                <w:szCs w:val="18"/>
              </w:rPr>
              <w:t>16515</w:t>
            </w:r>
          </w:p>
        </w:tc>
        <w:tc>
          <w:tcPr>
            <w:tcW w:w="3740" w:type="dxa"/>
            <w:shd w:val="clear" w:color="auto" w:fill="auto"/>
          </w:tcPr>
          <w:p w14:paraId="6F863CDA" w14:textId="77777777" w:rsidR="005B699B" w:rsidRPr="00674F20" w:rsidRDefault="005B699B" w:rsidP="00785BA1">
            <w:pPr>
              <w:pStyle w:val="Tabletext9pt"/>
              <w:rPr>
                <w:szCs w:val="18"/>
              </w:rPr>
            </w:pPr>
            <w:r w:rsidRPr="00674F20">
              <w:rPr>
                <w:szCs w:val="18"/>
              </w:rPr>
              <w:t>Education and training in screening programs</w:t>
            </w:r>
            <w:r>
              <w:rPr>
                <w:szCs w:val="18"/>
              </w:rPr>
              <w:t xml:space="preserve"> </w:t>
            </w:r>
          </w:p>
        </w:tc>
        <w:tc>
          <w:tcPr>
            <w:tcW w:w="4056" w:type="dxa"/>
            <w:shd w:val="clear" w:color="auto" w:fill="auto"/>
          </w:tcPr>
          <w:p w14:paraId="0BD97827" w14:textId="77777777" w:rsidR="005B699B" w:rsidRPr="00674F20" w:rsidRDefault="005B699B" w:rsidP="00785BA1">
            <w:pPr>
              <w:pStyle w:val="Tabletext9pt"/>
              <w:rPr>
                <w:szCs w:val="18"/>
              </w:rPr>
            </w:pPr>
            <w:r w:rsidRPr="00674F20">
              <w:rPr>
                <w:szCs w:val="18"/>
              </w:rPr>
              <w:t xml:space="preserve">To undertake a range of education and training activities with program stakeholders to support and </w:t>
            </w:r>
            <w:r w:rsidRPr="00FD40FF">
              <w:rPr>
                <w:szCs w:val="18"/>
              </w:rPr>
              <w:t xml:space="preserve">enhance </w:t>
            </w:r>
            <w:r>
              <w:rPr>
                <w:szCs w:val="18"/>
              </w:rPr>
              <w:t xml:space="preserve">the </w:t>
            </w:r>
            <w:r w:rsidRPr="00FD40FF">
              <w:rPr>
                <w:szCs w:val="18"/>
              </w:rPr>
              <w:t>delivery of organised</w:t>
            </w:r>
            <w:r w:rsidRPr="00674F20">
              <w:rPr>
                <w:szCs w:val="18"/>
              </w:rPr>
              <w:t xml:space="preserve"> screening programs.</w:t>
            </w:r>
          </w:p>
        </w:tc>
      </w:tr>
      <w:tr w:rsidR="005B699B" w:rsidRPr="004E0550" w14:paraId="7151DADD" w14:textId="77777777" w:rsidTr="003A26BD">
        <w:tc>
          <w:tcPr>
            <w:tcW w:w="1413" w:type="dxa"/>
            <w:shd w:val="clear" w:color="auto" w:fill="auto"/>
          </w:tcPr>
          <w:p w14:paraId="12969CBD" w14:textId="77777777" w:rsidR="005B699B" w:rsidRPr="00674F20" w:rsidRDefault="005B699B" w:rsidP="00785BA1">
            <w:pPr>
              <w:pStyle w:val="Tabletext9pt"/>
              <w:rPr>
                <w:szCs w:val="18"/>
              </w:rPr>
            </w:pPr>
            <w:r w:rsidRPr="00B67FDD">
              <w:rPr>
                <w:szCs w:val="18"/>
              </w:rPr>
              <w:t>16519</w:t>
            </w:r>
          </w:p>
        </w:tc>
        <w:tc>
          <w:tcPr>
            <w:tcW w:w="3740" w:type="dxa"/>
            <w:shd w:val="clear" w:color="auto" w:fill="auto"/>
          </w:tcPr>
          <w:p w14:paraId="3707CC83" w14:textId="77777777" w:rsidR="005B699B" w:rsidRPr="00674F20" w:rsidRDefault="005B699B" w:rsidP="00785BA1">
            <w:pPr>
              <w:pStyle w:val="Tabletext9pt"/>
            </w:pPr>
            <w:r>
              <w:t xml:space="preserve">Screening tests and assessments </w:t>
            </w:r>
          </w:p>
        </w:tc>
        <w:tc>
          <w:tcPr>
            <w:tcW w:w="4056" w:type="dxa"/>
            <w:shd w:val="clear" w:color="auto" w:fill="auto"/>
          </w:tcPr>
          <w:p w14:paraId="413D8CDD" w14:textId="77777777" w:rsidR="005B699B" w:rsidRPr="00674F20" w:rsidRDefault="005B699B" w:rsidP="00785BA1">
            <w:pPr>
              <w:pStyle w:val="Tabletext9pt"/>
              <w:rPr>
                <w:szCs w:val="18"/>
              </w:rPr>
            </w:pPr>
            <w:r w:rsidRPr="00674F20">
              <w:rPr>
                <w:szCs w:val="18"/>
              </w:rPr>
              <w:t>To provide screening tests and assessments to the target population of an organised screening program.</w:t>
            </w:r>
          </w:p>
        </w:tc>
      </w:tr>
    </w:tbl>
    <w:p w14:paraId="6C4655A8" w14:textId="77777777" w:rsidR="005B699B" w:rsidRPr="00CA1B3E" w:rsidRDefault="005B699B" w:rsidP="003A26BD">
      <w:pPr>
        <w:pStyle w:val="Bodyafterfiguretable"/>
      </w:pPr>
      <w:bookmarkStart w:id="2389" w:name="_Toc487742053"/>
      <w:bookmarkStart w:id="2390" w:name="_Toc14172284"/>
      <w:bookmarkStart w:id="2391" w:name="_Toc55381148"/>
      <w:bookmarkStart w:id="2392" w:name="_Ref77755748"/>
      <w:bookmarkStart w:id="2393" w:name="_Ref77755771"/>
      <w:bookmarkStart w:id="2394" w:name="_Toc100263355"/>
      <w:bookmarkStart w:id="2395" w:name="_Toc55381157"/>
      <w:bookmarkStart w:id="2396" w:name="_Toc486151653"/>
      <w:bookmarkStart w:id="2397" w:name="_Toc12780585"/>
      <w:bookmarkStart w:id="2398" w:name="_Toc487742063"/>
      <w:bookmarkEnd w:id="2385"/>
      <w:bookmarkEnd w:id="2386"/>
      <w:bookmarkEnd w:id="2387"/>
      <w:bookmarkEnd w:id="2388"/>
      <w:r>
        <w:t>Output name: Health protection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4678"/>
      </w:tblGrid>
      <w:tr w:rsidR="005B699B" w:rsidRPr="0090298C" w14:paraId="0DDEC61A" w14:textId="77777777" w:rsidTr="003A26BD">
        <w:trPr>
          <w:tblHeader/>
        </w:trPr>
        <w:tc>
          <w:tcPr>
            <w:tcW w:w="0" w:type="dxa"/>
            <w:shd w:val="clear" w:color="auto" w:fill="auto"/>
          </w:tcPr>
          <w:p w14:paraId="6150F428" w14:textId="77777777" w:rsidR="005B699B" w:rsidRPr="002A2CD9" w:rsidRDefault="005B699B" w:rsidP="00785BA1">
            <w:pPr>
              <w:pStyle w:val="Tablecolhead"/>
              <w:rPr>
                <w:rFonts w:eastAsia="Arial"/>
                <w:szCs w:val="21"/>
              </w:rPr>
            </w:pPr>
            <w:r w:rsidRPr="002A2CD9">
              <w:rPr>
                <w:rFonts w:eastAsia="Arial"/>
                <w:szCs w:val="21"/>
              </w:rPr>
              <w:t>Activity no.</w:t>
            </w:r>
          </w:p>
        </w:tc>
        <w:tc>
          <w:tcPr>
            <w:tcW w:w="0" w:type="dxa"/>
            <w:shd w:val="clear" w:color="auto" w:fill="auto"/>
          </w:tcPr>
          <w:p w14:paraId="79B3928C" w14:textId="77777777" w:rsidR="005B699B" w:rsidRPr="002A2CD9" w:rsidRDefault="005B699B" w:rsidP="00785BA1">
            <w:pPr>
              <w:pStyle w:val="Tablecolhead"/>
              <w:rPr>
                <w:rFonts w:eastAsia="Arial"/>
                <w:szCs w:val="21"/>
              </w:rPr>
            </w:pPr>
            <w:r w:rsidRPr="002A2CD9">
              <w:rPr>
                <w:rFonts w:eastAsia="Arial"/>
                <w:szCs w:val="21"/>
              </w:rPr>
              <w:t>Activity name</w:t>
            </w:r>
          </w:p>
        </w:tc>
        <w:tc>
          <w:tcPr>
            <w:tcW w:w="0" w:type="dxa"/>
            <w:shd w:val="clear" w:color="auto" w:fill="auto"/>
          </w:tcPr>
          <w:p w14:paraId="7909F3E6" w14:textId="77777777" w:rsidR="005B699B" w:rsidRPr="002A2CD9" w:rsidRDefault="005B699B" w:rsidP="00785BA1">
            <w:pPr>
              <w:pStyle w:val="Tablecolhead"/>
              <w:rPr>
                <w:rFonts w:eastAsia="Arial"/>
                <w:szCs w:val="21"/>
              </w:rPr>
            </w:pPr>
            <w:r w:rsidRPr="002A2CD9">
              <w:rPr>
                <w:rFonts w:eastAsia="Arial"/>
                <w:szCs w:val="21"/>
              </w:rPr>
              <w:t>Activity description</w:t>
            </w:r>
          </w:p>
        </w:tc>
      </w:tr>
      <w:tr w:rsidR="005B699B" w:rsidRPr="00674F20" w14:paraId="080CDB73" w14:textId="77777777" w:rsidTr="003A26BD">
        <w:tblPrEx>
          <w:tblLook w:val="06A0" w:firstRow="1" w:lastRow="0" w:firstColumn="1" w:lastColumn="0" w:noHBand="1" w:noVBand="1"/>
        </w:tblPrEx>
        <w:tc>
          <w:tcPr>
            <w:tcW w:w="2122" w:type="dxa"/>
          </w:tcPr>
          <w:p w14:paraId="36629D8D" w14:textId="77777777" w:rsidR="005B699B" w:rsidRPr="00674F20" w:rsidRDefault="005B699B" w:rsidP="00785BA1">
            <w:pPr>
              <w:pStyle w:val="Tabletext9pt"/>
              <w:rPr>
                <w:szCs w:val="18"/>
              </w:rPr>
            </w:pPr>
            <w:r w:rsidRPr="00674F20">
              <w:rPr>
                <w:szCs w:val="18"/>
              </w:rPr>
              <w:t>16037</w:t>
            </w:r>
          </w:p>
        </w:tc>
        <w:tc>
          <w:tcPr>
            <w:tcW w:w="2551" w:type="dxa"/>
          </w:tcPr>
          <w:p w14:paraId="0042F65B" w14:textId="77777777" w:rsidR="005B699B" w:rsidRPr="00674F20" w:rsidRDefault="005B699B" w:rsidP="00785BA1">
            <w:pPr>
              <w:pStyle w:val="Tabletext9pt"/>
              <w:rPr>
                <w:szCs w:val="18"/>
              </w:rPr>
            </w:pPr>
            <w:r w:rsidRPr="00674F20">
              <w:rPr>
                <w:szCs w:val="18"/>
              </w:rPr>
              <w:t>Immunisation education</w:t>
            </w:r>
          </w:p>
        </w:tc>
        <w:tc>
          <w:tcPr>
            <w:tcW w:w="4678" w:type="dxa"/>
          </w:tcPr>
          <w:p w14:paraId="23F1A327" w14:textId="77777777" w:rsidR="005B699B" w:rsidRPr="00674F20" w:rsidRDefault="005B699B" w:rsidP="00785BA1">
            <w:pPr>
              <w:pStyle w:val="Tabletext9pt"/>
              <w:rPr>
                <w:szCs w:val="18"/>
              </w:rPr>
            </w:pPr>
            <w:r w:rsidRPr="00674F20">
              <w:rPr>
                <w:szCs w:val="18"/>
              </w:rPr>
              <w:t xml:space="preserve">To provide educational and promotional resources and programs for immunisation providers </w:t>
            </w:r>
            <w:r>
              <w:rPr>
                <w:szCs w:val="18"/>
              </w:rPr>
              <w:t>and the public</w:t>
            </w:r>
            <w:r w:rsidRPr="00674F20">
              <w:rPr>
                <w:szCs w:val="18"/>
              </w:rPr>
              <w:t>.</w:t>
            </w:r>
          </w:p>
        </w:tc>
      </w:tr>
      <w:tr w:rsidR="005B699B" w:rsidRPr="00674F20" w14:paraId="7F623878" w14:textId="77777777" w:rsidTr="003A26BD">
        <w:tblPrEx>
          <w:tblLook w:val="06A0" w:firstRow="1" w:lastRow="0" w:firstColumn="1" w:lastColumn="0" w:noHBand="1" w:noVBand="1"/>
        </w:tblPrEx>
        <w:tc>
          <w:tcPr>
            <w:tcW w:w="2122" w:type="dxa"/>
          </w:tcPr>
          <w:p w14:paraId="704B8931" w14:textId="77777777" w:rsidR="005B699B" w:rsidRPr="00674F20" w:rsidRDefault="005B699B" w:rsidP="00785BA1">
            <w:pPr>
              <w:pStyle w:val="Tabletext9pt"/>
              <w:rPr>
                <w:szCs w:val="18"/>
              </w:rPr>
            </w:pPr>
            <w:r w:rsidRPr="00674F20">
              <w:rPr>
                <w:szCs w:val="18"/>
              </w:rPr>
              <w:t>16038</w:t>
            </w:r>
          </w:p>
        </w:tc>
        <w:tc>
          <w:tcPr>
            <w:tcW w:w="2551" w:type="dxa"/>
          </w:tcPr>
          <w:p w14:paraId="1CDB0268" w14:textId="77777777" w:rsidR="005B699B" w:rsidRPr="00674F20" w:rsidRDefault="005B699B" w:rsidP="00785BA1">
            <w:pPr>
              <w:pStyle w:val="Tabletext9pt"/>
              <w:rPr>
                <w:szCs w:val="18"/>
              </w:rPr>
            </w:pPr>
            <w:r w:rsidRPr="00674F20">
              <w:rPr>
                <w:szCs w:val="18"/>
              </w:rPr>
              <w:t>Tuberculosis screening</w:t>
            </w:r>
            <w:r w:rsidRPr="00674F20">
              <w:rPr>
                <w:szCs w:val="18"/>
                <w:lang w:eastAsia="en-AU"/>
              </w:rPr>
              <w:t xml:space="preserve"> – </w:t>
            </w:r>
            <w:r w:rsidRPr="00674F20">
              <w:rPr>
                <w:szCs w:val="18"/>
              </w:rPr>
              <w:t>management</w:t>
            </w:r>
          </w:p>
        </w:tc>
        <w:tc>
          <w:tcPr>
            <w:tcW w:w="4678" w:type="dxa"/>
          </w:tcPr>
          <w:p w14:paraId="18F80EF3" w14:textId="77777777" w:rsidR="005B699B" w:rsidRPr="00674F20" w:rsidRDefault="005B699B" w:rsidP="00785BA1">
            <w:pPr>
              <w:pStyle w:val="Tabletext9pt"/>
              <w:rPr>
                <w:szCs w:val="18"/>
              </w:rPr>
            </w:pPr>
            <w:r w:rsidRPr="00674F20">
              <w:rPr>
                <w:szCs w:val="18"/>
              </w:rPr>
              <w:t xml:space="preserve">To provide services and activities related to </w:t>
            </w:r>
            <w:r>
              <w:rPr>
                <w:szCs w:val="18"/>
              </w:rPr>
              <w:t>tuberculosis</w:t>
            </w:r>
            <w:r w:rsidRPr="00674F20">
              <w:rPr>
                <w:szCs w:val="18"/>
              </w:rPr>
              <w:t xml:space="preserve"> management.</w:t>
            </w:r>
          </w:p>
        </w:tc>
      </w:tr>
      <w:tr w:rsidR="005B699B" w:rsidRPr="00674F20" w14:paraId="22D18046" w14:textId="77777777" w:rsidTr="003A26BD">
        <w:tblPrEx>
          <w:tblLook w:val="06A0" w:firstRow="1" w:lastRow="0" w:firstColumn="1" w:lastColumn="0" w:noHBand="1" w:noVBand="1"/>
        </w:tblPrEx>
        <w:tc>
          <w:tcPr>
            <w:tcW w:w="2122" w:type="dxa"/>
          </w:tcPr>
          <w:p w14:paraId="761D5CA2" w14:textId="77777777" w:rsidR="005B699B" w:rsidRPr="00674F20" w:rsidRDefault="005B699B" w:rsidP="00785BA1">
            <w:pPr>
              <w:pStyle w:val="Tabletext9pt"/>
              <w:rPr>
                <w:szCs w:val="18"/>
              </w:rPr>
            </w:pPr>
            <w:r w:rsidRPr="00674F20">
              <w:rPr>
                <w:szCs w:val="18"/>
              </w:rPr>
              <w:t>16042</w:t>
            </w:r>
          </w:p>
        </w:tc>
        <w:tc>
          <w:tcPr>
            <w:tcW w:w="2551" w:type="dxa"/>
          </w:tcPr>
          <w:p w14:paraId="5F77BB98" w14:textId="77777777" w:rsidR="005B699B" w:rsidRPr="00674F20" w:rsidRDefault="005B699B" w:rsidP="00785BA1">
            <w:pPr>
              <w:pStyle w:val="Tabletext9pt"/>
              <w:rPr>
                <w:szCs w:val="18"/>
              </w:rPr>
            </w:pPr>
            <w:r w:rsidRPr="00674F20">
              <w:rPr>
                <w:szCs w:val="18"/>
              </w:rPr>
              <w:t>Infectious disease investigation and response</w:t>
            </w:r>
          </w:p>
        </w:tc>
        <w:tc>
          <w:tcPr>
            <w:tcW w:w="4678" w:type="dxa"/>
          </w:tcPr>
          <w:p w14:paraId="0F64A318" w14:textId="77777777" w:rsidR="005B699B" w:rsidRPr="00674F20" w:rsidRDefault="005B699B" w:rsidP="00785BA1">
            <w:pPr>
              <w:pStyle w:val="Tabletext9pt"/>
              <w:rPr>
                <w:szCs w:val="18"/>
              </w:rPr>
            </w:pPr>
            <w:r w:rsidRPr="00674F20">
              <w:rPr>
                <w:szCs w:val="18"/>
              </w:rPr>
              <w:t xml:space="preserve">To investigate sporadic cases or outbreaks of infectious disease and </w:t>
            </w:r>
            <w:r>
              <w:rPr>
                <w:szCs w:val="18"/>
              </w:rPr>
              <w:t xml:space="preserve">the </w:t>
            </w:r>
            <w:r w:rsidRPr="00674F20">
              <w:rPr>
                <w:szCs w:val="18"/>
              </w:rPr>
              <w:t>institution of suitable control measures.</w:t>
            </w:r>
          </w:p>
        </w:tc>
      </w:tr>
      <w:tr w:rsidR="005B699B" w:rsidRPr="00674F20" w14:paraId="05E8B922" w14:textId="77777777" w:rsidTr="003A26BD">
        <w:tblPrEx>
          <w:tblLook w:val="06A0" w:firstRow="1" w:lastRow="0" w:firstColumn="1" w:lastColumn="0" w:noHBand="1" w:noVBand="1"/>
        </w:tblPrEx>
        <w:trPr>
          <w:cantSplit/>
        </w:trPr>
        <w:tc>
          <w:tcPr>
            <w:tcW w:w="0" w:type="dxa"/>
          </w:tcPr>
          <w:p w14:paraId="5A32CBE1" w14:textId="77777777" w:rsidR="005B699B" w:rsidRPr="00674F20" w:rsidRDefault="005B699B" w:rsidP="00785BA1">
            <w:pPr>
              <w:pStyle w:val="Tabletext9pt"/>
              <w:rPr>
                <w:szCs w:val="18"/>
              </w:rPr>
            </w:pPr>
            <w:r w:rsidRPr="00674F20">
              <w:rPr>
                <w:szCs w:val="18"/>
              </w:rPr>
              <w:t>16047</w:t>
            </w:r>
          </w:p>
        </w:tc>
        <w:tc>
          <w:tcPr>
            <w:tcW w:w="0" w:type="dxa"/>
          </w:tcPr>
          <w:p w14:paraId="69C45765" w14:textId="77777777" w:rsidR="005B699B" w:rsidRPr="00674F20" w:rsidRDefault="005B699B" w:rsidP="00785BA1">
            <w:pPr>
              <w:pStyle w:val="Tabletext9pt"/>
              <w:rPr>
                <w:szCs w:val="18"/>
              </w:rPr>
            </w:pPr>
            <w:r w:rsidRPr="00674F20">
              <w:rPr>
                <w:szCs w:val="18"/>
              </w:rPr>
              <w:t>Food system quality improvement</w:t>
            </w:r>
          </w:p>
        </w:tc>
        <w:tc>
          <w:tcPr>
            <w:tcW w:w="0" w:type="dxa"/>
          </w:tcPr>
          <w:p w14:paraId="2C59A3AC" w14:textId="77777777" w:rsidR="005B699B" w:rsidRPr="00674F20" w:rsidRDefault="005B699B" w:rsidP="00785BA1">
            <w:pPr>
              <w:pStyle w:val="Tabletext9pt"/>
              <w:rPr>
                <w:szCs w:val="18"/>
              </w:rPr>
            </w:pPr>
            <w:r w:rsidRPr="00674F20">
              <w:rPr>
                <w:szCs w:val="18"/>
              </w:rPr>
              <w:t>To oversee the State Safe Food System through intersectoral linkages with an aim of continuous improvement in system operation through consultation and cooperation.</w:t>
            </w:r>
          </w:p>
        </w:tc>
      </w:tr>
      <w:tr w:rsidR="005B699B" w:rsidRPr="00674F20" w14:paraId="0EBB74C2" w14:textId="77777777" w:rsidTr="003A26BD">
        <w:tblPrEx>
          <w:tblLook w:val="06A0" w:firstRow="1" w:lastRow="0" w:firstColumn="1" w:lastColumn="0" w:noHBand="1" w:noVBand="1"/>
        </w:tblPrEx>
        <w:tc>
          <w:tcPr>
            <w:tcW w:w="2122" w:type="dxa"/>
          </w:tcPr>
          <w:p w14:paraId="4C12F0F1" w14:textId="77777777" w:rsidR="005B699B" w:rsidRPr="00674F20" w:rsidRDefault="005B699B" w:rsidP="00785BA1">
            <w:pPr>
              <w:pStyle w:val="Tabletext9pt"/>
              <w:rPr>
                <w:szCs w:val="18"/>
              </w:rPr>
            </w:pPr>
            <w:r w:rsidRPr="000D467A">
              <w:rPr>
                <w:szCs w:val="18"/>
              </w:rPr>
              <w:t>16049</w:t>
            </w:r>
          </w:p>
        </w:tc>
        <w:tc>
          <w:tcPr>
            <w:tcW w:w="2551" w:type="dxa"/>
          </w:tcPr>
          <w:p w14:paraId="0DB2321C" w14:textId="77777777" w:rsidR="005B699B" w:rsidRPr="00674F20" w:rsidRDefault="005B699B" w:rsidP="00785BA1">
            <w:pPr>
              <w:pStyle w:val="Tabletext9pt"/>
              <w:rPr>
                <w:szCs w:val="18"/>
              </w:rPr>
            </w:pPr>
            <w:r w:rsidRPr="00674F20">
              <w:rPr>
                <w:szCs w:val="18"/>
              </w:rPr>
              <w:t>Cemetery sector governance</w:t>
            </w:r>
          </w:p>
        </w:tc>
        <w:tc>
          <w:tcPr>
            <w:tcW w:w="4678" w:type="dxa"/>
          </w:tcPr>
          <w:p w14:paraId="08390683" w14:textId="77777777" w:rsidR="005B699B" w:rsidRPr="00674F20" w:rsidRDefault="005B699B" w:rsidP="00785BA1">
            <w:pPr>
              <w:pStyle w:val="Tabletext9pt"/>
              <w:rPr>
                <w:szCs w:val="18"/>
              </w:rPr>
            </w:pPr>
            <w:r w:rsidRPr="00674F20">
              <w:rPr>
                <w:szCs w:val="18"/>
              </w:rPr>
              <w:t>To undertake a range of projects relating to the governance of the cemetery sector.</w:t>
            </w:r>
          </w:p>
        </w:tc>
      </w:tr>
      <w:tr w:rsidR="005B699B" w:rsidRPr="00674F20" w14:paraId="29C5771A" w14:textId="77777777" w:rsidTr="003A26BD">
        <w:tblPrEx>
          <w:tblLook w:val="06A0" w:firstRow="1" w:lastRow="0" w:firstColumn="1" w:lastColumn="0" w:noHBand="1" w:noVBand="1"/>
        </w:tblPrEx>
        <w:tc>
          <w:tcPr>
            <w:tcW w:w="2122" w:type="dxa"/>
          </w:tcPr>
          <w:p w14:paraId="487AED8C" w14:textId="77777777" w:rsidR="005B699B" w:rsidRPr="00674F20" w:rsidRDefault="005B699B" w:rsidP="00785BA1">
            <w:pPr>
              <w:pStyle w:val="Tabletext9pt"/>
              <w:rPr>
                <w:szCs w:val="18"/>
              </w:rPr>
            </w:pPr>
            <w:r w:rsidRPr="00674F20">
              <w:rPr>
                <w:szCs w:val="18"/>
              </w:rPr>
              <w:t>16084</w:t>
            </w:r>
          </w:p>
        </w:tc>
        <w:tc>
          <w:tcPr>
            <w:tcW w:w="2551" w:type="dxa"/>
          </w:tcPr>
          <w:p w14:paraId="2EF8011B" w14:textId="77777777" w:rsidR="005B699B" w:rsidRPr="00674F20" w:rsidRDefault="005B699B" w:rsidP="00785BA1">
            <w:pPr>
              <w:pStyle w:val="Tabletext9pt"/>
              <w:rPr>
                <w:szCs w:val="18"/>
              </w:rPr>
            </w:pPr>
            <w:r>
              <w:rPr>
                <w:szCs w:val="18"/>
              </w:rPr>
              <w:t>Childhood i</w:t>
            </w:r>
            <w:r w:rsidRPr="00674F20">
              <w:rPr>
                <w:szCs w:val="18"/>
              </w:rPr>
              <w:t>mmunisation services</w:t>
            </w:r>
          </w:p>
        </w:tc>
        <w:tc>
          <w:tcPr>
            <w:tcW w:w="4678" w:type="dxa"/>
          </w:tcPr>
          <w:p w14:paraId="7B4F3C33" w14:textId="77777777" w:rsidR="005B699B" w:rsidRPr="00674F20" w:rsidRDefault="005B699B" w:rsidP="00785BA1">
            <w:pPr>
              <w:pStyle w:val="Tabletext9pt"/>
              <w:rPr>
                <w:szCs w:val="18"/>
              </w:rPr>
            </w:pPr>
            <w:r w:rsidRPr="00674F20">
              <w:rPr>
                <w:szCs w:val="18"/>
              </w:rPr>
              <w:t xml:space="preserve">To provide subsidy payments to local governments for childhood immunisation (under </w:t>
            </w:r>
            <w:r>
              <w:rPr>
                <w:szCs w:val="18"/>
              </w:rPr>
              <w:t>seven</w:t>
            </w:r>
            <w:r w:rsidRPr="00674F20">
              <w:rPr>
                <w:szCs w:val="18"/>
              </w:rPr>
              <w:t xml:space="preserve"> years old</w:t>
            </w:r>
            <w:r>
              <w:rPr>
                <w:szCs w:val="18"/>
              </w:rPr>
              <w:t>)</w:t>
            </w:r>
            <w:r w:rsidRPr="00674F20">
              <w:rPr>
                <w:szCs w:val="18"/>
              </w:rPr>
              <w:t>.</w:t>
            </w:r>
          </w:p>
        </w:tc>
      </w:tr>
      <w:tr w:rsidR="005B699B" w:rsidRPr="00674F20" w14:paraId="5B2816BB" w14:textId="77777777" w:rsidTr="003A26BD">
        <w:tblPrEx>
          <w:tblLook w:val="06A0" w:firstRow="1" w:lastRow="0" w:firstColumn="1" w:lastColumn="0" w:noHBand="1" w:noVBand="1"/>
        </w:tblPrEx>
        <w:tc>
          <w:tcPr>
            <w:tcW w:w="2122" w:type="dxa"/>
          </w:tcPr>
          <w:p w14:paraId="1776DC9E" w14:textId="77777777" w:rsidR="005B699B" w:rsidRPr="00674F20" w:rsidRDefault="005B699B" w:rsidP="00785BA1">
            <w:pPr>
              <w:pStyle w:val="Tabletext9pt"/>
              <w:rPr>
                <w:szCs w:val="18"/>
              </w:rPr>
            </w:pPr>
            <w:r w:rsidRPr="00674F20">
              <w:rPr>
                <w:szCs w:val="18"/>
              </w:rPr>
              <w:t>16102</w:t>
            </w:r>
          </w:p>
        </w:tc>
        <w:tc>
          <w:tcPr>
            <w:tcW w:w="2551" w:type="dxa"/>
          </w:tcPr>
          <w:p w14:paraId="45FA4768" w14:textId="77777777" w:rsidR="005B699B" w:rsidRPr="00674F20" w:rsidRDefault="005B699B" w:rsidP="00785BA1">
            <w:pPr>
              <w:pStyle w:val="Tabletext9pt"/>
              <w:rPr>
                <w:szCs w:val="18"/>
              </w:rPr>
            </w:pPr>
            <w:r w:rsidRPr="00674F20">
              <w:rPr>
                <w:szCs w:val="18"/>
              </w:rPr>
              <w:t>Infectious disease surveillance</w:t>
            </w:r>
          </w:p>
        </w:tc>
        <w:tc>
          <w:tcPr>
            <w:tcW w:w="4678" w:type="dxa"/>
          </w:tcPr>
          <w:p w14:paraId="2D92287D" w14:textId="77777777" w:rsidR="005B699B" w:rsidRPr="00674F20" w:rsidRDefault="005B699B" w:rsidP="00785BA1">
            <w:pPr>
              <w:pStyle w:val="Tabletext9pt"/>
              <w:rPr>
                <w:szCs w:val="18"/>
              </w:rPr>
            </w:pPr>
            <w:r w:rsidRPr="00674F20">
              <w:rPr>
                <w:szCs w:val="18"/>
              </w:rPr>
              <w:t>To collect, collate and report on data relating to notifiable infectious diseases, as required by legislation.</w:t>
            </w:r>
          </w:p>
        </w:tc>
      </w:tr>
      <w:tr w:rsidR="005B699B" w:rsidRPr="00674F20" w14:paraId="372FBED9" w14:textId="77777777" w:rsidTr="003A26BD">
        <w:tblPrEx>
          <w:tblLook w:val="06A0" w:firstRow="1" w:lastRow="0" w:firstColumn="1" w:lastColumn="0" w:noHBand="1" w:noVBand="1"/>
        </w:tblPrEx>
        <w:tc>
          <w:tcPr>
            <w:tcW w:w="2122" w:type="dxa"/>
          </w:tcPr>
          <w:p w14:paraId="2BFCDD2D" w14:textId="77777777" w:rsidR="005B699B" w:rsidRPr="00674F20" w:rsidRDefault="005B699B" w:rsidP="00785BA1">
            <w:pPr>
              <w:pStyle w:val="Tabletext9pt"/>
              <w:rPr>
                <w:szCs w:val="18"/>
              </w:rPr>
            </w:pPr>
            <w:r w:rsidRPr="00030D5A">
              <w:rPr>
                <w:szCs w:val="18"/>
              </w:rPr>
              <w:t>16103</w:t>
            </w:r>
          </w:p>
        </w:tc>
        <w:tc>
          <w:tcPr>
            <w:tcW w:w="2551" w:type="dxa"/>
          </w:tcPr>
          <w:p w14:paraId="1EBDC7A3" w14:textId="77777777" w:rsidR="005B699B" w:rsidRPr="00674F20" w:rsidRDefault="005B699B" w:rsidP="00785BA1">
            <w:pPr>
              <w:pStyle w:val="Tabletext9pt"/>
              <w:rPr>
                <w:szCs w:val="18"/>
              </w:rPr>
            </w:pPr>
            <w:r w:rsidRPr="00030D5A">
              <w:rPr>
                <w:szCs w:val="18"/>
              </w:rPr>
              <w:t xml:space="preserve">Food </w:t>
            </w:r>
            <w:r>
              <w:rPr>
                <w:szCs w:val="18"/>
              </w:rPr>
              <w:t>s</w:t>
            </w:r>
            <w:r w:rsidRPr="00030D5A">
              <w:rPr>
                <w:szCs w:val="18"/>
              </w:rPr>
              <w:t xml:space="preserve">afety </w:t>
            </w:r>
            <w:r>
              <w:rPr>
                <w:rFonts w:ascii="Helv" w:hAnsi="Helv" w:cs="Helv"/>
                <w:bCs/>
                <w:color w:val="000000"/>
                <w:lang w:eastAsia="en-AU"/>
              </w:rPr>
              <w:t>s</w:t>
            </w:r>
            <w:r w:rsidRPr="00030D5A">
              <w:rPr>
                <w:rFonts w:ascii="Helv" w:hAnsi="Helv" w:cs="Helv"/>
                <w:bCs/>
                <w:color w:val="000000"/>
                <w:lang w:eastAsia="en-AU"/>
              </w:rPr>
              <w:t>urveillance</w:t>
            </w:r>
            <w:r>
              <w:rPr>
                <w:szCs w:val="18"/>
              </w:rPr>
              <w:t xml:space="preserve"> </w:t>
            </w:r>
          </w:p>
        </w:tc>
        <w:tc>
          <w:tcPr>
            <w:tcW w:w="4678" w:type="dxa"/>
          </w:tcPr>
          <w:p w14:paraId="71A08C35" w14:textId="77777777" w:rsidR="005B699B" w:rsidRPr="00674F20" w:rsidRDefault="005B699B" w:rsidP="00785BA1">
            <w:pPr>
              <w:pStyle w:val="Tabletext9pt"/>
              <w:rPr>
                <w:szCs w:val="18"/>
              </w:rPr>
            </w:pPr>
            <w:r w:rsidRPr="00F17BCD">
              <w:rPr>
                <w:szCs w:val="18"/>
              </w:rPr>
              <w:t>To provide microbiological testing and analysis of food samples and surfaces in food premises</w:t>
            </w:r>
            <w:r>
              <w:rPr>
                <w:szCs w:val="18"/>
              </w:rPr>
              <w:t>.</w:t>
            </w:r>
          </w:p>
        </w:tc>
      </w:tr>
      <w:tr w:rsidR="005B699B" w:rsidRPr="00674F20" w14:paraId="3EA11143" w14:textId="77777777" w:rsidTr="003A26BD">
        <w:tblPrEx>
          <w:tblLook w:val="06A0" w:firstRow="1" w:lastRow="0" w:firstColumn="1" w:lastColumn="0" w:noHBand="1" w:noVBand="1"/>
        </w:tblPrEx>
        <w:tc>
          <w:tcPr>
            <w:tcW w:w="2122" w:type="dxa"/>
          </w:tcPr>
          <w:p w14:paraId="3DB94C65" w14:textId="77777777" w:rsidR="005B699B" w:rsidRPr="00674F20" w:rsidRDefault="005B699B" w:rsidP="00785BA1">
            <w:pPr>
              <w:pStyle w:val="Tabletext9pt"/>
              <w:rPr>
                <w:szCs w:val="18"/>
              </w:rPr>
            </w:pPr>
            <w:r w:rsidRPr="00674F20">
              <w:rPr>
                <w:szCs w:val="18"/>
              </w:rPr>
              <w:lastRenderedPageBreak/>
              <w:t>16119</w:t>
            </w:r>
          </w:p>
        </w:tc>
        <w:tc>
          <w:tcPr>
            <w:tcW w:w="2551" w:type="dxa"/>
          </w:tcPr>
          <w:p w14:paraId="08B49610" w14:textId="77777777" w:rsidR="005B699B" w:rsidRPr="00674F20" w:rsidRDefault="005B699B" w:rsidP="00785BA1">
            <w:pPr>
              <w:pStyle w:val="Tabletext9pt"/>
              <w:rPr>
                <w:szCs w:val="18"/>
              </w:rPr>
            </w:pPr>
            <w:r w:rsidRPr="00674F20">
              <w:rPr>
                <w:szCs w:val="18"/>
              </w:rPr>
              <w:t>S</w:t>
            </w:r>
            <w:r>
              <w:rPr>
                <w:szCs w:val="18"/>
              </w:rPr>
              <w:t>econdary s</w:t>
            </w:r>
            <w:r w:rsidRPr="00674F20">
              <w:rPr>
                <w:szCs w:val="18"/>
              </w:rPr>
              <w:t>chool immunisation services</w:t>
            </w:r>
          </w:p>
        </w:tc>
        <w:tc>
          <w:tcPr>
            <w:tcW w:w="4678" w:type="dxa"/>
          </w:tcPr>
          <w:p w14:paraId="12ED8F59" w14:textId="4B099533" w:rsidR="005B699B" w:rsidRPr="00674F20" w:rsidRDefault="005B699B" w:rsidP="00785BA1">
            <w:pPr>
              <w:pStyle w:val="Tabletext9pt"/>
              <w:rPr>
                <w:szCs w:val="18"/>
              </w:rPr>
            </w:pPr>
            <w:r w:rsidRPr="00674F20">
              <w:rPr>
                <w:szCs w:val="18"/>
              </w:rPr>
              <w:t xml:space="preserve">To provide subsidy payments to local governments for </w:t>
            </w:r>
            <w:r>
              <w:rPr>
                <w:szCs w:val="18"/>
              </w:rPr>
              <w:t xml:space="preserve">adolescent </w:t>
            </w:r>
            <w:r w:rsidRPr="00674F20">
              <w:rPr>
                <w:szCs w:val="18"/>
              </w:rPr>
              <w:t>immunisation service delivery in</w:t>
            </w:r>
            <w:r>
              <w:rPr>
                <w:szCs w:val="18"/>
              </w:rPr>
              <w:t>cluding the</w:t>
            </w:r>
            <w:r w:rsidRPr="00674F20">
              <w:rPr>
                <w:szCs w:val="18"/>
              </w:rPr>
              <w:t xml:space="preserve"> </w:t>
            </w:r>
            <w:r>
              <w:rPr>
                <w:szCs w:val="18"/>
              </w:rPr>
              <w:t>delivery of the</w:t>
            </w:r>
            <w:r w:rsidRPr="00674F20">
              <w:rPr>
                <w:szCs w:val="18"/>
              </w:rPr>
              <w:t xml:space="preserve"> secondary school</w:t>
            </w:r>
            <w:r>
              <w:rPr>
                <w:szCs w:val="18"/>
              </w:rPr>
              <w:t xml:space="preserve"> immunisation program</w:t>
            </w:r>
            <w:r w:rsidRPr="00674F20">
              <w:rPr>
                <w:szCs w:val="18"/>
              </w:rPr>
              <w:t>.</w:t>
            </w:r>
          </w:p>
        </w:tc>
      </w:tr>
      <w:tr w:rsidR="005B699B" w:rsidRPr="00674F20" w14:paraId="025FA86F" w14:textId="77777777" w:rsidTr="003A26BD">
        <w:tblPrEx>
          <w:tblLook w:val="06A0" w:firstRow="1" w:lastRow="0" w:firstColumn="1" w:lastColumn="0" w:noHBand="1" w:noVBand="1"/>
        </w:tblPrEx>
        <w:tc>
          <w:tcPr>
            <w:tcW w:w="2122" w:type="dxa"/>
          </w:tcPr>
          <w:p w14:paraId="44201F91" w14:textId="77777777" w:rsidR="005B699B" w:rsidRPr="00674F20" w:rsidRDefault="005B699B" w:rsidP="00785BA1">
            <w:pPr>
              <w:pStyle w:val="Tabletext9pt"/>
              <w:rPr>
                <w:szCs w:val="18"/>
              </w:rPr>
            </w:pPr>
            <w:r>
              <w:rPr>
                <w:szCs w:val="18"/>
              </w:rPr>
              <w:t>16132</w:t>
            </w:r>
          </w:p>
        </w:tc>
        <w:tc>
          <w:tcPr>
            <w:tcW w:w="2551" w:type="dxa"/>
          </w:tcPr>
          <w:p w14:paraId="1F67CA8E" w14:textId="77777777" w:rsidR="005B699B" w:rsidRPr="00674F20" w:rsidRDefault="005B699B" w:rsidP="00785BA1">
            <w:pPr>
              <w:pStyle w:val="Tabletext9pt"/>
              <w:rPr>
                <w:szCs w:val="18"/>
              </w:rPr>
            </w:pPr>
            <w:r>
              <w:rPr>
                <w:szCs w:val="18"/>
              </w:rPr>
              <w:t>Food safety research</w:t>
            </w:r>
          </w:p>
        </w:tc>
        <w:tc>
          <w:tcPr>
            <w:tcW w:w="4678" w:type="dxa"/>
          </w:tcPr>
          <w:p w14:paraId="6BD26AFF" w14:textId="77777777" w:rsidR="005B699B" w:rsidRPr="00674F20" w:rsidRDefault="005B699B" w:rsidP="00785BA1">
            <w:pPr>
              <w:pStyle w:val="Tabletext9pt"/>
              <w:rPr>
                <w:szCs w:val="18"/>
              </w:rPr>
            </w:pPr>
            <w:r w:rsidRPr="00FD04C0">
              <w:rPr>
                <w:szCs w:val="18"/>
              </w:rPr>
              <w:t>To provide research into food risks.</w:t>
            </w:r>
          </w:p>
        </w:tc>
      </w:tr>
      <w:tr w:rsidR="005B699B" w:rsidRPr="00674F20" w14:paraId="1A12F1B7" w14:textId="77777777" w:rsidTr="003A26BD">
        <w:tblPrEx>
          <w:tblLook w:val="06A0" w:firstRow="1" w:lastRow="0" w:firstColumn="1" w:lastColumn="0" w:noHBand="1" w:noVBand="1"/>
        </w:tblPrEx>
        <w:tc>
          <w:tcPr>
            <w:tcW w:w="2122" w:type="dxa"/>
          </w:tcPr>
          <w:p w14:paraId="2ACD5E1A" w14:textId="77777777" w:rsidR="005B699B" w:rsidRPr="00674F20" w:rsidRDefault="005B699B" w:rsidP="00785BA1">
            <w:pPr>
              <w:pStyle w:val="Tabletext9pt"/>
              <w:rPr>
                <w:szCs w:val="18"/>
              </w:rPr>
            </w:pPr>
            <w:r w:rsidRPr="00674F20">
              <w:rPr>
                <w:szCs w:val="18"/>
              </w:rPr>
              <w:t>16163</w:t>
            </w:r>
          </w:p>
        </w:tc>
        <w:tc>
          <w:tcPr>
            <w:tcW w:w="2551" w:type="dxa"/>
          </w:tcPr>
          <w:p w14:paraId="239FD2A2" w14:textId="77777777" w:rsidR="005B699B" w:rsidRPr="00674F20" w:rsidRDefault="005B699B" w:rsidP="00785BA1">
            <w:pPr>
              <w:pStyle w:val="Tabletext9pt"/>
              <w:rPr>
                <w:szCs w:val="18"/>
              </w:rPr>
            </w:pPr>
            <w:r w:rsidRPr="00674F20">
              <w:rPr>
                <w:szCs w:val="18"/>
              </w:rPr>
              <w:t>Food safety education</w:t>
            </w:r>
          </w:p>
        </w:tc>
        <w:tc>
          <w:tcPr>
            <w:tcW w:w="4678" w:type="dxa"/>
          </w:tcPr>
          <w:p w14:paraId="45604A66" w14:textId="77777777" w:rsidR="005B699B" w:rsidRPr="00674F20" w:rsidRDefault="005B699B" w:rsidP="00785BA1">
            <w:pPr>
              <w:pStyle w:val="Tabletext9pt"/>
              <w:rPr>
                <w:szCs w:val="18"/>
              </w:rPr>
            </w:pPr>
            <w:r w:rsidRPr="00674F20">
              <w:rPr>
                <w:szCs w:val="18"/>
              </w:rPr>
              <w:t>To provide education to local government, public and food businesses on food safety.</w:t>
            </w:r>
          </w:p>
        </w:tc>
      </w:tr>
      <w:tr w:rsidR="005B699B" w:rsidRPr="00674F20" w14:paraId="771C1230" w14:textId="77777777" w:rsidTr="003A26BD">
        <w:tblPrEx>
          <w:tblLook w:val="06A0" w:firstRow="1" w:lastRow="0" w:firstColumn="1" w:lastColumn="0" w:noHBand="1" w:noVBand="1"/>
        </w:tblPrEx>
        <w:tc>
          <w:tcPr>
            <w:tcW w:w="2122" w:type="dxa"/>
          </w:tcPr>
          <w:p w14:paraId="63CFB7F8" w14:textId="77777777" w:rsidR="005B699B" w:rsidRPr="00674F20" w:rsidRDefault="005B699B" w:rsidP="00785BA1">
            <w:pPr>
              <w:pStyle w:val="Tabletext9pt"/>
              <w:rPr>
                <w:szCs w:val="18"/>
              </w:rPr>
            </w:pPr>
            <w:r w:rsidRPr="00674F20">
              <w:rPr>
                <w:szCs w:val="18"/>
              </w:rPr>
              <w:t>16206</w:t>
            </w:r>
          </w:p>
        </w:tc>
        <w:tc>
          <w:tcPr>
            <w:tcW w:w="2551" w:type="dxa"/>
          </w:tcPr>
          <w:p w14:paraId="32D191AA" w14:textId="77777777" w:rsidR="005B699B" w:rsidRPr="00674F20" w:rsidRDefault="005B699B" w:rsidP="00785BA1">
            <w:pPr>
              <w:pStyle w:val="Tabletext9pt"/>
              <w:rPr>
                <w:szCs w:val="18"/>
              </w:rPr>
            </w:pPr>
            <w:r w:rsidRPr="00674F20">
              <w:rPr>
                <w:szCs w:val="18"/>
              </w:rPr>
              <w:t>Laboratory testing</w:t>
            </w:r>
          </w:p>
        </w:tc>
        <w:tc>
          <w:tcPr>
            <w:tcW w:w="4678" w:type="dxa"/>
          </w:tcPr>
          <w:p w14:paraId="2CCE082B" w14:textId="77777777" w:rsidR="005B699B" w:rsidRPr="00674F20" w:rsidRDefault="005B699B" w:rsidP="00785BA1">
            <w:pPr>
              <w:pStyle w:val="Tabletext9pt"/>
              <w:rPr>
                <w:szCs w:val="18"/>
              </w:rPr>
            </w:pPr>
            <w:r w:rsidRPr="00674F20">
              <w:rPr>
                <w:szCs w:val="18"/>
              </w:rPr>
              <w:t>To provide a range of laboratory tests for infectious diseases (including arbovirus where applicable), including reference functions, advice on microbiological issues and undertaking education and training in relation to laboratory services.</w:t>
            </w:r>
          </w:p>
        </w:tc>
      </w:tr>
      <w:tr w:rsidR="005B699B" w:rsidRPr="00674F20" w14:paraId="71D94432" w14:textId="77777777" w:rsidTr="003A26BD">
        <w:tblPrEx>
          <w:tblLook w:val="06A0" w:firstRow="1" w:lastRow="0" w:firstColumn="1" w:lastColumn="0" w:noHBand="1" w:noVBand="1"/>
        </w:tblPrEx>
        <w:tc>
          <w:tcPr>
            <w:tcW w:w="2122" w:type="dxa"/>
          </w:tcPr>
          <w:p w14:paraId="0AF2C0F7" w14:textId="77777777" w:rsidR="005B699B" w:rsidRPr="00674F20" w:rsidRDefault="005B699B" w:rsidP="00785BA1">
            <w:pPr>
              <w:pStyle w:val="Tabletext9pt"/>
              <w:rPr>
                <w:szCs w:val="18"/>
              </w:rPr>
            </w:pPr>
            <w:r w:rsidRPr="00EE4C9B">
              <w:rPr>
                <w:szCs w:val="18"/>
              </w:rPr>
              <w:t>16360</w:t>
            </w:r>
          </w:p>
        </w:tc>
        <w:tc>
          <w:tcPr>
            <w:tcW w:w="2551" w:type="dxa"/>
          </w:tcPr>
          <w:p w14:paraId="1DE16B12" w14:textId="77777777" w:rsidR="005B699B" w:rsidRPr="00674F20" w:rsidRDefault="005B699B" w:rsidP="00785BA1">
            <w:pPr>
              <w:pStyle w:val="Tabletext9pt"/>
              <w:rPr>
                <w:szCs w:val="18"/>
              </w:rPr>
            </w:pPr>
            <w:r w:rsidRPr="00EE4C9B">
              <w:rPr>
                <w:szCs w:val="18"/>
              </w:rPr>
              <w:t xml:space="preserve">Infectious </w:t>
            </w:r>
            <w:r>
              <w:rPr>
                <w:szCs w:val="18"/>
              </w:rPr>
              <w:t>d</w:t>
            </w:r>
            <w:r w:rsidRPr="00EE4C9B">
              <w:rPr>
                <w:szCs w:val="18"/>
              </w:rPr>
              <w:t xml:space="preserve">isease </w:t>
            </w:r>
            <w:r>
              <w:rPr>
                <w:szCs w:val="18"/>
              </w:rPr>
              <w:t>e</w:t>
            </w:r>
            <w:r w:rsidRPr="00EE4C9B">
              <w:rPr>
                <w:szCs w:val="18"/>
              </w:rPr>
              <w:t xml:space="preserve">ducation </w:t>
            </w:r>
            <w:r>
              <w:rPr>
                <w:szCs w:val="18"/>
              </w:rPr>
              <w:t>and</w:t>
            </w:r>
            <w:r w:rsidRPr="00EE4C9B">
              <w:rPr>
                <w:szCs w:val="18"/>
              </w:rPr>
              <w:t xml:space="preserve"> </w:t>
            </w:r>
            <w:r>
              <w:rPr>
                <w:szCs w:val="18"/>
              </w:rPr>
              <w:t>a</w:t>
            </w:r>
            <w:r w:rsidRPr="00EE4C9B">
              <w:rPr>
                <w:szCs w:val="18"/>
              </w:rPr>
              <w:t>dvice</w:t>
            </w:r>
          </w:p>
        </w:tc>
        <w:tc>
          <w:tcPr>
            <w:tcW w:w="4678" w:type="dxa"/>
          </w:tcPr>
          <w:p w14:paraId="6BD552E0" w14:textId="77777777" w:rsidR="005B699B" w:rsidRPr="00674F20" w:rsidRDefault="005B699B" w:rsidP="00785BA1">
            <w:pPr>
              <w:pStyle w:val="Tabletext9pt"/>
              <w:rPr>
                <w:szCs w:val="18"/>
              </w:rPr>
            </w:pPr>
            <w:r w:rsidRPr="00EE4C9B">
              <w:rPr>
                <w:szCs w:val="18"/>
              </w:rPr>
              <w:t>To provide education and awareness programs in the investigation and control of infectious diseases.</w:t>
            </w:r>
          </w:p>
        </w:tc>
      </w:tr>
      <w:tr w:rsidR="005B699B" w:rsidRPr="00674F20" w14:paraId="00ACDD7F" w14:textId="77777777" w:rsidTr="003A26BD">
        <w:tblPrEx>
          <w:tblLook w:val="06A0" w:firstRow="1" w:lastRow="0" w:firstColumn="1" w:lastColumn="0" w:noHBand="1" w:noVBand="1"/>
        </w:tblPrEx>
        <w:tc>
          <w:tcPr>
            <w:tcW w:w="2122" w:type="dxa"/>
          </w:tcPr>
          <w:p w14:paraId="371A36DD" w14:textId="77777777" w:rsidR="005B699B" w:rsidRPr="00674F20" w:rsidRDefault="005B699B" w:rsidP="00785BA1">
            <w:pPr>
              <w:pStyle w:val="Tabletext9pt"/>
              <w:rPr>
                <w:szCs w:val="18"/>
              </w:rPr>
            </w:pPr>
            <w:r w:rsidRPr="00674F20">
              <w:rPr>
                <w:szCs w:val="18"/>
              </w:rPr>
              <w:t>16373</w:t>
            </w:r>
          </w:p>
        </w:tc>
        <w:tc>
          <w:tcPr>
            <w:tcW w:w="2551" w:type="dxa"/>
          </w:tcPr>
          <w:p w14:paraId="03B78A24" w14:textId="77777777" w:rsidR="005B699B" w:rsidRPr="00674F20" w:rsidRDefault="005B699B" w:rsidP="00785BA1">
            <w:pPr>
              <w:pStyle w:val="Tabletext9pt"/>
              <w:rPr>
                <w:szCs w:val="18"/>
              </w:rPr>
            </w:pPr>
            <w:r w:rsidRPr="00674F20">
              <w:rPr>
                <w:szCs w:val="18"/>
              </w:rPr>
              <w:t>BBV and STI – clinical services</w:t>
            </w:r>
          </w:p>
        </w:tc>
        <w:tc>
          <w:tcPr>
            <w:tcW w:w="4678" w:type="dxa"/>
          </w:tcPr>
          <w:p w14:paraId="333B2FFD" w14:textId="77777777" w:rsidR="005B699B" w:rsidRPr="00674F20" w:rsidRDefault="005B699B" w:rsidP="00785BA1">
            <w:pPr>
              <w:pStyle w:val="Tabletext9pt"/>
              <w:rPr>
                <w:szCs w:val="18"/>
              </w:rPr>
            </w:pPr>
            <w:r w:rsidRPr="00674F20">
              <w:rPr>
                <w:szCs w:val="18"/>
              </w:rPr>
              <w:t xml:space="preserve">To provide diagnoses and </w:t>
            </w:r>
            <w:r>
              <w:rPr>
                <w:szCs w:val="18"/>
              </w:rPr>
              <w:t xml:space="preserve">the </w:t>
            </w:r>
            <w:r w:rsidRPr="00674F20">
              <w:rPr>
                <w:szCs w:val="18"/>
              </w:rPr>
              <w:t xml:space="preserve">clinical management of clients in relation to </w:t>
            </w:r>
            <w:r w:rsidRPr="00B56AE6">
              <w:t>blood-borne viruses</w:t>
            </w:r>
            <w:r w:rsidRPr="00674F20">
              <w:rPr>
                <w:szCs w:val="18"/>
              </w:rPr>
              <w:t xml:space="preserve"> (BBVs)</w:t>
            </w:r>
            <w:r>
              <w:rPr>
                <w:szCs w:val="18"/>
              </w:rPr>
              <w:t xml:space="preserve">, </w:t>
            </w:r>
            <w:r w:rsidRPr="00674F20">
              <w:rPr>
                <w:szCs w:val="18"/>
              </w:rPr>
              <w:t>sexually transmi</w:t>
            </w:r>
            <w:r>
              <w:rPr>
                <w:szCs w:val="18"/>
              </w:rPr>
              <w:t>ssible</w:t>
            </w:r>
            <w:r w:rsidRPr="00674F20">
              <w:rPr>
                <w:szCs w:val="18"/>
              </w:rPr>
              <w:t xml:space="preserve"> infections (STIs</w:t>
            </w:r>
            <w:r>
              <w:rPr>
                <w:szCs w:val="18"/>
              </w:rPr>
              <w:t>)</w:t>
            </w:r>
            <w:r w:rsidRPr="00674F20" w:rsidDel="004E3550">
              <w:rPr>
                <w:szCs w:val="18"/>
              </w:rPr>
              <w:t xml:space="preserve"> </w:t>
            </w:r>
            <w:r w:rsidRPr="00674F20">
              <w:rPr>
                <w:szCs w:val="18"/>
              </w:rPr>
              <w:t>and sexual health.</w:t>
            </w:r>
          </w:p>
        </w:tc>
      </w:tr>
      <w:tr w:rsidR="005B699B" w:rsidRPr="00E75567" w14:paraId="461BBDD7" w14:textId="77777777" w:rsidTr="003A26BD">
        <w:tblPrEx>
          <w:tblLook w:val="06A0" w:firstRow="1" w:lastRow="0" w:firstColumn="1" w:lastColumn="0" w:noHBand="1" w:noVBand="1"/>
        </w:tblPrEx>
        <w:tc>
          <w:tcPr>
            <w:tcW w:w="2122" w:type="dxa"/>
          </w:tcPr>
          <w:p w14:paraId="02BA09C9" w14:textId="77777777" w:rsidR="005B699B" w:rsidRPr="00E75567" w:rsidRDefault="005B699B" w:rsidP="00785BA1">
            <w:pPr>
              <w:pStyle w:val="Tabletext9pt"/>
              <w:rPr>
                <w:szCs w:val="18"/>
              </w:rPr>
            </w:pPr>
            <w:r w:rsidRPr="00E75567">
              <w:rPr>
                <w:szCs w:val="18"/>
              </w:rPr>
              <w:t>16377</w:t>
            </w:r>
          </w:p>
        </w:tc>
        <w:tc>
          <w:tcPr>
            <w:tcW w:w="2551" w:type="dxa"/>
          </w:tcPr>
          <w:p w14:paraId="361623C9" w14:textId="77777777" w:rsidR="005B699B" w:rsidRPr="00E75567" w:rsidRDefault="005B699B" w:rsidP="00785BA1">
            <w:pPr>
              <w:pStyle w:val="Tabletext9pt"/>
              <w:rPr>
                <w:szCs w:val="18"/>
              </w:rPr>
            </w:pPr>
            <w:r w:rsidRPr="00E75567">
              <w:rPr>
                <w:szCs w:val="18"/>
              </w:rPr>
              <w:t>BBV and STI – surveillance</w:t>
            </w:r>
          </w:p>
        </w:tc>
        <w:tc>
          <w:tcPr>
            <w:tcW w:w="4678" w:type="dxa"/>
          </w:tcPr>
          <w:p w14:paraId="0A67AB1A" w14:textId="77777777" w:rsidR="005B699B" w:rsidRPr="00E75567" w:rsidRDefault="005B699B" w:rsidP="00785BA1">
            <w:pPr>
              <w:pStyle w:val="Tabletext9pt"/>
              <w:rPr>
                <w:szCs w:val="18"/>
              </w:rPr>
            </w:pPr>
            <w:r w:rsidRPr="00E75567">
              <w:rPr>
                <w:szCs w:val="18"/>
              </w:rPr>
              <w:t>To collect, collate and report on data relating to notifiable BBVs/STIs.</w:t>
            </w:r>
          </w:p>
        </w:tc>
      </w:tr>
      <w:tr w:rsidR="005B699B" w:rsidRPr="00674F20" w14:paraId="2317E086" w14:textId="77777777" w:rsidTr="003A26BD">
        <w:tblPrEx>
          <w:tblLook w:val="06A0" w:firstRow="1" w:lastRow="0" w:firstColumn="1" w:lastColumn="0" w:noHBand="1" w:noVBand="1"/>
        </w:tblPrEx>
        <w:tc>
          <w:tcPr>
            <w:tcW w:w="2122" w:type="dxa"/>
          </w:tcPr>
          <w:p w14:paraId="314EC031" w14:textId="77777777" w:rsidR="005B699B" w:rsidRPr="00674F20" w:rsidRDefault="005B699B" w:rsidP="00785BA1">
            <w:pPr>
              <w:pStyle w:val="Tabletext9pt"/>
              <w:rPr>
                <w:szCs w:val="18"/>
              </w:rPr>
            </w:pPr>
            <w:r w:rsidRPr="00674F20">
              <w:rPr>
                <w:szCs w:val="18"/>
              </w:rPr>
              <w:t>16381</w:t>
            </w:r>
          </w:p>
        </w:tc>
        <w:tc>
          <w:tcPr>
            <w:tcW w:w="2551" w:type="dxa"/>
          </w:tcPr>
          <w:p w14:paraId="352FDE89" w14:textId="77777777" w:rsidR="005B699B" w:rsidRPr="00674F20" w:rsidRDefault="005B699B" w:rsidP="00785BA1">
            <w:pPr>
              <w:pStyle w:val="Tabletext9pt"/>
              <w:rPr>
                <w:szCs w:val="18"/>
              </w:rPr>
            </w:pPr>
            <w:r w:rsidRPr="00674F20">
              <w:rPr>
                <w:szCs w:val="18"/>
              </w:rPr>
              <w:t>Risk management and emergency response</w:t>
            </w:r>
          </w:p>
        </w:tc>
        <w:tc>
          <w:tcPr>
            <w:tcW w:w="4678" w:type="dxa"/>
          </w:tcPr>
          <w:p w14:paraId="0878F33B" w14:textId="77777777" w:rsidR="005B699B" w:rsidRPr="00674F20" w:rsidRDefault="005B699B" w:rsidP="00785BA1">
            <w:pPr>
              <w:pStyle w:val="Tabletext9pt"/>
              <w:rPr>
                <w:szCs w:val="18"/>
              </w:rPr>
            </w:pPr>
            <w:r w:rsidRPr="00674F20">
              <w:rPr>
                <w:szCs w:val="18"/>
              </w:rPr>
              <w:t>To investigate, evaluate and respond to environmental health risks, emergencies, or incidents, and to perform activities that help us to better respond to emergencies.</w:t>
            </w:r>
          </w:p>
        </w:tc>
      </w:tr>
      <w:tr w:rsidR="005B699B" w:rsidRPr="00674F20" w14:paraId="725F79DF" w14:textId="77777777" w:rsidTr="003A26BD">
        <w:tblPrEx>
          <w:tblLook w:val="06A0" w:firstRow="1" w:lastRow="0" w:firstColumn="1" w:lastColumn="0" w:noHBand="1" w:noVBand="1"/>
        </w:tblPrEx>
        <w:tc>
          <w:tcPr>
            <w:tcW w:w="2122" w:type="dxa"/>
          </w:tcPr>
          <w:p w14:paraId="660D3019" w14:textId="77777777" w:rsidR="005B699B" w:rsidRPr="000D467A" w:rsidRDefault="005B699B" w:rsidP="00785BA1">
            <w:pPr>
              <w:pStyle w:val="Tabletext9pt"/>
              <w:rPr>
                <w:szCs w:val="18"/>
              </w:rPr>
            </w:pPr>
            <w:r w:rsidRPr="000D467A">
              <w:rPr>
                <w:szCs w:val="18"/>
              </w:rPr>
              <w:t>16505</w:t>
            </w:r>
          </w:p>
        </w:tc>
        <w:tc>
          <w:tcPr>
            <w:tcW w:w="2551" w:type="dxa"/>
          </w:tcPr>
          <w:p w14:paraId="22FB0A7F" w14:textId="77777777" w:rsidR="005B699B" w:rsidRPr="00674F20" w:rsidRDefault="005B699B" w:rsidP="00785BA1">
            <w:pPr>
              <w:pStyle w:val="Tabletext9pt"/>
              <w:rPr>
                <w:szCs w:val="18"/>
              </w:rPr>
            </w:pPr>
            <w:r w:rsidRPr="00674F20">
              <w:rPr>
                <w:szCs w:val="18"/>
              </w:rPr>
              <w:t>BBV and STI – training and development</w:t>
            </w:r>
          </w:p>
        </w:tc>
        <w:tc>
          <w:tcPr>
            <w:tcW w:w="4678" w:type="dxa"/>
          </w:tcPr>
          <w:p w14:paraId="13CE74B2" w14:textId="77777777" w:rsidR="005B699B" w:rsidRPr="00674F20" w:rsidRDefault="005B699B" w:rsidP="00785BA1">
            <w:pPr>
              <w:pStyle w:val="Tabletext9pt"/>
              <w:rPr>
                <w:szCs w:val="18"/>
              </w:rPr>
            </w:pPr>
            <w:r w:rsidRPr="00674F20">
              <w:rPr>
                <w:szCs w:val="18"/>
              </w:rPr>
              <w:t xml:space="preserve">To provide education and training to the BBV/STI sector, including volunteers and </w:t>
            </w:r>
            <w:r w:rsidRPr="00674F20">
              <w:rPr>
                <w:bCs/>
                <w:szCs w:val="18"/>
              </w:rPr>
              <w:t>organisation</w:t>
            </w:r>
            <w:r w:rsidRPr="00674F20">
              <w:rPr>
                <w:szCs w:val="18"/>
              </w:rPr>
              <w:t xml:space="preserve"> staff, and coordination of information updates.</w:t>
            </w:r>
          </w:p>
        </w:tc>
      </w:tr>
      <w:tr w:rsidR="005B699B" w:rsidRPr="00674F20" w14:paraId="472CD46D" w14:textId="77777777" w:rsidTr="003A26BD">
        <w:tblPrEx>
          <w:tblLook w:val="06A0" w:firstRow="1" w:lastRow="0" w:firstColumn="1" w:lastColumn="0" w:noHBand="1" w:noVBand="1"/>
        </w:tblPrEx>
        <w:tc>
          <w:tcPr>
            <w:tcW w:w="2122" w:type="dxa"/>
          </w:tcPr>
          <w:p w14:paraId="53D35C77" w14:textId="77777777" w:rsidR="005B699B" w:rsidRPr="000D467A" w:rsidRDefault="005B699B" w:rsidP="00785BA1">
            <w:pPr>
              <w:pStyle w:val="Tabletext9pt"/>
              <w:rPr>
                <w:szCs w:val="18"/>
              </w:rPr>
            </w:pPr>
            <w:r w:rsidRPr="000D467A">
              <w:rPr>
                <w:szCs w:val="18"/>
              </w:rPr>
              <w:t>16506</w:t>
            </w:r>
          </w:p>
        </w:tc>
        <w:tc>
          <w:tcPr>
            <w:tcW w:w="2551" w:type="dxa"/>
          </w:tcPr>
          <w:p w14:paraId="6E8F3631" w14:textId="77777777" w:rsidR="005B699B" w:rsidRPr="00674F20" w:rsidRDefault="005B699B" w:rsidP="00785BA1">
            <w:pPr>
              <w:pStyle w:val="Tabletext9pt"/>
              <w:rPr>
                <w:szCs w:val="18"/>
              </w:rPr>
            </w:pPr>
            <w:r w:rsidRPr="00674F20">
              <w:rPr>
                <w:szCs w:val="18"/>
              </w:rPr>
              <w:t>BBV and STI – research</w:t>
            </w:r>
          </w:p>
        </w:tc>
        <w:tc>
          <w:tcPr>
            <w:tcW w:w="4678" w:type="dxa"/>
          </w:tcPr>
          <w:p w14:paraId="071EE466" w14:textId="77777777" w:rsidR="005B699B" w:rsidRPr="00674F20" w:rsidRDefault="005B699B" w:rsidP="00785BA1">
            <w:pPr>
              <w:pStyle w:val="Tabletext9pt"/>
              <w:rPr>
                <w:szCs w:val="18"/>
              </w:rPr>
            </w:pPr>
            <w:r w:rsidRPr="00674F20">
              <w:rPr>
                <w:szCs w:val="18"/>
              </w:rPr>
              <w:t>To support commission or undertake research projects related to BBV/STIs in Victoria.</w:t>
            </w:r>
          </w:p>
        </w:tc>
      </w:tr>
      <w:tr w:rsidR="005B699B" w:rsidRPr="00674F20" w14:paraId="317D04EB" w14:textId="77777777" w:rsidTr="003A26BD">
        <w:tblPrEx>
          <w:tblLook w:val="06A0" w:firstRow="1" w:lastRow="0" w:firstColumn="1" w:lastColumn="0" w:noHBand="1" w:noVBand="1"/>
        </w:tblPrEx>
        <w:tc>
          <w:tcPr>
            <w:tcW w:w="2122" w:type="dxa"/>
          </w:tcPr>
          <w:p w14:paraId="1DDE3C5B" w14:textId="77777777" w:rsidR="005B699B" w:rsidRPr="000D467A" w:rsidRDefault="005B699B" w:rsidP="00785BA1">
            <w:pPr>
              <w:pStyle w:val="Tabletext9pt"/>
              <w:rPr>
                <w:szCs w:val="18"/>
              </w:rPr>
            </w:pPr>
            <w:r w:rsidRPr="000D467A">
              <w:rPr>
                <w:szCs w:val="18"/>
              </w:rPr>
              <w:t>16507</w:t>
            </w:r>
          </w:p>
        </w:tc>
        <w:tc>
          <w:tcPr>
            <w:tcW w:w="2551" w:type="dxa"/>
          </w:tcPr>
          <w:p w14:paraId="71BE31F8" w14:textId="77777777" w:rsidR="005B699B" w:rsidRPr="00674F20" w:rsidRDefault="005B699B" w:rsidP="00785BA1">
            <w:pPr>
              <w:pStyle w:val="Tabletext9pt"/>
              <w:rPr>
                <w:szCs w:val="18"/>
              </w:rPr>
            </w:pPr>
            <w:r w:rsidRPr="00674F20">
              <w:rPr>
                <w:szCs w:val="18"/>
              </w:rPr>
              <w:t>BBV and STI – laboratory services</w:t>
            </w:r>
          </w:p>
        </w:tc>
        <w:tc>
          <w:tcPr>
            <w:tcW w:w="4678" w:type="dxa"/>
          </w:tcPr>
          <w:p w14:paraId="288FD8CD" w14:textId="77777777" w:rsidR="005B699B" w:rsidRPr="00674F20" w:rsidRDefault="005B699B" w:rsidP="00785BA1">
            <w:pPr>
              <w:pStyle w:val="Tabletext9pt"/>
              <w:rPr>
                <w:szCs w:val="18"/>
              </w:rPr>
            </w:pPr>
            <w:r w:rsidRPr="00674F20">
              <w:rPr>
                <w:szCs w:val="18"/>
              </w:rPr>
              <w:t>To provide laboratory-testing services related to BBV/STIs in Victoria.</w:t>
            </w:r>
          </w:p>
        </w:tc>
      </w:tr>
      <w:tr w:rsidR="005B699B" w:rsidRPr="00674F20" w14:paraId="6B535771" w14:textId="77777777" w:rsidTr="003A26BD">
        <w:tblPrEx>
          <w:tblLook w:val="06A0" w:firstRow="1" w:lastRow="0" w:firstColumn="1" w:lastColumn="0" w:noHBand="1" w:noVBand="1"/>
        </w:tblPrEx>
        <w:tc>
          <w:tcPr>
            <w:tcW w:w="2122" w:type="dxa"/>
          </w:tcPr>
          <w:p w14:paraId="24327A0C" w14:textId="77777777" w:rsidR="005B699B" w:rsidRPr="00B67FDD" w:rsidRDefault="005B699B" w:rsidP="00785BA1">
            <w:pPr>
              <w:pStyle w:val="Tabletext9pt"/>
              <w:rPr>
                <w:szCs w:val="18"/>
              </w:rPr>
            </w:pPr>
            <w:r w:rsidRPr="00B67FDD">
              <w:rPr>
                <w:szCs w:val="18"/>
              </w:rPr>
              <w:t>16517</w:t>
            </w:r>
          </w:p>
        </w:tc>
        <w:tc>
          <w:tcPr>
            <w:tcW w:w="2551" w:type="dxa"/>
          </w:tcPr>
          <w:p w14:paraId="3F80ED8F" w14:textId="77777777" w:rsidR="005B699B" w:rsidRPr="00674F20" w:rsidRDefault="005B699B" w:rsidP="00785BA1">
            <w:pPr>
              <w:pStyle w:val="Tabletext9pt"/>
              <w:rPr>
                <w:szCs w:val="18"/>
              </w:rPr>
            </w:pPr>
            <w:r w:rsidRPr="00674F20">
              <w:rPr>
                <w:szCs w:val="18"/>
              </w:rPr>
              <w:t>Cancer and screening registers</w:t>
            </w:r>
          </w:p>
        </w:tc>
        <w:tc>
          <w:tcPr>
            <w:tcW w:w="4678" w:type="dxa"/>
          </w:tcPr>
          <w:p w14:paraId="50266090" w14:textId="77777777" w:rsidR="005B699B" w:rsidRPr="00674F20" w:rsidRDefault="005B699B" w:rsidP="00785BA1">
            <w:pPr>
              <w:pStyle w:val="Tabletext9pt"/>
              <w:rPr>
                <w:szCs w:val="18"/>
              </w:rPr>
            </w:pPr>
            <w:r w:rsidRPr="00674F20">
              <w:rPr>
                <w:szCs w:val="18"/>
              </w:rPr>
              <w:t>To maintain a register (as prescribed by legislation where applicable) to record data about cancers and screening results for Victorians.</w:t>
            </w:r>
          </w:p>
        </w:tc>
      </w:tr>
    </w:tbl>
    <w:p w14:paraId="774E6FCD" w14:textId="77777777" w:rsidR="005B699B" w:rsidRDefault="005B699B" w:rsidP="00AD2820">
      <w:pPr>
        <w:pStyle w:val="Bodyafterfiguretable"/>
        <w:keepNext/>
        <w:keepLines/>
      </w:pPr>
      <w:r>
        <w:t>Output name: Public health development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551"/>
        <w:gridCol w:w="4820"/>
      </w:tblGrid>
      <w:tr w:rsidR="005B699B" w:rsidRPr="0090298C" w14:paraId="6C30C566" w14:textId="77777777" w:rsidTr="00AD2820">
        <w:trPr>
          <w:tblHeader/>
        </w:trPr>
        <w:tc>
          <w:tcPr>
            <w:tcW w:w="2122" w:type="dxa"/>
            <w:shd w:val="clear" w:color="auto" w:fill="auto"/>
          </w:tcPr>
          <w:p w14:paraId="1723FEF1" w14:textId="77777777" w:rsidR="005B699B" w:rsidRPr="00F717FB" w:rsidRDefault="005B699B" w:rsidP="00785BA1">
            <w:pPr>
              <w:pStyle w:val="Tablecolhead"/>
              <w:rPr>
                <w:rFonts w:eastAsia="Arial"/>
                <w:szCs w:val="21"/>
              </w:rPr>
            </w:pPr>
            <w:r w:rsidRPr="00F717FB">
              <w:rPr>
                <w:rFonts w:eastAsia="Arial"/>
                <w:szCs w:val="21"/>
              </w:rPr>
              <w:t>Activity no.</w:t>
            </w:r>
          </w:p>
        </w:tc>
        <w:tc>
          <w:tcPr>
            <w:tcW w:w="2551" w:type="dxa"/>
            <w:shd w:val="clear" w:color="auto" w:fill="auto"/>
          </w:tcPr>
          <w:p w14:paraId="5AF81394"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4820" w:type="dxa"/>
            <w:shd w:val="clear" w:color="auto" w:fill="auto"/>
          </w:tcPr>
          <w:p w14:paraId="7A13FF29"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rsidRPr="00674F20" w14:paraId="7F3E2AEA" w14:textId="77777777" w:rsidTr="00AD2820">
        <w:tblPrEx>
          <w:tblLook w:val="06A0" w:firstRow="1" w:lastRow="0" w:firstColumn="1" w:lastColumn="0" w:noHBand="1" w:noVBand="1"/>
        </w:tblPrEx>
        <w:tc>
          <w:tcPr>
            <w:tcW w:w="2122" w:type="dxa"/>
          </w:tcPr>
          <w:p w14:paraId="2611BD7D" w14:textId="77777777" w:rsidR="005B699B" w:rsidRPr="00020A6E" w:rsidRDefault="005B699B" w:rsidP="00785BA1">
            <w:pPr>
              <w:pStyle w:val="Tabletext9pt"/>
              <w:rPr>
                <w:szCs w:val="18"/>
              </w:rPr>
            </w:pPr>
            <w:r w:rsidRPr="00020A6E">
              <w:rPr>
                <w:szCs w:val="18"/>
              </w:rPr>
              <w:t>16203</w:t>
            </w:r>
          </w:p>
        </w:tc>
        <w:tc>
          <w:tcPr>
            <w:tcW w:w="2551" w:type="dxa"/>
          </w:tcPr>
          <w:p w14:paraId="119F1963" w14:textId="77777777" w:rsidR="005B699B" w:rsidRPr="00674F20" w:rsidRDefault="005B699B" w:rsidP="00785BA1">
            <w:pPr>
              <w:pStyle w:val="Tabletext9pt"/>
              <w:rPr>
                <w:szCs w:val="18"/>
              </w:rPr>
            </w:pPr>
            <w:r w:rsidRPr="00674F20">
              <w:rPr>
                <w:szCs w:val="18"/>
              </w:rPr>
              <w:t>Regulation of ART and associated legislation</w:t>
            </w:r>
            <w:r>
              <w:rPr>
                <w:szCs w:val="18"/>
              </w:rPr>
              <w:t xml:space="preserve"> – this is the responsibility of Regulation, Risk, Integrity &amp; Legal Division</w:t>
            </w:r>
          </w:p>
        </w:tc>
        <w:tc>
          <w:tcPr>
            <w:tcW w:w="4820" w:type="dxa"/>
          </w:tcPr>
          <w:p w14:paraId="1F9DAE8D" w14:textId="2C4EA366" w:rsidR="005B699B" w:rsidRPr="00674F20" w:rsidRDefault="005B699B" w:rsidP="00785BA1">
            <w:pPr>
              <w:pStyle w:val="Tabletext9pt"/>
              <w:rPr>
                <w:szCs w:val="18"/>
              </w:rPr>
            </w:pPr>
            <w:r w:rsidRPr="00674F20">
              <w:rPr>
                <w:szCs w:val="18"/>
              </w:rPr>
              <w:t>To provide funding and support of legislation for assisted reproductive technology (ART).</w:t>
            </w:r>
          </w:p>
        </w:tc>
      </w:tr>
      <w:tr w:rsidR="005B699B" w:rsidRPr="00324C15" w14:paraId="1252D081" w14:textId="77777777" w:rsidTr="00AD2820">
        <w:tblPrEx>
          <w:tblLook w:val="06A0" w:firstRow="1" w:lastRow="0" w:firstColumn="1" w:lastColumn="0" w:noHBand="1" w:noVBand="1"/>
        </w:tblPrEx>
        <w:tc>
          <w:tcPr>
            <w:tcW w:w="2122" w:type="dxa"/>
          </w:tcPr>
          <w:p w14:paraId="0F014F18" w14:textId="77777777" w:rsidR="005B699B" w:rsidRPr="00020A6E" w:rsidRDefault="005B699B" w:rsidP="00785BA1">
            <w:pPr>
              <w:pStyle w:val="Tabletext9pt"/>
              <w:rPr>
                <w:szCs w:val="18"/>
              </w:rPr>
            </w:pPr>
            <w:r w:rsidRPr="00E170C6">
              <w:rPr>
                <w:szCs w:val="18"/>
              </w:rPr>
              <w:t>16107</w:t>
            </w:r>
          </w:p>
        </w:tc>
        <w:tc>
          <w:tcPr>
            <w:tcW w:w="2551" w:type="dxa"/>
          </w:tcPr>
          <w:p w14:paraId="4043F767" w14:textId="77777777" w:rsidR="005B699B" w:rsidRPr="00674F20" w:rsidRDefault="005B699B" w:rsidP="00785BA1">
            <w:pPr>
              <w:pStyle w:val="Tabletext9pt"/>
              <w:rPr>
                <w:szCs w:val="18"/>
              </w:rPr>
            </w:pPr>
            <w:r w:rsidRPr="00E170C6">
              <w:rPr>
                <w:szCs w:val="18"/>
              </w:rPr>
              <w:t>Public Health Research Capacity Building</w:t>
            </w:r>
          </w:p>
        </w:tc>
        <w:tc>
          <w:tcPr>
            <w:tcW w:w="4820" w:type="dxa"/>
          </w:tcPr>
          <w:p w14:paraId="0A77004A" w14:textId="484F3AE0" w:rsidR="005B699B" w:rsidRPr="00324C15" w:rsidRDefault="005B699B" w:rsidP="00785BA1">
            <w:pPr>
              <w:pStyle w:val="Tabletext9pt"/>
              <w:rPr>
                <w:rFonts w:eastAsia="MS Gothic"/>
                <w:b/>
                <w:sz w:val="24"/>
                <w:szCs w:val="24"/>
              </w:rPr>
            </w:pPr>
            <w:r>
              <w:t xml:space="preserve">To develop an evidence base that will assist Victorian medical practitioners to safely prescribe cannabidiol, a </w:t>
            </w:r>
            <w:r w:rsidRPr="00AD2820">
              <w:rPr>
                <w:szCs w:val="18"/>
              </w:rPr>
              <w:t>medicinal cannabis product, to children with severe intractable epilepsy.</w:t>
            </w:r>
          </w:p>
        </w:tc>
      </w:tr>
    </w:tbl>
    <w:p w14:paraId="0E15B27E" w14:textId="77777777" w:rsidR="005B699B" w:rsidRDefault="005B699B" w:rsidP="00AD2820">
      <w:pPr>
        <w:pStyle w:val="Bodyafterfiguretable"/>
      </w:pPr>
      <w:r>
        <w:t xml:space="preserve">Output name: </w:t>
      </w:r>
      <w:r w:rsidDel="7D029CB8">
        <w:t>Primary and dental health</w:t>
      </w:r>
      <w:r>
        <w:t xml:space="preserve"> –</w:t>
      </w:r>
      <w:r w:rsidRPr="00B702B9">
        <w:t xml:space="preserve"> </w:t>
      </w:r>
      <w:r>
        <w:t>this table refers to public health activity and programs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4678"/>
      </w:tblGrid>
      <w:tr w:rsidR="005B699B" w:rsidRPr="0090298C" w14:paraId="37E64A81" w14:textId="77777777" w:rsidTr="00AD2820">
        <w:trPr>
          <w:tblHeader/>
        </w:trPr>
        <w:tc>
          <w:tcPr>
            <w:tcW w:w="0" w:type="dxa"/>
            <w:shd w:val="clear" w:color="auto" w:fill="auto"/>
          </w:tcPr>
          <w:p w14:paraId="716D4624" w14:textId="77777777" w:rsidR="005B699B" w:rsidRPr="00F717FB" w:rsidRDefault="005B699B" w:rsidP="00785BA1">
            <w:pPr>
              <w:pStyle w:val="Tablecolhead"/>
              <w:rPr>
                <w:rFonts w:eastAsia="Arial"/>
                <w:szCs w:val="21"/>
              </w:rPr>
            </w:pPr>
            <w:r w:rsidRPr="00F717FB">
              <w:rPr>
                <w:rFonts w:eastAsia="Arial"/>
                <w:szCs w:val="21"/>
              </w:rPr>
              <w:lastRenderedPageBreak/>
              <w:t>Activity no.</w:t>
            </w:r>
          </w:p>
        </w:tc>
        <w:tc>
          <w:tcPr>
            <w:tcW w:w="0" w:type="dxa"/>
            <w:shd w:val="clear" w:color="auto" w:fill="auto"/>
          </w:tcPr>
          <w:p w14:paraId="0828C007" w14:textId="77777777" w:rsidR="005B699B" w:rsidRPr="00F717FB" w:rsidRDefault="005B699B" w:rsidP="00785BA1">
            <w:pPr>
              <w:pStyle w:val="Tablecolhead"/>
              <w:rPr>
                <w:rFonts w:eastAsia="Arial"/>
                <w:szCs w:val="21"/>
              </w:rPr>
            </w:pPr>
            <w:r w:rsidRPr="00F717FB">
              <w:rPr>
                <w:rFonts w:eastAsia="Arial"/>
                <w:szCs w:val="21"/>
              </w:rPr>
              <w:t>Activity name</w:t>
            </w:r>
          </w:p>
        </w:tc>
        <w:tc>
          <w:tcPr>
            <w:tcW w:w="0" w:type="dxa"/>
            <w:shd w:val="clear" w:color="auto" w:fill="auto"/>
          </w:tcPr>
          <w:p w14:paraId="1E5B8411" w14:textId="77777777" w:rsidR="005B699B" w:rsidRPr="00F717FB" w:rsidRDefault="005B699B" w:rsidP="00785BA1">
            <w:pPr>
              <w:pStyle w:val="Tablecolhead"/>
              <w:rPr>
                <w:rFonts w:eastAsia="Arial"/>
                <w:szCs w:val="21"/>
              </w:rPr>
            </w:pPr>
            <w:r w:rsidRPr="00F717FB">
              <w:rPr>
                <w:rFonts w:eastAsia="Arial"/>
                <w:szCs w:val="21"/>
              </w:rPr>
              <w:t>Activity description</w:t>
            </w:r>
          </w:p>
        </w:tc>
      </w:tr>
      <w:tr w:rsidR="005B699B" w:rsidRPr="005D703B" w14:paraId="380D4295" w14:textId="77777777" w:rsidTr="00AD2820">
        <w:tblPrEx>
          <w:tblLook w:val="06A0" w:firstRow="1" w:lastRow="0" w:firstColumn="1" w:lastColumn="0" w:noHBand="1" w:noVBand="1"/>
        </w:tblPrEx>
        <w:tc>
          <w:tcPr>
            <w:tcW w:w="2122" w:type="dxa"/>
          </w:tcPr>
          <w:p w14:paraId="18C517E6" w14:textId="77777777" w:rsidR="005B699B" w:rsidRPr="009833D8" w:rsidRDefault="005B699B" w:rsidP="00785BA1">
            <w:pPr>
              <w:pStyle w:val="Tabletext9pt"/>
            </w:pPr>
            <w:r w:rsidRPr="009833D8">
              <w:t>28043</w:t>
            </w:r>
          </w:p>
        </w:tc>
        <w:tc>
          <w:tcPr>
            <w:tcW w:w="2551" w:type="dxa"/>
          </w:tcPr>
          <w:p w14:paraId="5C328EA5" w14:textId="77777777" w:rsidR="005B699B" w:rsidRPr="009833D8" w:rsidRDefault="005B699B" w:rsidP="00785BA1">
            <w:pPr>
              <w:pStyle w:val="Tabletext9pt"/>
            </w:pPr>
            <w:r w:rsidRPr="009833D8">
              <w:t>Workforce development</w:t>
            </w:r>
          </w:p>
        </w:tc>
        <w:tc>
          <w:tcPr>
            <w:tcW w:w="4678" w:type="dxa"/>
          </w:tcPr>
          <w:p w14:paraId="1A9743B5" w14:textId="77777777" w:rsidR="005B699B" w:rsidRPr="009833D8" w:rsidRDefault="005B699B" w:rsidP="00785BA1">
            <w:pPr>
              <w:pStyle w:val="Tabletext9pt"/>
            </w:pPr>
            <w:r w:rsidRPr="009833D8">
              <w:t>Provision of professional, management and organisational development activities for agency staff, managers, and board members</w:t>
            </w:r>
          </w:p>
        </w:tc>
      </w:tr>
      <w:tr w:rsidR="005B699B" w:rsidRPr="00973B2D" w14:paraId="0622F0CB" w14:textId="77777777" w:rsidTr="00AD2820">
        <w:tblPrEx>
          <w:tblLook w:val="06A0" w:firstRow="1" w:lastRow="0" w:firstColumn="1" w:lastColumn="0" w:noHBand="1" w:noVBand="1"/>
        </w:tblPrEx>
        <w:trPr>
          <w:cantSplit/>
        </w:trPr>
        <w:tc>
          <w:tcPr>
            <w:tcW w:w="0" w:type="dxa"/>
          </w:tcPr>
          <w:p w14:paraId="6FC02112" w14:textId="77777777" w:rsidR="005B699B" w:rsidRPr="009833D8" w:rsidRDefault="005B699B" w:rsidP="00785BA1">
            <w:pPr>
              <w:pStyle w:val="Tabletext9pt"/>
            </w:pPr>
            <w:r w:rsidRPr="009833D8">
              <w:t>28050</w:t>
            </w:r>
          </w:p>
        </w:tc>
        <w:tc>
          <w:tcPr>
            <w:tcW w:w="0" w:type="dxa"/>
          </w:tcPr>
          <w:p w14:paraId="38C1B2AA" w14:textId="77777777" w:rsidR="005B699B" w:rsidRPr="009833D8" w:rsidRDefault="005B699B" w:rsidP="00785BA1">
            <w:pPr>
              <w:pStyle w:val="Tabletext9pt"/>
            </w:pPr>
            <w:r w:rsidRPr="009833D8">
              <w:t xml:space="preserve">Women’s health – health promotion </w:t>
            </w:r>
          </w:p>
        </w:tc>
        <w:tc>
          <w:tcPr>
            <w:tcW w:w="0" w:type="dxa"/>
          </w:tcPr>
          <w:p w14:paraId="79EFF8A6" w14:textId="77777777" w:rsidR="005B699B" w:rsidRPr="009833D8" w:rsidRDefault="005B699B" w:rsidP="00785BA1">
            <w:pPr>
              <w:pStyle w:val="Tabletext9pt"/>
            </w:pPr>
            <w:r w:rsidRPr="009833D8">
              <w:t>Statewide health promotion through system change by influencing, advising, and working with other health services and local organisations as they seek to respond effectively to the health needs of women. Direct work includes engagement by the service itself, or in partnership or collaboration with others, with women and communities.</w:t>
            </w:r>
          </w:p>
        </w:tc>
      </w:tr>
      <w:tr w:rsidR="005B699B" w:rsidRPr="00A17B28" w14:paraId="0B66D7D4" w14:textId="77777777" w:rsidTr="00AD2820">
        <w:tblPrEx>
          <w:tblLook w:val="06A0" w:firstRow="1" w:lastRow="0" w:firstColumn="1" w:lastColumn="0" w:noHBand="1" w:noVBand="1"/>
        </w:tblPrEx>
        <w:tc>
          <w:tcPr>
            <w:tcW w:w="2122" w:type="dxa"/>
          </w:tcPr>
          <w:p w14:paraId="057C5239" w14:textId="77777777" w:rsidR="005B699B" w:rsidRPr="009833D8" w:rsidRDefault="005B699B" w:rsidP="00785BA1">
            <w:pPr>
              <w:pStyle w:val="Tabletext9pt"/>
            </w:pPr>
            <w:r w:rsidRPr="009833D8">
              <w:t>28063</w:t>
            </w:r>
          </w:p>
        </w:tc>
        <w:tc>
          <w:tcPr>
            <w:tcW w:w="2551" w:type="dxa"/>
          </w:tcPr>
          <w:p w14:paraId="0D6B0A36" w14:textId="6103A6CA" w:rsidR="005B699B" w:rsidRPr="009833D8" w:rsidRDefault="005B699B" w:rsidP="00785BA1">
            <w:pPr>
              <w:pStyle w:val="Tabletext9pt"/>
            </w:pPr>
            <w:r w:rsidRPr="009833D8">
              <w:t xml:space="preserve">Family planning – </w:t>
            </w:r>
            <w:r>
              <w:t>e</w:t>
            </w:r>
            <w:r w:rsidRPr="009833D8">
              <w:t xml:space="preserve">ducation </w:t>
            </w:r>
            <w:r w:rsidR="002E5A5C">
              <w:t>and</w:t>
            </w:r>
            <w:r w:rsidR="002E5A5C" w:rsidRPr="009833D8">
              <w:t xml:space="preserve"> </w:t>
            </w:r>
            <w:r w:rsidRPr="009833D8">
              <w:t>training</w:t>
            </w:r>
          </w:p>
        </w:tc>
        <w:tc>
          <w:tcPr>
            <w:tcW w:w="4678" w:type="dxa"/>
          </w:tcPr>
          <w:p w14:paraId="5E736141" w14:textId="77777777" w:rsidR="005B699B" w:rsidRPr="009833D8" w:rsidRDefault="005B699B" w:rsidP="00785BA1">
            <w:pPr>
              <w:pStyle w:val="Tabletext9pt"/>
            </w:pPr>
            <w:bookmarkStart w:id="2399" w:name="_Hlk10731708"/>
            <w:r w:rsidRPr="009833D8">
              <w:t>To improve women’s health for all Victorian women, especially disadvantaged groups.</w:t>
            </w:r>
            <w:bookmarkEnd w:id="2399"/>
          </w:p>
        </w:tc>
      </w:tr>
      <w:tr w:rsidR="005B699B" w:rsidRPr="00674F20" w14:paraId="21884902" w14:textId="77777777" w:rsidTr="00AD2820">
        <w:tblPrEx>
          <w:tblLook w:val="06A0" w:firstRow="1" w:lastRow="0" w:firstColumn="1" w:lastColumn="0" w:noHBand="1" w:noVBand="1"/>
        </w:tblPrEx>
        <w:tc>
          <w:tcPr>
            <w:tcW w:w="2122" w:type="dxa"/>
          </w:tcPr>
          <w:p w14:paraId="037291FF" w14:textId="77777777" w:rsidR="005B699B" w:rsidRPr="009833D8" w:rsidRDefault="005B699B" w:rsidP="00785BA1">
            <w:pPr>
              <w:pStyle w:val="Tabletext9pt"/>
            </w:pPr>
            <w:r w:rsidRPr="009833D8">
              <w:t>28064</w:t>
            </w:r>
          </w:p>
        </w:tc>
        <w:tc>
          <w:tcPr>
            <w:tcW w:w="2551" w:type="dxa"/>
          </w:tcPr>
          <w:p w14:paraId="5D579D08" w14:textId="27234AB6" w:rsidR="005B699B" w:rsidRPr="009833D8" w:rsidRDefault="005B699B" w:rsidP="00785BA1">
            <w:pPr>
              <w:pStyle w:val="Tabletext9pt"/>
            </w:pPr>
            <w:r w:rsidRPr="009833D8">
              <w:t xml:space="preserve">Family </w:t>
            </w:r>
            <w:r>
              <w:t>p</w:t>
            </w:r>
            <w:r w:rsidRPr="009833D8">
              <w:t xml:space="preserve">lanning – </w:t>
            </w:r>
            <w:r>
              <w:t>c</w:t>
            </w:r>
            <w:r w:rsidRPr="009833D8">
              <w:t xml:space="preserve">linical services </w:t>
            </w:r>
            <w:r w:rsidR="002E5A5C">
              <w:t xml:space="preserve">and </w:t>
            </w:r>
            <w:r w:rsidRPr="009833D8">
              <w:t>training</w:t>
            </w:r>
          </w:p>
        </w:tc>
        <w:tc>
          <w:tcPr>
            <w:tcW w:w="4678" w:type="dxa"/>
          </w:tcPr>
          <w:p w14:paraId="05301AFF" w14:textId="77777777" w:rsidR="005B699B" w:rsidRPr="009833D8" w:rsidRDefault="005B699B" w:rsidP="00785BA1">
            <w:pPr>
              <w:pStyle w:val="Tabletext9pt"/>
            </w:pPr>
            <w:r w:rsidRPr="009833D8">
              <w:t>To improve women’s health for all Victorian women, especially disadvantaged groups.</w:t>
            </w:r>
          </w:p>
        </w:tc>
      </w:tr>
      <w:tr w:rsidR="005B699B" w:rsidRPr="00D65B27" w14:paraId="0DA0A648" w14:textId="77777777" w:rsidTr="00AD2820">
        <w:tblPrEx>
          <w:tblLook w:val="06A0" w:firstRow="1" w:lastRow="0" w:firstColumn="1" w:lastColumn="0" w:noHBand="1" w:noVBand="1"/>
        </w:tblPrEx>
        <w:tc>
          <w:tcPr>
            <w:tcW w:w="2122" w:type="dxa"/>
          </w:tcPr>
          <w:p w14:paraId="04659730" w14:textId="77777777" w:rsidR="005B699B" w:rsidRPr="009833D8" w:rsidRDefault="005B699B" w:rsidP="00785BA1">
            <w:pPr>
              <w:pStyle w:val="Tabletext9pt"/>
            </w:pPr>
            <w:r w:rsidRPr="009833D8">
              <w:t>28068</w:t>
            </w:r>
          </w:p>
        </w:tc>
        <w:tc>
          <w:tcPr>
            <w:tcW w:w="2551" w:type="dxa"/>
          </w:tcPr>
          <w:p w14:paraId="4865CE86" w14:textId="77777777" w:rsidR="005B699B" w:rsidRPr="009833D8" w:rsidRDefault="005B699B" w:rsidP="00785BA1">
            <w:pPr>
              <w:pStyle w:val="Tabletext9pt"/>
            </w:pPr>
            <w:r w:rsidRPr="009833D8">
              <w:t>Family planning</w:t>
            </w:r>
          </w:p>
        </w:tc>
        <w:tc>
          <w:tcPr>
            <w:tcW w:w="4678" w:type="dxa"/>
          </w:tcPr>
          <w:p w14:paraId="04B0CC77" w14:textId="77777777" w:rsidR="005B699B" w:rsidRPr="009833D8" w:rsidRDefault="005B699B" w:rsidP="00785BA1">
            <w:pPr>
              <w:pStyle w:val="Tabletext9pt"/>
            </w:pPr>
            <w:r w:rsidRPr="009833D8">
              <w:t>To assist Victorians to make individual choices on sexual and reproductive health matters</w:t>
            </w:r>
          </w:p>
        </w:tc>
      </w:tr>
      <w:tr w:rsidR="005B699B" w:rsidRPr="00674F20" w14:paraId="4C72D99B" w14:textId="77777777" w:rsidTr="00AD2820">
        <w:tblPrEx>
          <w:tblLook w:val="06A0" w:firstRow="1" w:lastRow="0" w:firstColumn="1" w:lastColumn="0" w:noHBand="1" w:noVBand="1"/>
        </w:tblPrEx>
        <w:trPr>
          <w:cantSplit/>
        </w:trPr>
        <w:tc>
          <w:tcPr>
            <w:tcW w:w="0" w:type="dxa"/>
          </w:tcPr>
          <w:p w14:paraId="1A612FB2" w14:textId="287D9905" w:rsidR="005B699B" w:rsidRPr="009833D8" w:rsidRDefault="005B699B" w:rsidP="00785BA1">
            <w:pPr>
              <w:pStyle w:val="Tabletext9pt"/>
            </w:pPr>
            <w:r w:rsidRPr="009833D8">
              <w:t>28085</w:t>
            </w:r>
          </w:p>
        </w:tc>
        <w:tc>
          <w:tcPr>
            <w:tcW w:w="0" w:type="dxa"/>
          </w:tcPr>
          <w:p w14:paraId="1D6F6F65" w14:textId="77777777" w:rsidR="005B699B" w:rsidRPr="009833D8" w:rsidRDefault="005B699B" w:rsidP="00785BA1">
            <w:pPr>
              <w:pStyle w:val="Tabletext9pt"/>
            </w:pPr>
            <w:r w:rsidRPr="009833D8">
              <w:t xml:space="preserve">Community health – </w:t>
            </w:r>
            <w:r>
              <w:t>h</w:t>
            </w:r>
            <w:r w:rsidRPr="009833D8">
              <w:t>ealth promotion</w:t>
            </w:r>
          </w:p>
        </w:tc>
        <w:tc>
          <w:tcPr>
            <w:tcW w:w="0" w:type="dxa"/>
          </w:tcPr>
          <w:p w14:paraId="57114437" w14:textId="60A7C1F3" w:rsidR="005B699B" w:rsidRPr="009833D8" w:rsidRDefault="005B699B" w:rsidP="00785BA1">
            <w:pPr>
              <w:pStyle w:val="Tabletext9pt"/>
            </w:pPr>
            <w:r w:rsidRPr="009833D8">
              <w:t xml:space="preserve">Health </w:t>
            </w:r>
            <w:r>
              <w:t>p</w:t>
            </w:r>
            <w:r w:rsidRPr="009833D8">
              <w:t>romotion funding is provided to agencies across Victoria (primarily community health services) to develop and implement prevention and health promotion initiatives. Initiatives should have a focus on primary prevention (aimed at preventing problems from occurring in the first place)</w:t>
            </w:r>
            <w:r w:rsidR="002E5A5C">
              <w:t>. They should also</w:t>
            </w:r>
            <w:r w:rsidRPr="009833D8" w:rsidDel="002E5A5C">
              <w:t xml:space="preserve"> </w:t>
            </w:r>
            <w:r w:rsidRPr="009833D8">
              <w:t xml:space="preserve">be developed and delivered at a scale that can impact on the health and wellbeing at a population level. </w:t>
            </w:r>
          </w:p>
        </w:tc>
      </w:tr>
    </w:tbl>
    <w:p w14:paraId="0ABABAA4" w14:textId="77777777" w:rsidR="005B699B" w:rsidRDefault="005B699B" w:rsidP="005B699B">
      <w:r>
        <w:br w:type="page"/>
      </w:r>
    </w:p>
    <w:p w14:paraId="10EBDEEA" w14:textId="5AF7EADC" w:rsidR="005B699B" w:rsidRDefault="002929BD" w:rsidP="00226E47">
      <w:pPr>
        <w:pStyle w:val="Heading1partopener"/>
        <w:ind w:left="0"/>
      </w:pPr>
      <w:bookmarkStart w:id="2400" w:name="_Toc100263363"/>
      <w:bookmarkStart w:id="2401" w:name="_Toc165961859"/>
      <w:bookmarkStart w:id="2402" w:name="_Hlk178963239"/>
      <w:bookmarkEnd w:id="2389"/>
      <w:bookmarkEnd w:id="2390"/>
      <w:bookmarkEnd w:id="2391"/>
      <w:bookmarkEnd w:id="2392"/>
      <w:bookmarkEnd w:id="2393"/>
      <w:bookmarkEnd w:id="2394"/>
      <w:bookmarkEnd w:id="2395"/>
      <w:r>
        <w:lastRenderedPageBreak/>
        <w:t xml:space="preserve"> </w:t>
      </w:r>
      <w:bookmarkEnd w:id="2400"/>
      <w:bookmarkEnd w:id="2401"/>
      <w:bookmarkEnd w:id="2402"/>
    </w:p>
    <w:p w14:paraId="5DF25B57" w14:textId="77777777" w:rsidR="005B699B" w:rsidRDefault="005B699B" w:rsidP="002929BD">
      <w:pPr>
        <w:pStyle w:val="Heading2"/>
        <w:numPr>
          <w:ilvl w:val="0"/>
          <w:numId w:val="0"/>
        </w:numPr>
        <w:ind w:left="2561" w:hanging="576"/>
      </w:pPr>
      <w:bookmarkStart w:id="2403" w:name="_Toc12780655"/>
      <w:bookmarkStart w:id="2404" w:name="_Toc14172296"/>
      <w:bookmarkStart w:id="2405" w:name="_Toc33703970"/>
      <w:bookmarkStart w:id="2406" w:name="_Toc55381158"/>
    </w:p>
    <w:p w14:paraId="656CDA82" w14:textId="77777777" w:rsidR="002929BD" w:rsidRDefault="002929BD" w:rsidP="002929BD">
      <w:pPr>
        <w:pStyle w:val="Body"/>
      </w:pPr>
    </w:p>
    <w:p w14:paraId="6B9B3D64" w14:textId="77777777" w:rsidR="002929BD" w:rsidRDefault="002929BD" w:rsidP="002929BD">
      <w:pPr>
        <w:pStyle w:val="Body"/>
      </w:pPr>
    </w:p>
    <w:p w14:paraId="37046B23" w14:textId="77777777" w:rsidR="002929BD" w:rsidRDefault="002929BD" w:rsidP="002929BD">
      <w:pPr>
        <w:pStyle w:val="Body"/>
      </w:pPr>
    </w:p>
    <w:p w14:paraId="6A90B632" w14:textId="77777777" w:rsidR="002929BD" w:rsidRDefault="002929BD" w:rsidP="002929BD">
      <w:pPr>
        <w:pStyle w:val="Body"/>
      </w:pPr>
    </w:p>
    <w:p w14:paraId="45F04E55" w14:textId="77777777" w:rsidR="002929BD" w:rsidRDefault="002929BD" w:rsidP="002929BD">
      <w:pPr>
        <w:pStyle w:val="Body"/>
      </w:pPr>
    </w:p>
    <w:p w14:paraId="45097FDE" w14:textId="77777777" w:rsidR="002929BD" w:rsidRDefault="002929BD" w:rsidP="002929BD">
      <w:pPr>
        <w:pStyle w:val="Body"/>
      </w:pPr>
    </w:p>
    <w:p w14:paraId="4E242C35" w14:textId="77777777" w:rsidR="002929BD" w:rsidRDefault="002929BD" w:rsidP="002929BD">
      <w:pPr>
        <w:pStyle w:val="Body"/>
      </w:pPr>
    </w:p>
    <w:p w14:paraId="4073FCAE" w14:textId="2CF7DC15" w:rsidR="002929BD" w:rsidRDefault="00226E47" w:rsidP="00F553D7">
      <w:pPr>
        <w:pStyle w:val="Heading1"/>
        <w:numPr>
          <w:ilvl w:val="0"/>
          <w:numId w:val="0"/>
        </w:numPr>
      </w:pPr>
      <w:bookmarkStart w:id="2407" w:name="_Toc178963645"/>
      <w:r>
        <w:t>Part 2: Funding and activity levels</w:t>
      </w:r>
      <w:bookmarkEnd w:id="2407"/>
      <w:r w:rsidRPr="00226E47">
        <w:t xml:space="preserve"> </w:t>
      </w:r>
    </w:p>
    <w:p w14:paraId="7CE5B744" w14:textId="77777777" w:rsidR="002929BD" w:rsidRDefault="002929BD" w:rsidP="002929BD">
      <w:pPr>
        <w:pStyle w:val="Body"/>
      </w:pPr>
    </w:p>
    <w:p w14:paraId="1411622B" w14:textId="77777777" w:rsidR="002929BD" w:rsidRDefault="002929BD" w:rsidP="002929BD">
      <w:pPr>
        <w:pStyle w:val="Body"/>
      </w:pPr>
    </w:p>
    <w:p w14:paraId="7EAB066E" w14:textId="77777777" w:rsidR="002929BD" w:rsidRDefault="002929BD" w:rsidP="002929BD">
      <w:pPr>
        <w:pStyle w:val="Body"/>
      </w:pPr>
    </w:p>
    <w:p w14:paraId="0679A3EC" w14:textId="77777777" w:rsidR="002929BD" w:rsidRDefault="002929BD" w:rsidP="002929BD">
      <w:pPr>
        <w:pStyle w:val="Body"/>
      </w:pPr>
    </w:p>
    <w:p w14:paraId="1F5BF79A" w14:textId="77777777" w:rsidR="002929BD" w:rsidRPr="002929BD" w:rsidRDefault="002929BD" w:rsidP="002929BD">
      <w:pPr>
        <w:pStyle w:val="Body"/>
      </w:pPr>
    </w:p>
    <w:p w14:paraId="43D35F18" w14:textId="77777777" w:rsidR="005B699B" w:rsidRDefault="005B699B" w:rsidP="002929BD">
      <w:pPr>
        <w:pStyle w:val="Body"/>
        <w:sectPr w:rsidR="005B699B" w:rsidSect="005B699B">
          <w:headerReference w:type="even" r:id="rId72"/>
          <w:headerReference w:type="default" r:id="rId73"/>
          <w:footerReference w:type="default" r:id="rId74"/>
          <w:headerReference w:type="first" r:id="rId75"/>
          <w:pgSz w:w="11906" w:h="16838" w:code="9"/>
          <w:pgMar w:top="1843" w:right="1304" w:bottom="1134" w:left="1304" w:header="680" w:footer="851" w:gutter="0"/>
          <w:cols w:space="340"/>
          <w:docGrid w:linePitch="360"/>
        </w:sectPr>
      </w:pPr>
    </w:p>
    <w:p w14:paraId="1EF3FC61" w14:textId="3E2D004D" w:rsidR="005B699B" w:rsidRPr="004903A7" w:rsidRDefault="005B699B" w:rsidP="001E4292">
      <w:pPr>
        <w:pStyle w:val="Heading1"/>
        <w:numPr>
          <w:ilvl w:val="0"/>
          <w:numId w:val="13"/>
        </w:numPr>
        <w:ind w:left="1134" w:hanging="1134"/>
      </w:pPr>
      <w:bookmarkStart w:id="2408" w:name="_Ref74211066"/>
      <w:bookmarkStart w:id="2409" w:name="_Ref74211072"/>
      <w:bookmarkStart w:id="2410" w:name="_Ref74211078"/>
      <w:bookmarkStart w:id="2411" w:name="_Ref74211087"/>
      <w:bookmarkStart w:id="2412" w:name="_Toc100263364"/>
      <w:bookmarkStart w:id="2413" w:name="_Toc165961860"/>
      <w:bookmarkStart w:id="2414" w:name="_Toc178963646"/>
      <w:bookmarkStart w:id="2415" w:name="_Hlk169612588"/>
      <w:bookmarkEnd w:id="2403"/>
      <w:bookmarkEnd w:id="2404"/>
      <w:bookmarkEnd w:id="2405"/>
      <w:bookmarkEnd w:id="2406"/>
      <w:r w:rsidRPr="004903A7">
        <w:lastRenderedPageBreak/>
        <w:t xml:space="preserve">Budget </w:t>
      </w:r>
      <w:bookmarkEnd w:id="2408"/>
      <w:bookmarkEnd w:id="2409"/>
      <w:bookmarkEnd w:id="2410"/>
      <w:bookmarkEnd w:id="2411"/>
      <w:bookmarkEnd w:id="2412"/>
      <w:r w:rsidRPr="00731B6C">
        <w:t>tables</w:t>
      </w:r>
      <w:bookmarkEnd w:id="2413"/>
      <w:bookmarkEnd w:id="2414"/>
    </w:p>
    <w:p w14:paraId="1125D4DB" w14:textId="74E88272" w:rsidR="005B699B" w:rsidRPr="00A67ABC" w:rsidRDefault="005B699B" w:rsidP="001E4292">
      <w:pPr>
        <w:pStyle w:val="Heading2"/>
        <w:numPr>
          <w:ilvl w:val="1"/>
          <w:numId w:val="13"/>
        </w:numPr>
        <w:ind w:left="1134" w:hanging="1134"/>
      </w:pPr>
      <w:bookmarkStart w:id="2416" w:name="_Toc12780656"/>
      <w:bookmarkStart w:id="2417" w:name="_Toc14172297"/>
      <w:bookmarkStart w:id="2418" w:name="_Toc33703971"/>
      <w:bookmarkStart w:id="2419" w:name="_Toc55381159"/>
      <w:bookmarkStart w:id="2420" w:name="_Toc165961861"/>
      <w:bookmarkStart w:id="2421" w:name="_Toc178963647"/>
      <w:bookmarkStart w:id="2422" w:name="_Hlk170302741"/>
      <w:r w:rsidRPr="00A67ABC">
        <w:t xml:space="preserve">Health service modelled budgets </w:t>
      </w:r>
      <w:bookmarkEnd w:id="2416"/>
      <w:bookmarkEnd w:id="2417"/>
      <w:bookmarkEnd w:id="2418"/>
      <w:bookmarkEnd w:id="2419"/>
      <w:r w:rsidRPr="00A67ABC">
        <w:t>202</w:t>
      </w:r>
      <w:r>
        <w:t>4</w:t>
      </w:r>
      <w:r w:rsidRPr="00A67ABC">
        <w:t>–2</w:t>
      </w:r>
      <w:r>
        <w:t>5</w:t>
      </w:r>
      <w:bookmarkEnd w:id="2420"/>
      <w:bookmarkEnd w:id="2421"/>
      <w:r w:rsidR="00054728">
        <w:t xml:space="preserve"> </w:t>
      </w:r>
    </w:p>
    <w:p w14:paraId="2D6C7C95" w14:textId="52053021" w:rsidR="00541C64" w:rsidRPr="00541C64" w:rsidRDefault="00541C64" w:rsidP="00541C64">
      <w:pPr>
        <w:pStyle w:val="Tablenoteroman"/>
        <w:tabs>
          <w:tab w:val="clear" w:pos="397"/>
          <w:tab w:val="clear" w:pos="720"/>
        </w:tabs>
        <w:ind w:left="29" w:firstLine="0"/>
        <w:rPr>
          <w:b/>
          <w:lang w:eastAsia="en-AU"/>
        </w:rPr>
      </w:pPr>
      <w:bookmarkStart w:id="2423" w:name="_Toc12780560"/>
      <w:bookmarkStart w:id="2424" w:name="_Toc14194816"/>
      <w:bookmarkStart w:id="2425" w:name="_Toc33703997"/>
      <w:bookmarkEnd w:id="2422"/>
      <w:r>
        <w:rPr>
          <w:b/>
          <w:lang w:eastAsia="en-AU"/>
        </w:rPr>
        <w:t>Notes</w:t>
      </w:r>
    </w:p>
    <w:p w14:paraId="7C299DE8" w14:textId="2EF94F85" w:rsidR="00541C64" w:rsidRPr="00A67ABC" w:rsidRDefault="00541C64" w:rsidP="008E4F36">
      <w:pPr>
        <w:pStyle w:val="Tablenoteroman"/>
        <w:numPr>
          <w:ilvl w:val="0"/>
          <w:numId w:val="52"/>
        </w:numPr>
        <w:tabs>
          <w:tab w:val="clear" w:pos="720"/>
        </w:tabs>
        <w:rPr>
          <w:b/>
          <w:lang w:eastAsia="en-AU"/>
        </w:rPr>
      </w:pPr>
      <w:r w:rsidRPr="00A67ABC">
        <w:rPr>
          <w:lang w:eastAsia="en-AU"/>
        </w:rPr>
        <w:t>Subtotals and totals may not add up due to rounding.</w:t>
      </w:r>
    </w:p>
    <w:p w14:paraId="639BC577" w14:textId="77777777" w:rsidR="00541C64" w:rsidRDefault="00541C64" w:rsidP="008E4F36">
      <w:pPr>
        <w:pStyle w:val="Tablenoteroman"/>
        <w:numPr>
          <w:ilvl w:val="0"/>
          <w:numId w:val="52"/>
        </w:numPr>
        <w:tabs>
          <w:tab w:val="clear" w:pos="720"/>
        </w:tabs>
        <w:rPr>
          <w:lang w:eastAsia="en-AU"/>
        </w:rPr>
      </w:pPr>
      <w:r w:rsidRPr="00A67ABC">
        <w:rPr>
          <w:lang w:eastAsia="en-AU"/>
        </w:rPr>
        <w:t>When published, Statement of Priorities Part C supersede these tables.</w:t>
      </w:r>
    </w:p>
    <w:p w14:paraId="5FEEC8D0" w14:textId="0F217835" w:rsidR="00BE561A" w:rsidRPr="00A67ABC" w:rsidRDefault="00256260" w:rsidP="008E4F36">
      <w:pPr>
        <w:pStyle w:val="Tablenoteroman"/>
        <w:numPr>
          <w:ilvl w:val="0"/>
          <w:numId w:val="52"/>
        </w:numPr>
        <w:tabs>
          <w:tab w:val="clear" w:pos="720"/>
        </w:tabs>
        <w:rPr>
          <w:lang w:eastAsia="en-AU"/>
        </w:rPr>
      </w:pPr>
      <w:r>
        <w:rPr>
          <w:lang w:eastAsia="en-AU"/>
        </w:rPr>
        <w:t>Excludes NSW contribution</w:t>
      </w:r>
      <w:r w:rsidR="00290AC2">
        <w:rPr>
          <w:lang w:eastAsia="en-AU"/>
        </w:rPr>
        <w:t>.</w:t>
      </w:r>
      <w:r>
        <w:rPr>
          <w:lang w:eastAsia="en-AU"/>
        </w:rPr>
        <w:t xml:space="preserve"> </w:t>
      </w:r>
    </w:p>
    <w:p w14:paraId="0D193B58" w14:textId="272B94F5" w:rsidR="005B699B" w:rsidRDefault="00462DC7" w:rsidP="00297FC9">
      <w:pPr>
        <w:pStyle w:val="Tablecaption"/>
      </w:pPr>
      <w:bookmarkStart w:id="2426" w:name="_Toc176510413"/>
      <w:r w:rsidRPr="00A67ABC">
        <w:t>Table</w:t>
      </w:r>
      <w:r w:rsidR="000E0ED2">
        <w:t xml:space="preserve"> 2.</w:t>
      </w:r>
      <w:r>
        <w:fldChar w:fldCharType="begin"/>
      </w:r>
      <w:r>
        <w:instrText>SEQ Table \* ARABIC \s 1</w:instrText>
      </w:r>
      <w:r>
        <w:fldChar w:fldCharType="separate"/>
      </w:r>
      <w:r w:rsidR="00F30C16">
        <w:rPr>
          <w:noProof/>
        </w:rPr>
        <w:t>1</w:t>
      </w:r>
      <w:r>
        <w:fldChar w:fldCharType="end"/>
      </w:r>
      <w:r w:rsidRPr="00A67ABC">
        <w:t xml:space="preserve">: </w:t>
      </w:r>
      <w:r w:rsidR="005B699B" w:rsidRPr="00A67ABC">
        <w:t xml:space="preserve">Expenditure budgets </w:t>
      </w:r>
      <w:bookmarkEnd w:id="2423"/>
      <w:bookmarkEnd w:id="2424"/>
      <w:bookmarkEnd w:id="2425"/>
      <w:r w:rsidR="005B699B" w:rsidRPr="00A67ABC">
        <w:t>202</w:t>
      </w:r>
      <w:r w:rsidR="005B699B">
        <w:t>4</w:t>
      </w:r>
      <w:r w:rsidR="005B699B" w:rsidRPr="00A67ABC">
        <w:t>–2</w:t>
      </w:r>
      <w:r w:rsidR="005B699B">
        <w:t>5</w:t>
      </w:r>
      <w:bookmarkEnd w:id="2426"/>
    </w:p>
    <w:p w14:paraId="1C066255" w14:textId="77777777" w:rsidR="005B699B" w:rsidRDefault="005B699B" w:rsidP="005B699B">
      <w:pPr>
        <w:pStyle w:val="Body"/>
      </w:pPr>
      <w:r>
        <w:t>Metropolitan and regional – $’000s</w:t>
      </w:r>
    </w:p>
    <w:tbl>
      <w:tblPr>
        <w:tblW w:w="9781" w:type="dxa"/>
        <w:tblInd w:w="-147" w:type="dxa"/>
        <w:tblLayout w:type="fixed"/>
        <w:tblLook w:val="04A0" w:firstRow="1" w:lastRow="0" w:firstColumn="1" w:lastColumn="0" w:noHBand="0" w:noVBand="1"/>
      </w:tblPr>
      <w:tblGrid>
        <w:gridCol w:w="1560"/>
        <w:gridCol w:w="1134"/>
        <w:gridCol w:w="992"/>
        <w:gridCol w:w="992"/>
        <w:gridCol w:w="993"/>
        <w:gridCol w:w="992"/>
        <w:gridCol w:w="992"/>
        <w:gridCol w:w="992"/>
        <w:gridCol w:w="1134"/>
      </w:tblGrid>
      <w:tr w:rsidR="007C2D6E" w:rsidRPr="00BF0CAC" w14:paraId="5AC16C1C" w14:textId="77777777" w:rsidTr="00476AAA">
        <w:trPr>
          <w:trHeight w:val="885"/>
          <w:tblHead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95AFA" w14:textId="77777777" w:rsidR="00462DC7" w:rsidRPr="00462DC7" w:rsidRDefault="00462DC7">
            <w:pPr>
              <w:spacing w:after="0" w:line="240" w:lineRule="auto"/>
              <w:jc w:val="both"/>
              <w:rPr>
                <w:rFonts w:cs="Arial"/>
                <w:b/>
                <w:bCs/>
                <w:color w:val="53565A"/>
                <w:sz w:val="16"/>
                <w:szCs w:val="16"/>
                <w:lang w:eastAsia="en-AU"/>
              </w:rPr>
            </w:pPr>
            <w:bookmarkStart w:id="2427" w:name="_Hlk170282638"/>
            <w:r w:rsidRPr="00462DC7">
              <w:rPr>
                <w:rFonts w:cs="Arial"/>
                <w:b/>
                <w:bCs/>
                <w:color w:val="53565A"/>
                <w:sz w:val="16"/>
                <w:szCs w:val="16"/>
                <w:lang w:eastAsia="en-AU"/>
              </w:rPr>
              <w:t>Health Service</w:t>
            </w:r>
          </w:p>
        </w:tc>
        <w:tc>
          <w:tcPr>
            <w:tcW w:w="1134" w:type="dxa"/>
            <w:tcBorders>
              <w:top w:val="single" w:sz="4" w:space="0" w:color="auto"/>
              <w:left w:val="nil"/>
              <w:bottom w:val="single" w:sz="4" w:space="0" w:color="auto"/>
              <w:right w:val="single" w:sz="4" w:space="0" w:color="auto"/>
            </w:tcBorders>
            <w:shd w:val="clear" w:color="auto" w:fill="auto"/>
            <w:hideMark/>
          </w:tcPr>
          <w:p w14:paraId="3EC40D86"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Acute health services</w:t>
            </w:r>
          </w:p>
        </w:tc>
        <w:tc>
          <w:tcPr>
            <w:tcW w:w="992" w:type="dxa"/>
            <w:tcBorders>
              <w:top w:val="single" w:sz="4" w:space="0" w:color="auto"/>
              <w:left w:val="nil"/>
              <w:bottom w:val="single" w:sz="4" w:space="0" w:color="auto"/>
              <w:right w:val="single" w:sz="4" w:space="0" w:color="auto"/>
            </w:tcBorders>
            <w:shd w:val="clear" w:color="auto" w:fill="auto"/>
            <w:hideMark/>
          </w:tcPr>
          <w:p w14:paraId="0247AC51"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Ageing, aged and home care</w:t>
            </w:r>
          </w:p>
        </w:tc>
        <w:tc>
          <w:tcPr>
            <w:tcW w:w="992" w:type="dxa"/>
            <w:tcBorders>
              <w:top w:val="single" w:sz="4" w:space="0" w:color="auto"/>
              <w:left w:val="nil"/>
              <w:bottom w:val="single" w:sz="4" w:space="0" w:color="auto"/>
              <w:right w:val="single" w:sz="4" w:space="0" w:color="auto"/>
            </w:tcBorders>
          </w:tcPr>
          <w:p w14:paraId="5D6D57F4"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p>
          <w:p w14:paraId="37F02ED5" w14:textId="45D485AB"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Ambulance services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2AA62B7"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Drugs services</w:t>
            </w:r>
          </w:p>
        </w:tc>
        <w:tc>
          <w:tcPr>
            <w:tcW w:w="992" w:type="dxa"/>
            <w:tcBorders>
              <w:top w:val="single" w:sz="4" w:space="0" w:color="auto"/>
              <w:left w:val="nil"/>
              <w:bottom w:val="single" w:sz="4" w:space="0" w:color="auto"/>
              <w:right w:val="single" w:sz="4" w:space="0" w:color="auto"/>
            </w:tcBorders>
            <w:shd w:val="clear" w:color="auto" w:fill="auto"/>
            <w:hideMark/>
          </w:tcPr>
          <w:p w14:paraId="2D99BE4E"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Mental health</w:t>
            </w:r>
          </w:p>
        </w:tc>
        <w:tc>
          <w:tcPr>
            <w:tcW w:w="992" w:type="dxa"/>
            <w:tcBorders>
              <w:top w:val="single" w:sz="4" w:space="0" w:color="auto"/>
              <w:left w:val="nil"/>
              <w:bottom w:val="single" w:sz="4" w:space="0" w:color="auto"/>
              <w:right w:val="single" w:sz="4" w:space="0" w:color="auto"/>
            </w:tcBorders>
            <w:shd w:val="clear" w:color="auto" w:fill="auto"/>
            <w:hideMark/>
          </w:tcPr>
          <w:p w14:paraId="7E268D2D"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Primary and dental health</w:t>
            </w:r>
          </w:p>
        </w:tc>
        <w:tc>
          <w:tcPr>
            <w:tcW w:w="992" w:type="dxa"/>
            <w:tcBorders>
              <w:top w:val="single" w:sz="4" w:space="0" w:color="auto"/>
              <w:left w:val="nil"/>
              <w:bottom w:val="single" w:sz="4" w:space="0" w:color="auto"/>
              <w:right w:val="single" w:sz="4" w:space="0" w:color="auto"/>
            </w:tcBorders>
            <w:shd w:val="clear" w:color="auto" w:fill="auto"/>
            <w:hideMark/>
          </w:tcPr>
          <w:p w14:paraId="2802E532"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Public health</w:t>
            </w:r>
          </w:p>
        </w:tc>
        <w:tc>
          <w:tcPr>
            <w:tcW w:w="1134" w:type="dxa"/>
            <w:tcBorders>
              <w:top w:val="single" w:sz="4" w:space="0" w:color="auto"/>
              <w:left w:val="nil"/>
              <w:bottom w:val="single" w:sz="4" w:space="0" w:color="auto"/>
              <w:right w:val="single" w:sz="4" w:space="0" w:color="auto"/>
            </w:tcBorders>
            <w:shd w:val="clear" w:color="auto" w:fill="auto"/>
            <w:hideMark/>
          </w:tcPr>
          <w:p w14:paraId="121F6DBB" w14:textId="77777777" w:rsidR="00462DC7" w:rsidRPr="00462DC7" w:rsidRDefault="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r w:rsidRPr="00462DC7">
              <w:rPr>
                <w:rFonts w:cs="Arial"/>
                <w:b/>
                <w:bCs/>
                <w:color w:val="53565A"/>
                <w:sz w:val="16"/>
                <w:szCs w:val="16"/>
                <w:lang w:eastAsia="en-AU"/>
              </w:rPr>
              <w:br/>
              <w:t>Total</w:t>
            </w:r>
          </w:p>
        </w:tc>
      </w:tr>
      <w:tr w:rsidR="00247C49" w:rsidRPr="00BF0CAC" w14:paraId="0D33EC84" w14:textId="77777777" w:rsidTr="00476AAA">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5D4B75"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Albury Wodonga Health</w:t>
            </w:r>
          </w:p>
        </w:tc>
        <w:tc>
          <w:tcPr>
            <w:tcW w:w="1134" w:type="dxa"/>
            <w:tcBorders>
              <w:top w:val="nil"/>
              <w:left w:val="nil"/>
              <w:bottom w:val="single" w:sz="4" w:space="0" w:color="auto"/>
              <w:right w:val="single" w:sz="4" w:space="0" w:color="auto"/>
            </w:tcBorders>
            <w:shd w:val="clear" w:color="auto" w:fill="auto"/>
            <w:noWrap/>
            <w:vAlign w:val="center"/>
          </w:tcPr>
          <w:p w14:paraId="1B24A6D1" w14:textId="39E3BD7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377,766</w:t>
            </w:r>
          </w:p>
        </w:tc>
        <w:tc>
          <w:tcPr>
            <w:tcW w:w="992" w:type="dxa"/>
            <w:tcBorders>
              <w:top w:val="nil"/>
              <w:left w:val="nil"/>
              <w:bottom w:val="single" w:sz="4" w:space="0" w:color="auto"/>
              <w:right w:val="single" w:sz="4" w:space="0" w:color="auto"/>
            </w:tcBorders>
            <w:shd w:val="clear" w:color="auto" w:fill="auto"/>
            <w:noWrap/>
            <w:vAlign w:val="center"/>
          </w:tcPr>
          <w:p w14:paraId="68205533" w14:textId="73ED4FD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931</w:t>
            </w:r>
          </w:p>
        </w:tc>
        <w:tc>
          <w:tcPr>
            <w:tcW w:w="992" w:type="dxa"/>
            <w:tcBorders>
              <w:top w:val="single" w:sz="4" w:space="0" w:color="auto"/>
              <w:left w:val="nil"/>
              <w:bottom w:val="single" w:sz="4" w:space="0" w:color="auto"/>
              <w:right w:val="single" w:sz="4" w:space="0" w:color="auto"/>
            </w:tcBorders>
            <w:vAlign w:val="center"/>
          </w:tcPr>
          <w:p w14:paraId="032E4341" w14:textId="61E628D1"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164FD" w14:textId="55B8D7B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1,041</w:t>
            </w:r>
          </w:p>
        </w:tc>
        <w:tc>
          <w:tcPr>
            <w:tcW w:w="992" w:type="dxa"/>
            <w:tcBorders>
              <w:top w:val="nil"/>
              <w:left w:val="nil"/>
              <w:bottom w:val="single" w:sz="4" w:space="0" w:color="auto"/>
              <w:right w:val="single" w:sz="4" w:space="0" w:color="auto"/>
            </w:tcBorders>
            <w:shd w:val="clear" w:color="auto" w:fill="auto"/>
            <w:noWrap/>
            <w:vAlign w:val="center"/>
          </w:tcPr>
          <w:p w14:paraId="083C0120" w14:textId="187C185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61,745</w:t>
            </w:r>
          </w:p>
        </w:tc>
        <w:tc>
          <w:tcPr>
            <w:tcW w:w="992" w:type="dxa"/>
            <w:tcBorders>
              <w:top w:val="nil"/>
              <w:left w:val="nil"/>
              <w:bottom w:val="single" w:sz="4" w:space="0" w:color="auto"/>
              <w:right w:val="single" w:sz="4" w:space="0" w:color="auto"/>
            </w:tcBorders>
            <w:shd w:val="clear" w:color="auto" w:fill="auto"/>
            <w:noWrap/>
            <w:vAlign w:val="center"/>
          </w:tcPr>
          <w:p w14:paraId="0103D97B" w14:textId="37D3F14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4,769</w:t>
            </w:r>
          </w:p>
        </w:tc>
        <w:tc>
          <w:tcPr>
            <w:tcW w:w="992" w:type="dxa"/>
            <w:tcBorders>
              <w:top w:val="nil"/>
              <w:left w:val="nil"/>
              <w:bottom w:val="single" w:sz="4" w:space="0" w:color="auto"/>
              <w:right w:val="single" w:sz="4" w:space="0" w:color="auto"/>
            </w:tcBorders>
            <w:shd w:val="clear" w:color="auto" w:fill="auto"/>
            <w:noWrap/>
            <w:vAlign w:val="center"/>
          </w:tcPr>
          <w:p w14:paraId="0BBB07A6" w14:textId="6421143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2,968</w:t>
            </w:r>
          </w:p>
        </w:tc>
        <w:tc>
          <w:tcPr>
            <w:tcW w:w="1134" w:type="dxa"/>
            <w:tcBorders>
              <w:top w:val="nil"/>
              <w:left w:val="nil"/>
              <w:bottom w:val="single" w:sz="4" w:space="0" w:color="auto"/>
              <w:right w:val="single" w:sz="4" w:space="0" w:color="auto"/>
            </w:tcBorders>
            <w:shd w:val="clear" w:color="auto" w:fill="auto"/>
            <w:noWrap/>
            <w:vAlign w:val="center"/>
          </w:tcPr>
          <w:p w14:paraId="2121151E" w14:textId="6FF5193A"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449,220</w:t>
            </w:r>
          </w:p>
        </w:tc>
      </w:tr>
      <w:tr w:rsidR="00247C49" w:rsidRPr="00BF0CAC" w14:paraId="24EC6FBD" w14:textId="77777777" w:rsidTr="00476AAA">
        <w:trPr>
          <w:trHeight w:val="37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054029"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Alfred Health</w:t>
            </w:r>
          </w:p>
        </w:tc>
        <w:tc>
          <w:tcPr>
            <w:tcW w:w="1134" w:type="dxa"/>
            <w:tcBorders>
              <w:top w:val="nil"/>
              <w:left w:val="nil"/>
              <w:bottom w:val="single" w:sz="4" w:space="0" w:color="auto"/>
              <w:right w:val="single" w:sz="4" w:space="0" w:color="auto"/>
            </w:tcBorders>
            <w:shd w:val="clear" w:color="auto" w:fill="auto"/>
            <w:noWrap/>
            <w:vAlign w:val="center"/>
          </w:tcPr>
          <w:p w14:paraId="107B2992" w14:textId="19339FF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1,309,607</w:t>
            </w:r>
          </w:p>
        </w:tc>
        <w:tc>
          <w:tcPr>
            <w:tcW w:w="992" w:type="dxa"/>
            <w:tcBorders>
              <w:top w:val="nil"/>
              <w:left w:val="nil"/>
              <w:bottom w:val="single" w:sz="4" w:space="0" w:color="auto"/>
              <w:right w:val="single" w:sz="4" w:space="0" w:color="auto"/>
            </w:tcBorders>
            <w:shd w:val="clear" w:color="auto" w:fill="auto"/>
            <w:noWrap/>
            <w:vAlign w:val="center"/>
          </w:tcPr>
          <w:p w14:paraId="5FF67880" w14:textId="6635DE0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2,717</w:t>
            </w:r>
          </w:p>
        </w:tc>
        <w:tc>
          <w:tcPr>
            <w:tcW w:w="992" w:type="dxa"/>
            <w:tcBorders>
              <w:top w:val="single" w:sz="4" w:space="0" w:color="auto"/>
              <w:left w:val="nil"/>
              <w:bottom w:val="single" w:sz="4" w:space="0" w:color="auto"/>
              <w:right w:val="single" w:sz="4" w:space="0" w:color="auto"/>
            </w:tcBorders>
            <w:vAlign w:val="center"/>
          </w:tcPr>
          <w:p w14:paraId="65FBF599" w14:textId="2095DF9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9C060" w14:textId="30AEF52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1,007</w:t>
            </w:r>
          </w:p>
        </w:tc>
        <w:tc>
          <w:tcPr>
            <w:tcW w:w="992" w:type="dxa"/>
            <w:tcBorders>
              <w:top w:val="nil"/>
              <w:left w:val="nil"/>
              <w:bottom w:val="single" w:sz="4" w:space="0" w:color="auto"/>
              <w:right w:val="single" w:sz="4" w:space="0" w:color="auto"/>
            </w:tcBorders>
            <w:shd w:val="clear" w:color="auto" w:fill="auto"/>
            <w:noWrap/>
            <w:vAlign w:val="center"/>
          </w:tcPr>
          <w:p w14:paraId="12D5D408" w14:textId="60E9610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141,368</w:t>
            </w:r>
          </w:p>
        </w:tc>
        <w:tc>
          <w:tcPr>
            <w:tcW w:w="992" w:type="dxa"/>
            <w:tcBorders>
              <w:top w:val="nil"/>
              <w:left w:val="nil"/>
              <w:bottom w:val="single" w:sz="4" w:space="0" w:color="auto"/>
              <w:right w:val="single" w:sz="4" w:space="0" w:color="auto"/>
            </w:tcBorders>
            <w:shd w:val="clear" w:color="auto" w:fill="auto"/>
            <w:noWrap/>
            <w:vAlign w:val="center"/>
          </w:tcPr>
          <w:p w14:paraId="3033F061" w14:textId="081302D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2,236</w:t>
            </w:r>
          </w:p>
        </w:tc>
        <w:tc>
          <w:tcPr>
            <w:tcW w:w="992" w:type="dxa"/>
            <w:tcBorders>
              <w:top w:val="nil"/>
              <w:left w:val="nil"/>
              <w:bottom w:val="single" w:sz="4" w:space="0" w:color="auto"/>
              <w:right w:val="single" w:sz="4" w:space="0" w:color="auto"/>
            </w:tcBorders>
            <w:shd w:val="clear" w:color="auto" w:fill="auto"/>
            <w:noWrap/>
            <w:vAlign w:val="center"/>
          </w:tcPr>
          <w:p w14:paraId="539978ED" w14:textId="5C60EEA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9,347</w:t>
            </w:r>
          </w:p>
        </w:tc>
        <w:tc>
          <w:tcPr>
            <w:tcW w:w="1134" w:type="dxa"/>
            <w:tcBorders>
              <w:top w:val="nil"/>
              <w:left w:val="nil"/>
              <w:bottom w:val="single" w:sz="4" w:space="0" w:color="auto"/>
              <w:right w:val="single" w:sz="4" w:space="0" w:color="auto"/>
            </w:tcBorders>
            <w:shd w:val="clear" w:color="auto" w:fill="auto"/>
            <w:noWrap/>
            <w:vAlign w:val="center"/>
          </w:tcPr>
          <w:p w14:paraId="41C10513" w14:textId="1A79B898"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1,466,282</w:t>
            </w:r>
          </w:p>
        </w:tc>
      </w:tr>
      <w:tr w:rsidR="00247C49" w:rsidRPr="00BF0CAC" w14:paraId="4BA5786C" w14:textId="77777777" w:rsidTr="00476AAA">
        <w:trPr>
          <w:trHeight w:val="293"/>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87643A"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Austin Health</w:t>
            </w:r>
          </w:p>
        </w:tc>
        <w:tc>
          <w:tcPr>
            <w:tcW w:w="1134" w:type="dxa"/>
            <w:tcBorders>
              <w:top w:val="nil"/>
              <w:left w:val="nil"/>
              <w:bottom w:val="single" w:sz="4" w:space="0" w:color="auto"/>
              <w:right w:val="single" w:sz="4" w:space="0" w:color="auto"/>
            </w:tcBorders>
            <w:shd w:val="clear" w:color="auto" w:fill="auto"/>
            <w:noWrap/>
            <w:vAlign w:val="center"/>
          </w:tcPr>
          <w:p w14:paraId="6E1CD23E" w14:textId="77EAF60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1,103,353</w:t>
            </w:r>
          </w:p>
        </w:tc>
        <w:tc>
          <w:tcPr>
            <w:tcW w:w="992" w:type="dxa"/>
            <w:tcBorders>
              <w:top w:val="nil"/>
              <w:left w:val="nil"/>
              <w:bottom w:val="single" w:sz="4" w:space="0" w:color="auto"/>
              <w:right w:val="single" w:sz="4" w:space="0" w:color="auto"/>
            </w:tcBorders>
            <w:shd w:val="clear" w:color="auto" w:fill="auto"/>
            <w:noWrap/>
            <w:vAlign w:val="center"/>
          </w:tcPr>
          <w:p w14:paraId="62BA982C" w14:textId="4F3EF5E1"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1,420</w:t>
            </w:r>
          </w:p>
        </w:tc>
        <w:tc>
          <w:tcPr>
            <w:tcW w:w="992" w:type="dxa"/>
            <w:tcBorders>
              <w:top w:val="single" w:sz="4" w:space="0" w:color="auto"/>
              <w:left w:val="nil"/>
              <w:bottom w:val="single" w:sz="4" w:space="0" w:color="auto"/>
              <w:right w:val="single" w:sz="4" w:space="0" w:color="auto"/>
            </w:tcBorders>
            <w:vAlign w:val="center"/>
          </w:tcPr>
          <w:p w14:paraId="767AB3F5" w14:textId="3E3D1A6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CAF5F" w14:textId="492A55A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6,671</w:t>
            </w:r>
          </w:p>
        </w:tc>
        <w:tc>
          <w:tcPr>
            <w:tcW w:w="992" w:type="dxa"/>
            <w:tcBorders>
              <w:top w:val="nil"/>
              <w:left w:val="nil"/>
              <w:bottom w:val="single" w:sz="4" w:space="0" w:color="auto"/>
              <w:right w:val="single" w:sz="4" w:space="0" w:color="auto"/>
            </w:tcBorders>
            <w:shd w:val="clear" w:color="auto" w:fill="auto"/>
            <w:noWrap/>
            <w:vAlign w:val="center"/>
          </w:tcPr>
          <w:p w14:paraId="03908BC2" w14:textId="6A72F18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113,085</w:t>
            </w:r>
          </w:p>
        </w:tc>
        <w:tc>
          <w:tcPr>
            <w:tcW w:w="992" w:type="dxa"/>
            <w:tcBorders>
              <w:top w:val="nil"/>
              <w:left w:val="nil"/>
              <w:bottom w:val="single" w:sz="4" w:space="0" w:color="auto"/>
              <w:right w:val="single" w:sz="4" w:space="0" w:color="auto"/>
            </w:tcBorders>
            <w:shd w:val="clear" w:color="auto" w:fill="auto"/>
            <w:noWrap/>
            <w:vAlign w:val="center"/>
          </w:tcPr>
          <w:p w14:paraId="5B4E4673" w14:textId="37E669F5"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4F193B9" w14:textId="628A424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8,720</w:t>
            </w:r>
          </w:p>
        </w:tc>
        <w:tc>
          <w:tcPr>
            <w:tcW w:w="1134" w:type="dxa"/>
            <w:tcBorders>
              <w:top w:val="nil"/>
              <w:left w:val="nil"/>
              <w:bottom w:val="single" w:sz="4" w:space="0" w:color="auto"/>
              <w:right w:val="single" w:sz="4" w:space="0" w:color="auto"/>
            </w:tcBorders>
            <w:shd w:val="clear" w:color="auto" w:fill="auto"/>
            <w:noWrap/>
            <w:vAlign w:val="center"/>
          </w:tcPr>
          <w:p w14:paraId="22BD1A44" w14:textId="12E43961"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1,233,250</w:t>
            </w:r>
          </w:p>
        </w:tc>
      </w:tr>
      <w:tr w:rsidR="00247C49" w:rsidRPr="00BF0CAC" w14:paraId="60DEBE66" w14:textId="77777777" w:rsidTr="00476AAA">
        <w:trPr>
          <w:trHeight w:val="26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099948"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Barwon Health</w:t>
            </w:r>
          </w:p>
        </w:tc>
        <w:tc>
          <w:tcPr>
            <w:tcW w:w="1134" w:type="dxa"/>
            <w:tcBorders>
              <w:top w:val="nil"/>
              <w:left w:val="nil"/>
              <w:bottom w:val="single" w:sz="4" w:space="0" w:color="auto"/>
              <w:right w:val="single" w:sz="4" w:space="0" w:color="auto"/>
            </w:tcBorders>
            <w:shd w:val="clear" w:color="auto" w:fill="auto"/>
            <w:noWrap/>
            <w:vAlign w:val="center"/>
          </w:tcPr>
          <w:p w14:paraId="594A3506" w14:textId="45767E0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730,987</w:t>
            </w:r>
          </w:p>
        </w:tc>
        <w:tc>
          <w:tcPr>
            <w:tcW w:w="992" w:type="dxa"/>
            <w:tcBorders>
              <w:top w:val="nil"/>
              <w:left w:val="nil"/>
              <w:bottom w:val="single" w:sz="4" w:space="0" w:color="auto"/>
              <w:right w:val="single" w:sz="4" w:space="0" w:color="auto"/>
            </w:tcBorders>
            <w:shd w:val="clear" w:color="auto" w:fill="auto"/>
            <w:noWrap/>
            <w:vAlign w:val="center"/>
          </w:tcPr>
          <w:p w14:paraId="0EE1072B" w14:textId="784C1F3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12,509</w:t>
            </w:r>
          </w:p>
        </w:tc>
        <w:tc>
          <w:tcPr>
            <w:tcW w:w="992" w:type="dxa"/>
            <w:tcBorders>
              <w:top w:val="single" w:sz="4" w:space="0" w:color="auto"/>
              <w:left w:val="nil"/>
              <w:bottom w:val="single" w:sz="4" w:space="0" w:color="auto"/>
              <w:right w:val="single" w:sz="4" w:space="0" w:color="auto"/>
            </w:tcBorders>
            <w:vAlign w:val="center"/>
          </w:tcPr>
          <w:p w14:paraId="7CF60BBF" w14:textId="5DE6530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A3E2" w14:textId="7CB8572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3,425</w:t>
            </w:r>
          </w:p>
        </w:tc>
        <w:tc>
          <w:tcPr>
            <w:tcW w:w="992" w:type="dxa"/>
            <w:tcBorders>
              <w:top w:val="nil"/>
              <w:left w:val="nil"/>
              <w:bottom w:val="single" w:sz="4" w:space="0" w:color="auto"/>
              <w:right w:val="single" w:sz="4" w:space="0" w:color="auto"/>
            </w:tcBorders>
            <w:shd w:val="clear" w:color="auto" w:fill="auto"/>
            <w:noWrap/>
            <w:vAlign w:val="center"/>
          </w:tcPr>
          <w:p w14:paraId="5087F5D5" w14:textId="35C538E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123,913</w:t>
            </w:r>
          </w:p>
        </w:tc>
        <w:tc>
          <w:tcPr>
            <w:tcW w:w="992" w:type="dxa"/>
            <w:tcBorders>
              <w:top w:val="nil"/>
              <w:left w:val="nil"/>
              <w:bottom w:val="single" w:sz="4" w:space="0" w:color="auto"/>
              <w:right w:val="single" w:sz="4" w:space="0" w:color="auto"/>
            </w:tcBorders>
            <w:shd w:val="clear" w:color="auto" w:fill="auto"/>
            <w:noWrap/>
            <w:vAlign w:val="center"/>
          </w:tcPr>
          <w:p w14:paraId="0AEED954" w14:textId="1FDBC751"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6,132</w:t>
            </w:r>
          </w:p>
        </w:tc>
        <w:tc>
          <w:tcPr>
            <w:tcW w:w="992" w:type="dxa"/>
            <w:tcBorders>
              <w:top w:val="nil"/>
              <w:left w:val="nil"/>
              <w:bottom w:val="single" w:sz="4" w:space="0" w:color="auto"/>
              <w:right w:val="single" w:sz="4" w:space="0" w:color="auto"/>
            </w:tcBorders>
            <w:shd w:val="clear" w:color="auto" w:fill="auto"/>
            <w:noWrap/>
            <w:vAlign w:val="center"/>
          </w:tcPr>
          <w:p w14:paraId="0814230B" w14:textId="63D7B10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5,213</w:t>
            </w:r>
          </w:p>
        </w:tc>
        <w:tc>
          <w:tcPr>
            <w:tcW w:w="1134" w:type="dxa"/>
            <w:tcBorders>
              <w:top w:val="nil"/>
              <w:left w:val="nil"/>
              <w:bottom w:val="single" w:sz="4" w:space="0" w:color="auto"/>
              <w:right w:val="single" w:sz="4" w:space="0" w:color="auto"/>
            </w:tcBorders>
            <w:shd w:val="clear" w:color="auto" w:fill="auto"/>
            <w:noWrap/>
            <w:vAlign w:val="center"/>
          </w:tcPr>
          <w:p w14:paraId="079100F7" w14:textId="47F0184D"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882,180</w:t>
            </w:r>
          </w:p>
        </w:tc>
      </w:tr>
      <w:tr w:rsidR="00247C49" w:rsidRPr="00BF0CAC" w14:paraId="44B9C690" w14:textId="77777777" w:rsidTr="00476AAA">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B3182"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Bendigo Health</w:t>
            </w:r>
          </w:p>
        </w:tc>
        <w:tc>
          <w:tcPr>
            <w:tcW w:w="1134" w:type="dxa"/>
            <w:tcBorders>
              <w:top w:val="nil"/>
              <w:left w:val="nil"/>
              <w:bottom w:val="single" w:sz="4" w:space="0" w:color="auto"/>
              <w:right w:val="single" w:sz="4" w:space="0" w:color="auto"/>
            </w:tcBorders>
            <w:shd w:val="clear" w:color="auto" w:fill="auto"/>
            <w:noWrap/>
            <w:vAlign w:val="center"/>
          </w:tcPr>
          <w:p w14:paraId="65E73BFD" w14:textId="4BF61EF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418,080</w:t>
            </w:r>
          </w:p>
        </w:tc>
        <w:tc>
          <w:tcPr>
            <w:tcW w:w="992" w:type="dxa"/>
            <w:tcBorders>
              <w:top w:val="nil"/>
              <w:left w:val="nil"/>
              <w:bottom w:val="single" w:sz="4" w:space="0" w:color="auto"/>
              <w:right w:val="single" w:sz="4" w:space="0" w:color="auto"/>
            </w:tcBorders>
            <w:shd w:val="clear" w:color="auto" w:fill="auto"/>
            <w:noWrap/>
            <w:vAlign w:val="center"/>
          </w:tcPr>
          <w:p w14:paraId="72F54B19" w14:textId="2DF02BB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11,158</w:t>
            </w:r>
          </w:p>
        </w:tc>
        <w:tc>
          <w:tcPr>
            <w:tcW w:w="992" w:type="dxa"/>
            <w:tcBorders>
              <w:top w:val="single" w:sz="4" w:space="0" w:color="auto"/>
              <w:left w:val="nil"/>
              <w:bottom w:val="single" w:sz="4" w:space="0" w:color="auto"/>
              <w:right w:val="single" w:sz="4" w:space="0" w:color="auto"/>
            </w:tcBorders>
            <w:vAlign w:val="center"/>
          </w:tcPr>
          <w:p w14:paraId="2B2FC071" w14:textId="181A31B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EF764" w14:textId="3FF18AA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2,527</w:t>
            </w:r>
          </w:p>
        </w:tc>
        <w:tc>
          <w:tcPr>
            <w:tcW w:w="992" w:type="dxa"/>
            <w:tcBorders>
              <w:top w:val="nil"/>
              <w:left w:val="nil"/>
              <w:bottom w:val="single" w:sz="4" w:space="0" w:color="auto"/>
              <w:right w:val="single" w:sz="4" w:space="0" w:color="auto"/>
            </w:tcBorders>
            <w:shd w:val="clear" w:color="auto" w:fill="auto"/>
            <w:noWrap/>
            <w:vAlign w:val="center"/>
          </w:tcPr>
          <w:p w14:paraId="3B75942A" w14:textId="3E791AC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96,713</w:t>
            </w:r>
          </w:p>
        </w:tc>
        <w:tc>
          <w:tcPr>
            <w:tcW w:w="992" w:type="dxa"/>
            <w:tcBorders>
              <w:top w:val="nil"/>
              <w:left w:val="nil"/>
              <w:bottom w:val="single" w:sz="4" w:space="0" w:color="auto"/>
              <w:right w:val="single" w:sz="4" w:space="0" w:color="auto"/>
            </w:tcBorders>
            <w:shd w:val="clear" w:color="auto" w:fill="auto"/>
            <w:noWrap/>
            <w:vAlign w:val="center"/>
          </w:tcPr>
          <w:p w14:paraId="28C1EB1F" w14:textId="11A4C9B1"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1,252</w:t>
            </w:r>
          </w:p>
        </w:tc>
        <w:tc>
          <w:tcPr>
            <w:tcW w:w="992" w:type="dxa"/>
            <w:tcBorders>
              <w:top w:val="nil"/>
              <w:left w:val="nil"/>
              <w:bottom w:val="single" w:sz="4" w:space="0" w:color="auto"/>
              <w:right w:val="single" w:sz="4" w:space="0" w:color="auto"/>
            </w:tcBorders>
            <w:shd w:val="clear" w:color="auto" w:fill="auto"/>
            <w:noWrap/>
            <w:vAlign w:val="center"/>
          </w:tcPr>
          <w:p w14:paraId="3265D243" w14:textId="1C87E34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6,359</w:t>
            </w:r>
          </w:p>
        </w:tc>
        <w:tc>
          <w:tcPr>
            <w:tcW w:w="1134" w:type="dxa"/>
            <w:tcBorders>
              <w:top w:val="nil"/>
              <w:left w:val="nil"/>
              <w:bottom w:val="single" w:sz="4" w:space="0" w:color="auto"/>
              <w:right w:val="single" w:sz="4" w:space="0" w:color="auto"/>
            </w:tcBorders>
            <w:shd w:val="clear" w:color="auto" w:fill="auto"/>
            <w:noWrap/>
            <w:vAlign w:val="center"/>
          </w:tcPr>
          <w:p w14:paraId="0740318E" w14:textId="746CC15B"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536,088</w:t>
            </w:r>
          </w:p>
        </w:tc>
      </w:tr>
      <w:tr w:rsidR="00247C49" w:rsidRPr="00BF0CAC" w14:paraId="5B37D440" w14:textId="77777777" w:rsidTr="00476AAA">
        <w:trPr>
          <w:trHeight w:val="2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036213"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Calvary Health Care Bethlehem Limited</w:t>
            </w:r>
          </w:p>
        </w:tc>
        <w:tc>
          <w:tcPr>
            <w:tcW w:w="1134" w:type="dxa"/>
            <w:tcBorders>
              <w:top w:val="nil"/>
              <w:left w:val="nil"/>
              <w:bottom w:val="single" w:sz="4" w:space="0" w:color="auto"/>
              <w:right w:val="single" w:sz="4" w:space="0" w:color="auto"/>
            </w:tcBorders>
            <w:shd w:val="clear" w:color="auto" w:fill="auto"/>
            <w:noWrap/>
            <w:vAlign w:val="center"/>
          </w:tcPr>
          <w:p w14:paraId="6AD62B9F" w14:textId="577C094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29,073</w:t>
            </w:r>
          </w:p>
        </w:tc>
        <w:tc>
          <w:tcPr>
            <w:tcW w:w="992" w:type="dxa"/>
            <w:tcBorders>
              <w:top w:val="nil"/>
              <w:left w:val="nil"/>
              <w:bottom w:val="single" w:sz="4" w:space="0" w:color="auto"/>
              <w:right w:val="single" w:sz="4" w:space="0" w:color="auto"/>
            </w:tcBorders>
            <w:shd w:val="clear" w:color="auto" w:fill="auto"/>
            <w:noWrap/>
            <w:vAlign w:val="center"/>
          </w:tcPr>
          <w:p w14:paraId="35545FDC" w14:textId="7884DBB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vAlign w:val="center"/>
          </w:tcPr>
          <w:p w14:paraId="4FF5582E" w14:textId="1BED3BB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E4062" w14:textId="7718C5A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F28B1B0" w14:textId="0C63804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7358EB8" w14:textId="603CA06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CB10FB9" w14:textId="10E3226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7FB4EEBD" w14:textId="4F477C98"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29,073</w:t>
            </w:r>
          </w:p>
        </w:tc>
      </w:tr>
      <w:tr w:rsidR="00247C49" w:rsidRPr="00BF0CAC" w14:paraId="1D9E47B6" w14:textId="77777777" w:rsidTr="00476AAA">
        <w:trPr>
          <w:trHeight w:val="2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D68461"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Eastern Health</w:t>
            </w:r>
          </w:p>
        </w:tc>
        <w:tc>
          <w:tcPr>
            <w:tcW w:w="1134" w:type="dxa"/>
            <w:tcBorders>
              <w:top w:val="nil"/>
              <w:left w:val="nil"/>
              <w:bottom w:val="single" w:sz="4" w:space="0" w:color="auto"/>
              <w:right w:val="single" w:sz="4" w:space="0" w:color="auto"/>
            </w:tcBorders>
            <w:shd w:val="clear" w:color="auto" w:fill="auto"/>
            <w:noWrap/>
            <w:vAlign w:val="center"/>
          </w:tcPr>
          <w:p w14:paraId="4BA12AA5" w14:textId="001E19D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1,126,056</w:t>
            </w:r>
          </w:p>
        </w:tc>
        <w:tc>
          <w:tcPr>
            <w:tcW w:w="992" w:type="dxa"/>
            <w:tcBorders>
              <w:top w:val="nil"/>
              <w:left w:val="nil"/>
              <w:bottom w:val="single" w:sz="4" w:space="0" w:color="auto"/>
              <w:right w:val="single" w:sz="4" w:space="0" w:color="auto"/>
            </w:tcBorders>
            <w:shd w:val="clear" w:color="auto" w:fill="auto"/>
            <w:noWrap/>
            <w:vAlign w:val="center"/>
          </w:tcPr>
          <w:p w14:paraId="00EDD8A2" w14:textId="7DD1465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4,532</w:t>
            </w:r>
          </w:p>
        </w:tc>
        <w:tc>
          <w:tcPr>
            <w:tcW w:w="992" w:type="dxa"/>
            <w:tcBorders>
              <w:top w:val="single" w:sz="4" w:space="0" w:color="auto"/>
              <w:left w:val="nil"/>
              <w:bottom w:val="single" w:sz="4" w:space="0" w:color="auto"/>
              <w:right w:val="single" w:sz="4" w:space="0" w:color="auto"/>
            </w:tcBorders>
            <w:vAlign w:val="center"/>
          </w:tcPr>
          <w:p w14:paraId="111DFD7C" w14:textId="0250176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C666A" w14:textId="621008C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19,796</w:t>
            </w:r>
          </w:p>
        </w:tc>
        <w:tc>
          <w:tcPr>
            <w:tcW w:w="992" w:type="dxa"/>
            <w:tcBorders>
              <w:top w:val="nil"/>
              <w:left w:val="nil"/>
              <w:bottom w:val="single" w:sz="4" w:space="0" w:color="auto"/>
              <w:right w:val="single" w:sz="4" w:space="0" w:color="auto"/>
            </w:tcBorders>
            <w:shd w:val="clear" w:color="auto" w:fill="auto"/>
            <w:noWrap/>
            <w:vAlign w:val="center"/>
          </w:tcPr>
          <w:p w14:paraId="6E11C6C0" w14:textId="4C42BD8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202,963</w:t>
            </w:r>
          </w:p>
        </w:tc>
        <w:tc>
          <w:tcPr>
            <w:tcW w:w="992" w:type="dxa"/>
            <w:tcBorders>
              <w:top w:val="nil"/>
              <w:left w:val="nil"/>
              <w:bottom w:val="single" w:sz="4" w:space="0" w:color="auto"/>
              <w:right w:val="single" w:sz="4" w:space="0" w:color="auto"/>
            </w:tcBorders>
            <w:shd w:val="clear" w:color="auto" w:fill="auto"/>
            <w:noWrap/>
            <w:vAlign w:val="center"/>
          </w:tcPr>
          <w:p w14:paraId="3B029BAD" w14:textId="72128EF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4,441</w:t>
            </w:r>
          </w:p>
        </w:tc>
        <w:tc>
          <w:tcPr>
            <w:tcW w:w="992" w:type="dxa"/>
            <w:tcBorders>
              <w:top w:val="nil"/>
              <w:left w:val="nil"/>
              <w:bottom w:val="single" w:sz="4" w:space="0" w:color="auto"/>
              <w:right w:val="single" w:sz="4" w:space="0" w:color="auto"/>
            </w:tcBorders>
            <w:shd w:val="clear" w:color="auto" w:fill="auto"/>
            <w:noWrap/>
            <w:vAlign w:val="center"/>
          </w:tcPr>
          <w:p w14:paraId="6E1B1349" w14:textId="4D03224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1FBFD6C0" w14:textId="00C55B01"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1,357,787</w:t>
            </w:r>
          </w:p>
        </w:tc>
      </w:tr>
      <w:tr w:rsidR="00247C49" w:rsidRPr="00BF0CAC" w14:paraId="39E63690" w14:textId="77777777" w:rsidTr="00476AAA">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1E14A"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Goulburn Valley Health</w:t>
            </w:r>
          </w:p>
        </w:tc>
        <w:tc>
          <w:tcPr>
            <w:tcW w:w="1134" w:type="dxa"/>
            <w:tcBorders>
              <w:top w:val="nil"/>
              <w:left w:val="nil"/>
              <w:bottom w:val="single" w:sz="4" w:space="0" w:color="auto"/>
              <w:right w:val="single" w:sz="4" w:space="0" w:color="auto"/>
            </w:tcBorders>
            <w:shd w:val="clear" w:color="auto" w:fill="auto"/>
            <w:noWrap/>
            <w:vAlign w:val="center"/>
          </w:tcPr>
          <w:p w14:paraId="009CBB5D" w14:textId="5DDDE2D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297,976</w:t>
            </w:r>
          </w:p>
        </w:tc>
        <w:tc>
          <w:tcPr>
            <w:tcW w:w="992" w:type="dxa"/>
            <w:tcBorders>
              <w:top w:val="nil"/>
              <w:left w:val="nil"/>
              <w:bottom w:val="single" w:sz="4" w:space="0" w:color="auto"/>
              <w:right w:val="single" w:sz="4" w:space="0" w:color="auto"/>
            </w:tcBorders>
            <w:shd w:val="clear" w:color="auto" w:fill="auto"/>
            <w:noWrap/>
            <w:vAlign w:val="center"/>
          </w:tcPr>
          <w:p w14:paraId="17CC8C58" w14:textId="33DBBC5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3,100</w:t>
            </w:r>
          </w:p>
        </w:tc>
        <w:tc>
          <w:tcPr>
            <w:tcW w:w="992" w:type="dxa"/>
            <w:tcBorders>
              <w:top w:val="single" w:sz="4" w:space="0" w:color="auto"/>
              <w:left w:val="nil"/>
              <w:bottom w:val="single" w:sz="4" w:space="0" w:color="auto"/>
              <w:right w:val="single" w:sz="4" w:space="0" w:color="auto"/>
            </w:tcBorders>
            <w:vAlign w:val="center"/>
          </w:tcPr>
          <w:p w14:paraId="5ADF281A" w14:textId="4BC40FB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0D03B" w14:textId="3B9C512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3,205</w:t>
            </w:r>
          </w:p>
        </w:tc>
        <w:tc>
          <w:tcPr>
            <w:tcW w:w="992" w:type="dxa"/>
            <w:tcBorders>
              <w:top w:val="nil"/>
              <w:left w:val="nil"/>
              <w:bottom w:val="single" w:sz="4" w:space="0" w:color="auto"/>
              <w:right w:val="single" w:sz="4" w:space="0" w:color="auto"/>
            </w:tcBorders>
            <w:shd w:val="clear" w:color="auto" w:fill="auto"/>
            <w:noWrap/>
            <w:vAlign w:val="center"/>
          </w:tcPr>
          <w:p w14:paraId="74B1389E" w14:textId="30E32F0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48,994</w:t>
            </w:r>
          </w:p>
        </w:tc>
        <w:tc>
          <w:tcPr>
            <w:tcW w:w="992" w:type="dxa"/>
            <w:tcBorders>
              <w:top w:val="nil"/>
              <w:left w:val="nil"/>
              <w:bottom w:val="single" w:sz="4" w:space="0" w:color="auto"/>
              <w:right w:val="single" w:sz="4" w:space="0" w:color="auto"/>
            </w:tcBorders>
            <w:shd w:val="clear" w:color="auto" w:fill="auto"/>
            <w:noWrap/>
            <w:vAlign w:val="center"/>
          </w:tcPr>
          <w:p w14:paraId="4DD5EB0A" w14:textId="325A9EBE"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1,717</w:t>
            </w:r>
          </w:p>
        </w:tc>
        <w:tc>
          <w:tcPr>
            <w:tcW w:w="992" w:type="dxa"/>
            <w:tcBorders>
              <w:top w:val="nil"/>
              <w:left w:val="nil"/>
              <w:bottom w:val="single" w:sz="4" w:space="0" w:color="auto"/>
              <w:right w:val="single" w:sz="4" w:space="0" w:color="auto"/>
            </w:tcBorders>
            <w:shd w:val="clear" w:color="auto" w:fill="auto"/>
            <w:noWrap/>
            <w:vAlign w:val="center"/>
          </w:tcPr>
          <w:p w14:paraId="22A6B494" w14:textId="16EA5D5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3,512</w:t>
            </w:r>
          </w:p>
        </w:tc>
        <w:tc>
          <w:tcPr>
            <w:tcW w:w="1134" w:type="dxa"/>
            <w:tcBorders>
              <w:top w:val="nil"/>
              <w:left w:val="nil"/>
              <w:bottom w:val="single" w:sz="4" w:space="0" w:color="auto"/>
              <w:right w:val="single" w:sz="4" w:space="0" w:color="auto"/>
            </w:tcBorders>
            <w:shd w:val="clear" w:color="auto" w:fill="auto"/>
            <w:noWrap/>
            <w:vAlign w:val="center"/>
          </w:tcPr>
          <w:p w14:paraId="706A525A" w14:textId="1510BA94"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358,503</w:t>
            </w:r>
          </w:p>
        </w:tc>
      </w:tr>
      <w:tr w:rsidR="00247C49" w:rsidRPr="00BF0CAC" w14:paraId="2B3A6024" w14:textId="77777777" w:rsidTr="00476AAA">
        <w:trPr>
          <w:trHeight w:val="2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C8137E"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Grampians Health</w:t>
            </w:r>
          </w:p>
        </w:tc>
        <w:tc>
          <w:tcPr>
            <w:tcW w:w="1134" w:type="dxa"/>
            <w:tcBorders>
              <w:top w:val="nil"/>
              <w:left w:val="nil"/>
              <w:bottom w:val="single" w:sz="4" w:space="0" w:color="auto"/>
              <w:right w:val="single" w:sz="4" w:space="0" w:color="auto"/>
            </w:tcBorders>
            <w:shd w:val="clear" w:color="auto" w:fill="auto"/>
            <w:noWrap/>
            <w:vAlign w:val="center"/>
          </w:tcPr>
          <w:p w14:paraId="49A0B92A" w14:textId="55542B0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554,952</w:t>
            </w:r>
          </w:p>
        </w:tc>
        <w:tc>
          <w:tcPr>
            <w:tcW w:w="992" w:type="dxa"/>
            <w:tcBorders>
              <w:top w:val="nil"/>
              <w:left w:val="nil"/>
              <w:bottom w:val="single" w:sz="4" w:space="0" w:color="auto"/>
              <w:right w:val="single" w:sz="4" w:space="0" w:color="auto"/>
            </w:tcBorders>
            <w:shd w:val="clear" w:color="auto" w:fill="auto"/>
            <w:noWrap/>
            <w:vAlign w:val="center"/>
          </w:tcPr>
          <w:p w14:paraId="35EC6BC8" w14:textId="457A6CF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35,322</w:t>
            </w:r>
          </w:p>
        </w:tc>
        <w:tc>
          <w:tcPr>
            <w:tcW w:w="992" w:type="dxa"/>
            <w:tcBorders>
              <w:top w:val="single" w:sz="4" w:space="0" w:color="auto"/>
              <w:left w:val="nil"/>
              <w:bottom w:val="single" w:sz="4" w:space="0" w:color="auto"/>
              <w:right w:val="single" w:sz="4" w:space="0" w:color="auto"/>
            </w:tcBorders>
            <w:vAlign w:val="center"/>
          </w:tcPr>
          <w:p w14:paraId="2D852A7B" w14:textId="39CB7D0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FA43C" w14:textId="4E8936D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320</w:t>
            </w:r>
          </w:p>
        </w:tc>
        <w:tc>
          <w:tcPr>
            <w:tcW w:w="992" w:type="dxa"/>
            <w:tcBorders>
              <w:top w:val="nil"/>
              <w:left w:val="nil"/>
              <w:bottom w:val="single" w:sz="4" w:space="0" w:color="auto"/>
              <w:right w:val="single" w:sz="4" w:space="0" w:color="auto"/>
            </w:tcBorders>
            <w:shd w:val="clear" w:color="auto" w:fill="auto"/>
            <w:noWrap/>
            <w:vAlign w:val="center"/>
          </w:tcPr>
          <w:p w14:paraId="097C5DB4" w14:textId="18A4A02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72,185</w:t>
            </w:r>
          </w:p>
        </w:tc>
        <w:tc>
          <w:tcPr>
            <w:tcW w:w="992" w:type="dxa"/>
            <w:tcBorders>
              <w:top w:val="nil"/>
              <w:left w:val="nil"/>
              <w:bottom w:val="single" w:sz="4" w:space="0" w:color="auto"/>
              <w:right w:val="single" w:sz="4" w:space="0" w:color="auto"/>
            </w:tcBorders>
            <w:shd w:val="clear" w:color="auto" w:fill="auto"/>
            <w:noWrap/>
            <w:vAlign w:val="center"/>
          </w:tcPr>
          <w:p w14:paraId="032375F2" w14:textId="6537F31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3,993</w:t>
            </w:r>
          </w:p>
        </w:tc>
        <w:tc>
          <w:tcPr>
            <w:tcW w:w="992" w:type="dxa"/>
            <w:tcBorders>
              <w:top w:val="nil"/>
              <w:left w:val="nil"/>
              <w:bottom w:val="single" w:sz="4" w:space="0" w:color="auto"/>
              <w:right w:val="single" w:sz="4" w:space="0" w:color="auto"/>
            </w:tcBorders>
            <w:shd w:val="clear" w:color="auto" w:fill="auto"/>
            <w:noWrap/>
            <w:vAlign w:val="center"/>
          </w:tcPr>
          <w:p w14:paraId="02707732" w14:textId="0BCCB3F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5,219</w:t>
            </w:r>
          </w:p>
        </w:tc>
        <w:tc>
          <w:tcPr>
            <w:tcW w:w="1134" w:type="dxa"/>
            <w:tcBorders>
              <w:top w:val="nil"/>
              <w:left w:val="nil"/>
              <w:bottom w:val="single" w:sz="4" w:space="0" w:color="auto"/>
              <w:right w:val="single" w:sz="4" w:space="0" w:color="auto"/>
            </w:tcBorders>
            <w:shd w:val="clear" w:color="auto" w:fill="auto"/>
            <w:noWrap/>
            <w:vAlign w:val="center"/>
          </w:tcPr>
          <w:p w14:paraId="2F996813" w14:textId="6FB506C2"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671,991</w:t>
            </w:r>
          </w:p>
        </w:tc>
      </w:tr>
      <w:tr w:rsidR="00247C49" w:rsidRPr="00BF0CAC" w14:paraId="7C9B5EF5" w14:textId="77777777" w:rsidTr="00476AAA">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86FC99"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Latrobe Regional Health</w:t>
            </w:r>
          </w:p>
        </w:tc>
        <w:tc>
          <w:tcPr>
            <w:tcW w:w="1134" w:type="dxa"/>
            <w:tcBorders>
              <w:top w:val="nil"/>
              <w:left w:val="nil"/>
              <w:bottom w:val="single" w:sz="4" w:space="0" w:color="auto"/>
              <w:right w:val="single" w:sz="4" w:space="0" w:color="auto"/>
            </w:tcBorders>
            <w:shd w:val="clear" w:color="auto" w:fill="auto"/>
            <w:noWrap/>
            <w:vAlign w:val="center"/>
          </w:tcPr>
          <w:p w14:paraId="4A956A46" w14:textId="666FC89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265,043</w:t>
            </w:r>
          </w:p>
        </w:tc>
        <w:tc>
          <w:tcPr>
            <w:tcW w:w="992" w:type="dxa"/>
            <w:tcBorders>
              <w:top w:val="nil"/>
              <w:left w:val="nil"/>
              <w:bottom w:val="single" w:sz="4" w:space="0" w:color="auto"/>
              <w:right w:val="single" w:sz="4" w:space="0" w:color="auto"/>
            </w:tcBorders>
            <w:shd w:val="clear" w:color="auto" w:fill="auto"/>
            <w:noWrap/>
            <w:vAlign w:val="center"/>
          </w:tcPr>
          <w:p w14:paraId="611AE076" w14:textId="3AE2EE2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313</w:t>
            </w:r>
          </w:p>
        </w:tc>
        <w:tc>
          <w:tcPr>
            <w:tcW w:w="992" w:type="dxa"/>
            <w:tcBorders>
              <w:top w:val="single" w:sz="4" w:space="0" w:color="auto"/>
              <w:left w:val="nil"/>
              <w:bottom w:val="single" w:sz="4" w:space="0" w:color="auto"/>
              <w:right w:val="single" w:sz="4" w:space="0" w:color="auto"/>
            </w:tcBorders>
            <w:vAlign w:val="center"/>
          </w:tcPr>
          <w:p w14:paraId="19820566" w14:textId="2ED74C9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1F152" w14:textId="14A1674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161</w:t>
            </w:r>
          </w:p>
        </w:tc>
        <w:tc>
          <w:tcPr>
            <w:tcW w:w="992" w:type="dxa"/>
            <w:tcBorders>
              <w:top w:val="nil"/>
              <w:left w:val="nil"/>
              <w:bottom w:val="single" w:sz="4" w:space="0" w:color="auto"/>
              <w:right w:val="single" w:sz="4" w:space="0" w:color="auto"/>
            </w:tcBorders>
            <w:shd w:val="clear" w:color="auto" w:fill="auto"/>
            <w:noWrap/>
            <w:vAlign w:val="center"/>
          </w:tcPr>
          <w:p w14:paraId="3433CA8E" w14:textId="7232547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78,814</w:t>
            </w:r>
          </w:p>
        </w:tc>
        <w:tc>
          <w:tcPr>
            <w:tcW w:w="992" w:type="dxa"/>
            <w:tcBorders>
              <w:top w:val="nil"/>
              <w:left w:val="nil"/>
              <w:bottom w:val="single" w:sz="4" w:space="0" w:color="auto"/>
              <w:right w:val="single" w:sz="4" w:space="0" w:color="auto"/>
            </w:tcBorders>
            <w:shd w:val="clear" w:color="auto" w:fill="auto"/>
            <w:noWrap/>
            <w:vAlign w:val="center"/>
          </w:tcPr>
          <w:p w14:paraId="41EE756A" w14:textId="109D542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4,589</w:t>
            </w:r>
          </w:p>
        </w:tc>
        <w:tc>
          <w:tcPr>
            <w:tcW w:w="992" w:type="dxa"/>
            <w:tcBorders>
              <w:top w:val="nil"/>
              <w:left w:val="nil"/>
              <w:bottom w:val="single" w:sz="4" w:space="0" w:color="auto"/>
              <w:right w:val="single" w:sz="4" w:space="0" w:color="auto"/>
            </w:tcBorders>
            <w:shd w:val="clear" w:color="auto" w:fill="auto"/>
            <w:noWrap/>
            <w:vAlign w:val="center"/>
          </w:tcPr>
          <w:p w14:paraId="741B3673" w14:textId="21A753F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5,671</w:t>
            </w:r>
          </w:p>
        </w:tc>
        <w:tc>
          <w:tcPr>
            <w:tcW w:w="1134" w:type="dxa"/>
            <w:tcBorders>
              <w:top w:val="nil"/>
              <w:left w:val="nil"/>
              <w:bottom w:val="single" w:sz="4" w:space="0" w:color="auto"/>
              <w:right w:val="single" w:sz="4" w:space="0" w:color="auto"/>
            </w:tcBorders>
            <w:shd w:val="clear" w:color="auto" w:fill="auto"/>
            <w:noWrap/>
            <w:vAlign w:val="center"/>
          </w:tcPr>
          <w:p w14:paraId="5304DCE7" w14:textId="3D013F6E"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354,590</w:t>
            </w:r>
          </w:p>
        </w:tc>
      </w:tr>
      <w:tr w:rsidR="00247C49" w:rsidRPr="00BF0CAC" w14:paraId="305035FA" w14:textId="77777777" w:rsidTr="00476AAA">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96E36C"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Melbourne Health</w:t>
            </w:r>
          </w:p>
        </w:tc>
        <w:tc>
          <w:tcPr>
            <w:tcW w:w="1134" w:type="dxa"/>
            <w:tcBorders>
              <w:top w:val="nil"/>
              <w:left w:val="nil"/>
              <w:bottom w:val="single" w:sz="4" w:space="0" w:color="auto"/>
              <w:right w:val="single" w:sz="4" w:space="0" w:color="auto"/>
            </w:tcBorders>
            <w:shd w:val="clear" w:color="auto" w:fill="auto"/>
            <w:noWrap/>
            <w:vAlign w:val="center"/>
          </w:tcPr>
          <w:p w14:paraId="0A9FA158" w14:textId="2E3EDE1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1,103,299</w:t>
            </w:r>
          </w:p>
        </w:tc>
        <w:tc>
          <w:tcPr>
            <w:tcW w:w="992" w:type="dxa"/>
            <w:tcBorders>
              <w:top w:val="nil"/>
              <w:left w:val="nil"/>
              <w:bottom w:val="single" w:sz="4" w:space="0" w:color="auto"/>
              <w:right w:val="single" w:sz="4" w:space="0" w:color="auto"/>
            </w:tcBorders>
            <w:shd w:val="clear" w:color="auto" w:fill="auto"/>
            <w:noWrap/>
            <w:vAlign w:val="center"/>
          </w:tcPr>
          <w:p w14:paraId="28FD713B" w14:textId="3941DA8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4,981</w:t>
            </w:r>
          </w:p>
        </w:tc>
        <w:tc>
          <w:tcPr>
            <w:tcW w:w="992" w:type="dxa"/>
            <w:tcBorders>
              <w:top w:val="single" w:sz="4" w:space="0" w:color="auto"/>
              <w:left w:val="nil"/>
              <w:bottom w:val="single" w:sz="4" w:space="0" w:color="auto"/>
              <w:right w:val="single" w:sz="4" w:space="0" w:color="auto"/>
            </w:tcBorders>
            <w:vAlign w:val="center"/>
          </w:tcPr>
          <w:p w14:paraId="5879A3C6" w14:textId="3A3A94D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DAA1F" w14:textId="746D7BD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660</w:t>
            </w:r>
          </w:p>
        </w:tc>
        <w:tc>
          <w:tcPr>
            <w:tcW w:w="992" w:type="dxa"/>
            <w:tcBorders>
              <w:top w:val="nil"/>
              <w:left w:val="nil"/>
              <w:bottom w:val="single" w:sz="4" w:space="0" w:color="auto"/>
              <w:right w:val="single" w:sz="4" w:space="0" w:color="auto"/>
            </w:tcBorders>
            <w:shd w:val="clear" w:color="auto" w:fill="auto"/>
            <w:noWrap/>
            <w:vAlign w:val="center"/>
          </w:tcPr>
          <w:p w14:paraId="41A417E4" w14:textId="7874F0E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177,801</w:t>
            </w:r>
          </w:p>
        </w:tc>
        <w:tc>
          <w:tcPr>
            <w:tcW w:w="992" w:type="dxa"/>
            <w:tcBorders>
              <w:top w:val="nil"/>
              <w:left w:val="nil"/>
              <w:bottom w:val="single" w:sz="4" w:space="0" w:color="auto"/>
              <w:right w:val="single" w:sz="4" w:space="0" w:color="auto"/>
            </w:tcBorders>
            <w:shd w:val="clear" w:color="auto" w:fill="auto"/>
            <w:noWrap/>
            <w:vAlign w:val="center"/>
          </w:tcPr>
          <w:p w14:paraId="4F355B3F" w14:textId="27C1FBD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CFA5C6C" w14:textId="57E61A4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16,816</w:t>
            </w:r>
          </w:p>
        </w:tc>
        <w:tc>
          <w:tcPr>
            <w:tcW w:w="1134" w:type="dxa"/>
            <w:tcBorders>
              <w:top w:val="nil"/>
              <w:left w:val="nil"/>
              <w:bottom w:val="single" w:sz="4" w:space="0" w:color="auto"/>
              <w:right w:val="single" w:sz="4" w:space="0" w:color="auto"/>
            </w:tcBorders>
            <w:shd w:val="clear" w:color="auto" w:fill="auto"/>
            <w:noWrap/>
            <w:vAlign w:val="center"/>
          </w:tcPr>
          <w:p w14:paraId="3BB88196" w14:textId="0A3D3171"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1,304,832</w:t>
            </w:r>
          </w:p>
        </w:tc>
      </w:tr>
      <w:tr w:rsidR="00247C49" w:rsidRPr="00BF0CAC" w14:paraId="1D3368A8" w14:textId="77777777" w:rsidTr="00476AAA">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0339389"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Mercy Hospitals Victoria Limited</w:t>
            </w:r>
          </w:p>
        </w:tc>
        <w:tc>
          <w:tcPr>
            <w:tcW w:w="1134" w:type="dxa"/>
            <w:tcBorders>
              <w:top w:val="nil"/>
              <w:left w:val="nil"/>
              <w:bottom w:val="single" w:sz="4" w:space="0" w:color="auto"/>
              <w:right w:val="single" w:sz="4" w:space="0" w:color="auto"/>
            </w:tcBorders>
            <w:shd w:val="clear" w:color="auto" w:fill="auto"/>
            <w:noWrap/>
            <w:vAlign w:val="center"/>
          </w:tcPr>
          <w:p w14:paraId="25AFAED6" w14:textId="3DA095F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471,753</w:t>
            </w:r>
          </w:p>
        </w:tc>
        <w:tc>
          <w:tcPr>
            <w:tcW w:w="992" w:type="dxa"/>
            <w:tcBorders>
              <w:top w:val="nil"/>
              <w:left w:val="nil"/>
              <w:bottom w:val="single" w:sz="4" w:space="0" w:color="auto"/>
              <w:right w:val="single" w:sz="4" w:space="0" w:color="auto"/>
            </w:tcBorders>
            <w:shd w:val="clear" w:color="auto" w:fill="auto"/>
            <w:noWrap/>
            <w:vAlign w:val="center"/>
          </w:tcPr>
          <w:p w14:paraId="5FD306D5" w14:textId="56FFA70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90</w:t>
            </w:r>
          </w:p>
        </w:tc>
        <w:tc>
          <w:tcPr>
            <w:tcW w:w="992" w:type="dxa"/>
            <w:tcBorders>
              <w:top w:val="single" w:sz="4" w:space="0" w:color="auto"/>
              <w:left w:val="nil"/>
              <w:bottom w:val="single" w:sz="4" w:space="0" w:color="auto"/>
              <w:right w:val="single" w:sz="4" w:space="0" w:color="auto"/>
            </w:tcBorders>
            <w:vAlign w:val="center"/>
          </w:tcPr>
          <w:p w14:paraId="2F02F4A6" w14:textId="4E20A02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9F0F8" w14:textId="2F2783A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205</w:t>
            </w:r>
          </w:p>
        </w:tc>
        <w:tc>
          <w:tcPr>
            <w:tcW w:w="992" w:type="dxa"/>
            <w:tcBorders>
              <w:top w:val="nil"/>
              <w:left w:val="nil"/>
              <w:bottom w:val="single" w:sz="4" w:space="0" w:color="auto"/>
              <w:right w:val="single" w:sz="4" w:space="0" w:color="auto"/>
            </w:tcBorders>
            <w:shd w:val="clear" w:color="auto" w:fill="auto"/>
            <w:noWrap/>
            <w:vAlign w:val="center"/>
          </w:tcPr>
          <w:p w14:paraId="215E40E6" w14:textId="7835454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86,576</w:t>
            </w:r>
          </w:p>
        </w:tc>
        <w:tc>
          <w:tcPr>
            <w:tcW w:w="992" w:type="dxa"/>
            <w:tcBorders>
              <w:top w:val="nil"/>
              <w:left w:val="nil"/>
              <w:bottom w:val="single" w:sz="4" w:space="0" w:color="auto"/>
              <w:right w:val="single" w:sz="4" w:space="0" w:color="auto"/>
            </w:tcBorders>
            <w:shd w:val="clear" w:color="auto" w:fill="auto"/>
            <w:noWrap/>
            <w:vAlign w:val="center"/>
          </w:tcPr>
          <w:p w14:paraId="37EC7320" w14:textId="6FEBFFC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3,927</w:t>
            </w:r>
          </w:p>
        </w:tc>
        <w:tc>
          <w:tcPr>
            <w:tcW w:w="992" w:type="dxa"/>
            <w:tcBorders>
              <w:top w:val="nil"/>
              <w:left w:val="nil"/>
              <w:bottom w:val="single" w:sz="4" w:space="0" w:color="auto"/>
              <w:right w:val="single" w:sz="4" w:space="0" w:color="auto"/>
            </w:tcBorders>
            <w:shd w:val="clear" w:color="auto" w:fill="auto"/>
            <w:noWrap/>
            <w:vAlign w:val="center"/>
          </w:tcPr>
          <w:p w14:paraId="0509559D" w14:textId="4BC0BCD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52262A59" w14:textId="0B3009A8"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562,552</w:t>
            </w:r>
          </w:p>
        </w:tc>
      </w:tr>
      <w:tr w:rsidR="00247C49" w:rsidRPr="00BF0CAC" w14:paraId="06E0C3C9" w14:textId="77777777" w:rsidTr="00476AAA">
        <w:trPr>
          <w:trHeight w:val="36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42C414"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Monash Health</w:t>
            </w:r>
          </w:p>
        </w:tc>
        <w:tc>
          <w:tcPr>
            <w:tcW w:w="1134" w:type="dxa"/>
            <w:tcBorders>
              <w:top w:val="nil"/>
              <w:left w:val="nil"/>
              <w:bottom w:val="single" w:sz="4" w:space="0" w:color="auto"/>
              <w:right w:val="single" w:sz="4" w:space="0" w:color="auto"/>
            </w:tcBorders>
            <w:shd w:val="clear" w:color="auto" w:fill="auto"/>
            <w:noWrap/>
            <w:vAlign w:val="center"/>
          </w:tcPr>
          <w:p w14:paraId="1469254F" w14:textId="7A9CBB0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2,276,416</w:t>
            </w:r>
          </w:p>
        </w:tc>
        <w:tc>
          <w:tcPr>
            <w:tcW w:w="992" w:type="dxa"/>
            <w:tcBorders>
              <w:top w:val="nil"/>
              <w:left w:val="nil"/>
              <w:bottom w:val="single" w:sz="4" w:space="0" w:color="auto"/>
              <w:right w:val="single" w:sz="4" w:space="0" w:color="auto"/>
            </w:tcBorders>
            <w:shd w:val="clear" w:color="auto" w:fill="auto"/>
            <w:noWrap/>
            <w:vAlign w:val="center"/>
          </w:tcPr>
          <w:p w14:paraId="20C90CB6" w14:textId="1CEC0E7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8,460</w:t>
            </w:r>
          </w:p>
        </w:tc>
        <w:tc>
          <w:tcPr>
            <w:tcW w:w="992" w:type="dxa"/>
            <w:tcBorders>
              <w:top w:val="single" w:sz="4" w:space="0" w:color="auto"/>
              <w:left w:val="nil"/>
              <w:bottom w:val="single" w:sz="4" w:space="0" w:color="auto"/>
              <w:right w:val="single" w:sz="4" w:space="0" w:color="auto"/>
            </w:tcBorders>
            <w:vAlign w:val="center"/>
          </w:tcPr>
          <w:p w14:paraId="2CC4252E" w14:textId="2DA1879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960C2" w14:textId="28DBD0C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7,197</w:t>
            </w:r>
          </w:p>
        </w:tc>
        <w:tc>
          <w:tcPr>
            <w:tcW w:w="992" w:type="dxa"/>
            <w:tcBorders>
              <w:top w:val="nil"/>
              <w:left w:val="nil"/>
              <w:bottom w:val="single" w:sz="4" w:space="0" w:color="auto"/>
              <w:right w:val="single" w:sz="4" w:space="0" w:color="auto"/>
            </w:tcBorders>
            <w:shd w:val="clear" w:color="auto" w:fill="auto"/>
            <w:noWrap/>
            <w:vAlign w:val="center"/>
          </w:tcPr>
          <w:p w14:paraId="0901C6A0" w14:textId="2485D68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292,796</w:t>
            </w:r>
          </w:p>
        </w:tc>
        <w:tc>
          <w:tcPr>
            <w:tcW w:w="992" w:type="dxa"/>
            <w:tcBorders>
              <w:top w:val="nil"/>
              <w:left w:val="nil"/>
              <w:bottom w:val="single" w:sz="4" w:space="0" w:color="auto"/>
              <w:right w:val="single" w:sz="4" w:space="0" w:color="auto"/>
            </w:tcBorders>
            <w:shd w:val="clear" w:color="auto" w:fill="auto"/>
            <w:noWrap/>
            <w:vAlign w:val="center"/>
          </w:tcPr>
          <w:p w14:paraId="242D9AEE" w14:textId="72EDACB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18,326</w:t>
            </w:r>
          </w:p>
        </w:tc>
        <w:tc>
          <w:tcPr>
            <w:tcW w:w="992" w:type="dxa"/>
            <w:tcBorders>
              <w:top w:val="nil"/>
              <w:left w:val="nil"/>
              <w:bottom w:val="single" w:sz="4" w:space="0" w:color="auto"/>
              <w:right w:val="single" w:sz="4" w:space="0" w:color="auto"/>
            </w:tcBorders>
            <w:shd w:val="clear" w:color="auto" w:fill="auto"/>
            <w:noWrap/>
            <w:vAlign w:val="center"/>
          </w:tcPr>
          <w:p w14:paraId="049D55C9" w14:textId="6B93EF7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8,298</w:t>
            </w:r>
          </w:p>
        </w:tc>
        <w:tc>
          <w:tcPr>
            <w:tcW w:w="1134" w:type="dxa"/>
            <w:tcBorders>
              <w:top w:val="nil"/>
              <w:left w:val="nil"/>
              <w:bottom w:val="single" w:sz="4" w:space="0" w:color="auto"/>
              <w:right w:val="single" w:sz="4" w:space="0" w:color="auto"/>
            </w:tcBorders>
            <w:shd w:val="clear" w:color="auto" w:fill="auto"/>
            <w:noWrap/>
            <w:vAlign w:val="center"/>
          </w:tcPr>
          <w:p w14:paraId="22F0B1C6" w14:textId="6FE8B7C1"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2,611,493</w:t>
            </w:r>
          </w:p>
        </w:tc>
      </w:tr>
      <w:tr w:rsidR="00247C49" w:rsidRPr="00BF0CAC" w14:paraId="5A2B0BB8" w14:textId="77777777" w:rsidTr="00476AAA">
        <w:trPr>
          <w:trHeight w:val="3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C3BB1A"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Northern Health</w:t>
            </w:r>
          </w:p>
        </w:tc>
        <w:tc>
          <w:tcPr>
            <w:tcW w:w="1134" w:type="dxa"/>
            <w:tcBorders>
              <w:top w:val="nil"/>
              <w:left w:val="nil"/>
              <w:bottom w:val="single" w:sz="4" w:space="0" w:color="auto"/>
              <w:right w:val="single" w:sz="4" w:space="0" w:color="auto"/>
            </w:tcBorders>
            <w:shd w:val="clear" w:color="auto" w:fill="auto"/>
            <w:noWrap/>
            <w:vAlign w:val="center"/>
          </w:tcPr>
          <w:p w14:paraId="2AEDC06B" w14:textId="7284C47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838,727</w:t>
            </w:r>
          </w:p>
        </w:tc>
        <w:tc>
          <w:tcPr>
            <w:tcW w:w="992" w:type="dxa"/>
            <w:tcBorders>
              <w:top w:val="nil"/>
              <w:left w:val="nil"/>
              <w:bottom w:val="single" w:sz="4" w:space="0" w:color="auto"/>
              <w:right w:val="single" w:sz="4" w:space="0" w:color="auto"/>
            </w:tcBorders>
            <w:shd w:val="clear" w:color="auto" w:fill="auto"/>
            <w:noWrap/>
            <w:vAlign w:val="center"/>
          </w:tcPr>
          <w:p w14:paraId="7DFB98F7" w14:textId="28A91A3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3,986</w:t>
            </w:r>
          </w:p>
        </w:tc>
        <w:tc>
          <w:tcPr>
            <w:tcW w:w="992" w:type="dxa"/>
            <w:tcBorders>
              <w:top w:val="single" w:sz="4" w:space="0" w:color="auto"/>
              <w:left w:val="nil"/>
              <w:bottom w:val="single" w:sz="4" w:space="0" w:color="auto"/>
              <w:right w:val="single" w:sz="4" w:space="0" w:color="auto"/>
            </w:tcBorders>
            <w:vAlign w:val="center"/>
          </w:tcPr>
          <w:p w14:paraId="1ED6DA9C" w14:textId="7924A0F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429A" w14:textId="0D3F770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160</w:t>
            </w:r>
          </w:p>
        </w:tc>
        <w:tc>
          <w:tcPr>
            <w:tcW w:w="992" w:type="dxa"/>
            <w:tcBorders>
              <w:top w:val="nil"/>
              <w:left w:val="nil"/>
              <w:bottom w:val="single" w:sz="4" w:space="0" w:color="auto"/>
              <w:right w:val="single" w:sz="4" w:space="0" w:color="auto"/>
            </w:tcBorders>
            <w:shd w:val="clear" w:color="auto" w:fill="auto"/>
            <w:noWrap/>
            <w:vAlign w:val="center"/>
          </w:tcPr>
          <w:p w14:paraId="7B8FE5FC" w14:textId="5DD4B68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189,947</w:t>
            </w:r>
          </w:p>
        </w:tc>
        <w:tc>
          <w:tcPr>
            <w:tcW w:w="992" w:type="dxa"/>
            <w:tcBorders>
              <w:top w:val="nil"/>
              <w:left w:val="nil"/>
              <w:bottom w:val="single" w:sz="4" w:space="0" w:color="auto"/>
              <w:right w:val="single" w:sz="4" w:space="0" w:color="auto"/>
            </w:tcBorders>
            <w:shd w:val="clear" w:color="auto" w:fill="auto"/>
            <w:noWrap/>
            <w:vAlign w:val="center"/>
          </w:tcPr>
          <w:p w14:paraId="5A76DECB" w14:textId="5F396AB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D4E0177" w14:textId="38C0FD2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549B0566" w14:textId="491E2EB5"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1,032,820</w:t>
            </w:r>
          </w:p>
        </w:tc>
      </w:tr>
      <w:tr w:rsidR="00247C49" w:rsidRPr="00BF0CAC" w14:paraId="190D70CC" w14:textId="77777777" w:rsidTr="00476AAA">
        <w:trPr>
          <w:trHeight w:val="27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6D80BD"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Peninsula Health</w:t>
            </w:r>
          </w:p>
        </w:tc>
        <w:tc>
          <w:tcPr>
            <w:tcW w:w="1134" w:type="dxa"/>
            <w:tcBorders>
              <w:top w:val="nil"/>
              <w:left w:val="nil"/>
              <w:bottom w:val="single" w:sz="4" w:space="0" w:color="auto"/>
              <w:right w:val="single" w:sz="4" w:space="0" w:color="auto"/>
            </w:tcBorders>
            <w:shd w:val="clear" w:color="auto" w:fill="auto"/>
            <w:noWrap/>
            <w:vAlign w:val="center"/>
          </w:tcPr>
          <w:p w14:paraId="43F0A5E8" w14:textId="77AF492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722,378</w:t>
            </w:r>
          </w:p>
        </w:tc>
        <w:tc>
          <w:tcPr>
            <w:tcW w:w="992" w:type="dxa"/>
            <w:tcBorders>
              <w:top w:val="nil"/>
              <w:left w:val="nil"/>
              <w:bottom w:val="single" w:sz="4" w:space="0" w:color="auto"/>
              <w:right w:val="single" w:sz="4" w:space="0" w:color="auto"/>
            </w:tcBorders>
            <w:shd w:val="clear" w:color="auto" w:fill="auto"/>
            <w:noWrap/>
            <w:vAlign w:val="center"/>
          </w:tcPr>
          <w:p w14:paraId="0219878E" w14:textId="696253C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4,683</w:t>
            </w:r>
          </w:p>
        </w:tc>
        <w:tc>
          <w:tcPr>
            <w:tcW w:w="992" w:type="dxa"/>
            <w:tcBorders>
              <w:top w:val="single" w:sz="4" w:space="0" w:color="auto"/>
              <w:left w:val="nil"/>
              <w:bottom w:val="single" w:sz="4" w:space="0" w:color="auto"/>
              <w:right w:val="single" w:sz="4" w:space="0" w:color="auto"/>
            </w:tcBorders>
            <w:vAlign w:val="center"/>
          </w:tcPr>
          <w:p w14:paraId="2EBDB6FD" w14:textId="400834E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216FF" w14:textId="00AC3D1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3,586</w:t>
            </w:r>
          </w:p>
        </w:tc>
        <w:tc>
          <w:tcPr>
            <w:tcW w:w="992" w:type="dxa"/>
            <w:tcBorders>
              <w:top w:val="nil"/>
              <w:left w:val="nil"/>
              <w:bottom w:val="single" w:sz="4" w:space="0" w:color="auto"/>
              <w:right w:val="single" w:sz="4" w:space="0" w:color="auto"/>
            </w:tcBorders>
            <w:shd w:val="clear" w:color="auto" w:fill="auto"/>
            <w:noWrap/>
            <w:vAlign w:val="center"/>
          </w:tcPr>
          <w:p w14:paraId="3BE90842" w14:textId="6F3339E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93,324</w:t>
            </w:r>
          </w:p>
        </w:tc>
        <w:tc>
          <w:tcPr>
            <w:tcW w:w="992" w:type="dxa"/>
            <w:tcBorders>
              <w:top w:val="nil"/>
              <w:left w:val="nil"/>
              <w:bottom w:val="single" w:sz="4" w:space="0" w:color="auto"/>
              <w:right w:val="single" w:sz="4" w:space="0" w:color="auto"/>
            </w:tcBorders>
            <w:shd w:val="clear" w:color="auto" w:fill="auto"/>
            <w:noWrap/>
            <w:vAlign w:val="center"/>
          </w:tcPr>
          <w:p w14:paraId="75EEB1BA" w14:textId="40D1ABD1"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8,354</w:t>
            </w:r>
          </w:p>
        </w:tc>
        <w:tc>
          <w:tcPr>
            <w:tcW w:w="992" w:type="dxa"/>
            <w:tcBorders>
              <w:top w:val="nil"/>
              <w:left w:val="nil"/>
              <w:bottom w:val="single" w:sz="4" w:space="0" w:color="auto"/>
              <w:right w:val="single" w:sz="4" w:space="0" w:color="auto"/>
            </w:tcBorders>
            <w:shd w:val="clear" w:color="auto" w:fill="auto"/>
            <w:noWrap/>
            <w:vAlign w:val="center"/>
          </w:tcPr>
          <w:p w14:paraId="61252008" w14:textId="7135BDFC"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684ACFA9" w14:textId="58FDF2A0"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832,325</w:t>
            </w:r>
          </w:p>
        </w:tc>
      </w:tr>
      <w:tr w:rsidR="00247C49" w:rsidRPr="00BF0CAC" w14:paraId="7E69C73D" w14:textId="77777777" w:rsidTr="00476AAA">
        <w:trPr>
          <w:trHeight w:val="22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ACF2E4" w14:textId="275F52FF"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Peter Maccallum Cancer Institute</w:t>
            </w:r>
          </w:p>
        </w:tc>
        <w:tc>
          <w:tcPr>
            <w:tcW w:w="1134" w:type="dxa"/>
            <w:tcBorders>
              <w:top w:val="nil"/>
              <w:left w:val="nil"/>
              <w:bottom w:val="single" w:sz="4" w:space="0" w:color="auto"/>
              <w:right w:val="single" w:sz="4" w:space="0" w:color="auto"/>
            </w:tcBorders>
            <w:shd w:val="clear" w:color="auto" w:fill="auto"/>
            <w:noWrap/>
            <w:vAlign w:val="center"/>
          </w:tcPr>
          <w:p w14:paraId="0CEED1D3" w14:textId="33BD7C1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369,212</w:t>
            </w:r>
          </w:p>
        </w:tc>
        <w:tc>
          <w:tcPr>
            <w:tcW w:w="992" w:type="dxa"/>
            <w:tcBorders>
              <w:top w:val="nil"/>
              <w:left w:val="nil"/>
              <w:bottom w:val="single" w:sz="4" w:space="0" w:color="auto"/>
              <w:right w:val="single" w:sz="4" w:space="0" w:color="auto"/>
            </w:tcBorders>
            <w:shd w:val="clear" w:color="auto" w:fill="auto"/>
            <w:noWrap/>
            <w:vAlign w:val="center"/>
          </w:tcPr>
          <w:p w14:paraId="40F43995" w14:textId="0445BBD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vAlign w:val="center"/>
          </w:tcPr>
          <w:p w14:paraId="2B51FD75" w14:textId="02441D1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1F03A" w14:textId="0A1DE4F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679DEE1" w14:textId="37E57BC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854</w:t>
            </w:r>
          </w:p>
        </w:tc>
        <w:tc>
          <w:tcPr>
            <w:tcW w:w="992" w:type="dxa"/>
            <w:tcBorders>
              <w:top w:val="nil"/>
              <w:left w:val="nil"/>
              <w:bottom w:val="single" w:sz="4" w:space="0" w:color="auto"/>
              <w:right w:val="single" w:sz="4" w:space="0" w:color="auto"/>
            </w:tcBorders>
            <w:shd w:val="clear" w:color="auto" w:fill="auto"/>
            <w:noWrap/>
            <w:vAlign w:val="center"/>
          </w:tcPr>
          <w:p w14:paraId="0C681051" w14:textId="79CA338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F46BE35" w14:textId="5D28E14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20</w:t>
            </w:r>
          </w:p>
        </w:tc>
        <w:tc>
          <w:tcPr>
            <w:tcW w:w="1134" w:type="dxa"/>
            <w:tcBorders>
              <w:top w:val="nil"/>
              <w:left w:val="nil"/>
              <w:bottom w:val="single" w:sz="4" w:space="0" w:color="auto"/>
              <w:right w:val="single" w:sz="4" w:space="0" w:color="auto"/>
            </w:tcBorders>
            <w:shd w:val="clear" w:color="auto" w:fill="auto"/>
            <w:noWrap/>
            <w:vAlign w:val="center"/>
          </w:tcPr>
          <w:p w14:paraId="27FBB55F" w14:textId="7956B28E"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370,085</w:t>
            </w:r>
          </w:p>
        </w:tc>
      </w:tr>
      <w:tr w:rsidR="00247C49" w:rsidRPr="00BF0CAC" w14:paraId="421FB5B3" w14:textId="77777777" w:rsidTr="00476AAA">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0D652C" w14:textId="7D334B68"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St Vincents Hospital Melbourne Limited</w:t>
            </w:r>
          </w:p>
        </w:tc>
        <w:tc>
          <w:tcPr>
            <w:tcW w:w="1134" w:type="dxa"/>
            <w:tcBorders>
              <w:top w:val="nil"/>
              <w:left w:val="nil"/>
              <w:bottom w:val="single" w:sz="4" w:space="0" w:color="auto"/>
              <w:right w:val="single" w:sz="4" w:space="0" w:color="auto"/>
            </w:tcBorders>
            <w:shd w:val="clear" w:color="auto" w:fill="auto"/>
            <w:noWrap/>
            <w:vAlign w:val="center"/>
          </w:tcPr>
          <w:p w14:paraId="0BEF2620" w14:textId="222495D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661,295</w:t>
            </w:r>
          </w:p>
        </w:tc>
        <w:tc>
          <w:tcPr>
            <w:tcW w:w="992" w:type="dxa"/>
            <w:tcBorders>
              <w:top w:val="nil"/>
              <w:left w:val="nil"/>
              <w:bottom w:val="single" w:sz="4" w:space="0" w:color="auto"/>
              <w:right w:val="single" w:sz="4" w:space="0" w:color="auto"/>
            </w:tcBorders>
            <w:shd w:val="clear" w:color="auto" w:fill="auto"/>
            <w:noWrap/>
            <w:vAlign w:val="center"/>
          </w:tcPr>
          <w:p w14:paraId="709644A2" w14:textId="23FED70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3,352</w:t>
            </w:r>
          </w:p>
        </w:tc>
        <w:tc>
          <w:tcPr>
            <w:tcW w:w="992" w:type="dxa"/>
            <w:tcBorders>
              <w:top w:val="single" w:sz="4" w:space="0" w:color="auto"/>
              <w:left w:val="nil"/>
              <w:bottom w:val="single" w:sz="4" w:space="0" w:color="auto"/>
              <w:right w:val="single" w:sz="4" w:space="0" w:color="auto"/>
            </w:tcBorders>
            <w:vAlign w:val="center"/>
          </w:tcPr>
          <w:p w14:paraId="2AE59B2D" w14:textId="259745F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3DEBB" w14:textId="3762D24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6,521</w:t>
            </w:r>
          </w:p>
        </w:tc>
        <w:tc>
          <w:tcPr>
            <w:tcW w:w="992" w:type="dxa"/>
            <w:tcBorders>
              <w:top w:val="nil"/>
              <w:left w:val="nil"/>
              <w:bottom w:val="single" w:sz="4" w:space="0" w:color="auto"/>
              <w:right w:val="single" w:sz="4" w:space="0" w:color="auto"/>
            </w:tcBorders>
            <w:shd w:val="clear" w:color="auto" w:fill="auto"/>
            <w:noWrap/>
            <w:vAlign w:val="center"/>
          </w:tcPr>
          <w:p w14:paraId="0E148AB9" w14:textId="2CA76F3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95,614</w:t>
            </w:r>
          </w:p>
        </w:tc>
        <w:tc>
          <w:tcPr>
            <w:tcW w:w="992" w:type="dxa"/>
            <w:tcBorders>
              <w:top w:val="nil"/>
              <w:left w:val="nil"/>
              <w:bottom w:val="single" w:sz="4" w:space="0" w:color="auto"/>
              <w:right w:val="single" w:sz="4" w:space="0" w:color="auto"/>
            </w:tcBorders>
            <w:shd w:val="clear" w:color="auto" w:fill="auto"/>
            <w:noWrap/>
            <w:vAlign w:val="center"/>
          </w:tcPr>
          <w:p w14:paraId="451A8611" w14:textId="23CD525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333</w:t>
            </w:r>
          </w:p>
        </w:tc>
        <w:tc>
          <w:tcPr>
            <w:tcW w:w="992" w:type="dxa"/>
            <w:tcBorders>
              <w:top w:val="nil"/>
              <w:left w:val="nil"/>
              <w:bottom w:val="single" w:sz="4" w:space="0" w:color="auto"/>
              <w:right w:val="single" w:sz="4" w:space="0" w:color="auto"/>
            </w:tcBorders>
            <w:shd w:val="clear" w:color="auto" w:fill="auto"/>
            <w:noWrap/>
            <w:vAlign w:val="center"/>
          </w:tcPr>
          <w:p w14:paraId="2596101F" w14:textId="16DC5329"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216</w:t>
            </w:r>
          </w:p>
        </w:tc>
        <w:tc>
          <w:tcPr>
            <w:tcW w:w="1134" w:type="dxa"/>
            <w:tcBorders>
              <w:top w:val="nil"/>
              <w:left w:val="nil"/>
              <w:bottom w:val="single" w:sz="4" w:space="0" w:color="auto"/>
              <w:right w:val="single" w:sz="4" w:space="0" w:color="auto"/>
            </w:tcBorders>
            <w:shd w:val="clear" w:color="auto" w:fill="auto"/>
            <w:noWrap/>
            <w:vAlign w:val="center"/>
          </w:tcPr>
          <w:p w14:paraId="08F535DB" w14:textId="6177B147"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767,330</w:t>
            </w:r>
          </w:p>
        </w:tc>
      </w:tr>
      <w:tr w:rsidR="00247C49" w:rsidRPr="00BF0CAC" w14:paraId="562E3F6E" w14:textId="77777777" w:rsidTr="00476AAA">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8A7522" w14:textId="0E10FB86"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The Royal Children</w:t>
            </w:r>
            <w:r w:rsidR="00544284">
              <w:rPr>
                <w:rFonts w:cs="Arial"/>
                <w:color w:val="000000"/>
                <w:sz w:val="15"/>
                <w:szCs w:val="15"/>
              </w:rPr>
              <w:t>’</w:t>
            </w:r>
            <w:r>
              <w:rPr>
                <w:rFonts w:cs="Arial"/>
                <w:color w:val="000000"/>
                <w:sz w:val="15"/>
                <w:szCs w:val="15"/>
              </w:rPr>
              <w:t>s Hospital</w:t>
            </w:r>
          </w:p>
        </w:tc>
        <w:tc>
          <w:tcPr>
            <w:tcW w:w="1134" w:type="dxa"/>
            <w:tcBorders>
              <w:top w:val="nil"/>
              <w:left w:val="nil"/>
              <w:bottom w:val="single" w:sz="4" w:space="0" w:color="auto"/>
              <w:right w:val="single" w:sz="4" w:space="0" w:color="auto"/>
            </w:tcBorders>
            <w:shd w:val="clear" w:color="auto" w:fill="auto"/>
            <w:noWrap/>
            <w:vAlign w:val="center"/>
          </w:tcPr>
          <w:p w14:paraId="3BBC82C7" w14:textId="3AD3D78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657,537</w:t>
            </w:r>
          </w:p>
        </w:tc>
        <w:tc>
          <w:tcPr>
            <w:tcW w:w="992" w:type="dxa"/>
            <w:tcBorders>
              <w:top w:val="nil"/>
              <w:left w:val="nil"/>
              <w:bottom w:val="single" w:sz="4" w:space="0" w:color="auto"/>
              <w:right w:val="single" w:sz="4" w:space="0" w:color="auto"/>
            </w:tcBorders>
            <w:shd w:val="clear" w:color="auto" w:fill="auto"/>
            <w:noWrap/>
            <w:vAlign w:val="center"/>
          </w:tcPr>
          <w:p w14:paraId="49F1D593" w14:textId="232B516F"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vAlign w:val="center"/>
          </w:tcPr>
          <w:p w14:paraId="3D37C129" w14:textId="4FDFDE1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B349A" w14:textId="5A57551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203</w:t>
            </w:r>
          </w:p>
        </w:tc>
        <w:tc>
          <w:tcPr>
            <w:tcW w:w="992" w:type="dxa"/>
            <w:tcBorders>
              <w:top w:val="nil"/>
              <w:left w:val="nil"/>
              <w:bottom w:val="single" w:sz="4" w:space="0" w:color="auto"/>
              <w:right w:val="single" w:sz="4" w:space="0" w:color="auto"/>
            </w:tcBorders>
            <w:shd w:val="clear" w:color="auto" w:fill="auto"/>
            <w:noWrap/>
            <w:vAlign w:val="center"/>
          </w:tcPr>
          <w:p w14:paraId="263DEDBC" w14:textId="0B78D07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35,847</w:t>
            </w:r>
          </w:p>
        </w:tc>
        <w:tc>
          <w:tcPr>
            <w:tcW w:w="992" w:type="dxa"/>
            <w:tcBorders>
              <w:top w:val="nil"/>
              <w:left w:val="nil"/>
              <w:bottom w:val="single" w:sz="4" w:space="0" w:color="auto"/>
              <w:right w:val="single" w:sz="4" w:space="0" w:color="auto"/>
            </w:tcBorders>
            <w:shd w:val="clear" w:color="auto" w:fill="auto"/>
            <w:noWrap/>
            <w:vAlign w:val="center"/>
          </w:tcPr>
          <w:p w14:paraId="30D60D74" w14:textId="11353B6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958</w:t>
            </w:r>
          </w:p>
        </w:tc>
        <w:tc>
          <w:tcPr>
            <w:tcW w:w="992" w:type="dxa"/>
            <w:tcBorders>
              <w:top w:val="nil"/>
              <w:left w:val="nil"/>
              <w:bottom w:val="single" w:sz="4" w:space="0" w:color="auto"/>
              <w:right w:val="single" w:sz="4" w:space="0" w:color="auto"/>
            </w:tcBorders>
            <w:shd w:val="clear" w:color="auto" w:fill="auto"/>
            <w:noWrap/>
            <w:vAlign w:val="center"/>
          </w:tcPr>
          <w:p w14:paraId="1ECEF1E9" w14:textId="42350D60"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491</w:t>
            </w:r>
          </w:p>
        </w:tc>
        <w:tc>
          <w:tcPr>
            <w:tcW w:w="1134" w:type="dxa"/>
            <w:tcBorders>
              <w:top w:val="nil"/>
              <w:left w:val="nil"/>
              <w:bottom w:val="single" w:sz="4" w:space="0" w:color="auto"/>
              <w:right w:val="single" w:sz="4" w:space="0" w:color="auto"/>
            </w:tcBorders>
            <w:shd w:val="clear" w:color="auto" w:fill="auto"/>
            <w:noWrap/>
            <w:vAlign w:val="center"/>
          </w:tcPr>
          <w:p w14:paraId="04233829" w14:textId="3FDE269D"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695,036</w:t>
            </w:r>
          </w:p>
        </w:tc>
      </w:tr>
      <w:tr w:rsidR="00247C49" w:rsidRPr="00BF0CAC" w14:paraId="594CE69F" w14:textId="77777777" w:rsidTr="00476AAA">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444430"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The Royal Victorian Eye And Ear Hospital</w:t>
            </w:r>
          </w:p>
        </w:tc>
        <w:tc>
          <w:tcPr>
            <w:tcW w:w="1134" w:type="dxa"/>
            <w:tcBorders>
              <w:top w:val="nil"/>
              <w:left w:val="nil"/>
              <w:bottom w:val="single" w:sz="4" w:space="0" w:color="auto"/>
              <w:right w:val="single" w:sz="4" w:space="0" w:color="auto"/>
            </w:tcBorders>
            <w:shd w:val="clear" w:color="auto" w:fill="auto"/>
            <w:noWrap/>
            <w:vAlign w:val="center"/>
          </w:tcPr>
          <w:p w14:paraId="20F8CE7D" w14:textId="0587F7CE"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134,602</w:t>
            </w:r>
          </w:p>
        </w:tc>
        <w:tc>
          <w:tcPr>
            <w:tcW w:w="992" w:type="dxa"/>
            <w:tcBorders>
              <w:top w:val="nil"/>
              <w:left w:val="nil"/>
              <w:bottom w:val="single" w:sz="4" w:space="0" w:color="auto"/>
              <w:right w:val="single" w:sz="4" w:space="0" w:color="auto"/>
            </w:tcBorders>
            <w:shd w:val="clear" w:color="auto" w:fill="auto"/>
            <w:noWrap/>
            <w:vAlign w:val="center"/>
          </w:tcPr>
          <w:p w14:paraId="04165E37" w14:textId="241FE7D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vAlign w:val="center"/>
          </w:tcPr>
          <w:p w14:paraId="572E5BCD" w14:textId="770D562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91E6C" w14:textId="55AF017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9810925" w14:textId="35D8104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648D092" w14:textId="3CF4D8F8"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2763BBF" w14:textId="18347AE3"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0CDEC58A" w14:textId="2A835CFE"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134,602</w:t>
            </w:r>
          </w:p>
        </w:tc>
      </w:tr>
      <w:tr w:rsidR="00247C49" w:rsidRPr="00BF0CAC" w14:paraId="5547B525" w14:textId="77777777" w:rsidTr="00476AAA">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384807" w14:textId="02697C5D"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The Royal Women</w:t>
            </w:r>
            <w:r w:rsidR="00544284">
              <w:rPr>
                <w:rFonts w:cs="Arial"/>
                <w:color w:val="000000"/>
                <w:sz w:val="15"/>
                <w:szCs w:val="15"/>
              </w:rPr>
              <w:t>’</w:t>
            </w:r>
            <w:r>
              <w:rPr>
                <w:rFonts w:cs="Arial"/>
                <w:color w:val="000000"/>
                <w:sz w:val="15"/>
                <w:szCs w:val="15"/>
              </w:rPr>
              <w:t>s Hospital</w:t>
            </w:r>
          </w:p>
        </w:tc>
        <w:tc>
          <w:tcPr>
            <w:tcW w:w="1134" w:type="dxa"/>
            <w:tcBorders>
              <w:top w:val="nil"/>
              <w:left w:val="nil"/>
              <w:bottom w:val="single" w:sz="4" w:space="0" w:color="auto"/>
              <w:right w:val="single" w:sz="4" w:space="0" w:color="auto"/>
            </w:tcBorders>
            <w:shd w:val="clear" w:color="auto" w:fill="auto"/>
            <w:noWrap/>
            <w:vAlign w:val="center"/>
          </w:tcPr>
          <w:p w14:paraId="68302323" w14:textId="5865A0A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297,628</w:t>
            </w:r>
          </w:p>
        </w:tc>
        <w:tc>
          <w:tcPr>
            <w:tcW w:w="992" w:type="dxa"/>
            <w:tcBorders>
              <w:top w:val="nil"/>
              <w:left w:val="nil"/>
              <w:bottom w:val="single" w:sz="4" w:space="0" w:color="auto"/>
              <w:right w:val="single" w:sz="4" w:space="0" w:color="auto"/>
            </w:tcBorders>
            <w:shd w:val="clear" w:color="auto" w:fill="auto"/>
            <w:noWrap/>
            <w:vAlign w:val="center"/>
          </w:tcPr>
          <w:p w14:paraId="19C0D374" w14:textId="46D08CA7"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vAlign w:val="center"/>
          </w:tcPr>
          <w:p w14:paraId="54752F32" w14:textId="49B0B04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CC589" w14:textId="1A681972"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1,200</w:t>
            </w:r>
          </w:p>
        </w:tc>
        <w:tc>
          <w:tcPr>
            <w:tcW w:w="992" w:type="dxa"/>
            <w:tcBorders>
              <w:top w:val="nil"/>
              <w:left w:val="nil"/>
              <w:bottom w:val="single" w:sz="4" w:space="0" w:color="auto"/>
              <w:right w:val="single" w:sz="4" w:space="0" w:color="auto"/>
            </w:tcBorders>
            <w:shd w:val="clear" w:color="auto" w:fill="auto"/>
            <w:noWrap/>
            <w:vAlign w:val="center"/>
          </w:tcPr>
          <w:p w14:paraId="6EB2DBAE" w14:textId="26A4E8FB"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1,018</w:t>
            </w:r>
          </w:p>
        </w:tc>
        <w:tc>
          <w:tcPr>
            <w:tcW w:w="992" w:type="dxa"/>
            <w:tcBorders>
              <w:top w:val="nil"/>
              <w:left w:val="nil"/>
              <w:bottom w:val="single" w:sz="4" w:space="0" w:color="auto"/>
              <w:right w:val="single" w:sz="4" w:space="0" w:color="auto"/>
            </w:tcBorders>
            <w:shd w:val="clear" w:color="auto" w:fill="auto"/>
            <w:noWrap/>
            <w:vAlign w:val="center"/>
          </w:tcPr>
          <w:p w14:paraId="5EA283EA" w14:textId="1F8AB25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310</w:t>
            </w:r>
          </w:p>
        </w:tc>
        <w:tc>
          <w:tcPr>
            <w:tcW w:w="992" w:type="dxa"/>
            <w:tcBorders>
              <w:top w:val="nil"/>
              <w:left w:val="nil"/>
              <w:bottom w:val="single" w:sz="4" w:space="0" w:color="auto"/>
              <w:right w:val="single" w:sz="4" w:space="0" w:color="auto"/>
            </w:tcBorders>
            <w:shd w:val="clear" w:color="auto" w:fill="auto"/>
            <w:noWrap/>
            <w:vAlign w:val="center"/>
          </w:tcPr>
          <w:p w14:paraId="1BABA2D1" w14:textId="26E950B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1134" w:type="dxa"/>
            <w:tcBorders>
              <w:top w:val="nil"/>
              <w:left w:val="nil"/>
              <w:bottom w:val="single" w:sz="4" w:space="0" w:color="auto"/>
              <w:right w:val="single" w:sz="4" w:space="0" w:color="auto"/>
            </w:tcBorders>
            <w:shd w:val="clear" w:color="auto" w:fill="auto"/>
            <w:noWrap/>
            <w:vAlign w:val="center"/>
          </w:tcPr>
          <w:p w14:paraId="2291FA9A" w14:textId="13652D82"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300,157</w:t>
            </w:r>
          </w:p>
        </w:tc>
      </w:tr>
      <w:tr w:rsidR="00247C49" w:rsidRPr="00BF0CAC" w14:paraId="5D7DE663" w14:textId="77777777" w:rsidTr="00476AAA">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FD260E" w14:textId="77777777" w:rsidR="00247C49" w:rsidRPr="00462DC7" w:rsidRDefault="00247C49" w:rsidP="00247C49">
            <w:pPr>
              <w:spacing w:after="0" w:line="240" w:lineRule="auto"/>
              <w:rPr>
                <w:rFonts w:cs="Arial"/>
                <w:color w:val="000000"/>
                <w:sz w:val="16"/>
                <w:szCs w:val="16"/>
                <w:lang w:eastAsia="en-AU"/>
              </w:rPr>
            </w:pPr>
            <w:r>
              <w:rPr>
                <w:rFonts w:cs="Arial"/>
                <w:color w:val="000000"/>
                <w:sz w:val="15"/>
                <w:szCs w:val="15"/>
              </w:rPr>
              <w:t>Western Health</w:t>
            </w:r>
          </w:p>
        </w:tc>
        <w:tc>
          <w:tcPr>
            <w:tcW w:w="1134" w:type="dxa"/>
            <w:tcBorders>
              <w:top w:val="nil"/>
              <w:left w:val="nil"/>
              <w:bottom w:val="single" w:sz="4" w:space="0" w:color="auto"/>
              <w:right w:val="single" w:sz="4" w:space="0" w:color="auto"/>
            </w:tcBorders>
            <w:shd w:val="clear" w:color="auto" w:fill="auto"/>
            <w:noWrap/>
            <w:vAlign w:val="center"/>
          </w:tcPr>
          <w:p w14:paraId="1CA9CA38" w14:textId="2901C22C"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1,249,664</w:t>
            </w:r>
          </w:p>
        </w:tc>
        <w:tc>
          <w:tcPr>
            <w:tcW w:w="992" w:type="dxa"/>
            <w:tcBorders>
              <w:top w:val="nil"/>
              <w:left w:val="nil"/>
              <w:bottom w:val="single" w:sz="4" w:space="0" w:color="auto"/>
              <w:right w:val="single" w:sz="4" w:space="0" w:color="auto"/>
            </w:tcBorders>
            <w:shd w:val="clear" w:color="auto" w:fill="auto"/>
            <w:noWrap/>
            <w:vAlign w:val="center"/>
          </w:tcPr>
          <w:p w14:paraId="38BF85BC" w14:textId="0FE8B77A"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3,263</w:t>
            </w:r>
          </w:p>
        </w:tc>
        <w:tc>
          <w:tcPr>
            <w:tcW w:w="992" w:type="dxa"/>
            <w:tcBorders>
              <w:top w:val="single" w:sz="4" w:space="0" w:color="auto"/>
              <w:left w:val="nil"/>
              <w:bottom w:val="single" w:sz="4" w:space="0" w:color="auto"/>
              <w:right w:val="single" w:sz="4" w:space="0" w:color="auto"/>
            </w:tcBorders>
            <w:vAlign w:val="center"/>
          </w:tcPr>
          <w:p w14:paraId="54076AD2" w14:textId="2CEB8AE5"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A4A66" w14:textId="633C435D"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19,210</w:t>
            </w:r>
          </w:p>
        </w:tc>
        <w:tc>
          <w:tcPr>
            <w:tcW w:w="992" w:type="dxa"/>
            <w:tcBorders>
              <w:top w:val="nil"/>
              <w:left w:val="nil"/>
              <w:bottom w:val="single" w:sz="4" w:space="0" w:color="auto"/>
              <w:right w:val="single" w:sz="4" w:space="0" w:color="auto"/>
            </w:tcBorders>
            <w:shd w:val="clear" w:color="auto" w:fill="auto"/>
            <w:noWrap/>
            <w:vAlign w:val="center"/>
          </w:tcPr>
          <w:p w14:paraId="3C85015F" w14:textId="096464C4"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136,097</w:t>
            </w:r>
          </w:p>
        </w:tc>
        <w:tc>
          <w:tcPr>
            <w:tcW w:w="992" w:type="dxa"/>
            <w:tcBorders>
              <w:top w:val="nil"/>
              <w:left w:val="nil"/>
              <w:bottom w:val="single" w:sz="4" w:space="0" w:color="auto"/>
              <w:right w:val="single" w:sz="4" w:space="0" w:color="auto"/>
            </w:tcBorders>
            <w:shd w:val="clear" w:color="auto" w:fill="auto"/>
            <w:noWrap/>
            <w:vAlign w:val="center"/>
          </w:tcPr>
          <w:p w14:paraId="55927CF1" w14:textId="51B67366"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3,942</w:t>
            </w:r>
          </w:p>
        </w:tc>
        <w:tc>
          <w:tcPr>
            <w:tcW w:w="992" w:type="dxa"/>
            <w:tcBorders>
              <w:top w:val="nil"/>
              <w:left w:val="nil"/>
              <w:bottom w:val="single" w:sz="4" w:space="0" w:color="auto"/>
              <w:right w:val="single" w:sz="4" w:space="0" w:color="auto"/>
            </w:tcBorders>
            <w:shd w:val="clear" w:color="auto" w:fill="auto"/>
            <w:noWrap/>
            <w:vAlign w:val="center"/>
          </w:tcPr>
          <w:p w14:paraId="6FD004D0" w14:textId="4C07ABEE" w:rsidR="00247C49" w:rsidRPr="00462DC7" w:rsidRDefault="00247C49" w:rsidP="00247C49">
            <w:pPr>
              <w:spacing w:after="0" w:line="240" w:lineRule="auto"/>
              <w:jc w:val="right"/>
              <w:rPr>
                <w:rFonts w:cs="Arial"/>
                <w:color w:val="000000"/>
                <w:sz w:val="16"/>
                <w:szCs w:val="16"/>
                <w:lang w:eastAsia="en-AU"/>
              </w:rPr>
            </w:pPr>
            <w:r>
              <w:rPr>
                <w:rFonts w:cs="Arial"/>
                <w:color w:val="000000"/>
                <w:sz w:val="15"/>
                <w:szCs w:val="15"/>
              </w:rPr>
              <w:t>8,531</w:t>
            </w:r>
          </w:p>
        </w:tc>
        <w:tc>
          <w:tcPr>
            <w:tcW w:w="1134" w:type="dxa"/>
            <w:tcBorders>
              <w:top w:val="nil"/>
              <w:left w:val="nil"/>
              <w:bottom w:val="single" w:sz="4" w:space="0" w:color="auto"/>
              <w:right w:val="single" w:sz="4" w:space="0" w:color="auto"/>
            </w:tcBorders>
            <w:shd w:val="clear" w:color="auto" w:fill="auto"/>
            <w:noWrap/>
            <w:vAlign w:val="center"/>
          </w:tcPr>
          <w:p w14:paraId="1A55828C" w14:textId="1E5860DF" w:rsidR="00247C49" w:rsidRPr="00462DC7" w:rsidRDefault="00247C49" w:rsidP="00247C49">
            <w:pPr>
              <w:spacing w:after="0" w:line="240" w:lineRule="auto"/>
              <w:jc w:val="right"/>
              <w:rPr>
                <w:rFonts w:cs="Arial"/>
                <w:b/>
                <w:bCs/>
                <w:color w:val="000000"/>
                <w:sz w:val="16"/>
                <w:szCs w:val="16"/>
                <w:lang w:eastAsia="en-AU"/>
              </w:rPr>
            </w:pPr>
            <w:r>
              <w:rPr>
                <w:rFonts w:cs="Arial"/>
                <w:color w:val="000000"/>
                <w:sz w:val="15"/>
                <w:szCs w:val="15"/>
              </w:rPr>
              <w:t>1,420,707</w:t>
            </w:r>
          </w:p>
        </w:tc>
      </w:tr>
      <w:tr w:rsidR="00247C49" w:rsidRPr="00BF0CAC" w14:paraId="546B124E" w14:textId="77777777" w:rsidTr="00476AAA">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FC4047" w14:textId="77777777" w:rsidR="00247C49" w:rsidRPr="00462DC7" w:rsidRDefault="00247C49" w:rsidP="00247C49">
            <w:pPr>
              <w:spacing w:after="0" w:line="240" w:lineRule="auto"/>
              <w:rPr>
                <w:rFonts w:cs="Arial"/>
                <w:b/>
                <w:bCs/>
                <w:color w:val="000000"/>
                <w:sz w:val="16"/>
                <w:szCs w:val="16"/>
                <w:lang w:eastAsia="en-AU"/>
              </w:rPr>
            </w:pPr>
            <w:r>
              <w:rPr>
                <w:rFonts w:cs="Arial"/>
                <w:b/>
                <w:bCs/>
                <w:color w:val="000000"/>
                <w:sz w:val="15"/>
                <w:szCs w:val="15"/>
              </w:rPr>
              <w:t>Total</w:t>
            </w:r>
          </w:p>
        </w:tc>
        <w:tc>
          <w:tcPr>
            <w:tcW w:w="1134" w:type="dxa"/>
            <w:tcBorders>
              <w:top w:val="nil"/>
              <w:left w:val="nil"/>
              <w:bottom w:val="single" w:sz="4" w:space="0" w:color="auto"/>
              <w:right w:val="single" w:sz="4" w:space="0" w:color="auto"/>
            </w:tcBorders>
            <w:shd w:val="clear" w:color="auto" w:fill="auto"/>
            <w:noWrap/>
            <w:vAlign w:val="center"/>
          </w:tcPr>
          <w:p w14:paraId="053AB53E" w14:textId="0683EF96"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14,995,403</w:t>
            </w:r>
          </w:p>
        </w:tc>
        <w:tc>
          <w:tcPr>
            <w:tcW w:w="992" w:type="dxa"/>
            <w:tcBorders>
              <w:top w:val="nil"/>
              <w:left w:val="nil"/>
              <w:bottom w:val="single" w:sz="4" w:space="0" w:color="auto"/>
              <w:right w:val="single" w:sz="4" w:space="0" w:color="auto"/>
            </w:tcBorders>
            <w:shd w:val="clear" w:color="auto" w:fill="auto"/>
            <w:noWrap/>
            <w:vAlign w:val="center"/>
          </w:tcPr>
          <w:p w14:paraId="3847D002" w14:textId="049D082F"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100,817</w:t>
            </w:r>
          </w:p>
        </w:tc>
        <w:tc>
          <w:tcPr>
            <w:tcW w:w="992" w:type="dxa"/>
            <w:tcBorders>
              <w:top w:val="single" w:sz="4" w:space="0" w:color="auto"/>
              <w:left w:val="nil"/>
              <w:bottom w:val="single" w:sz="4" w:space="0" w:color="auto"/>
              <w:right w:val="single" w:sz="4" w:space="0" w:color="auto"/>
            </w:tcBorders>
            <w:vAlign w:val="center"/>
          </w:tcPr>
          <w:p w14:paraId="22ADF06A" w14:textId="2D756259" w:rsidR="00247C49" w:rsidRPr="00462DC7" w:rsidRDefault="00247C49" w:rsidP="00247C49">
            <w:pPr>
              <w:spacing w:after="0" w:line="240" w:lineRule="auto"/>
              <w:jc w:val="right"/>
              <w:rPr>
                <w:rFonts w:cs="Arial"/>
                <w:color w:val="000000"/>
                <w:sz w:val="16"/>
                <w:szCs w:val="16"/>
                <w:lang w:eastAsia="en-AU"/>
              </w:rPr>
            </w:pPr>
            <w:r>
              <w:rPr>
                <w:rFonts w:cs="Arial"/>
                <w:b/>
                <w:bCs/>
                <w:color w:val="000000"/>
                <w:sz w:val="15"/>
                <w:szCs w:val="15"/>
              </w:rPr>
              <w:t>1,276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3B751" w14:textId="62F8E394"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77,095</w:t>
            </w:r>
          </w:p>
        </w:tc>
        <w:tc>
          <w:tcPr>
            <w:tcW w:w="992" w:type="dxa"/>
            <w:tcBorders>
              <w:top w:val="nil"/>
              <w:left w:val="nil"/>
              <w:bottom w:val="single" w:sz="4" w:space="0" w:color="auto"/>
              <w:right w:val="single" w:sz="4" w:space="0" w:color="auto"/>
            </w:tcBorders>
            <w:shd w:val="clear" w:color="auto" w:fill="auto"/>
            <w:noWrap/>
            <w:vAlign w:val="center"/>
          </w:tcPr>
          <w:p w14:paraId="479C690E" w14:textId="7EC2F121"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2,049,654</w:t>
            </w:r>
          </w:p>
        </w:tc>
        <w:tc>
          <w:tcPr>
            <w:tcW w:w="992" w:type="dxa"/>
            <w:tcBorders>
              <w:top w:val="nil"/>
              <w:left w:val="nil"/>
              <w:bottom w:val="single" w:sz="4" w:space="0" w:color="auto"/>
              <w:right w:val="single" w:sz="4" w:space="0" w:color="auto"/>
            </w:tcBorders>
            <w:shd w:val="clear" w:color="auto" w:fill="auto"/>
            <w:noWrap/>
            <w:vAlign w:val="center"/>
          </w:tcPr>
          <w:p w14:paraId="567714A1" w14:textId="5ACC6BBE"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65,277</w:t>
            </w:r>
          </w:p>
        </w:tc>
        <w:tc>
          <w:tcPr>
            <w:tcW w:w="992" w:type="dxa"/>
            <w:tcBorders>
              <w:top w:val="nil"/>
              <w:left w:val="nil"/>
              <w:bottom w:val="single" w:sz="4" w:space="0" w:color="auto"/>
              <w:right w:val="single" w:sz="4" w:space="0" w:color="auto"/>
            </w:tcBorders>
            <w:shd w:val="clear" w:color="auto" w:fill="auto"/>
            <w:noWrap/>
            <w:vAlign w:val="center"/>
          </w:tcPr>
          <w:p w14:paraId="315F3676" w14:textId="28907DCB"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81,382</w:t>
            </w:r>
          </w:p>
        </w:tc>
        <w:tc>
          <w:tcPr>
            <w:tcW w:w="1134" w:type="dxa"/>
            <w:tcBorders>
              <w:top w:val="nil"/>
              <w:left w:val="nil"/>
              <w:bottom w:val="single" w:sz="4" w:space="0" w:color="auto"/>
              <w:right w:val="single" w:sz="4" w:space="0" w:color="auto"/>
            </w:tcBorders>
            <w:shd w:val="clear" w:color="auto" w:fill="auto"/>
            <w:noWrap/>
            <w:vAlign w:val="center"/>
          </w:tcPr>
          <w:p w14:paraId="2CB91BC5" w14:textId="29AA3DA8" w:rsidR="00247C49" w:rsidRPr="00462DC7" w:rsidRDefault="00247C49" w:rsidP="00247C49">
            <w:pPr>
              <w:spacing w:after="0" w:line="240" w:lineRule="auto"/>
              <w:jc w:val="right"/>
              <w:rPr>
                <w:rFonts w:cs="Arial"/>
                <w:b/>
                <w:bCs/>
                <w:color w:val="000000"/>
                <w:sz w:val="16"/>
                <w:szCs w:val="16"/>
                <w:lang w:eastAsia="en-AU"/>
              </w:rPr>
            </w:pPr>
            <w:r>
              <w:rPr>
                <w:rFonts w:cs="Arial"/>
                <w:b/>
                <w:bCs/>
                <w:color w:val="000000"/>
                <w:sz w:val="15"/>
                <w:szCs w:val="15"/>
              </w:rPr>
              <w:t>17,370,905</w:t>
            </w:r>
          </w:p>
        </w:tc>
      </w:tr>
    </w:tbl>
    <w:p w14:paraId="59DE52D0" w14:textId="77777777" w:rsidR="005B699B" w:rsidRDefault="005B699B" w:rsidP="005B699B">
      <w:pPr>
        <w:pStyle w:val="Body"/>
        <w:keepNext/>
        <w:keepLines/>
        <w:spacing w:before="120"/>
      </w:pPr>
      <w:r>
        <w:lastRenderedPageBreak/>
        <w:t>Subregional and local – $’000s</w:t>
      </w:r>
    </w:p>
    <w:tbl>
      <w:tblPr>
        <w:tblStyle w:val="TableGrid1"/>
        <w:tblW w:w="9640" w:type="dxa"/>
        <w:tblInd w:w="-147" w:type="dxa"/>
        <w:tblLayout w:type="fixed"/>
        <w:tblLook w:val="04A0" w:firstRow="1" w:lastRow="0" w:firstColumn="1" w:lastColumn="0" w:noHBand="0" w:noVBand="1"/>
      </w:tblPr>
      <w:tblGrid>
        <w:gridCol w:w="1560"/>
        <w:gridCol w:w="1134"/>
        <w:gridCol w:w="992"/>
        <w:gridCol w:w="992"/>
        <w:gridCol w:w="993"/>
        <w:gridCol w:w="992"/>
        <w:gridCol w:w="992"/>
        <w:gridCol w:w="992"/>
        <w:gridCol w:w="993"/>
      </w:tblGrid>
      <w:tr w:rsidR="00462DC7" w:rsidRPr="00BF0CAC" w14:paraId="2DBC173C" w14:textId="77777777" w:rsidTr="00A845CD">
        <w:trPr>
          <w:cnfStyle w:val="100000000000" w:firstRow="1" w:lastRow="0" w:firstColumn="0" w:lastColumn="0" w:oddVBand="0" w:evenVBand="0" w:oddHBand="0" w:evenHBand="0" w:firstRowFirstColumn="0" w:firstRowLastColumn="0" w:lastRowFirstColumn="0" w:lastRowLastColumn="0"/>
          <w:trHeight w:val="675"/>
          <w:tblHeader/>
        </w:trPr>
        <w:tc>
          <w:tcPr>
            <w:tcW w:w="1560" w:type="dxa"/>
            <w:shd w:val="clear" w:color="auto" w:fill="auto"/>
            <w:hideMark/>
          </w:tcPr>
          <w:p w14:paraId="7B5B4A31" w14:textId="77777777" w:rsidR="00462DC7" w:rsidRPr="00942D11" w:rsidRDefault="00462DC7">
            <w:pPr>
              <w:jc w:val="right"/>
              <w:rPr>
                <w:rFonts w:eastAsia="Times New Roman" w:cs="Arial"/>
                <w:b/>
                <w:bCs/>
                <w:color w:val="53565A"/>
                <w:sz w:val="16"/>
                <w:szCs w:val="16"/>
                <w:lang w:eastAsia="en-AU"/>
              </w:rPr>
            </w:pPr>
            <w:r w:rsidRPr="00942D11">
              <w:rPr>
                <w:rFonts w:eastAsia="Times New Roman" w:cs="Arial"/>
                <w:b/>
                <w:bCs/>
                <w:color w:val="53565A"/>
                <w:sz w:val="16"/>
                <w:szCs w:val="16"/>
                <w:lang w:eastAsia="en-AU"/>
              </w:rPr>
              <w:t>Health Service</w:t>
            </w:r>
          </w:p>
        </w:tc>
        <w:tc>
          <w:tcPr>
            <w:tcW w:w="1134" w:type="dxa"/>
            <w:shd w:val="clear" w:color="auto" w:fill="auto"/>
            <w:hideMark/>
          </w:tcPr>
          <w:p w14:paraId="783A240C"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Acute health services</w:t>
            </w:r>
          </w:p>
        </w:tc>
        <w:tc>
          <w:tcPr>
            <w:tcW w:w="992" w:type="dxa"/>
            <w:shd w:val="clear" w:color="auto" w:fill="auto"/>
            <w:hideMark/>
          </w:tcPr>
          <w:p w14:paraId="6985D013"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Ageing, aged and home care</w:t>
            </w:r>
          </w:p>
        </w:tc>
        <w:tc>
          <w:tcPr>
            <w:tcW w:w="992" w:type="dxa"/>
            <w:shd w:val="clear" w:color="auto" w:fill="auto"/>
          </w:tcPr>
          <w:p w14:paraId="5D2F0456" w14:textId="77777777" w:rsidR="00462DC7" w:rsidRPr="00462DC7" w:rsidRDefault="00462DC7" w:rsidP="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p>
          <w:p w14:paraId="01028E0B" w14:textId="6FC62E4E" w:rsidR="00462DC7" w:rsidRPr="00BF0CAC" w:rsidRDefault="00462DC7" w:rsidP="00462DC7">
            <w:pPr>
              <w:jc w:val="right"/>
              <w:rPr>
                <w:rFonts w:cs="Arial"/>
                <w:b/>
                <w:bCs/>
                <w:color w:val="53565A"/>
                <w:sz w:val="16"/>
                <w:szCs w:val="16"/>
                <w:lang w:eastAsia="en-AU"/>
              </w:rPr>
            </w:pPr>
            <w:r w:rsidRPr="00462DC7">
              <w:rPr>
                <w:rFonts w:cs="Arial"/>
                <w:b/>
                <w:bCs/>
                <w:color w:val="53565A"/>
                <w:sz w:val="16"/>
                <w:szCs w:val="16"/>
                <w:lang w:eastAsia="en-AU"/>
              </w:rPr>
              <w:t>Ambulance services</w:t>
            </w:r>
          </w:p>
        </w:tc>
        <w:tc>
          <w:tcPr>
            <w:tcW w:w="993" w:type="dxa"/>
            <w:shd w:val="clear" w:color="auto" w:fill="auto"/>
            <w:hideMark/>
          </w:tcPr>
          <w:p w14:paraId="4D8C6283"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Drugs services</w:t>
            </w:r>
          </w:p>
        </w:tc>
        <w:tc>
          <w:tcPr>
            <w:tcW w:w="992" w:type="dxa"/>
            <w:shd w:val="clear" w:color="auto" w:fill="auto"/>
            <w:hideMark/>
          </w:tcPr>
          <w:p w14:paraId="1DAC0DDD"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Mental health</w:t>
            </w:r>
          </w:p>
        </w:tc>
        <w:tc>
          <w:tcPr>
            <w:tcW w:w="992" w:type="dxa"/>
            <w:shd w:val="clear" w:color="auto" w:fill="auto"/>
            <w:hideMark/>
          </w:tcPr>
          <w:p w14:paraId="6C9C9BB1"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Primary and dental health</w:t>
            </w:r>
          </w:p>
        </w:tc>
        <w:tc>
          <w:tcPr>
            <w:tcW w:w="992" w:type="dxa"/>
            <w:shd w:val="clear" w:color="auto" w:fill="auto"/>
            <w:hideMark/>
          </w:tcPr>
          <w:p w14:paraId="4F0DCF49"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Public health</w:t>
            </w:r>
          </w:p>
        </w:tc>
        <w:tc>
          <w:tcPr>
            <w:tcW w:w="993" w:type="dxa"/>
            <w:shd w:val="clear" w:color="auto" w:fill="auto"/>
            <w:hideMark/>
          </w:tcPr>
          <w:p w14:paraId="5FD5F244" w14:textId="77777777" w:rsidR="00462DC7" w:rsidRPr="00942D11" w:rsidRDefault="00462DC7">
            <w:pPr>
              <w:jc w:val="right"/>
              <w:rPr>
                <w:rFonts w:eastAsia="Times New Roman"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942D11">
              <w:rPr>
                <w:rFonts w:eastAsia="Times New Roman" w:cs="Arial"/>
                <w:b/>
                <w:bCs/>
                <w:color w:val="53565A"/>
                <w:sz w:val="16"/>
                <w:szCs w:val="16"/>
                <w:lang w:eastAsia="en-AU"/>
              </w:rPr>
              <w:br/>
              <w:t>Total</w:t>
            </w:r>
          </w:p>
        </w:tc>
      </w:tr>
      <w:tr w:rsidR="00F77375" w:rsidRPr="00BF0CAC" w14:paraId="572364DD" w14:textId="77777777">
        <w:trPr>
          <w:trHeight w:val="300"/>
        </w:trPr>
        <w:tc>
          <w:tcPr>
            <w:tcW w:w="1560" w:type="dxa"/>
            <w:noWrap/>
            <w:vAlign w:val="center"/>
            <w:hideMark/>
          </w:tcPr>
          <w:p w14:paraId="23D42E4B" w14:textId="4080C413"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Bairnsdale Regional Health Service</w:t>
            </w:r>
          </w:p>
        </w:tc>
        <w:tc>
          <w:tcPr>
            <w:tcW w:w="1134" w:type="dxa"/>
            <w:noWrap/>
            <w:vAlign w:val="center"/>
          </w:tcPr>
          <w:p w14:paraId="1E00B064" w14:textId="36EE860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114,571</w:t>
            </w:r>
          </w:p>
        </w:tc>
        <w:tc>
          <w:tcPr>
            <w:tcW w:w="992" w:type="dxa"/>
            <w:noWrap/>
            <w:vAlign w:val="center"/>
          </w:tcPr>
          <w:p w14:paraId="1B7BA833" w14:textId="0982A8F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1,434</w:t>
            </w:r>
          </w:p>
        </w:tc>
        <w:tc>
          <w:tcPr>
            <w:tcW w:w="992" w:type="dxa"/>
            <w:vAlign w:val="center"/>
          </w:tcPr>
          <w:p w14:paraId="1A063D2E" w14:textId="749868E3"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71F06505" w14:textId="1B9B4C9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636</w:t>
            </w:r>
          </w:p>
        </w:tc>
        <w:tc>
          <w:tcPr>
            <w:tcW w:w="992" w:type="dxa"/>
            <w:noWrap/>
            <w:vAlign w:val="center"/>
          </w:tcPr>
          <w:p w14:paraId="2E606F5F" w14:textId="47DA66AA"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449D6169" w14:textId="6C82C13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158</w:t>
            </w:r>
          </w:p>
        </w:tc>
        <w:tc>
          <w:tcPr>
            <w:tcW w:w="992" w:type="dxa"/>
            <w:noWrap/>
            <w:vAlign w:val="center"/>
          </w:tcPr>
          <w:p w14:paraId="64AEC113" w14:textId="5BFC261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1F31DE21" w14:textId="3D79FEBF"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116,798</w:t>
            </w:r>
          </w:p>
        </w:tc>
      </w:tr>
      <w:tr w:rsidR="00F77375" w:rsidRPr="00BF0CAC" w14:paraId="49FBDDDA" w14:textId="77777777">
        <w:trPr>
          <w:trHeight w:val="300"/>
        </w:trPr>
        <w:tc>
          <w:tcPr>
            <w:tcW w:w="1560" w:type="dxa"/>
            <w:noWrap/>
            <w:vAlign w:val="center"/>
            <w:hideMark/>
          </w:tcPr>
          <w:p w14:paraId="03E15A11" w14:textId="7A2B5190"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Bass Coast Health</w:t>
            </w:r>
          </w:p>
        </w:tc>
        <w:tc>
          <w:tcPr>
            <w:tcW w:w="1134" w:type="dxa"/>
            <w:noWrap/>
            <w:vAlign w:val="center"/>
          </w:tcPr>
          <w:p w14:paraId="7748E13D" w14:textId="6FCB277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125,215</w:t>
            </w:r>
          </w:p>
        </w:tc>
        <w:tc>
          <w:tcPr>
            <w:tcW w:w="992" w:type="dxa"/>
            <w:noWrap/>
            <w:vAlign w:val="center"/>
          </w:tcPr>
          <w:p w14:paraId="41F5E1AA" w14:textId="3917A4F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1,805</w:t>
            </w:r>
          </w:p>
        </w:tc>
        <w:tc>
          <w:tcPr>
            <w:tcW w:w="992" w:type="dxa"/>
            <w:vAlign w:val="center"/>
          </w:tcPr>
          <w:p w14:paraId="0AC605E4" w14:textId="5B1F86F8"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10DEFE05" w14:textId="34E36AD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53</w:t>
            </w:r>
          </w:p>
        </w:tc>
        <w:tc>
          <w:tcPr>
            <w:tcW w:w="992" w:type="dxa"/>
            <w:noWrap/>
            <w:vAlign w:val="center"/>
          </w:tcPr>
          <w:p w14:paraId="55C3AF53" w14:textId="2D98B49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4F29F51E" w14:textId="70549BE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2,422</w:t>
            </w:r>
          </w:p>
        </w:tc>
        <w:tc>
          <w:tcPr>
            <w:tcW w:w="992" w:type="dxa"/>
            <w:noWrap/>
            <w:vAlign w:val="center"/>
          </w:tcPr>
          <w:p w14:paraId="17AD644E" w14:textId="4ED8D85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71EDC718" w14:textId="52B72940"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129,495</w:t>
            </w:r>
          </w:p>
        </w:tc>
      </w:tr>
      <w:tr w:rsidR="00F77375" w:rsidRPr="00BF0CAC" w14:paraId="7DC2D7FF" w14:textId="77777777">
        <w:trPr>
          <w:trHeight w:val="300"/>
        </w:trPr>
        <w:tc>
          <w:tcPr>
            <w:tcW w:w="1560" w:type="dxa"/>
            <w:noWrap/>
            <w:vAlign w:val="center"/>
            <w:hideMark/>
          </w:tcPr>
          <w:p w14:paraId="5E7AD108" w14:textId="0ABAEEE4"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Benalla Health</w:t>
            </w:r>
          </w:p>
        </w:tc>
        <w:tc>
          <w:tcPr>
            <w:tcW w:w="1134" w:type="dxa"/>
            <w:noWrap/>
            <w:vAlign w:val="center"/>
          </w:tcPr>
          <w:p w14:paraId="28B1FBC5" w14:textId="7112400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25,624</w:t>
            </w:r>
          </w:p>
        </w:tc>
        <w:tc>
          <w:tcPr>
            <w:tcW w:w="992" w:type="dxa"/>
            <w:noWrap/>
            <w:vAlign w:val="center"/>
          </w:tcPr>
          <w:p w14:paraId="4F148291" w14:textId="2E233A8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1,316</w:t>
            </w:r>
          </w:p>
        </w:tc>
        <w:tc>
          <w:tcPr>
            <w:tcW w:w="992" w:type="dxa"/>
            <w:vAlign w:val="center"/>
          </w:tcPr>
          <w:p w14:paraId="227C527C" w14:textId="1889173A"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60E1D1E3" w14:textId="405A7B2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523DC9CE" w14:textId="6AE2271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773C399" w14:textId="5048941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1,274</w:t>
            </w:r>
          </w:p>
        </w:tc>
        <w:tc>
          <w:tcPr>
            <w:tcW w:w="992" w:type="dxa"/>
            <w:noWrap/>
            <w:vAlign w:val="center"/>
          </w:tcPr>
          <w:p w14:paraId="1F237D4E" w14:textId="021BC22B"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2F8AE012" w14:textId="2EC739E4"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28,213</w:t>
            </w:r>
          </w:p>
        </w:tc>
      </w:tr>
      <w:tr w:rsidR="00F77375" w:rsidRPr="00BF0CAC" w14:paraId="5FC747F1" w14:textId="77777777">
        <w:trPr>
          <w:trHeight w:val="300"/>
        </w:trPr>
        <w:tc>
          <w:tcPr>
            <w:tcW w:w="1560" w:type="dxa"/>
            <w:noWrap/>
            <w:vAlign w:val="center"/>
            <w:hideMark/>
          </w:tcPr>
          <w:p w14:paraId="36E53A16" w14:textId="4CEEDFCF"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Central Gippsland Health Service</w:t>
            </w:r>
          </w:p>
        </w:tc>
        <w:tc>
          <w:tcPr>
            <w:tcW w:w="1134" w:type="dxa"/>
            <w:noWrap/>
            <w:vAlign w:val="center"/>
          </w:tcPr>
          <w:p w14:paraId="12F23FED" w14:textId="215C5EE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79,964</w:t>
            </w:r>
          </w:p>
        </w:tc>
        <w:tc>
          <w:tcPr>
            <w:tcW w:w="992" w:type="dxa"/>
            <w:noWrap/>
            <w:vAlign w:val="center"/>
          </w:tcPr>
          <w:p w14:paraId="728B2A15" w14:textId="78E1A04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3,710</w:t>
            </w:r>
          </w:p>
        </w:tc>
        <w:tc>
          <w:tcPr>
            <w:tcW w:w="992" w:type="dxa"/>
            <w:vAlign w:val="center"/>
          </w:tcPr>
          <w:p w14:paraId="661970CE" w14:textId="02CE1AA9"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5FDA504D" w14:textId="6184C21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629</w:t>
            </w:r>
          </w:p>
        </w:tc>
        <w:tc>
          <w:tcPr>
            <w:tcW w:w="992" w:type="dxa"/>
            <w:noWrap/>
            <w:vAlign w:val="center"/>
          </w:tcPr>
          <w:p w14:paraId="554790BC" w14:textId="062F657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35885251" w14:textId="2278703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1,995</w:t>
            </w:r>
          </w:p>
        </w:tc>
        <w:tc>
          <w:tcPr>
            <w:tcW w:w="992" w:type="dxa"/>
            <w:noWrap/>
            <w:vAlign w:val="center"/>
          </w:tcPr>
          <w:p w14:paraId="49CAB4FB" w14:textId="35AF69E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008DECEF" w14:textId="063F30E2"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86,298</w:t>
            </w:r>
          </w:p>
        </w:tc>
      </w:tr>
      <w:tr w:rsidR="00F77375" w:rsidRPr="00BF0CAC" w14:paraId="7A29FE17" w14:textId="77777777">
        <w:trPr>
          <w:trHeight w:val="300"/>
        </w:trPr>
        <w:tc>
          <w:tcPr>
            <w:tcW w:w="1560" w:type="dxa"/>
            <w:noWrap/>
            <w:vAlign w:val="center"/>
            <w:hideMark/>
          </w:tcPr>
          <w:p w14:paraId="7B1FCE73" w14:textId="41D7257E"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Colac Area Health</w:t>
            </w:r>
          </w:p>
        </w:tc>
        <w:tc>
          <w:tcPr>
            <w:tcW w:w="1134" w:type="dxa"/>
            <w:noWrap/>
            <w:vAlign w:val="center"/>
          </w:tcPr>
          <w:p w14:paraId="0E401EA5" w14:textId="4BD5F54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41,540</w:t>
            </w:r>
          </w:p>
        </w:tc>
        <w:tc>
          <w:tcPr>
            <w:tcW w:w="992" w:type="dxa"/>
            <w:noWrap/>
            <w:vAlign w:val="center"/>
          </w:tcPr>
          <w:p w14:paraId="4CE46600" w14:textId="58348F4F"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2,388</w:t>
            </w:r>
          </w:p>
        </w:tc>
        <w:tc>
          <w:tcPr>
            <w:tcW w:w="992" w:type="dxa"/>
            <w:vAlign w:val="center"/>
          </w:tcPr>
          <w:p w14:paraId="032DDEF3" w14:textId="736AB8AA"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7129E178" w14:textId="5ED27B6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10</w:t>
            </w:r>
          </w:p>
        </w:tc>
        <w:tc>
          <w:tcPr>
            <w:tcW w:w="992" w:type="dxa"/>
            <w:noWrap/>
            <w:vAlign w:val="center"/>
          </w:tcPr>
          <w:p w14:paraId="6EBB9FC4" w14:textId="359D966B"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EED270D" w14:textId="19AACC4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691</w:t>
            </w:r>
          </w:p>
        </w:tc>
        <w:tc>
          <w:tcPr>
            <w:tcW w:w="992" w:type="dxa"/>
            <w:noWrap/>
            <w:vAlign w:val="center"/>
          </w:tcPr>
          <w:p w14:paraId="5AFFF982" w14:textId="656A111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2913DDA0" w14:textId="5E68B85F"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44,629</w:t>
            </w:r>
          </w:p>
        </w:tc>
      </w:tr>
      <w:tr w:rsidR="00F77375" w:rsidRPr="00BF0CAC" w14:paraId="2D206743" w14:textId="77777777">
        <w:trPr>
          <w:trHeight w:val="300"/>
        </w:trPr>
        <w:tc>
          <w:tcPr>
            <w:tcW w:w="1560" w:type="dxa"/>
            <w:noWrap/>
            <w:vAlign w:val="center"/>
            <w:hideMark/>
          </w:tcPr>
          <w:p w14:paraId="3805B6AF" w14:textId="33C9A766"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Dhelkaya Health</w:t>
            </w:r>
          </w:p>
        </w:tc>
        <w:tc>
          <w:tcPr>
            <w:tcW w:w="1134" w:type="dxa"/>
            <w:noWrap/>
            <w:vAlign w:val="center"/>
          </w:tcPr>
          <w:p w14:paraId="4E3E3B01" w14:textId="43AB208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49,726</w:t>
            </w:r>
          </w:p>
        </w:tc>
        <w:tc>
          <w:tcPr>
            <w:tcW w:w="992" w:type="dxa"/>
            <w:noWrap/>
            <w:vAlign w:val="center"/>
          </w:tcPr>
          <w:p w14:paraId="446A70A0" w14:textId="2AD2E1C6"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4,096</w:t>
            </w:r>
          </w:p>
        </w:tc>
        <w:tc>
          <w:tcPr>
            <w:tcW w:w="992" w:type="dxa"/>
            <w:vAlign w:val="center"/>
          </w:tcPr>
          <w:p w14:paraId="7ED0E574" w14:textId="772C405E"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426F8D1B" w14:textId="760E2E3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4C851CA0" w14:textId="75E8DC7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9A7FB78" w14:textId="0DFB018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964</w:t>
            </w:r>
          </w:p>
        </w:tc>
        <w:tc>
          <w:tcPr>
            <w:tcW w:w="992" w:type="dxa"/>
            <w:noWrap/>
            <w:vAlign w:val="center"/>
          </w:tcPr>
          <w:p w14:paraId="2C67002A" w14:textId="60D4BAA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067E0F5F" w14:textId="761541DF"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54,786</w:t>
            </w:r>
          </w:p>
        </w:tc>
      </w:tr>
      <w:tr w:rsidR="00F77375" w:rsidRPr="00BF0CAC" w14:paraId="4144694F" w14:textId="77777777">
        <w:trPr>
          <w:trHeight w:val="300"/>
        </w:trPr>
        <w:tc>
          <w:tcPr>
            <w:tcW w:w="1560" w:type="dxa"/>
            <w:noWrap/>
            <w:vAlign w:val="center"/>
            <w:hideMark/>
          </w:tcPr>
          <w:p w14:paraId="4F262E36" w14:textId="45307B59"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East Grampians Health Service</w:t>
            </w:r>
          </w:p>
        </w:tc>
        <w:tc>
          <w:tcPr>
            <w:tcW w:w="1134" w:type="dxa"/>
            <w:noWrap/>
            <w:vAlign w:val="center"/>
          </w:tcPr>
          <w:p w14:paraId="06C7A24A" w14:textId="3A9C00E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41,099</w:t>
            </w:r>
          </w:p>
        </w:tc>
        <w:tc>
          <w:tcPr>
            <w:tcW w:w="992" w:type="dxa"/>
            <w:noWrap/>
            <w:vAlign w:val="center"/>
          </w:tcPr>
          <w:p w14:paraId="33A9AE1A" w14:textId="21CB59C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1,911</w:t>
            </w:r>
          </w:p>
        </w:tc>
        <w:tc>
          <w:tcPr>
            <w:tcW w:w="992" w:type="dxa"/>
            <w:vAlign w:val="center"/>
          </w:tcPr>
          <w:p w14:paraId="3755ADB0" w14:textId="11402E18"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0F88DE49" w14:textId="1951B8F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10C44AE6" w14:textId="6442AEDA"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557A0BC1" w14:textId="034E011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939</w:t>
            </w:r>
          </w:p>
        </w:tc>
        <w:tc>
          <w:tcPr>
            <w:tcW w:w="992" w:type="dxa"/>
            <w:noWrap/>
            <w:vAlign w:val="center"/>
          </w:tcPr>
          <w:p w14:paraId="4621DFC7" w14:textId="681ED17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1C92A804" w14:textId="5DF0FF13"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43,948</w:t>
            </w:r>
          </w:p>
        </w:tc>
      </w:tr>
      <w:tr w:rsidR="00F77375" w:rsidRPr="00BF0CAC" w14:paraId="66CDF222" w14:textId="77777777">
        <w:trPr>
          <w:trHeight w:val="300"/>
        </w:trPr>
        <w:tc>
          <w:tcPr>
            <w:tcW w:w="1560" w:type="dxa"/>
            <w:noWrap/>
            <w:vAlign w:val="center"/>
            <w:hideMark/>
          </w:tcPr>
          <w:p w14:paraId="7888DCF4" w14:textId="360BBCE8"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Echuca Regional Health</w:t>
            </w:r>
          </w:p>
        </w:tc>
        <w:tc>
          <w:tcPr>
            <w:tcW w:w="1134" w:type="dxa"/>
            <w:noWrap/>
            <w:vAlign w:val="center"/>
          </w:tcPr>
          <w:p w14:paraId="35917401" w14:textId="69AC463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105,880</w:t>
            </w:r>
          </w:p>
        </w:tc>
        <w:tc>
          <w:tcPr>
            <w:tcW w:w="992" w:type="dxa"/>
            <w:noWrap/>
            <w:vAlign w:val="center"/>
          </w:tcPr>
          <w:p w14:paraId="281C0B7A" w14:textId="6B54CC8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2,166</w:t>
            </w:r>
          </w:p>
        </w:tc>
        <w:tc>
          <w:tcPr>
            <w:tcW w:w="992" w:type="dxa"/>
            <w:vAlign w:val="center"/>
          </w:tcPr>
          <w:p w14:paraId="75EF7DFB" w14:textId="2F367CC1"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56F11B3D" w14:textId="7CA7470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7AAEDDC8" w14:textId="6334026A"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17F2DB4" w14:textId="0528A7C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852</w:t>
            </w:r>
          </w:p>
        </w:tc>
        <w:tc>
          <w:tcPr>
            <w:tcW w:w="992" w:type="dxa"/>
            <w:noWrap/>
            <w:vAlign w:val="center"/>
          </w:tcPr>
          <w:p w14:paraId="27092989" w14:textId="16E3C4DF"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258B29C3" w14:textId="329D9766"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108,897</w:t>
            </w:r>
          </w:p>
        </w:tc>
      </w:tr>
      <w:tr w:rsidR="00F77375" w:rsidRPr="00BF0CAC" w14:paraId="03FCFF46" w14:textId="77777777">
        <w:trPr>
          <w:trHeight w:val="300"/>
        </w:trPr>
        <w:tc>
          <w:tcPr>
            <w:tcW w:w="1560" w:type="dxa"/>
            <w:noWrap/>
            <w:vAlign w:val="center"/>
            <w:hideMark/>
          </w:tcPr>
          <w:p w14:paraId="05CEE975" w14:textId="5EC441B8"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Gippsland Southern Health Service</w:t>
            </w:r>
          </w:p>
        </w:tc>
        <w:tc>
          <w:tcPr>
            <w:tcW w:w="1134" w:type="dxa"/>
            <w:noWrap/>
            <w:vAlign w:val="center"/>
          </w:tcPr>
          <w:p w14:paraId="6DDEDE94" w14:textId="44C426C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27,334</w:t>
            </w:r>
          </w:p>
        </w:tc>
        <w:tc>
          <w:tcPr>
            <w:tcW w:w="992" w:type="dxa"/>
            <w:noWrap/>
            <w:vAlign w:val="center"/>
          </w:tcPr>
          <w:p w14:paraId="1A0DD2FF" w14:textId="204002D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2,690</w:t>
            </w:r>
          </w:p>
        </w:tc>
        <w:tc>
          <w:tcPr>
            <w:tcW w:w="992" w:type="dxa"/>
            <w:vAlign w:val="center"/>
          </w:tcPr>
          <w:p w14:paraId="2211D806" w14:textId="52B90981"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1F644499" w14:textId="0511F59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235</w:t>
            </w:r>
          </w:p>
        </w:tc>
        <w:tc>
          <w:tcPr>
            <w:tcW w:w="992" w:type="dxa"/>
            <w:noWrap/>
            <w:vAlign w:val="center"/>
          </w:tcPr>
          <w:p w14:paraId="64A871C1" w14:textId="61EB0AB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D20E097" w14:textId="5F0EC21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441</w:t>
            </w:r>
          </w:p>
        </w:tc>
        <w:tc>
          <w:tcPr>
            <w:tcW w:w="992" w:type="dxa"/>
            <w:noWrap/>
            <w:vAlign w:val="center"/>
          </w:tcPr>
          <w:p w14:paraId="6154D4C6" w14:textId="786CD24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0E739A8E" w14:textId="5F9F6C3B"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30,701</w:t>
            </w:r>
          </w:p>
        </w:tc>
      </w:tr>
      <w:tr w:rsidR="00F77375" w:rsidRPr="00BF0CAC" w14:paraId="62B2AD03" w14:textId="77777777">
        <w:trPr>
          <w:trHeight w:val="300"/>
        </w:trPr>
        <w:tc>
          <w:tcPr>
            <w:tcW w:w="1560" w:type="dxa"/>
            <w:noWrap/>
            <w:vAlign w:val="center"/>
            <w:hideMark/>
          </w:tcPr>
          <w:p w14:paraId="1BD9D110" w14:textId="06E40B10"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Kyabram District Health Service</w:t>
            </w:r>
          </w:p>
        </w:tc>
        <w:tc>
          <w:tcPr>
            <w:tcW w:w="1134" w:type="dxa"/>
            <w:noWrap/>
            <w:vAlign w:val="center"/>
          </w:tcPr>
          <w:p w14:paraId="0E3601DF" w14:textId="280B30D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20,715</w:t>
            </w:r>
          </w:p>
        </w:tc>
        <w:tc>
          <w:tcPr>
            <w:tcW w:w="992" w:type="dxa"/>
            <w:noWrap/>
            <w:vAlign w:val="center"/>
          </w:tcPr>
          <w:p w14:paraId="48F27E2F" w14:textId="15FCCAB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1,555</w:t>
            </w:r>
          </w:p>
        </w:tc>
        <w:tc>
          <w:tcPr>
            <w:tcW w:w="992" w:type="dxa"/>
            <w:vAlign w:val="center"/>
          </w:tcPr>
          <w:p w14:paraId="1621B397" w14:textId="1DF94EB5"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19DFB76E" w14:textId="2E558A06"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368CAF15" w14:textId="77B198B5"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4E259457" w14:textId="6C6ECAA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1,261</w:t>
            </w:r>
          </w:p>
        </w:tc>
        <w:tc>
          <w:tcPr>
            <w:tcW w:w="992" w:type="dxa"/>
            <w:noWrap/>
            <w:vAlign w:val="center"/>
          </w:tcPr>
          <w:p w14:paraId="12B8B409" w14:textId="63C4745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52DF7C5C" w14:textId="5C02BD7B"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23,532</w:t>
            </w:r>
          </w:p>
        </w:tc>
      </w:tr>
      <w:tr w:rsidR="00F77375" w:rsidRPr="00BF0CAC" w14:paraId="23E17A49" w14:textId="77777777">
        <w:trPr>
          <w:trHeight w:val="300"/>
        </w:trPr>
        <w:tc>
          <w:tcPr>
            <w:tcW w:w="1560" w:type="dxa"/>
            <w:noWrap/>
            <w:vAlign w:val="center"/>
            <w:hideMark/>
          </w:tcPr>
          <w:p w14:paraId="7BA432E3" w14:textId="62C6345E"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Maryborough District Health Service</w:t>
            </w:r>
          </w:p>
        </w:tc>
        <w:tc>
          <w:tcPr>
            <w:tcW w:w="1134" w:type="dxa"/>
            <w:noWrap/>
            <w:vAlign w:val="center"/>
          </w:tcPr>
          <w:p w14:paraId="654136C2" w14:textId="244CC1F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27,173</w:t>
            </w:r>
          </w:p>
        </w:tc>
        <w:tc>
          <w:tcPr>
            <w:tcW w:w="992" w:type="dxa"/>
            <w:noWrap/>
            <w:vAlign w:val="center"/>
          </w:tcPr>
          <w:p w14:paraId="11DE99E7" w14:textId="3493FAA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2,830</w:t>
            </w:r>
          </w:p>
        </w:tc>
        <w:tc>
          <w:tcPr>
            <w:tcW w:w="992" w:type="dxa"/>
            <w:vAlign w:val="center"/>
          </w:tcPr>
          <w:p w14:paraId="78D84BE4" w14:textId="2C032C3D"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23C2FC33" w14:textId="6B9E72E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0A51FCBC" w14:textId="6787C39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0659615D" w14:textId="3D82022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821</w:t>
            </w:r>
          </w:p>
        </w:tc>
        <w:tc>
          <w:tcPr>
            <w:tcW w:w="992" w:type="dxa"/>
            <w:noWrap/>
            <w:vAlign w:val="center"/>
          </w:tcPr>
          <w:p w14:paraId="2DF8CE94" w14:textId="7DE5227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3D19DA88" w14:textId="7059DD4C"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30,824</w:t>
            </w:r>
          </w:p>
        </w:tc>
      </w:tr>
      <w:tr w:rsidR="00F77375" w:rsidRPr="00BF0CAC" w14:paraId="136DCEE7" w14:textId="77777777">
        <w:trPr>
          <w:trHeight w:val="300"/>
        </w:trPr>
        <w:tc>
          <w:tcPr>
            <w:tcW w:w="1560" w:type="dxa"/>
            <w:noWrap/>
            <w:vAlign w:val="center"/>
            <w:hideMark/>
          </w:tcPr>
          <w:p w14:paraId="1C1D050F" w14:textId="0385987C"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Mildura Base Public Hospital</w:t>
            </w:r>
          </w:p>
        </w:tc>
        <w:tc>
          <w:tcPr>
            <w:tcW w:w="1134" w:type="dxa"/>
            <w:noWrap/>
            <w:vAlign w:val="center"/>
          </w:tcPr>
          <w:p w14:paraId="2057CF51" w14:textId="64FD20D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172,949</w:t>
            </w:r>
          </w:p>
        </w:tc>
        <w:tc>
          <w:tcPr>
            <w:tcW w:w="992" w:type="dxa"/>
            <w:noWrap/>
            <w:vAlign w:val="center"/>
          </w:tcPr>
          <w:p w14:paraId="63B9191C" w14:textId="590134A6"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34</w:t>
            </w:r>
          </w:p>
        </w:tc>
        <w:tc>
          <w:tcPr>
            <w:tcW w:w="992" w:type="dxa"/>
            <w:vAlign w:val="center"/>
          </w:tcPr>
          <w:p w14:paraId="0369B06D" w14:textId="1E4DAF74"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4F053A56" w14:textId="26AB95AB"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466</w:t>
            </w:r>
          </w:p>
        </w:tc>
        <w:tc>
          <w:tcPr>
            <w:tcW w:w="992" w:type="dxa"/>
            <w:noWrap/>
            <w:vAlign w:val="center"/>
          </w:tcPr>
          <w:p w14:paraId="169BD60D" w14:textId="6295A42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31,620</w:t>
            </w:r>
          </w:p>
        </w:tc>
        <w:tc>
          <w:tcPr>
            <w:tcW w:w="992" w:type="dxa"/>
            <w:noWrap/>
            <w:vAlign w:val="center"/>
          </w:tcPr>
          <w:p w14:paraId="736F7E45" w14:textId="66D7ED8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174C1D32" w14:textId="6BFACCF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5E08D204" w14:textId="2FE39782"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205,068</w:t>
            </w:r>
          </w:p>
        </w:tc>
      </w:tr>
      <w:tr w:rsidR="00F77375" w:rsidRPr="00BF0CAC" w14:paraId="7FDA2C44" w14:textId="77777777">
        <w:trPr>
          <w:trHeight w:val="300"/>
        </w:trPr>
        <w:tc>
          <w:tcPr>
            <w:tcW w:w="1560" w:type="dxa"/>
            <w:noWrap/>
            <w:vAlign w:val="center"/>
            <w:hideMark/>
          </w:tcPr>
          <w:p w14:paraId="76A73986" w14:textId="08DE4D47"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Northeast Health Wangaratta</w:t>
            </w:r>
          </w:p>
        </w:tc>
        <w:tc>
          <w:tcPr>
            <w:tcW w:w="1134" w:type="dxa"/>
            <w:noWrap/>
            <w:vAlign w:val="center"/>
          </w:tcPr>
          <w:p w14:paraId="0856C012" w14:textId="726652A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212,288</w:t>
            </w:r>
          </w:p>
        </w:tc>
        <w:tc>
          <w:tcPr>
            <w:tcW w:w="992" w:type="dxa"/>
            <w:noWrap/>
            <w:vAlign w:val="center"/>
          </w:tcPr>
          <w:p w14:paraId="031325B8" w14:textId="2D296E7B"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2,266</w:t>
            </w:r>
          </w:p>
        </w:tc>
        <w:tc>
          <w:tcPr>
            <w:tcW w:w="992" w:type="dxa"/>
            <w:vAlign w:val="center"/>
          </w:tcPr>
          <w:p w14:paraId="542E0205" w14:textId="29802460"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109AB9A5" w14:textId="07AA363F"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393</w:t>
            </w:r>
          </w:p>
        </w:tc>
        <w:tc>
          <w:tcPr>
            <w:tcW w:w="992" w:type="dxa"/>
            <w:noWrap/>
            <w:vAlign w:val="center"/>
          </w:tcPr>
          <w:p w14:paraId="1AD0B275" w14:textId="35A9A85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535AEFDF" w14:textId="647A0D6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782</w:t>
            </w:r>
          </w:p>
        </w:tc>
        <w:tc>
          <w:tcPr>
            <w:tcW w:w="992" w:type="dxa"/>
            <w:noWrap/>
            <w:vAlign w:val="center"/>
          </w:tcPr>
          <w:p w14:paraId="62B10EC8" w14:textId="7C63DF4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3D910784" w14:textId="1625CABB"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215,729</w:t>
            </w:r>
          </w:p>
        </w:tc>
      </w:tr>
      <w:tr w:rsidR="00F77375" w:rsidRPr="00BF0CAC" w14:paraId="2959918C" w14:textId="77777777">
        <w:trPr>
          <w:trHeight w:val="300"/>
        </w:trPr>
        <w:tc>
          <w:tcPr>
            <w:tcW w:w="1560" w:type="dxa"/>
            <w:noWrap/>
            <w:vAlign w:val="center"/>
            <w:hideMark/>
          </w:tcPr>
          <w:p w14:paraId="6FE11A52" w14:textId="07AF1457"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Portland District Health</w:t>
            </w:r>
          </w:p>
        </w:tc>
        <w:tc>
          <w:tcPr>
            <w:tcW w:w="1134" w:type="dxa"/>
            <w:noWrap/>
            <w:vAlign w:val="center"/>
          </w:tcPr>
          <w:p w14:paraId="29BBB21A" w14:textId="7DCBDC1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47,998</w:t>
            </w:r>
          </w:p>
        </w:tc>
        <w:tc>
          <w:tcPr>
            <w:tcW w:w="992" w:type="dxa"/>
            <w:noWrap/>
            <w:vAlign w:val="center"/>
          </w:tcPr>
          <w:p w14:paraId="20AC6218" w14:textId="6D6F3EE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1,323</w:t>
            </w:r>
          </w:p>
        </w:tc>
        <w:tc>
          <w:tcPr>
            <w:tcW w:w="992" w:type="dxa"/>
            <w:vAlign w:val="center"/>
          </w:tcPr>
          <w:p w14:paraId="6A91936E" w14:textId="5FCDF5D8"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103BF39C" w14:textId="43974FE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66FD66AF" w14:textId="5AE866F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22593E90" w14:textId="7B95D5D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2,056</w:t>
            </w:r>
          </w:p>
        </w:tc>
        <w:tc>
          <w:tcPr>
            <w:tcW w:w="992" w:type="dxa"/>
            <w:noWrap/>
            <w:vAlign w:val="center"/>
          </w:tcPr>
          <w:p w14:paraId="54C1DEDF" w14:textId="1AF007C8"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2C8FF292" w14:textId="63000D6E"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51,377</w:t>
            </w:r>
          </w:p>
        </w:tc>
      </w:tr>
      <w:tr w:rsidR="00F77375" w:rsidRPr="00BF0CAC" w14:paraId="47C7FBE8" w14:textId="77777777">
        <w:trPr>
          <w:trHeight w:val="300"/>
        </w:trPr>
        <w:tc>
          <w:tcPr>
            <w:tcW w:w="1560" w:type="dxa"/>
            <w:noWrap/>
            <w:vAlign w:val="center"/>
            <w:hideMark/>
          </w:tcPr>
          <w:p w14:paraId="6C317EC6" w14:textId="46E98216"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South West Healthcare</w:t>
            </w:r>
          </w:p>
        </w:tc>
        <w:tc>
          <w:tcPr>
            <w:tcW w:w="1134" w:type="dxa"/>
            <w:noWrap/>
            <w:vAlign w:val="center"/>
          </w:tcPr>
          <w:p w14:paraId="41D966BE" w14:textId="638BFA9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196,955</w:t>
            </w:r>
          </w:p>
        </w:tc>
        <w:tc>
          <w:tcPr>
            <w:tcW w:w="992" w:type="dxa"/>
            <w:noWrap/>
            <w:vAlign w:val="center"/>
          </w:tcPr>
          <w:p w14:paraId="4C4767C1" w14:textId="1970493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1,772</w:t>
            </w:r>
          </w:p>
        </w:tc>
        <w:tc>
          <w:tcPr>
            <w:tcW w:w="992" w:type="dxa"/>
            <w:vAlign w:val="center"/>
          </w:tcPr>
          <w:p w14:paraId="071B72B0" w14:textId="03B4C7F4"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6A64440F" w14:textId="23749462"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536</w:t>
            </w:r>
          </w:p>
        </w:tc>
        <w:tc>
          <w:tcPr>
            <w:tcW w:w="992" w:type="dxa"/>
            <w:noWrap/>
            <w:vAlign w:val="center"/>
          </w:tcPr>
          <w:p w14:paraId="2393D156" w14:textId="5DFBBCD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41,289</w:t>
            </w:r>
          </w:p>
        </w:tc>
        <w:tc>
          <w:tcPr>
            <w:tcW w:w="992" w:type="dxa"/>
            <w:noWrap/>
            <w:vAlign w:val="center"/>
          </w:tcPr>
          <w:p w14:paraId="78D29A91" w14:textId="7FCB81F0"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2,354</w:t>
            </w:r>
          </w:p>
        </w:tc>
        <w:tc>
          <w:tcPr>
            <w:tcW w:w="992" w:type="dxa"/>
            <w:noWrap/>
            <w:vAlign w:val="center"/>
          </w:tcPr>
          <w:p w14:paraId="4280B412" w14:textId="13A35CF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5E88F911" w14:textId="661B9A69"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242,906</w:t>
            </w:r>
          </w:p>
        </w:tc>
      </w:tr>
      <w:tr w:rsidR="00F77375" w:rsidRPr="00BF0CAC" w14:paraId="72D64A55" w14:textId="77777777">
        <w:trPr>
          <w:trHeight w:val="300"/>
        </w:trPr>
        <w:tc>
          <w:tcPr>
            <w:tcW w:w="1560" w:type="dxa"/>
            <w:noWrap/>
            <w:vAlign w:val="center"/>
            <w:hideMark/>
          </w:tcPr>
          <w:p w14:paraId="5E17E159" w14:textId="271BC8AF"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Swan Hill District Health</w:t>
            </w:r>
          </w:p>
        </w:tc>
        <w:tc>
          <w:tcPr>
            <w:tcW w:w="1134" w:type="dxa"/>
            <w:noWrap/>
            <w:vAlign w:val="center"/>
          </w:tcPr>
          <w:p w14:paraId="552D0D04" w14:textId="315CC86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67,889</w:t>
            </w:r>
          </w:p>
        </w:tc>
        <w:tc>
          <w:tcPr>
            <w:tcW w:w="992" w:type="dxa"/>
            <w:noWrap/>
            <w:vAlign w:val="center"/>
          </w:tcPr>
          <w:p w14:paraId="3C592BB1" w14:textId="42CB3A04"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2,379</w:t>
            </w:r>
          </w:p>
        </w:tc>
        <w:tc>
          <w:tcPr>
            <w:tcW w:w="992" w:type="dxa"/>
            <w:vAlign w:val="center"/>
          </w:tcPr>
          <w:p w14:paraId="5451ED56" w14:textId="097D7FC0"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43EE0BF4" w14:textId="7E64F7D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1E4D63A3" w14:textId="4CD10CC6"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19F42F72" w14:textId="61E65BE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1,684</w:t>
            </w:r>
          </w:p>
        </w:tc>
        <w:tc>
          <w:tcPr>
            <w:tcW w:w="992" w:type="dxa"/>
            <w:noWrap/>
            <w:vAlign w:val="center"/>
          </w:tcPr>
          <w:p w14:paraId="47CCE9FA" w14:textId="7B5E1EB9"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1B38F330" w14:textId="3C6133CF"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71,952</w:t>
            </w:r>
          </w:p>
        </w:tc>
      </w:tr>
      <w:tr w:rsidR="00F77375" w:rsidRPr="00BF0CAC" w14:paraId="35E8FEF4" w14:textId="77777777">
        <w:trPr>
          <w:trHeight w:val="300"/>
        </w:trPr>
        <w:tc>
          <w:tcPr>
            <w:tcW w:w="1560" w:type="dxa"/>
            <w:noWrap/>
            <w:vAlign w:val="center"/>
            <w:hideMark/>
          </w:tcPr>
          <w:p w14:paraId="21EE8D2D" w14:textId="361033CC"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West Gippsland Healthcare Group</w:t>
            </w:r>
          </w:p>
        </w:tc>
        <w:tc>
          <w:tcPr>
            <w:tcW w:w="1134" w:type="dxa"/>
            <w:noWrap/>
            <w:vAlign w:val="center"/>
          </w:tcPr>
          <w:p w14:paraId="57AAB935" w14:textId="5DF0CBB6"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118,295</w:t>
            </w:r>
          </w:p>
        </w:tc>
        <w:tc>
          <w:tcPr>
            <w:tcW w:w="992" w:type="dxa"/>
            <w:noWrap/>
            <w:vAlign w:val="center"/>
          </w:tcPr>
          <w:p w14:paraId="4B90197E" w14:textId="6C58572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2,981</w:t>
            </w:r>
          </w:p>
        </w:tc>
        <w:tc>
          <w:tcPr>
            <w:tcW w:w="992" w:type="dxa"/>
            <w:vAlign w:val="center"/>
          </w:tcPr>
          <w:p w14:paraId="5D2E63DA" w14:textId="1413C457"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722EDE8C" w14:textId="5F6DE4B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0B1C90A8" w14:textId="4A70CA7C"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61E630CE" w14:textId="0EF7569F"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1,076</w:t>
            </w:r>
          </w:p>
        </w:tc>
        <w:tc>
          <w:tcPr>
            <w:tcW w:w="992" w:type="dxa"/>
            <w:noWrap/>
            <w:vAlign w:val="center"/>
          </w:tcPr>
          <w:p w14:paraId="56EB3C61" w14:textId="68A5405D"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19784482" w14:textId="5B4167EE"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122,352</w:t>
            </w:r>
          </w:p>
        </w:tc>
      </w:tr>
      <w:tr w:rsidR="00F77375" w:rsidRPr="00BF0CAC" w14:paraId="6EDC05CB" w14:textId="77777777">
        <w:trPr>
          <w:trHeight w:val="300"/>
        </w:trPr>
        <w:tc>
          <w:tcPr>
            <w:tcW w:w="1560" w:type="dxa"/>
            <w:noWrap/>
            <w:vAlign w:val="center"/>
            <w:hideMark/>
          </w:tcPr>
          <w:p w14:paraId="4689944E" w14:textId="77F46BCC" w:rsidR="00F77375" w:rsidRPr="00462DC7" w:rsidRDefault="00F77375" w:rsidP="00F77375">
            <w:pPr>
              <w:spacing w:after="0" w:line="240" w:lineRule="auto"/>
              <w:rPr>
                <w:rFonts w:eastAsia="Times New Roman" w:cs="Arial"/>
                <w:color w:val="000000"/>
                <w:sz w:val="16"/>
                <w:szCs w:val="16"/>
                <w:lang w:eastAsia="en-AU"/>
              </w:rPr>
            </w:pPr>
            <w:r>
              <w:rPr>
                <w:rFonts w:cs="Arial"/>
                <w:color w:val="000000"/>
                <w:sz w:val="15"/>
                <w:szCs w:val="15"/>
              </w:rPr>
              <w:t>Western District Health Service</w:t>
            </w:r>
          </w:p>
        </w:tc>
        <w:tc>
          <w:tcPr>
            <w:tcW w:w="1134" w:type="dxa"/>
            <w:noWrap/>
            <w:vAlign w:val="center"/>
          </w:tcPr>
          <w:p w14:paraId="270B60FC" w14:textId="6657F4A3"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64,689</w:t>
            </w:r>
          </w:p>
        </w:tc>
        <w:tc>
          <w:tcPr>
            <w:tcW w:w="992" w:type="dxa"/>
            <w:noWrap/>
            <w:vAlign w:val="center"/>
          </w:tcPr>
          <w:p w14:paraId="7A94658E" w14:textId="5AEB14F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4,190</w:t>
            </w:r>
          </w:p>
        </w:tc>
        <w:tc>
          <w:tcPr>
            <w:tcW w:w="992" w:type="dxa"/>
            <w:vAlign w:val="center"/>
          </w:tcPr>
          <w:p w14:paraId="45C7A95D" w14:textId="07913443" w:rsidR="00F77375" w:rsidRPr="00462DC7" w:rsidRDefault="00F77375" w:rsidP="00F77375">
            <w:pPr>
              <w:jc w:val="right"/>
              <w:rPr>
                <w:rFonts w:cs="Arial"/>
                <w:color w:val="000000"/>
                <w:sz w:val="16"/>
                <w:szCs w:val="16"/>
              </w:rPr>
            </w:pPr>
            <w:r>
              <w:rPr>
                <w:rFonts w:cs="Arial"/>
                <w:color w:val="000000"/>
                <w:sz w:val="15"/>
                <w:szCs w:val="15"/>
              </w:rPr>
              <w:t> </w:t>
            </w:r>
          </w:p>
        </w:tc>
        <w:tc>
          <w:tcPr>
            <w:tcW w:w="993" w:type="dxa"/>
            <w:noWrap/>
            <w:vAlign w:val="center"/>
          </w:tcPr>
          <w:p w14:paraId="2A08F9C4" w14:textId="410E15A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2" w:type="dxa"/>
            <w:noWrap/>
            <w:vAlign w:val="center"/>
          </w:tcPr>
          <w:p w14:paraId="35628D60" w14:textId="610D9BA1"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125</w:t>
            </w:r>
          </w:p>
        </w:tc>
        <w:tc>
          <w:tcPr>
            <w:tcW w:w="992" w:type="dxa"/>
            <w:noWrap/>
            <w:vAlign w:val="center"/>
          </w:tcPr>
          <w:p w14:paraId="20D6660E" w14:textId="5C2EA5BE"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717</w:t>
            </w:r>
          </w:p>
        </w:tc>
        <w:tc>
          <w:tcPr>
            <w:tcW w:w="992" w:type="dxa"/>
            <w:noWrap/>
            <w:vAlign w:val="center"/>
          </w:tcPr>
          <w:p w14:paraId="5C15FA2E" w14:textId="0817D817" w:rsidR="00F77375" w:rsidRPr="00462DC7" w:rsidRDefault="00F77375" w:rsidP="00F77375">
            <w:pPr>
              <w:jc w:val="right"/>
              <w:rPr>
                <w:rFonts w:eastAsia="Times New Roman" w:cs="Arial"/>
                <w:color w:val="000000"/>
                <w:sz w:val="16"/>
                <w:szCs w:val="16"/>
                <w:lang w:eastAsia="en-AU"/>
              </w:rPr>
            </w:pPr>
            <w:r>
              <w:rPr>
                <w:rFonts w:cs="Arial"/>
                <w:color w:val="000000"/>
                <w:sz w:val="15"/>
                <w:szCs w:val="15"/>
              </w:rPr>
              <w:t> </w:t>
            </w:r>
          </w:p>
        </w:tc>
        <w:tc>
          <w:tcPr>
            <w:tcW w:w="993" w:type="dxa"/>
            <w:noWrap/>
            <w:vAlign w:val="center"/>
          </w:tcPr>
          <w:p w14:paraId="522BA168" w14:textId="709F3E3B" w:rsidR="00F77375" w:rsidRPr="00462DC7" w:rsidRDefault="00F77375" w:rsidP="00F77375">
            <w:pPr>
              <w:jc w:val="right"/>
              <w:rPr>
                <w:rFonts w:eastAsia="Times New Roman" w:cs="Arial"/>
                <w:b/>
                <w:bCs/>
                <w:color w:val="000000"/>
                <w:sz w:val="16"/>
                <w:szCs w:val="16"/>
                <w:lang w:eastAsia="en-AU"/>
              </w:rPr>
            </w:pPr>
            <w:r>
              <w:rPr>
                <w:rFonts w:cs="Arial"/>
                <w:color w:val="000000"/>
                <w:sz w:val="15"/>
                <w:szCs w:val="15"/>
              </w:rPr>
              <w:t>69,721</w:t>
            </w:r>
          </w:p>
        </w:tc>
      </w:tr>
      <w:tr w:rsidR="00F77375" w:rsidRPr="00BF0CAC" w14:paraId="13AFFFE6" w14:textId="77777777">
        <w:trPr>
          <w:trHeight w:val="300"/>
        </w:trPr>
        <w:tc>
          <w:tcPr>
            <w:tcW w:w="1560" w:type="dxa"/>
            <w:noWrap/>
            <w:vAlign w:val="center"/>
            <w:hideMark/>
          </w:tcPr>
          <w:p w14:paraId="09D735FC" w14:textId="703C22FD" w:rsidR="00F77375" w:rsidRPr="00462DC7" w:rsidRDefault="00F77375" w:rsidP="00F77375">
            <w:pPr>
              <w:spacing w:after="0" w:line="240" w:lineRule="auto"/>
              <w:rPr>
                <w:rFonts w:eastAsia="Times New Roman" w:cs="Arial"/>
                <w:b/>
                <w:bCs/>
                <w:color w:val="000000"/>
                <w:sz w:val="16"/>
                <w:szCs w:val="16"/>
                <w:lang w:eastAsia="en-AU"/>
              </w:rPr>
            </w:pPr>
            <w:r>
              <w:rPr>
                <w:rFonts w:cs="Arial"/>
                <w:b/>
                <w:bCs/>
                <w:color w:val="000000"/>
                <w:sz w:val="15"/>
                <w:szCs w:val="15"/>
              </w:rPr>
              <w:t>Total</w:t>
            </w:r>
          </w:p>
        </w:tc>
        <w:tc>
          <w:tcPr>
            <w:tcW w:w="1134" w:type="dxa"/>
            <w:noWrap/>
            <w:vAlign w:val="center"/>
          </w:tcPr>
          <w:p w14:paraId="203EB421" w14:textId="6E8B739F"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1,539,903</w:t>
            </w:r>
          </w:p>
        </w:tc>
        <w:tc>
          <w:tcPr>
            <w:tcW w:w="992" w:type="dxa"/>
            <w:noWrap/>
            <w:vAlign w:val="center"/>
          </w:tcPr>
          <w:p w14:paraId="20911694" w14:textId="780A0CED"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40,843</w:t>
            </w:r>
          </w:p>
        </w:tc>
        <w:tc>
          <w:tcPr>
            <w:tcW w:w="992" w:type="dxa"/>
            <w:vAlign w:val="center"/>
          </w:tcPr>
          <w:p w14:paraId="0451F74F" w14:textId="349EC939" w:rsidR="00F77375" w:rsidRPr="00462DC7" w:rsidRDefault="00F77375" w:rsidP="00F77375">
            <w:pPr>
              <w:jc w:val="right"/>
              <w:rPr>
                <w:rFonts w:cs="Arial"/>
                <w:b/>
                <w:bCs/>
                <w:color w:val="000000"/>
                <w:sz w:val="16"/>
                <w:szCs w:val="16"/>
              </w:rPr>
            </w:pPr>
            <w:r>
              <w:rPr>
                <w:rFonts w:cs="Arial"/>
                <w:b/>
                <w:bCs/>
                <w:color w:val="000000"/>
                <w:sz w:val="15"/>
                <w:szCs w:val="15"/>
              </w:rPr>
              <w:t> </w:t>
            </w:r>
          </w:p>
        </w:tc>
        <w:tc>
          <w:tcPr>
            <w:tcW w:w="993" w:type="dxa"/>
            <w:noWrap/>
            <w:vAlign w:val="center"/>
          </w:tcPr>
          <w:p w14:paraId="791BF544" w14:textId="1FE9FBE1"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2,959</w:t>
            </w:r>
          </w:p>
        </w:tc>
        <w:tc>
          <w:tcPr>
            <w:tcW w:w="992" w:type="dxa"/>
            <w:noWrap/>
            <w:vAlign w:val="center"/>
          </w:tcPr>
          <w:p w14:paraId="409D392C" w14:textId="74319B1C"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73,034</w:t>
            </w:r>
          </w:p>
        </w:tc>
        <w:tc>
          <w:tcPr>
            <w:tcW w:w="992" w:type="dxa"/>
            <w:noWrap/>
            <w:vAlign w:val="center"/>
          </w:tcPr>
          <w:p w14:paraId="6AA73668" w14:textId="7D05932C"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20,487</w:t>
            </w:r>
          </w:p>
        </w:tc>
        <w:tc>
          <w:tcPr>
            <w:tcW w:w="992" w:type="dxa"/>
            <w:noWrap/>
            <w:vAlign w:val="center"/>
          </w:tcPr>
          <w:p w14:paraId="2BDF236D" w14:textId="4A8D6A15"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 </w:t>
            </w:r>
          </w:p>
        </w:tc>
        <w:tc>
          <w:tcPr>
            <w:tcW w:w="993" w:type="dxa"/>
            <w:noWrap/>
            <w:vAlign w:val="center"/>
          </w:tcPr>
          <w:p w14:paraId="2A5ED8CD" w14:textId="56B0C327" w:rsidR="00F77375" w:rsidRPr="00462DC7" w:rsidRDefault="00F77375" w:rsidP="00F77375">
            <w:pPr>
              <w:jc w:val="right"/>
              <w:rPr>
                <w:rFonts w:eastAsia="Times New Roman" w:cs="Arial"/>
                <w:b/>
                <w:bCs/>
                <w:color w:val="000000"/>
                <w:sz w:val="16"/>
                <w:szCs w:val="16"/>
                <w:lang w:eastAsia="en-AU"/>
              </w:rPr>
            </w:pPr>
            <w:r>
              <w:rPr>
                <w:rFonts w:cs="Arial"/>
                <w:b/>
                <w:bCs/>
                <w:color w:val="000000"/>
                <w:sz w:val="15"/>
                <w:szCs w:val="15"/>
              </w:rPr>
              <w:t>1,677,226</w:t>
            </w:r>
          </w:p>
        </w:tc>
      </w:tr>
    </w:tbl>
    <w:p w14:paraId="5C21BE82" w14:textId="77777777" w:rsidR="008F73BB" w:rsidRDefault="008F73BB" w:rsidP="00AD2820">
      <w:pPr>
        <w:pStyle w:val="Body"/>
      </w:pPr>
    </w:p>
    <w:p w14:paraId="25D6D620" w14:textId="362FA034" w:rsidR="005B699B" w:rsidRPr="00E00C4E" w:rsidRDefault="005B699B" w:rsidP="00AD2820">
      <w:pPr>
        <w:pStyle w:val="Body"/>
      </w:pPr>
      <w:r w:rsidRPr="00E00C4E">
        <w:t>Combined total – $’000s</w:t>
      </w:r>
    </w:p>
    <w:tbl>
      <w:tblPr>
        <w:tblW w:w="9640" w:type="dxa"/>
        <w:tblInd w:w="-147" w:type="dxa"/>
        <w:tblLayout w:type="fixed"/>
        <w:tblLook w:val="04A0" w:firstRow="1" w:lastRow="0" w:firstColumn="1" w:lastColumn="0" w:noHBand="0" w:noVBand="1"/>
      </w:tblPr>
      <w:tblGrid>
        <w:gridCol w:w="1418"/>
        <w:gridCol w:w="1134"/>
        <w:gridCol w:w="992"/>
        <w:gridCol w:w="992"/>
        <w:gridCol w:w="993"/>
        <w:gridCol w:w="992"/>
        <w:gridCol w:w="992"/>
        <w:gridCol w:w="992"/>
        <w:gridCol w:w="1135"/>
      </w:tblGrid>
      <w:tr w:rsidR="007C2D6E" w:rsidRPr="001B1818" w14:paraId="40733FF7" w14:textId="77777777" w:rsidTr="00462DC7">
        <w:trPr>
          <w:trHeight w:val="90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00A04EC" w14:textId="77777777" w:rsidR="00462DC7" w:rsidRPr="001B1818" w:rsidRDefault="00462DC7">
            <w:pPr>
              <w:spacing w:after="0" w:line="240" w:lineRule="auto"/>
              <w:rPr>
                <w:rFonts w:cs="Arial"/>
                <w:b/>
                <w:bCs/>
                <w:color w:val="53565A"/>
                <w:sz w:val="16"/>
                <w:szCs w:val="16"/>
                <w:lang w:eastAsia="en-AU"/>
              </w:rPr>
            </w:pPr>
            <w:r w:rsidRPr="001B1818">
              <w:rPr>
                <w:rFonts w:cs="Arial"/>
                <w:b/>
                <w:bCs/>
                <w:color w:val="53565A"/>
                <w:sz w:val="16"/>
                <w:szCs w:val="16"/>
                <w:lang w:eastAsia="en-AU"/>
              </w:rPr>
              <w:t>Health Service</w:t>
            </w:r>
          </w:p>
        </w:tc>
        <w:tc>
          <w:tcPr>
            <w:tcW w:w="1134" w:type="dxa"/>
            <w:tcBorders>
              <w:top w:val="single" w:sz="4" w:space="0" w:color="auto"/>
              <w:left w:val="nil"/>
              <w:bottom w:val="single" w:sz="4" w:space="0" w:color="auto"/>
              <w:right w:val="single" w:sz="4" w:space="0" w:color="auto"/>
            </w:tcBorders>
            <w:shd w:val="clear" w:color="auto" w:fill="auto"/>
            <w:hideMark/>
          </w:tcPr>
          <w:p w14:paraId="5B6B9F49"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1B1818">
              <w:rPr>
                <w:rFonts w:cs="Arial"/>
                <w:b/>
                <w:bCs/>
                <w:color w:val="53565A"/>
                <w:sz w:val="16"/>
                <w:szCs w:val="16"/>
                <w:lang w:eastAsia="en-AU"/>
              </w:rPr>
              <w:br w:type="page"/>
            </w:r>
            <w:r>
              <w:rPr>
                <w:rFonts w:cs="Arial"/>
                <w:b/>
                <w:bCs/>
                <w:color w:val="53565A"/>
                <w:sz w:val="16"/>
                <w:szCs w:val="16"/>
                <w:lang w:eastAsia="en-AU"/>
              </w:rPr>
              <w:t xml:space="preserve"> </w:t>
            </w:r>
            <w:r w:rsidRPr="001B1818">
              <w:rPr>
                <w:rFonts w:cs="Arial"/>
                <w:b/>
                <w:bCs/>
                <w:color w:val="53565A"/>
                <w:sz w:val="16"/>
                <w:szCs w:val="16"/>
                <w:lang w:eastAsia="en-AU"/>
              </w:rPr>
              <w:t>Acute health services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CA8D49"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 xml:space="preserve">5 </w:t>
            </w:r>
            <w:r w:rsidRPr="001B1818">
              <w:rPr>
                <w:rFonts w:cs="Arial"/>
                <w:b/>
                <w:bCs/>
                <w:color w:val="53565A"/>
                <w:sz w:val="16"/>
                <w:szCs w:val="16"/>
                <w:lang w:eastAsia="en-AU"/>
              </w:rPr>
              <w:br w:type="page"/>
              <w:t>Ageing, aged and home care</w:t>
            </w:r>
          </w:p>
        </w:tc>
        <w:tc>
          <w:tcPr>
            <w:tcW w:w="992" w:type="dxa"/>
            <w:tcBorders>
              <w:top w:val="single" w:sz="4" w:space="0" w:color="auto"/>
              <w:left w:val="single" w:sz="4" w:space="0" w:color="auto"/>
              <w:bottom w:val="single" w:sz="4" w:space="0" w:color="auto"/>
              <w:right w:val="single" w:sz="4" w:space="0" w:color="auto"/>
            </w:tcBorders>
          </w:tcPr>
          <w:p w14:paraId="0BE43F4E" w14:textId="77777777" w:rsidR="00462DC7" w:rsidRPr="00462DC7" w:rsidRDefault="00462DC7" w:rsidP="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2024-25</w:t>
            </w:r>
          </w:p>
          <w:p w14:paraId="06B438D1" w14:textId="4E5D5C3E" w:rsidR="00462DC7" w:rsidRPr="00BF0CAC" w:rsidRDefault="00462DC7" w:rsidP="00462DC7">
            <w:pPr>
              <w:spacing w:after="0" w:line="240" w:lineRule="auto"/>
              <w:jc w:val="right"/>
              <w:rPr>
                <w:rFonts w:cs="Arial"/>
                <w:b/>
                <w:bCs/>
                <w:color w:val="53565A"/>
                <w:sz w:val="16"/>
                <w:szCs w:val="16"/>
                <w:lang w:eastAsia="en-AU"/>
              </w:rPr>
            </w:pPr>
            <w:r w:rsidRPr="00462DC7">
              <w:rPr>
                <w:rFonts w:cs="Arial"/>
                <w:b/>
                <w:bCs/>
                <w:color w:val="53565A"/>
                <w:sz w:val="16"/>
                <w:szCs w:val="16"/>
                <w:lang w:eastAsia="en-AU"/>
              </w:rPr>
              <w:t>Ambulance services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9AF439"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 xml:space="preserve">5 </w:t>
            </w:r>
            <w:r w:rsidRPr="001B1818">
              <w:rPr>
                <w:rFonts w:cs="Arial"/>
                <w:b/>
                <w:bCs/>
                <w:color w:val="53565A"/>
                <w:sz w:val="16"/>
                <w:szCs w:val="16"/>
                <w:lang w:eastAsia="en-AU"/>
              </w:rPr>
              <w:br w:type="page"/>
              <w:t>Drugs services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E980C37"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 xml:space="preserve">5 </w:t>
            </w:r>
            <w:r w:rsidRPr="001B1818">
              <w:rPr>
                <w:rFonts w:cs="Arial"/>
                <w:b/>
                <w:bCs/>
                <w:color w:val="53565A"/>
                <w:sz w:val="16"/>
                <w:szCs w:val="16"/>
                <w:lang w:eastAsia="en-AU"/>
              </w:rPr>
              <w:br w:type="page"/>
              <w:t>Mental health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198E31"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 xml:space="preserve">5 </w:t>
            </w:r>
            <w:r w:rsidRPr="001B1818">
              <w:rPr>
                <w:rFonts w:cs="Arial"/>
                <w:b/>
                <w:bCs/>
                <w:color w:val="53565A"/>
                <w:sz w:val="16"/>
                <w:szCs w:val="16"/>
                <w:lang w:eastAsia="en-AU"/>
              </w:rPr>
              <w:t>Primary and dental health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170E384"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1B1818">
              <w:rPr>
                <w:rFonts w:cs="Arial"/>
                <w:b/>
                <w:bCs/>
                <w:color w:val="53565A"/>
                <w:sz w:val="16"/>
                <w:szCs w:val="16"/>
                <w:lang w:eastAsia="en-AU"/>
              </w:rPr>
              <w:br w:type="page"/>
            </w:r>
            <w:r>
              <w:rPr>
                <w:rFonts w:cs="Arial"/>
                <w:b/>
                <w:bCs/>
                <w:color w:val="53565A"/>
                <w:sz w:val="16"/>
                <w:szCs w:val="16"/>
                <w:lang w:eastAsia="en-AU"/>
              </w:rPr>
              <w:t xml:space="preserve"> </w:t>
            </w:r>
            <w:r w:rsidRPr="001B1818">
              <w:rPr>
                <w:rFonts w:cs="Arial"/>
                <w:b/>
                <w:bCs/>
                <w:color w:val="53565A"/>
                <w:sz w:val="16"/>
                <w:szCs w:val="16"/>
                <w:lang w:eastAsia="en-AU"/>
              </w:rPr>
              <w:t>Public health</w:t>
            </w:r>
          </w:p>
        </w:tc>
        <w:tc>
          <w:tcPr>
            <w:tcW w:w="1135" w:type="dxa"/>
            <w:tcBorders>
              <w:top w:val="single" w:sz="4" w:space="0" w:color="auto"/>
              <w:left w:val="nil"/>
              <w:bottom w:val="single" w:sz="4" w:space="0" w:color="auto"/>
              <w:right w:val="single" w:sz="4" w:space="0" w:color="auto"/>
            </w:tcBorders>
            <w:shd w:val="clear" w:color="auto" w:fill="auto"/>
            <w:hideMark/>
          </w:tcPr>
          <w:p w14:paraId="02D50025" w14:textId="77777777" w:rsidR="00462DC7" w:rsidRPr="001B1818" w:rsidRDefault="00462DC7">
            <w:pPr>
              <w:spacing w:after="0" w:line="240" w:lineRule="auto"/>
              <w:jc w:val="right"/>
              <w:rPr>
                <w:rFonts w:cs="Arial"/>
                <w:b/>
                <w:bCs/>
                <w:color w:val="53565A"/>
                <w:sz w:val="16"/>
                <w:szCs w:val="16"/>
                <w:lang w:eastAsia="en-AU"/>
              </w:rPr>
            </w:pPr>
            <w:r w:rsidRPr="00BF0CAC">
              <w:rPr>
                <w:rFonts w:cs="Arial"/>
                <w:b/>
                <w:bCs/>
                <w:color w:val="53565A"/>
                <w:sz w:val="16"/>
                <w:szCs w:val="16"/>
                <w:lang w:eastAsia="en-AU"/>
              </w:rPr>
              <w:t>202</w:t>
            </w:r>
            <w:r>
              <w:rPr>
                <w:rFonts w:cs="Arial"/>
                <w:b/>
                <w:bCs/>
                <w:color w:val="53565A"/>
                <w:sz w:val="16"/>
                <w:szCs w:val="16"/>
                <w:lang w:eastAsia="en-AU"/>
              </w:rPr>
              <w:t>4</w:t>
            </w:r>
            <w:r w:rsidRPr="00BF0CAC">
              <w:rPr>
                <w:rFonts w:cs="Arial"/>
                <w:b/>
                <w:bCs/>
                <w:color w:val="53565A"/>
                <w:sz w:val="16"/>
                <w:szCs w:val="16"/>
                <w:lang w:eastAsia="en-AU"/>
              </w:rPr>
              <w:t>–2</w:t>
            </w:r>
            <w:r>
              <w:rPr>
                <w:rFonts w:cs="Arial"/>
                <w:b/>
                <w:bCs/>
                <w:color w:val="53565A"/>
                <w:sz w:val="16"/>
                <w:szCs w:val="16"/>
                <w:lang w:eastAsia="en-AU"/>
              </w:rPr>
              <w:t>5</w:t>
            </w:r>
            <w:r w:rsidRPr="001B1818">
              <w:rPr>
                <w:rFonts w:cs="Arial"/>
                <w:b/>
                <w:bCs/>
                <w:color w:val="53565A"/>
                <w:sz w:val="16"/>
                <w:szCs w:val="16"/>
                <w:lang w:eastAsia="en-AU"/>
              </w:rPr>
              <w:br w:type="page"/>
            </w:r>
            <w:r>
              <w:rPr>
                <w:rFonts w:cs="Arial"/>
                <w:b/>
                <w:bCs/>
                <w:color w:val="53565A"/>
                <w:sz w:val="16"/>
                <w:szCs w:val="16"/>
                <w:lang w:eastAsia="en-AU"/>
              </w:rPr>
              <w:t xml:space="preserve"> </w:t>
            </w:r>
            <w:r w:rsidRPr="001B1818">
              <w:rPr>
                <w:rFonts w:cs="Arial"/>
                <w:b/>
                <w:bCs/>
                <w:color w:val="53565A"/>
                <w:sz w:val="16"/>
                <w:szCs w:val="16"/>
                <w:lang w:eastAsia="en-AU"/>
              </w:rPr>
              <w:t>Total</w:t>
            </w:r>
          </w:p>
        </w:tc>
      </w:tr>
      <w:tr w:rsidR="00F1564E" w:rsidRPr="001B1818" w14:paraId="485C9BC4" w14:textId="77777777" w:rsidTr="00462DC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069CD3D" w14:textId="77777777" w:rsidR="00F1564E" w:rsidRPr="00462DC7" w:rsidRDefault="00F1564E" w:rsidP="00F1564E">
            <w:pPr>
              <w:spacing w:after="0" w:line="240" w:lineRule="auto"/>
              <w:rPr>
                <w:rFonts w:cs="Arial"/>
                <w:b/>
                <w:bCs/>
                <w:color w:val="000000"/>
                <w:sz w:val="16"/>
                <w:szCs w:val="16"/>
                <w:lang w:eastAsia="en-AU"/>
              </w:rPr>
            </w:pPr>
            <w:r w:rsidRPr="00462DC7">
              <w:rPr>
                <w:rFonts w:cs="Arial"/>
                <w:b/>
                <w:bCs/>
                <w:color w:val="000000"/>
                <w:sz w:val="16"/>
                <w:szCs w:val="16"/>
                <w:lang w:eastAsia="en-AU"/>
              </w:rPr>
              <w:t>Total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F353DC" w14:textId="724846B9"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16,535,306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E954" w14:textId="5091E984"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141,660</w:t>
            </w:r>
          </w:p>
        </w:tc>
        <w:tc>
          <w:tcPr>
            <w:tcW w:w="992" w:type="dxa"/>
            <w:tcBorders>
              <w:top w:val="single" w:sz="4" w:space="0" w:color="auto"/>
              <w:left w:val="single" w:sz="4" w:space="0" w:color="auto"/>
              <w:bottom w:val="single" w:sz="4" w:space="0" w:color="auto"/>
              <w:right w:val="single" w:sz="4" w:space="0" w:color="auto"/>
            </w:tcBorders>
            <w:vAlign w:val="center"/>
          </w:tcPr>
          <w:p w14:paraId="36D43A69" w14:textId="23B9A64E"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1,276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7FD28" w14:textId="08F41FC3"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80,054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79F82" w14:textId="17919517"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2,122,688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E5A4" w14:textId="7DF97DFC"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85,764</w:t>
            </w:r>
          </w:p>
        </w:tc>
        <w:tc>
          <w:tcPr>
            <w:tcW w:w="992" w:type="dxa"/>
            <w:tcBorders>
              <w:top w:val="nil"/>
              <w:left w:val="nil"/>
              <w:bottom w:val="single" w:sz="4" w:space="0" w:color="auto"/>
              <w:right w:val="single" w:sz="4" w:space="0" w:color="auto"/>
            </w:tcBorders>
            <w:shd w:val="clear" w:color="auto" w:fill="auto"/>
            <w:noWrap/>
            <w:vAlign w:val="center"/>
          </w:tcPr>
          <w:p w14:paraId="39CC8CE3" w14:textId="6384AA63"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81,382</w:t>
            </w:r>
          </w:p>
        </w:tc>
        <w:tc>
          <w:tcPr>
            <w:tcW w:w="1135" w:type="dxa"/>
            <w:tcBorders>
              <w:top w:val="nil"/>
              <w:left w:val="nil"/>
              <w:bottom w:val="single" w:sz="4" w:space="0" w:color="auto"/>
              <w:right w:val="single" w:sz="4" w:space="0" w:color="auto"/>
            </w:tcBorders>
            <w:shd w:val="clear" w:color="auto" w:fill="auto"/>
            <w:noWrap/>
            <w:vAlign w:val="center"/>
          </w:tcPr>
          <w:p w14:paraId="7745B5CE" w14:textId="7F0A2D86" w:rsidR="00F1564E" w:rsidRPr="00462DC7" w:rsidRDefault="00F1564E" w:rsidP="00F1564E">
            <w:pPr>
              <w:spacing w:after="0" w:line="240" w:lineRule="auto"/>
              <w:jc w:val="right"/>
              <w:rPr>
                <w:rFonts w:cs="Arial"/>
                <w:b/>
                <w:bCs/>
                <w:color w:val="000000"/>
                <w:sz w:val="16"/>
                <w:szCs w:val="16"/>
                <w:lang w:eastAsia="en-AU"/>
              </w:rPr>
            </w:pPr>
            <w:r>
              <w:rPr>
                <w:rFonts w:cs="Arial"/>
                <w:b/>
                <w:bCs/>
                <w:color w:val="000000"/>
                <w:sz w:val="15"/>
                <w:szCs w:val="15"/>
              </w:rPr>
              <w:t>19,048,131</w:t>
            </w:r>
          </w:p>
        </w:tc>
      </w:tr>
    </w:tbl>
    <w:p w14:paraId="3DE15275" w14:textId="77777777" w:rsidR="005B699B" w:rsidRPr="00E00C4E" w:rsidRDefault="005B699B" w:rsidP="00AD2820">
      <w:pPr>
        <w:pStyle w:val="Body"/>
      </w:pPr>
      <w:r w:rsidRPr="00E00C4E">
        <w:br w:type="page"/>
      </w:r>
    </w:p>
    <w:p w14:paraId="08251B43" w14:textId="16E137B8" w:rsidR="005B699B" w:rsidRDefault="005B699B" w:rsidP="001E4292">
      <w:pPr>
        <w:pStyle w:val="Heading2"/>
        <w:numPr>
          <w:ilvl w:val="1"/>
          <w:numId w:val="13"/>
        </w:numPr>
        <w:ind w:left="1134" w:hanging="1134"/>
      </w:pPr>
      <w:bookmarkStart w:id="2428" w:name="_Toc144905632"/>
      <w:bookmarkStart w:id="2429" w:name="_Toc144905633"/>
      <w:bookmarkStart w:id="2430" w:name="_Toc144905665"/>
      <w:bookmarkStart w:id="2431" w:name="_Toc111713615"/>
      <w:bookmarkStart w:id="2432" w:name="_Toc111713616"/>
      <w:bookmarkStart w:id="2433" w:name="_Toc111713617"/>
      <w:bookmarkStart w:id="2434" w:name="_Toc12780657"/>
      <w:bookmarkStart w:id="2435" w:name="_Toc14172298"/>
      <w:bookmarkStart w:id="2436" w:name="_Toc33703972"/>
      <w:bookmarkStart w:id="2437" w:name="_Toc55381160"/>
      <w:bookmarkStart w:id="2438" w:name="_Toc165961862"/>
      <w:bookmarkStart w:id="2439" w:name="_Toc178963648"/>
      <w:bookmarkStart w:id="2440" w:name="_Hlk170302717"/>
      <w:bookmarkEnd w:id="2427"/>
      <w:bookmarkEnd w:id="2428"/>
      <w:bookmarkEnd w:id="2429"/>
      <w:bookmarkEnd w:id="2430"/>
      <w:bookmarkEnd w:id="2431"/>
      <w:bookmarkEnd w:id="2432"/>
      <w:bookmarkEnd w:id="2433"/>
      <w:r w:rsidRPr="004903A7">
        <w:lastRenderedPageBreak/>
        <w:t xml:space="preserve">Small </w:t>
      </w:r>
      <w:r>
        <w:t>r</w:t>
      </w:r>
      <w:r w:rsidRPr="004903A7">
        <w:t xml:space="preserve">ural </w:t>
      </w:r>
      <w:r w:rsidRPr="00731B6C">
        <w:t>health</w:t>
      </w:r>
      <w:r w:rsidRPr="004903A7">
        <w:t xml:space="preserve"> </w:t>
      </w:r>
      <w:r>
        <w:t>s</w:t>
      </w:r>
      <w:r w:rsidRPr="004903A7">
        <w:t xml:space="preserve">ervices </w:t>
      </w:r>
      <w:r>
        <w:t>expen</w:t>
      </w:r>
      <w:r w:rsidRPr="005353E5">
        <w:t xml:space="preserve">diture budgets </w:t>
      </w:r>
      <w:bookmarkEnd w:id="2434"/>
      <w:bookmarkEnd w:id="2435"/>
      <w:bookmarkEnd w:id="2436"/>
      <w:bookmarkEnd w:id="2437"/>
      <w:r w:rsidRPr="005353E5">
        <w:t>202</w:t>
      </w:r>
      <w:r>
        <w:t>4</w:t>
      </w:r>
      <w:r w:rsidRPr="005353E5">
        <w:t>–2</w:t>
      </w:r>
      <w:r>
        <w:t>5</w:t>
      </w:r>
      <w:bookmarkEnd w:id="2438"/>
      <w:bookmarkEnd w:id="2439"/>
      <w:r w:rsidR="00054728">
        <w:t xml:space="preserve"> </w:t>
      </w:r>
    </w:p>
    <w:bookmarkEnd w:id="2440"/>
    <w:p w14:paraId="12F9E8AC"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185FCF4D" w14:textId="77777777" w:rsidR="00541C64" w:rsidRPr="00A67ABC" w:rsidRDefault="00541C64" w:rsidP="008E4F36">
      <w:pPr>
        <w:pStyle w:val="Tablenoteroman"/>
        <w:numPr>
          <w:ilvl w:val="0"/>
          <w:numId w:val="53"/>
        </w:numPr>
        <w:tabs>
          <w:tab w:val="clear" w:pos="720"/>
        </w:tabs>
        <w:rPr>
          <w:b/>
          <w:lang w:eastAsia="en-AU"/>
        </w:rPr>
      </w:pPr>
      <w:r w:rsidRPr="00A67ABC">
        <w:rPr>
          <w:lang w:eastAsia="en-AU"/>
        </w:rPr>
        <w:t>Subtotals and totals may not add up due to rounding.</w:t>
      </w:r>
    </w:p>
    <w:p w14:paraId="2EA07505" w14:textId="77777777" w:rsidR="00541C64" w:rsidRPr="00A67ABC" w:rsidRDefault="00541C64" w:rsidP="008E4F36">
      <w:pPr>
        <w:pStyle w:val="Tablenoteroman"/>
        <w:numPr>
          <w:ilvl w:val="0"/>
          <w:numId w:val="53"/>
        </w:numPr>
        <w:tabs>
          <w:tab w:val="clear" w:pos="720"/>
        </w:tabs>
        <w:rPr>
          <w:lang w:eastAsia="en-AU"/>
        </w:rPr>
      </w:pPr>
      <w:r w:rsidRPr="00A67ABC">
        <w:rPr>
          <w:lang w:eastAsia="en-AU"/>
        </w:rPr>
        <w:t>When published, Statement of Priorities Part C supersede these tables.</w:t>
      </w:r>
    </w:p>
    <w:p w14:paraId="4B451A69" w14:textId="1DE14C4D" w:rsidR="005B699B" w:rsidRDefault="00462DC7" w:rsidP="00297FC9">
      <w:pPr>
        <w:pStyle w:val="Tablecaption"/>
      </w:pPr>
      <w:bookmarkStart w:id="2441" w:name="_Toc12780561"/>
      <w:bookmarkStart w:id="2442" w:name="_Toc14194817"/>
      <w:bookmarkStart w:id="2443" w:name="_Toc33703998"/>
      <w:bookmarkStart w:id="2444" w:name="_Toc109894128"/>
      <w:bookmarkStart w:id="2445" w:name="_Toc176510414"/>
      <w:r w:rsidRPr="005353E5">
        <w:t xml:space="preserve">Table </w:t>
      </w:r>
      <w:r w:rsidR="000E0ED2">
        <w:t>2.</w:t>
      </w:r>
      <w:r>
        <w:fldChar w:fldCharType="begin"/>
      </w:r>
      <w:r>
        <w:instrText>SEQ Table \* ARABIC \s 1</w:instrText>
      </w:r>
      <w:r>
        <w:fldChar w:fldCharType="separate"/>
      </w:r>
      <w:r w:rsidR="00F30C16">
        <w:rPr>
          <w:noProof/>
        </w:rPr>
        <w:t>2</w:t>
      </w:r>
      <w:r>
        <w:fldChar w:fldCharType="end"/>
      </w:r>
      <w:r w:rsidRPr="005353E5">
        <w:t xml:space="preserve">: </w:t>
      </w:r>
      <w:r w:rsidR="005B699B" w:rsidRPr="005353E5">
        <w:t xml:space="preserve">Small rural health services expenditure budgets </w:t>
      </w:r>
      <w:bookmarkEnd w:id="2441"/>
      <w:bookmarkEnd w:id="2442"/>
      <w:bookmarkEnd w:id="2443"/>
      <w:bookmarkEnd w:id="2444"/>
      <w:r w:rsidR="005B699B" w:rsidRPr="005353E5">
        <w:t>202</w:t>
      </w:r>
      <w:r w:rsidR="005B699B">
        <w:t>4</w:t>
      </w:r>
      <w:r w:rsidR="005B699B" w:rsidRPr="005353E5">
        <w:t>–2</w:t>
      </w:r>
      <w:r w:rsidR="005B699B">
        <w:t>5 – $’000s</w:t>
      </w:r>
      <w:bookmarkEnd w:id="2445"/>
    </w:p>
    <w:tbl>
      <w:tblPr>
        <w:tblW w:w="8628" w:type="dxa"/>
        <w:tblLayout w:type="fixed"/>
        <w:tblLook w:val="04A0" w:firstRow="1" w:lastRow="0" w:firstColumn="1" w:lastColumn="0" w:noHBand="0" w:noVBand="1"/>
      </w:tblPr>
      <w:tblGrid>
        <w:gridCol w:w="2689"/>
        <w:gridCol w:w="1187"/>
        <w:gridCol w:w="1188"/>
        <w:gridCol w:w="1188"/>
        <w:gridCol w:w="1188"/>
        <w:gridCol w:w="1188"/>
      </w:tblGrid>
      <w:tr w:rsidR="00F04148" w:rsidRPr="001B1818" w14:paraId="4BAB3441" w14:textId="77777777">
        <w:trPr>
          <w:trHeight w:val="900"/>
          <w:tblHeader/>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D593DB6" w14:textId="77777777" w:rsidR="00F04148" w:rsidRDefault="00F04148">
            <w:pPr>
              <w:spacing w:after="0" w:line="240" w:lineRule="auto"/>
              <w:rPr>
                <w:rFonts w:cs="Arial"/>
                <w:b/>
                <w:bCs/>
                <w:color w:val="53565A"/>
                <w:sz w:val="16"/>
                <w:szCs w:val="16"/>
                <w:lang w:eastAsia="en-AU"/>
              </w:rPr>
            </w:pPr>
          </w:p>
          <w:p w14:paraId="13A1661B" w14:textId="77777777" w:rsidR="00F04148" w:rsidRPr="001B1818" w:rsidRDefault="00F04148">
            <w:pPr>
              <w:spacing w:after="0" w:line="240" w:lineRule="auto"/>
              <w:rPr>
                <w:rFonts w:cs="Arial"/>
                <w:b/>
                <w:bCs/>
                <w:color w:val="53565A"/>
                <w:sz w:val="16"/>
                <w:szCs w:val="16"/>
                <w:lang w:eastAsia="en-AU"/>
              </w:rPr>
            </w:pPr>
            <w:r w:rsidRPr="001B1818">
              <w:rPr>
                <w:rFonts w:cs="Arial"/>
                <w:b/>
                <w:bCs/>
                <w:color w:val="53565A"/>
                <w:sz w:val="16"/>
                <w:szCs w:val="16"/>
                <w:lang w:eastAsia="en-AU"/>
              </w:rPr>
              <w:t>Health Service</w:t>
            </w:r>
          </w:p>
        </w:tc>
        <w:tc>
          <w:tcPr>
            <w:tcW w:w="1187" w:type="dxa"/>
            <w:tcBorders>
              <w:top w:val="single" w:sz="4" w:space="0" w:color="auto"/>
              <w:left w:val="nil"/>
              <w:bottom w:val="single" w:sz="4" w:space="0" w:color="auto"/>
              <w:right w:val="single" w:sz="4" w:space="0" w:color="auto"/>
            </w:tcBorders>
            <w:shd w:val="clear" w:color="auto" w:fill="auto"/>
            <w:hideMark/>
          </w:tcPr>
          <w:p w14:paraId="31D6DE5F" w14:textId="77777777" w:rsidR="00F04148" w:rsidRPr="001B1818" w:rsidRDefault="00F0414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1B1818">
              <w:rPr>
                <w:rFonts w:cs="Arial"/>
                <w:b/>
                <w:bCs/>
                <w:color w:val="53565A"/>
                <w:sz w:val="16"/>
                <w:szCs w:val="16"/>
                <w:lang w:eastAsia="en-AU"/>
              </w:rPr>
              <w:br/>
              <w:t>Acute health services</w:t>
            </w:r>
          </w:p>
        </w:tc>
        <w:tc>
          <w:tcPr>
            <w:tcW w:w="1188" w:type="dxa"/>
            <w:tcBorders>
              <w:top w:val="single" w:sz="4" w:space="0" w:color="auto"/>
              <w:left w:val="nil"/>
              <w:bottom w:val="single" w:sz="4" w:space="0" w:color="auto"/>
              <w:right w:val="single" w:sz="4" w:space="0" w:color="auto"/>
            </w:tcBorders>
            <w:shd w:val="clear" w:color="auto" w:fill="auto"/>
            <w:hideMark/>
          </w:tcPr>
          <w:p w14:paraId="1B1D9DB5" w14:textId="77777777" w:rsidR="00F04148" w:rsidRPr="001B1818" w:rsidRDefault="00F0414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1B1818">
              <w:rPr>
                <w:rFonts w:cs="Arial"/>
                <w:b/>
                <w:bCs/>
                <w:color w:val="53565A"/>
                <w:sz w:val="16"/>
                <w:szCs w:val="16"/>
                <w:lang w:eastAsia="en-AU"/>
              </w:rPr>
              <w:br/>
              <w:t>Ageing, aged and home care</w:t>
            </w:r>
          </w:p>
        </w:tc>
        <w:tc>
          <w:tcPr>
            <w:tcW w:w="1188" w:type="dxa"/>
            <w:tcBorders>
              <w:top w:val="single" w:sz="4" w:space="0" w:color="auto"/>
              <w:left w:val="nil"/>
              <w:bottom w:val="single" w:sz="4" w:space="0" w:color="auto"/>
              <w:right w:val="single" w:sz="4" w:space="0" w:color="auto"/>
            </w:tcBorders>
            <w:shd w:val="clear" w:color="auto" w:fill="auto"/>
            <w:hideMark/>
          </w:tcPr>
          <w:p w14:paraId="5A37EF43" w14:textId="77777777" w:rsidR="00F04148" w:rsidRPr="001B1818" w:rsidRDefault="00F0414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1B1818">
              <w:rPr>
                <w:rFonts w:cs="Arial"/>
                <w:b/>
                <w:bCs/>
                <w:color w:val="53565A"/>
                <w:sz w:val="16"/>
                <w:szCs w:val="16"/>
                <w:lang w:eastAsia="en-AU"/>
              </w:rPr>
              <w:br/>
              <w:t>Mental health</w:t>
            </w:r>
          </w:p>
        </w:tc>
        <w:tc>
          <w:tcPr>
            <w:tcW w:w="1188" w:type="dxa"/>
            <w:tcBorders>
              <w:top w:val="single" w:sz="4" w:space="0" w:color="auto"/>
              <w:left w:val="nil"/>
              <w:bottom w:val="single" w:sz="4" w:space="0" w:color="auto"/>
              <w:right w:val="single" w:sz="4" w:space="0" w:color="auto"/>
            </w:tcBorders>
            <w:shd w:val="clear" w:color="auto" w:fill="auto"/>
            <w:hideMark/>
          </w:tcPr>
          <w:p w14:paraId="2EE2B442" w14:textId="77777777" w:rsidR="00F04148" w:rsidRPr="001B1818" w:rsidRDefault="00F0414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1B1818">
              <w:rPr>
                <w:rFonts w:cs="Arial"/>
                <w:b/>
                <w:bCs/>
                <w:color w:val="53565A"/>
                <w:sz w:val="16"/>
                <w:szCs w:val="16"/>
                <w:lang w:eastAsia="en-AU"/>
              </w:rPr>
              <w:br/>
              <w:t xml:space="preserve">Primary and dental health </w:t>
            </w:r>
          </w:p>
        </w:tc>
        <w:tc>
          <w:tcPr>
            <w:tcW w:w="1188" w:type="dxa"/>
            <w:tcBorders>
              <w:top w:val="single" w:sz="4" w:space="0" w:color="auto"/>
              <w:left w:val="nil"/>
              <w:bottom w:val="single" w:sz="4" w:space="0" w:color="auto"/>
              <w:right w:val="single" w:sz="4" w:space="0" w:color="auto"/>
            </w:tcBorders>
            <w:shd w:val="clear" w:color="auto" w:fill="auto"/>
            <w:hideMark/>
          </w:tcPr>
          <w:p w14:paraId="4A2A166D" w14:textId="77777777" w:rsidR="00F04148" w:rsidRPr="001B1818" w:rsidRDefault="00F0414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1B1818">
              <w:rPr>
                <w:rFonts w:cs="Arial"/>
                <w:b/>
                <w:bCs/>
                <w:color w:val="53565A"/>
                <w:sz w:val="16"/>
                <w:szCs w:val="16"/>
                <w:lang w:eastAsia="en-AU"/>
              </w:rPr>
              <w:br/>
              <w:t>Total</w:t>
            </w:r>
          </w:p>
        </w:tc>
      </w:tr>
      <w:tr w:rsidR="00D20BCB" w:rsidRPr="001B1818" w14:paraId="1B5D87BD"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008798" w14:textId="77AE24FF"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Alexandra District Health</w:t>
            </w:r>
          </w:p>
        </w:tc>
        <w:tc>
          <w:tcPr>
            <w:tcW w:w="1187" w:type="dxa"/>
            <w:tcBorders>
              <w:top w:val="nil"/>
              <w:left w:val="nil"/>
              <w:bottom w:val="single" w:sz="4" w:space="0" w:color="auto"/>
              <w:right w:val="single" w:sz="4" w:space="0" w:color="auto"/>
            </w:tcBorders>
            <w:shd w:val="clear" w:color="auto" w:fill="auto"/>
            <w:noWrap/>
            <w:vAlign w:val="center"/>
          </w:tcPr>
          <w:p w14:paraId="695E8DDC" w14:textId="7ADAAEB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9,482</w:t>
            </w:r>
          </w:p>
        </w:tc>
        <w:tc>
          <w:tcPr>
            <w:tcW w:w="1188" w:type="dxa"/>
            <w:tcBorders>
              <w:top w:val="nil"/>
              <w:left w:val="nil"/>
              <w:bottom w:val="single" w:sz="4" w:space="0" w:color="auto"/>
              <w:right w:val="single" w:sz="4" w:space="0" w:color="auto"/>
            </w:tcBorders>
            <w:shd w:val="clear" w:color="auto" w:fill="auto"/>
            <w:noWrap/>
            <w:vAlign w:val="center"/>
          </w:tcPr>
          <w:p w14:paraId="6B75213D" w14:textId="139C0F2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151</w:t>
            </w:r>
          </w:p>
        </w:tc>
        <w:tc>
          <w:tcPr>
            <w:tcW w:w="1188" w:type="dxa"/>
            <w:tcBorders>
              <w:top w:val="nil"/>
              <w:left w:val="nil"/>
              <w:bottom w:val="single" w:sz="4" w:space="0" w:color="auto"/>
              <w:right w:val="single" w:sz="4" w:space="0" w:color="auto"/>
            </w:tcBorders>
            <w:shd w:val="clear" w:color="auto" w:fill="auto"/>
            <w:noWrap/>
            <w:vAlign w:val="center"/>
          </w:tcPr>
          <w:p w14:paraId="07891CB8" w14:textId="25D8F39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21F868D" w14:textId="4B37A82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505</w:t>
            </w:r>
          </w:p>
        </w:tc>
        <w:tc>
          <w:tcPr>
            <w:tcW w:w="1188" w:type="dxa"/>
            <w:tcBorders>
              <w:top w:val="nil"/>
              <w:left w:val="nil"/>
              <w:bottom w:val="single" w:sz="4" w:space="0" w:color="auto"/>
              <w:right w:val="single" w:sz="4" w:space="0" w:color="auto"/>
            </w:tcBorders>
            <w:shd w:val="clear" w:color="auto" w:fill="auto"/>
            <w:noWrap/>
            <w:vAlign w:val="center"/>
          </w:tcPr>
          <w:p w14:paraId="7E79A28A" w14:textId="466348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10,138</w:t>
            </w:r>
          </w:p>
        </w:tc>
      </w:tr>
      <w:tr w:rsidR="00D20BCB" w:rsidRPr="001B1818" w14:paraId="1687EDF9"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E2D1E05" w14:textId="0A0BB7BA"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Alpine Health</w:t>
            </w:r>
          </w:p>
        </w:tc>
        <w:tc>
          <w:tcPr>
            <w:tcW w:w="1187" w:type="dxa"/>
            <w:tcBorders>
              <w:top w:val="nil"/>
              <w:left w:val="nil"/>
              <w:bottom w:val="single" w:sz="4" w:space="0" w:color="auto"/>
              <w:right w:val="single" w:sz="4" w:space="0" w:color="auto"/>
            </w:tcBorders>
            <w:shd w:val="clear" w:color="auto" w:fill="auto"/>
            <w:noWrap/>
            <w:vAlign w:val="center"/>
          </w:tcPr>
          <w:p w14:paraId="53E5A724" w14:textId="137276F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17,539</w:t>
            </w:r>
          </w:p>
        </w:tc>
        <w:tc>
          <w:tcPr>
            <w:tcW w:w="1188" w:type="dxa"/>
            <w:tcBorders>
              <w:top w:val="nil"/>
              <w:left w:val="nil"/>
              <w:bottom w:val="single" w:sz="4" w:space="0" w:color="auto"/>
              <w:right w:val="single" w:sz="4" w:space="0" w:color="auto"/>
            </w:tcBorders>
            <w:shd w:val="clear" w:color="auto" w:fill="auto"/>
            <w:noWrap/>
            <w:vAlign w:val="center"/>
          </w:tcPr>
          <w:p w14:paraId="2C49FDB3" w14:textId="04043F5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2,231</w:t>
            </w:r>
          </w:p>
        </w:tc>
        <w:tc>
          <w:tcPr>
            <w:tcW w:w="1188" w:type="dxa"/>
            <w:tcBorders>
              <w:top w:val="nil"/>
              <w:left w:val="nil"/>
              <w:bottom w:val="single" w:sz="4" w:space="0" w:color="auto"/>
              <w:right w:val="single" w:sz="4" w:space="0" w:color="auto"/>
            </w:tcBorders>
            <w:shd w:val="clear" w:color="auto" w:fill="auto"/>
            <w:noWrap/>
            <w:vAlign w:val="center"/>
          </w:tcPr>
          <w:p w14:paraId="2D968BE7" w14:textId="0412E44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0381E886" w14:textId="1F9846F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349</w:t>
            </w:r>
          </w:p>
        </w:tc>
        <w:tc>
          <w:tcPr>
            <w:tcW w:w="1188" w:type="dxa"/>
            <w:tcBorders>
              <w:top w:val="nil"/>
              <w:left w:val="nil"/>
              <w:bottom w:val="single" w:sz="4" w:space="0" w:color="auto"/>
              <w:right w:val="single" w:sz="4" w:space="0" w:color="auto"/>
            </w:tcBorders>
            <w:shd w:val="clear" w:color="auto" w:fill="auto"/>
            <w:noWrap/>
            <w:vAlign w:val="center"/>
          </w:tcPr>
          <w:p w14:paraId="29C21AB9" w14:textId="0382B46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20,118</w:t>
            </w:r>
          </w:p>
        </w:tc>
      </w:tr>
      <w:tr w:rsidR="00D20BCB" w:rsidRPr="001B1818" w14:paraId="566C1671"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7C116DC" w14:textId="55FB83F2"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Beaufort And Skipton Health Service</w:t>
            </w:r>
          </w:p>
        </w:tc>
        <w:tc>
          <w:tcPr>
            <w:tcW w:w="1187" w:type="dxa"/>
            <w:tcBorders>
              <w:top w:val="nil"/>
              <w:left w:val="nil"/>
              <w:bottom w:val="single" w:sz="4" w:space="0" w:color="auto"/>
              <w:right w:val="single" w:sz="4" w:space="0" w:color="auto"/>
            </w:tcBorders>
            <w:shd w:val="clear" w:color="auto" w:fill="auto"/>
            <w:noWrap/>
            <w:vAlign w:val="center"/>
          </w:tcPr>
          <w:p w14:paraId="4596F8F9" w14:textId="364958B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6,472</w:t>
            </w:r>
          </w:p>
        </w:tc>
        <w:tc>
          <w:tcPr>
            <w:tcW w:w="1188" w:type="dxa"/>
            <w:tcBorders>
              <w:top w:val="nil"/>
              <w:left w:val="nil"/>
              <w:bottom w:val="single" w:sz="4" w:space="0" w:color="auto"/>
              <w:right w:val="single" w:sz="4" w:space="0" w:color="auto"/>
            </w:tcBorders>
            <w:shd w:val="clear" w:color="auto" w:fill="auto"/>
            <w:noWrap/>
            <w:vAlign w:val="center"/>
          </w:tcPr>
          <w:p w14:paraId="4BDA3675" w14:textId="7A5D798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1,120</w:t>
            </w:r>
          </w:p>
        </w:tc>
        <w:tc>
          <w:tcPr>
            <w:tcW w:w="1188" w:type="dxa"/>
            <w:tcBorders>
              <w:top w:val="nil"/>
              <w:left w:val="nil"/>
              <w:bottom w:val="single" w:sz="4" w:space="0" w:color="auto"/>
              <w:right w:val="single" w:sz="4" w:space="0" w:color="auto"/>
            </w:tcBorders>
            <w:shd w:val="clear" w:color="auto" w:fill="auto"/>
            <w:noWrap/>
            <w:vAlign w:val="center"/>
          </w:tcPr>
          <w:p w14:paraId="0D6803B8" w14:textId="70D2533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6A635BD2" w14:textId="4FEE22B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168</w:t>
            </w:r>
          </w:p>
        </w:tc>
        <w:tc>
          <w:tcPr>
            <w:tcW w:w="1188" w:type="dxa"/>
            <w:tcBorders>
              <w:top w:val="nil"/>
              <w:left w:val="nil"/>
              <w:bottom w:val="single" w:sz="4" w:space="0" w:color="auto"/>
              <w:right w:val="single" w:sz="4" w:space="0" w:color="auto"/>
            </w:tcBorders>
            <w:shd w:val="clear" w:color="auto" w:fill="auto"/>
            <w:noWrap/>
            <w:vAlign w:val="center"/>
          </w:tcPr>
          <w:p w14:paraId="00C6670D" w14:textId="3F9EA9A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7,760</w:t>
            </w:r>
          </w:p>
        </w:tc>
      </w:tr>
      <w:tr w:rsidR="00D20BCB" w:rsidRPr="001B1818" w14:paraId="4B9652FC"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BA5DA27" w14:textId="48BEACC1"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Beechworth Health Service</w:t>
            </w:r>
          </w:p>
        </w:tc>
        <w:tc>
          <w:tcPr>
            <w:tcW w:w="1187" w:type="dxa"/>
            <w:tcBorders>
              <w:top w:val="nil"/>
              <w:left w:val="nil"/>
              <w:bottom w:val="single" w:sz="4" w:space="0" w:color="auto"/>
              <w:right w:val="single" w:sz="4" w:space="0" w:color="auto"/>
            </w:tcBorders>
            <w:shd w:val="clear" w:color="auto" w:fill="auto"/>
            <w:noWrap/>
            <w:vAlign w:val="center"/>
          </w:tcPr>
          <w:p w14:paraId="74AEB4B9" w14:textId="6444343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5,606</w:t>
            </w:r>
          </w:p>
        </w:tc>
        <w:tc>
          <w:tcPr>
            <w:tcW w:w="1188" w:type="dxa"/>
            <w:tcBorders>
              <w:top w:val="nil"/>
              <w:left w:val="nil"/>
              <w:bottom w:val="single" w:sz="4" w:space="0" w:color="auto"/>
              <w:right w:val="single" w:sz="4" w:space="0" w:color="auto"/>
            </w:tcBorders>
            <w:shd w:val="clear" w:color="auto" w:fill="auto"/>
            <w:noWrap/>
            <w:vAlign w:val="center"/>
          </w:tcPr>
          <w:p w14:paraId="6D582400" w14:textId="4F4216C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1,278</w:t>
            </w:r>
          </w:p>
        </w:tc>
        <w:tc>
          <w:tcPr>
            <w:tcW w:w="1188" w:type="dxa"/>
            <w:tcBorders>
              <w:top w:val="nil"/>
              <w:left w:val="nil"/>
              <w:bottom w:val="single" w:sz="4" w:space="0" w:color="auto"/>
              <w:right w:val="single" w:sz="4" w:space="0" w:color="auto"/>
            </w:tcBorders>
            <w:shd w:val="clear" w:color="auto" w:fill="auto"/>
            <w:noWrap/>
            <w:vAlign w:val="center"/>
          </w:tcPr>
          <w:p w14:paraId="696A0B82" w14:textId="64F8ADD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24486FA4" w14:textId="2AC1F9C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393</w:t>
            </w:r>
          </w:p>
        </w:tc>
        <w:tc>
          <w:tcPr>
            <w:tcW w:w="1188" w:type="dxa"/>
            <w:tcBorders>
              <w:top w:val="nil"/>
              <w:left w:val="nil"/>
              <w:bottom w:val="single" w:sz="4" w:space="0" w:color="auto"/>
              <w:right w:val="single" w:sz="4" w:space="0" w:color="auto"/>
            </w:tcBorders>
            <w:shd w:val="clear" w:color="auto" w:fill="auto"/>
            <w:noWrap/>
            <w:vAlign w:val="center"/>
          </w:tcPr>
          <w:p w14:paraId="09EFB242" w14:textId="0AD819B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7,276</w:t>
            </w:r>
          </w:p>
        </w:tc>
      </w:tr>
      <w:tr w:rsidR="00D20BCB" w:rsidRPr="001B1818" w14:paraId="143B645D"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0FA728C" w14:textId="14EF08E8"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Boort District Health</w:t>
            </w:r>
          </w:p>
        </w:tc>
        <w:tc>
          <w:tcPr>
            <w:tcW w:w="1187" w:type="dxa"/>
            <w:tcBorders>
              <w:top w:val="nil"/>
              <w:left w:val="nil"/>
              <w:bottom w:val="single" w:sz="4" w:space="0" w:color="auto"/>
              <w:right w:val="single" w:sz="4" w:space="0" w:color="auto"/>
            </w:tcBorders>
            <w:shd w:val="clear" w:color="auto" w:fill="auto"/>
            <w:noWrap/>
            <w:vAlign w:val="center"/>
          </w:tcPr>
          <w:p w14:paraId="03095F5F" w14:textId="663D377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3,169</w:t>
            </w:r>
          </w:p>
        </w:tc>
        <w:tc>
          <w:tcPr>
            <w:tcW w:w="1188" w:type="dxa"/>
            <w:tcBorders>
              <w:top w:val="nil"/>
              <w:left w:val="nil"/>
              <w:bottom w:val="single" w:sz="4" w:space="0" w:color="auto"/>
              <w:right w:val="single" w:sz="4" w:space="0" w:color="auto"/>
            </w:tcBorders>
            <w:shd w:val="clear" w:color="auto" w:fill="auto"/>
            <w:noWrap/>
            <w:vAlign w:val="center"/>
          </w:tcPr>
          <w:p w14:paraId="199C7251" w14:textId="645E30D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420</w:t>
            </w:r>
          </w:p>
        </w:tc>
        <w:tc>
          <w:tcPr>
            <w:tcW w:w="1188" w:type="dxa"/>
            <w:tcBorders>
              <w:top w:val="nil"/>
              <w:left w:val="nil"/>
              <w:bottom w:val="single" w:sz="4" w:space="0" w:color="auto"/>
              <w:right w:val="single" w:sz="4" w:space="0" w:color="auto"/>
            </w:tcBorders>
            <w:shd w:val="clear" w:color="auto" w:fill="auto"/>
            <w:noWrap/>
            <w:vAlign w:val="center"/>
          </w:tcPr>
          <w:p w14:paraId="21DA46C0" w14:textId="539F256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4DD8FC81" w14:textId="5D26CA0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85BC904" w14:textId="60B0A28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3,589</w:t>
            </w:r>
          </w:p>
        </w:tc>
      </w:tr>
      <w:tr w:rsidR="00D20BCB" w:rsidRPr="001B1818" w14:paraId="756CECE7"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5860952" w14:textId="68276A69"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Casterton Memorial Hospital</w:t>
            </w:r>
          </w:p>
        </w:tc>
        <w:tc>
          <w:tcPr>
            <w:tcW w:w="1187" w:type="dxa"/>
            <w:tcBorders>
              <w:top w:val="nil"/>
              <w:left w:val="nil"/>
              <w:bottom w:val="single" w:sz="4" w:space="0" w:color="auto"/>
              <w:right w:val="single" w:sz="4" w:space="0" w:color="auto"/>
            </w:tcBorders>
            <w:shd w:val="clear" w:color="auto" w:fill="auto"/>
            <w:noWrap/>
            <w:vAlign w:val="center"/>
          </w:tcPr>
          <w:p w14:paraId="422057D8" w14:textId="2E78B0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5,303</w:t>
            </w:r>
          </w:p>
        </w:tc>
        <w:tc>
          <w:tcPr>
            <w:tcW w:w="1188" w:type="dxa"/>
            <w:tcBorders>
              <w:top w:val="nil"/>
              <w:left w:val="nil"/>
              <w:bottom w:val="single" w:sz="4" w:space="0" w:color="auto"/>
              <w:right w:val="single" w:sz="4" w:space="0" w:color="auto"/>
            </w:tcBorders>
            <w:shd w:val="clear" w:color="auto" w:fill="auto"/>
            <w:noWrap/>
            <w:vAlign w:val="center"/>
          </w:tcPr>
          <w:p w14:paraId="6DD6D720" w14:textId="294BF81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1,112</w:t>
            </w:r>
          </w:p>
        </w:tc>
        <w:tc>
          <w:tcPr>
            <w:tcW w:w="1188" w:type="dxa"/>
            <w:tcBorders>
              <w:top w:val="nil"/>
              <w:left w:val="nil"/>
              <w:bottom w:val="single" w:sz="4" w:space="0" w:color="auto"/>
              <w:right w:val="single" w:sz="4" w:space="0" w:color="auto"/>
            </w:tcBorders>
            <w:shd w:val="clear" w:color="auto" w:fill="auto"/>
            <w:noWrap/>
            <w:vAlign w:val="center"/>
          </w:tcPr>
          <w:p w14:paraId="6607E8C6" w14:textId="6C5ADAE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5879E166" w14:textId="4A29F30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41</w:t>
            </w:r>
          </w:p>
        </w:tc>
        <w:tc>
          <w:tcPr>
            <w:tcW w:w="1188" w:type="dxa"/>
            <w:tcBorders>
              <w:top w:val="nil"/>
              <w:left w:val="nil"/>
              <w:bottom w:val="single" w:sz="4" w:space="0" w:color="auto"/>
              <w:right w:val="single" w:sz="4" w:space="0" w:color="auto"/>
            </w:tcBorders>
            <w:shd w:val="clear" w:color="auto" w:fill="auto"/>
            <w:noWrap/>
            <w:vAlign w:val="center"/>
          </w:tcPr>
          <w:p w14:paraId="56C8EE5B" w14:textId="68E3204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6,455</w:t>
            </w:r>
          </w:p>
        </w:tc>
      </w:tr>
      <w:tr w:rsidR="00D20BCB" w:rsidRPr="001B1818" w14:paraId="065F477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EC93D92" w14:textId="6746F3B5"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Central Highlands Rural Health</w:t>
            </w:r>
          </w:p>
        </w:tc>
        <w:tc>
          <w:tcPr>
            <w:tcW w:w="1187" w:type="dxa"/>
            <w:tcBorders>
              <w:top w:val="nil"/>
              <w:left w:val="nil"/>
              <w:bottom w:val="single" w:sz="4" w:space="0" w:color="auto"/>
              <w:right w:val="single" w:sz="4" w:space="0" w:color="auto"/>
            </w:tcBorders>
            <w:shd w:val="clear" w:color="auto" w:fill="auto"/>
            <w:noWrap/>
            <w:vAlign w:val="center"/>
          </w:tcPr>
          <w:p w14:paraId="394BFA5B" w14:textId="3047300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31,061</w:t>
            </w:r>
          </w:p>
        </w:tc>
        <w:tc>
          <w:tcPr>
            <w:tcW w:w="1188" w:type="dxa"/>
            <w:tcBorders>
              <w:top w:val="nil"/>
              <w:left w:val="nil"/>
              <w:bottom w:val="single" w:sz="4" w:space="0" w:color="auto"/>
              <w:right w:val="single" w:sz="4" w:space="0" w:color="auto"/>
            </w:tcBorders>
            <w:shd w:val="clear" w:color="auto" w:fill="auto"/>
            <w:noWrap/>
            <w:vAlign w:val="center"/>
          </w:tcPr>
          <w:p w14:paraId="32D059B0" w14:textId="40203EA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2,626</w:t>
            </w:r>
          </w:p>
        </w:tc>
        <w:tc>
          <w:tcPr>
            <w:tcW w:w="1188" w:type="dxa"/>
            <w:tcBorders>
              <w:top w:val="nil"/>
              <w:left w:val="nil"/>
              <w:bottom w:val="single" w:sz="4" w:space="0" w:color="auto"/>
              <w:right w:val="single" w:sz="4" w:space="0" w:color="auto"/>
            </w:tcBorders>
            <w:shd w:val="clear" w:color="auto" w:fill="auto"/>
            <w:noWrap/>
            <w:vAlign w:val="center"/>
          </w:tcPr>
          <w:p w14:paraId="7E0D8C9A" w14:textId="7291F82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68D7DDB7" w14:textId="013DD5A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1,206</w:t>
            </w:r>
          </w:p>
        </w:tc>
        <w:tc>
          <w:tcPr>
            <w:tcW w:w="1188" w:type="dxa"/>
            <w:tcBorders>
              <w:top w:val="nil"/>
              <w:left w:val="nil"/>
              <w:bottom w:val="single" w:sz="4" w:space="0" w:color="auto"/>
              <w:right w:val="single" w:sz="4" w:space="0" w:color="auto"/>
            </w:tcBorders>
            <w:shd w:val="clear" w:color="auto" w:fill="auto"/>
            <w:noWrap/>
            <w:vAlign w:val="center"/>
          </w:tcPr>
          <w:p w14:paraId="3C61935E" w14:textId="1EB6EF0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34,894</w:t>
            </w:r>
          </w:p>
        </w:tc>
      </w:tr>
      <w:tr w:rsidR="00D20BCB" w:rsidRPr="001B1818" w14:paraId="1D6D9014"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045F45B" w14:textId="6BCDF528"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Cohuna District Hospital</w:t>
            </w:r>
          </w:p>
        </w:tc>
        <w:tc>
          <w:tcPr>
            <w:tcW w:w="1187" w:type="dxa"/>
            <w:tcBorders>
              <w:top w:val="nil"/>
              <w:left w:val="nil"/>
              <w:bottom w:val="single" w:sz="4" w:space="0" w:color="auto"/>
              <w:right w:val="single" w:sz="4" w:space="0" w:color="auto"/>
            </w:tcBorders>
            <w:shd w:val="clear" w:color="auto" w:fill="auto"/>
            <w:noWrap/>
            <w:vAlign w:val="center"/>
          </w:tcPr>
          <w:p w14:paraId="66BC0326" w14:textId="3DBEBF0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7,965</w:t>
            </w:r>
          </w:p>
        </w:tc>
        <w:tc>
          <w:tcPr>
            <w:tcW w:w="1188" w:type="dxa"/>
            <w:tcBorders>
              <w:top w:val="nil"/>
              <w:left w:val="nil"/>
              <w:bottom w:val="single" w:sz="4" w:space="0" w:color="auto"/>
              <w:right w:val="single" w:sz="4" w:space="0" w:color="auto"/>
            </w:tcBorders>
            <w:shd w:val="clear" w:color="auto" w:fill="auto"/>
            <w:noWrap/>
            <w:vAlign w:val="center"/>
          </w:tcPr>
          <w:p w14:paraId="55D1BC91" w14:textId="6B58D51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628</w:t>
            </w:r>
          </w:p>
        </w:tc>
        <w:tc>
          <w:tcPr>
            <w:tcW w:w="1188" w:type="dxa"/>
            <w:tcBorders>
              <w:top w:val="nil"/>
              <w:left w:val="nil"/>
              <w:bottom w:val="single" w:sz="4" w:space="0" w:color="auto"/>
              <w:right w:val="single" w:sz="4" w:space="0" w:color="auto"/>
            </w:tcBorders>
            <w:shd w:val="clear" w:color="auto" w:fill="auto"/>
            <w:noWrap/>
            <w:vAlign w:val="center"/>
          </w:tcPr>
          <w:p w14:paraId="6A3BF8DD" w14:textId="51ECFB2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9C72F99" w14:textId="1E3A35D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0979B6FC" w14:textId="50EC6AF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8,593</w:t>
            </w:r>
          </w:p>
        </w:tc>
      </w:tr>
      <w:tr w:rsidR="00D20BCB" w:rsidRPr="001B1818" w14:paraId="33DFABF9"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F3D2164" w14:textId="1C48A4ED"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Corryong Health</w:t>
            </w:r>
          </w:p>
        </w:tc>
        <w:tc>
          <w:tcPr>
            <w:tcW w:w="1187" w:type="dxa"/>
            <w:tcBorders>
              <w:top w:val="nil"/>
              <w:left w:val="nil"/>
              <w:bottom w:val="single" w:sz="4" w:space="0" w:color="auto"/>
              <w:right w:val="single" w:sz="4" w:space="0" w:color="auto"/>
            </w:tcBorders>
            <w:shd w:val="clear" w:color="auto" w:fill="auto"/>
            <w:noWrap/>
            <w:vAlign w:val="center"/>
          </w:tcPr>
          <w:p w14:paraId="3736AFCD" w14:textId="56BF6EA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6,255</w:t>
            </w:r>
          </w:p>
        </w:tc>
        <w:tc>
          <w:tcPr>
            <w:tcW w:w="1188" w:type="dxa"/>
            <w:tcBorders>
              <w:top w:val="nil"/>
              <w:left w:val="nil"/>
              <w:bottom w:val="single" w:sz="4" w:space="0" w:color="auto"/>
              <w:right w:val="single" w:sz="4" w:space="0" w:color="auto"/>
            </w:tcBorders>
            <w:shd w:val="clear" w:color="auto" w:fill="auto"/>
            <w:noWrap/>
            <w:vAlign w:val="center"/>
          </w:tcPr>
          <w:p w14:paraId="48032756" w14:textId="7DBEEC4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919</w:t>
            </w:r>
          </w:p>
        </w:tc>
        <w:tc>
          <w:tcPr>
            <w:tcW w:w="1188" w:type="dxa"/>
            <w:tcBorders>
              <w:top w:val="nil"/>
              <w:left w:val="nil"/>
              <w:bottom w:val="single" w:sz="4" w:space="0" w:color="auto"/>
              <w:right w:val="single" w:sz="4" w:space="0" w:color="auto"/>
            </w:tcBorders>
            <w:shd w:val="clear" w:color="auto" w:fill="auto"/>
            <w:noWrap/>
            <w:vAlign w:val="center"/>
          </w:tcPr>
          <w:p w14:paraId="3C08DC3E" w14:textId="2C3A744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AF613BC" w14:textId="4A128CD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137</w:t>
            </w:r>
          </w:p>
        </w:tc>
        <w:tc>
          <w:tcPr>
            <w:tcW w:w="1188" w:type="dxa"/>
            <w:tcBorders>
              <w:top w:val="nil"/>
              <w:left w:val="nil"/>
              <w:bottom w:val="single" w:sz="4" w:space="0" w:color="auto"/>
              <w:right w:val="single" w:sz="4" w:space="0" w:color="auto"/>
            </w:tcBorders>
            <w:shd w:val="clear" w:color="auto" w:fill="auto"/>
            <w:noWrap/>
            <w:vAlign w:val="center"/>
          </w:tcPr>
          <w:p w14:paraId="0D5FEBA4" w14:textId="095E522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7,311</w:t>
            </w:r>
          </w:p>
        </w:tc>
      </w:tr>
      <w:tr w:rsidR="00D20BCB" w:rsidRPr="001B1818" w14:paraId="0E5D7B7C"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6D54E8B" w14:textId="6B5668C1"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East Wimmera Health Service</w:t>
            </w:r>
          </w:p>
        </w:tc>
        <w:tc>
          <w:tcPr>
            <w:tcW w:w="1187" w:type="dxa"/>
            <w:tcBorders>
              <w:top w:val="nil"/>
              <w:left w:val="nil"/>
              <w:bottom w:val="single" w:sz="4" w:space="0" w:color="auto"/>
              <w:right w:val="single" w:sz="4" w:space="0" w:color="auto"/>
            </w:tcBorders>
            <w:shd w:val="clear" w:color="auto" w:fill="auto"/>
            <w:noWrap/>
            <w:vAlign w:val="center"/>
          </w:tcPr>
          <w:p w14:paraId="6032F13A" w14:textId="5B51D7C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18,988</w:t>
            </w:r>
          </w:p>
        </w:tc>
        <w:tc>
          <w:tcPr>
            <w:tcW w:w="1188" w:type="dxa"/>
            <w:tcBorders>
              <w:top w:val="nil"/>
              <w:left w:val="nil"/>
              <w:bottom w:val="single" w:sz="4" w:space="0" w:color="auto"/>
              <w:right w:val="single" w:sz="4" w:space="0" w:color="auto"/>
            </w:tcBorders>
            <w:shd w:val="clear" w:color="auto" w:fill="auto"/>
            <w:noWrap/>
            <w:vAlign w:val="center"/>
          </w:tcPr>
          <w:p w14:paraId="1D5D29E5" w14:textId="00E7D36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3,167</w:t>
            </w:r>
          </w:p>
        </w:tc>
        <w:tc>
          <w:tcPr>
            <w:tcW w:w="1188" w:type="dxa"/>
            <w:tcBorders>
              <w:top w:val="nil"/>
              <w:left w:val="nil"/>
              <w:bottom w:val="single" w:sz="4" w:space="0" w:color="auto"/>
              <w:right w:val="single" w:sz="4" w:space="0" w:color="auto"/>
            </w:tcBorders>
            <w:shd w:val="clear" w:color="auto" w:fill="auto"/>
            <w:noWrap/>
            <w:vAlign w:val="center"/>
          </w:tcPr>
          <w:p w14:paraId="1A1CF848" w14:textId="01F9221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646D9D93" w14:textId="4FF5FBB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688</w:t>
            </w:r>
          </w:p>
        </w:tc>
        <w:tc>
          <w:tcPr>
            <w:tcW w:w="1188" w:type="dxa"/>
            <w:tcBorders>
              <w:top w:val="nil"/>
              <w:left w:val="nil"/>
              <w:bottom w:val="single" w:sz="4" w:space="0" w:color="auto"/>
              <w:right w:val="single" w:sz="4" w:space="0" w:color="auto"/>
            </w:tcBorders>
            <w:shd w:val="clear" w:color="auto" w:fill="auto"/>
            <w:noWrap/>
            <w:vAlign w:val="center"/>
          </w:tcPr>
          <w:p w14:paraId="5C42EBD0" w14:textId="72516BF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22,844</w:t>
            </w:r>
          </w:p>
        </w:tc>
      </w:tr>
      <w:tr w:rsidR="00D20BCB" w:rsidRPr="001B1818" w14:paraId="5AF13F2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356ED42" w14:textId="15E8BF91"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Great Ocean Road Health</w:t>
            </w:r>
          </w:p>
        </w:tc>
        <w:tc>
          <w:tcPr>
            <w:tcW w:w="1187" w:type="dxa"/>
            <w:tcBorders>
              <w:top w:val="nil"/>
              <w:left w:val="nil"/>
              <w:bottom w:val="single" w:sz="4" w:space="0" w:color="auto"/>
              <w:right w:val="single" w:sz="4" w:space="0" w:color="auto"/>
            </w:tcBorders>
            <w:shd w:val="clear" w:color="auto" w:fill="auto"/>
            <w:noWrap/>
            <w:vAlign w:val="center"/>
          </w:tcPr>
          <w:p w14:paraId="28D8D312" w14:textId="1B98832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8,057</w:t>
            </w:r>
          </w:p>
        </w:tc>
        <w:tc>
          <w:tcPr>
            <w:tcW w:w="1188" w:type="dxa"/>
            <w:tcBorders>
              <w:top w:val="nil"/>
              <w:left w:val="nil"/>
              <w:bottom w:val="single" w:sz="4" w:space="0" w:color="auto"/>
              <w:right w:val="single" w:sz="4" w:space="0" w:color="auto"/>
            </w:tcBorders>
            <w:shd w:val="clear" w:color="auto" w:fill="auto"/>
            <w:noWrap/>
            <w:vAlign w:val="center"/>
          </w:tcPr>
          <w:p w14:paraId="21262811" w14:textId="1098061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1,265</w:t>
            </w:r>
          </w:p>
        </w:tc>
        <w:tc>
          <w:tcPr>
            <w:tcW w:w="1188" w:type="dxa"/>
            <w:tcBorders>
              <w:top w:val="nil"/>
              <w:left w:val="nil"/>
              <w:bottom w:val="single" w:sz="4" w:space="0" w:color="auto"/>
              <w:right w:val="single" w:sz="4" w:space="0" w:color="auto"/>
            </w:tcBorders>
            <w:shd w:val="clear" w:color="auto" w:fill="auto"/>
            <w:noWrap/>
            <w:vAlign w:val="center"/>
          </w:tcPr>
          <w:p w14:paraId="4FDBD570" w14:textId="269A660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F980B8B" w14:textId="3AF832E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220</w:t>
            </w:r>
          </w:p>
        </w:tc>
        <w:tc>
          <w:tcPr>
            <w:tcW w:w="1188" w:type="dxa"/>
            <w:tcBorders>
              <w:top w:val="nil"/>
              <w:left w:val="nil"/>
              <w:bottom w:val="single" w:sz="4" w:space="0" w:color="auto"/>
              <w:right w:val="single" w:sz="4" w:space="0" w:color="auto"/>
            </w:tcBorders>
            <w:shd w:val="clear" w:color="auto" w:fill="auto"/>
            <w:noWrap/>
            <w:vAlign w:val="center"/>
          </w:tcPr>
          <w:p w14:paraId="46FFB5E0" w14:textId="6A74BB8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9,542</w:t>
            </w:r>
          </w:p>
        </w:tc>
      </w:tr>
      <w:tr w:rsidR="00D20BCB" w:rsidRPr="001B1818" w14:paraId="629D5B33"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4114AEE" w14:textId="503E95D9"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Heathcote Health</w:t>
            </w:r>
          </w:p>
        </w:tc>
        <w:tc>
          <w:tcPr>
            <w:tcW w:w="1187" w:type="dxa"/>
            <w:tcBorders>
              <w:top w:val="nil"/>
              <w:left w:val="nil"/>
              <w:bottom w:val="single" w:sz="4" w:space="0" w:color="auto"/>
              <w:right w:val="single" w:sz="4" w:space="0" w:color="auto"/>
            </w:tcBorders>
            <w:shd w:val="clear" w:color="auto" w:fill="auto"/>
            <w:noWrap/>
            <w:vAlign w:val="center"/>
          </w:tcPr>
          <w:p w14:paraId="56748565" w14:textId="159D27F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4,387</w:t>
            </w:r>
          </w:p>
        </w:tc>
        <w:tc>
          <w:tcPr>
            <w:tcW w:w="1188" w:type="dxa"/>
            <w:tcBorders>
              <w:top w:val="nil"/>
              <w:left w:val="nil"/>
              <w:bottom w:val="single" w:sz="4" w:space="0" w:color="auto"/>
              <w:right w:val="single" w:sz="4" w:space="0" w:color="auto"/>
            </w:tcBorders>
            <w:shd w:val="clear" w:color="auto" w:fill="auto"/>
            <w:noWrap/>
            <w:vAlign w:val="center"/>
          </w:tcPr>
          <w:p w14:paraId="4F2E5420" w14:textId="725215E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581</w:t>
            </w:r>
          </w:p>
        </w:tc>
        <w:tc>
          <w:tcPr>
            <w:tcW w:w="1188" w:type="dxa"/>
            <w:tcBorders>
              <w:top w:val="nil"/>
              <w:left w:val="nil"/>
              <w:bottom w:val="single" w:sz="4" w:space="0" w:color="auto"/>
              <w:right w:val="single" w:sz="4" w:space="0" w:color="auto"/>
            </w:tcBorders>
            <w:shd w:val="clear" w:color="auto" w:fill="auto"/>
            <w:noWrap/>
            <w:vAlign w:val="center"/>
          </w:tcPr>
          <w:p w14:paraId="3F5E20B3" w14:textId="756B978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9193B09" w14:textId="01E3DB4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143</w:t>
            </w:r>
          </w:p>
        </w:tc>
        <w:tc>
          <w:tcPr>
            <w:tcW w:w="1188" w:type="dxa"/>
            <w:tcBorders>
              <w:top w:val="nil"/>
              <w:left w:val="nil"/>
              <w:bottom w:val="single" w:sz="4" w:space="0" w:color="auto"/>
              <w:right w:val="single" w:sz="4" w:space="0" w:color="auto"/>
            </w:tcBorders>
            <w:shd w:val="clear" w:color="auto" w:fill="auto"/>
            <w:noWrap/>
            <w:vAlign w:val="center"/>
          </w:tcPr>
          <w:p w14:paraId="77FA9119" w14:textId="09868C6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5,110</w:t>
            </w:r>
          </w:p>
        </w:tc>
      </w:tr>
      <w:tr w:rsidR="00D20BCB" w:rsidRPr="001B1818" w14:paraId="7F2FA45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9C09BC1" w14:textId="47AC3FD6"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Hesse Rural Health Service</w:t>
            </w:r>
          </w:p>
        </w:tc>
        <w:tc>
          <w:tcPr>
            <w:tcW w:w="1187" w:type="dxa"/>
            <w:tcBorders>
              <w:top w:val="nil"/>
              <w:left w:val="nil"/>
              <w:bottom w:val="single" w:sz="4" w:space="0" w:color="auto"/>
              <w:right w:val="single" w:sz="4" w:space="0" w:color="auto"/>
            </w:tcBorders>
            <w:shd w:val="clear" w:color="auto" w:fill="auto"/>
            <w:noWrap/>
            <w:vAlign w:val="center"/>
          </w:tcPr>
          <w:p w14:paraId="7D2407FC" w14:textId="1659445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2,904</w:t>
            </w:r>
          </w:p>
        </w:tc>
        <w:tc>
          <w:tcPr>
            <w:tcW w:w="1188" w:type="dxa"/>
            <w:tcBorders>
              <w:top w:val="nil"/>
              <w:left w:val="nil"/>
              <w:bottom w:val="single" w:sz="4" w:space="0" w:color="auto"/>
              <w:right w:val="single" w:sz="4" w:space="0" w:color="auto"/>
            </w:tcBorders>
            <w:shd w:val="clear" w:color="auto" w:fill="auto"/>
            <w:noWrap/>
            <w:vAlign w:val="center"/>
          </w:tcPr>
          <w:p w14:paraId="6A535CAF" w14:textId="7534FF2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864</w:t>
            </w:r>
          </w:p>
        </w:tc>
        <w:tc>
          <w:tcPr>
            <w:tcW w:w="1188" w:type="dxa"/>
            <w:tcBorders>
              <w:top w:val="nil"/>
              <w:left w:val="nil"/>
              <w:bottom w:val="single" w:sz="4" w:space="0" w:color="auto"/>
              <w:right w:val="single" w:sz="4" w:space="0" w:color="auto"/>
            </w:tcBorders>
            <w:shd w:val="clear" w:color="auto" w:fill="auto"/>
            <w:noWrap/>
            <w:vAlign w:val="center"/>
          </w:tcPr>
          <w:p w14:paraId="1B179572" w14:textId="7AE420E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2CCF128" w14:textId="0322902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645</w:t>
            </w:r>
          </w:p>
        </w:tc>
        <w:tc>
          <w:tcPr>
            <w:tcW w:w="1188" w:type="dxa"/>
            <w:tcBorders>
              <w:top w:val="nil"/>
              <w:left w:val="nil"/>
              <w:bottom w:val="single" w:sz="4" w:space="0" w:color="auto"/>
              <w:right w:val="single" w:sz="4" w:space="0" w:color="auto"/>
            </w:tcBorders>
            <w:shd w:val="clear" w:color="auto" w:fill="auto"/>
            <w:noWrap/>
            <w:vAlign w:val="center"/>
          </w:tcPr>
          <w:p w14:paraId="3B4C74F5" w14:textId="1DD7250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4,413</w:t>
            </w:r>
          </w:p>
        </w:tc>
      </w:tr>
      <w:tr w:rsidR="00D20BCB" w:rsidRPr="001B1818" w14:paraId="0342FFC0"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C13097" w14:textId="510437FB"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Heywood Rural Health</w:t>
            </w:r>
          </w:p>
        </w:tc>
        <w:tc>
          <w:tcPr>
            <w:tcW w:w="1187" w:type="dxa"/>
            <w:tcBorders>
              <w:top w:val="nil"/>
              <w:left w:val="nil"/>
              <w:bottom w:val="single" w:sz="4" w:space="0" w:color="auto"/>
              <w:right w:val="single" w:sz="4" w:space="0" w:color="auto"/>
            </w:tcBorders>
            <w:shd w:val="clear" w:color="auto" w:fill="auto"/>
            <w:noWrap/>
            <w:vAlign w:val="center"/>
          </w:tcPr>
          <w:p w14:paraId="4B7202AC" w14:textId="3DD44C6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4,653</w:t>
            </w:r>
          </w:p>
        </w:tc>
        <w:tc>
          <w:tcPr>
            <w:tcW w:w="1188" w:type="dxa"/>
            <w:tcBorders>
              <w:top w:val="nil"/>
              <w:left w:val="nil"/>
              <w:bottom w:val="single" w:sz="4" w:space="0" w:color="auto"/>
              <w:right w:val="single" w:sz="4" w:space="0" w:color="auto"/>
            </w:tcBorders>
            <w:shd w:val="clear" w:color="auto" w:fill="auto"/>
            <w:noWrap/>
            <w:vAlign w:val="center"/>
          </w:tcPr>
          <w:p w14:paraId="6FDD56F3" w14:textId="0726276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550</w:t>
            </w:r>
          </w:p>
        </w:tc>
        <w:tc>
          <w:tcPr>
            <w:tcW w:w="1188" w:type="dxa"/>
            <w:tcBorders>
              <w:top w:val="nil"/>
              <w:left w:val="nil"/>
              <w:bottom w:val="single" w:sz="4" w:space="0" w:color="auto"/>
              <w:right w:val="single" w:sz="4" w:space="0" w:color="auto"/>
            </w:tcBorders>
            <w:shd w:val="clear" w:color="auto" w:fill="auto"/>
            <w:noWrap/>
            <w:vAlign w:val="center"/>
          </w:tcPr>
          <w:p w14:paraId="195D99A6" w14:textId="61F94F0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6DC220A" w14:textId="6E07832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6129DF8" w14:textId="47A6289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5,203</w:t>
            </w:r>
          </w:p>
        </w:tc>
      </w:tr>
      <w:tr w:rsidR="00D20BCB" w:rsidRPr="001B1818" w14:paraId="660961D3"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C5A1542" w14:textId="0CF404C7"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Inglewood And Districts Health Service</w:t>
            </w:r>
          </w:p>
        </w:tc>
        <w:tc>
          <w:tcPr>
            <w:tcW w:w="1187" w:type="dxa"/>
            <w:tcBorders>
              <w:top w:val="nil"/>
              <w:left w:val="nil"/>
              <w:bottom w:val="single" w:sz="4" w:space="0" w:color="auto"/>
              <w:right w:val="single" w:sz="4" w:space="0" w:color="auto"/>
            </w:tcBorders>
            <w:shd w:val="clear" w:color="auto" w:fill="auto"/>
            <w:noWrap/>
            <w:vAlign w:val="center"/>
          </w:tcPr>
          <w:p w14:paraId="66EE5AC5" w14:textId="1A4FD07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3,614</w:t>
            </w:r>
          </w:p>
        </w:tc>
        <w:tc>
          <w:tcPr>
            <w:tcW w:w="1188" w:type="dxa"/>
            <w:tcBorders>
              <w:top w:val="nil"/>
              <w:left w:val="nil"/>
              <w:bottom w:val="single" w:sz="4" w:space="0" w:color="auto"/>
              <w:right w:val="single" w:sz="4" w:space="0" w:color="auto"/>
            </w:tcBorders>
            <w:shd w:val="clear" w:color="auto" w:fill="auto"/>
            <w:noWrap/>
            <w:vAlign w:val="center"/>
          </w:tcPr>
          <w:p w14:paraId="611D2795" w14:textId="19CD600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718</w:t>
            </w:r>
          </w:p>
        </w:tc>
        <w:tc>
          <w:tcPr>
            <w:tcW w:w="1188" w:type="dxa"/>
            <w:tcBorders>
              <w:top w:val="nil"/>
              <w:left w:val="nil"/>
              <w:bottom w:val="single" w:sz="4" w:space="0" w:color="auto"/>
              <w:right w:val="single" w:sz="4" w:space="0" w:color="auto"/>
            </w:tcBorders>
            <w:shd w:val="clear" w:color="auto" w:fill="auto"/>
            <w:noWrap/>
            <w:vAlign w:val="center"/>
          </w:tcPr>
          <w:p w14:paraId="36846E2C" w14:textId="17D3244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1836F2B" w14:textId="58A6AC7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606</w:t>
            </w:r>
          </w:p>
        </w:tc>
        <w:tc>
          <w:tcPr>
            <w:tcW w:w="1188" w:type="dxa"/>
            <w:tcBorders>
              <w:top w:val="nil"/>
              <w:left w:val="nil"/>
              <w:bottom w:val="single" w:sz="4" w:space="0" w:color="auto"/>
              <w:right w:val="single" w:sz="4" w:space="0" w:color="auto"/>
            </w:tcBorders>
            <w:shd w:val="clear" w:color="auto" w:fill="auto"/>
            <w:noWrap/>
            <w:vAlign w:val="center"/>
          </w:tcPr>
          <w:p w14:paraId="7A4C8EA6" w14:textId="01E2425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4,938</w:t>
            </w:r>
          </w:p>
        </w:tc>
      </w:tr>
      <w:tr w:rsidR="00D20BCB" w:rsidRPr="001B1818" w14:paraId="2D8C9EB9"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0FACEAC" w14:textId="2F60B675"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Kerang District Health</w:t>
            </w:r>
          </w:p>
        </w:tc>
        <w:tc>
          <w:tcPr>
            <w:tcW w:w="1187" w:type="dxa"/>
            <w:tcBorders>
              <w:top w:val="nil"/>
              <w:left w:val="nil"/>
              <w:bottom w:val="single" w:sz="4" w:space="0" w:color="auto"/>
              <w:right w:val="single" w:sz="4" w:space="0" w:color="auto"/>
            </w:tcBorders>
            <w:shd w:val="clear" w:color="auto" w:fill="auto"/>
            <w:noWrap/>
            <w:vAlign w:val="center"/>
          </w:tcPr>
          <w:p w14:paraId="00D748FF" w14:textId="5A80E73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8,083</w:t>
            </w:r>
          </w:p>
        </w:tc>
        <w:tc>
          <w:tcPr>
            <w:tcW w:w="1188" w:type="dxa"/>
            <w:tcBorders>
              <w:top w:val="nil"/>
              <w:left w:val="nil"/>
              <w:bottom w:val="single" w:sz="4" w:space="0" w:color="auto"/>
              <w:right w:val="single" w:sz="4" w:space="0" w:color="auto"/>
            </w:tcBorders>
            <w:shd w:val="clear" w:color="auto" w:fill="auto"/>
            <w:noWrap/>
            <w:vAlign w:val="center"/>
          </w:tcPr>
          <w:p w14:paraId="5E180E11" w14:textId="127F049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1,228</w:t>
            </w:r>
          </w:p>
        </w:tc>
        <w:tc>
          <w:tcPr>
            <w:tcW w:w="1188" w:type="dxa"/>
            <w:tcBorders>
              <w:top w:val="nil"/>
              <w:left w:val="nil"/>
              <w:bottom w:val="single" w:sz="4" w:space="0" w:color="auto"/>
              <w:right w:val="single" w:sz="4" w:space="0" w:color="auto"/>
            </w:tcBorders>
            <w:shd w:val="clear" w:color="auto" w:fill="auto"/>
            <w:noWrap/>
            <w:vAlign w:val="center"/>
          </w:tcPr>
          <w:p w14:paraId="5BE07B31" w14:textId="11AA298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4DE2E403" w14:textId="4787D0E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4521F6F" w14:textId="4FA1E73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9,311</w:t>
            </w:r>
          </w:p>
        </w:tc>
      </w:tr>
      <w:tr w:rsidR="00D20BCB" w:rsidRPr="001B1818" w14:paraId="6242A659"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6B1D7EE" w14:textId="66DAFF6D"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Kooweerup Regional Health Service</w:t>
            </w:r>
          </w:p>
        </w:tc>
        <w:tc>
          <w:tcPr>
            <w:tcW w:w="1187" w:type="dxa"/>
            <w:tcBorders>
              <w:top w:val="nil"/>
              <w:left w:val="nil"/>
              <w:bottom w:val="single" w:sz="4" w:space="0" w:color="auto"/>
              <w:right w:val="single" w:sz="4" w:space="0" w:color="auto"/>
            </w:tcBorders>
            <w:shd w:val="clear" w:color="auto" w:fill="auto"/>
            <w:noWrap/>
            <w:vAlign w:val="center"/>
          </w:tcPr>
          <w:p w14:paraId="6FB58C31" w14:textId="7C87B19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6,194</w:t>
            </w:r>
          </w:p>
        </w:tc>
        <w:tc>
          <w:tcPr>
            <w:tcW w:w="1188" w:type="dxa"/>
            <w:tcBorders>
              <w:top w:val="nil"/>
              <w:left w:val="nil"/>
              <w:bottom w:val="single" w:sz="4" w:space="0" w:color="auto"/>
              <w:right w:val="single" w:sz="4" w:space="0" w:color="auto"/>
            </w:tcBorders>
            <w:shd w:val="clear" w:color="auto" w:fill="auto"/>
            <w:noWrap/>
            <w:vAlign w:val="center"/>
          </w:tcPr>
          <w:p w14:paraId="22D01FA0" w14:textId="57BE252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1,021</w:t>
            </w:r>
          </w:p>
        </w:tc>
        <w:tc>
          <w:tcPr>
            <w:tcW w:w="1188" w:type="dxa"/>
            <w:tcBorders>
              <w:top w:val="nil"/>
              <w:left w:val="nil"/>
              <w:bottom w:val="single" w:sz="4" w:space="0" w:color="auto"/>
              <w:right w:val="single" w:sz="4" w:space="0" w:color="auto"/>
            </w:tcBorders>
            <w:shd w:val="clear" w:color="auto" w:fill="auto"/>
            <w:noWrap/>
            <w:vAlign w:val="center"/>
          </w:tcPr>
          <w:p w14:paraId="2559FF4A" w14:textId="7D6B861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08A37C46" w14:textId="310F5CF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02E33A5D" w14:textId="1188802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7,215</w:t>
            </w:r>
          </w:p>
        </w:tc>
      </w:tr>
      <w:tr w:rsidR="00D20BCB" w:rsidRPr="001B1818" w14:paraId="554B897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1F496C0" w14:textId="5F92131B"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Mallee Track Health &amp; Community Service</w:t>
            </w:r>
          </w:p>
        </w:tc>
        <w:tc>
          <w:tcPr>
            <w:tcW w:w="1187" w:type="dxa"/>
            <w:tcBorders>
              <w:top w:val="nil"/>
              <w:left w:val="nil"/>
              <w:bottom w:val="single" w:sz="4" w:space="0" w:color="auto"/>
              <w:right w:val="single" w:sz="4" w:space="0" w:color="auto"/>
            </w:tcBorders>
            <w:shd w:val="clear" w:color="auto" w:fill="auto"/>
            <w:noWrap/>
            <w:vAlign w:val="center"/>
          </w:tcPr>
          <w:p w14:paraId="0F481C3E" w14:textId="03E18CB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6,504</w:t>
            </w:r>
          </w:p>
        </w:tc>
        <w:tc>
          <w:tcPr>
            <w:tcW w:w="1188" w:type="dxa"/>
            <w:tcBorders>
              <w:top w:val="nil"/>
              <w:left w:val="nil"/>
              <w:bottom w:val="single" w:sz="4" w:space="0" w:color="auto"/>
              <w:right w:val="single" w:sz="4" w:space="0" w:color="auto"/>
            </w:tcBorders>
            <w:shd w:val="clear" w:color="auto" w:fill="auto"/>
            <w:noWrap/>
            <w:vAlign w:val="center"/>
          </w:tcPr>
          <w:p w14:paraId="5C703DDB" w14:textId="1C4085F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1,852</w:t>
            </w:r>
          </w:p>
        </w:tc>
        <w:tc>
          <w:tcPr>
            <w:tcW w:w="1188" w:type="dxa"/>
            <w:tcBorders>
              <w:top w:val="nil"/>
              <w:left w:val="nil"/>
              <w:bottom w:val="single" w:sz="4" w:space="0" w:color="auto"/>
              <w:right w:val="single" w:sz="4" w:space="0" w:color="auto"/>
            </w:tcBorders>
            <w:shd w:val="clear" w:color="auto" w:fill="auto"/>
            <w:noWrap/>
            <w:vAlign w:val="center"/>
          </w:tcPr>
          <w:p w14:paraId="5901D166" w14:textId="548458A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5CB23E7" w14:textId="2A3DF7F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4D2D1355" w14:textId="0121DBC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8,356</w:t>
            </w:r>
          </w:p>
        </w:tc>
      </w:tr>
      <w:tr w:rsidR="00D20BCB" w:rsidRPr="001B1818" w14:paraId="018A526E"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DE61936" w14:textId="11E64C80"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Mansfield District Hospital</w:t>
            </w:r>
          </w:p>
        </w:tc>
        <w:tc>
          <w:tcPr>
            <w:tcW w:w="1187" w:type="dxa"/>
            <w:tcBorders>
              <w:top w:val="nil"/>
              <w:left w:val="nil"/>
              <w:bottom w:val="single" w:sz="4" w:space="0" w:color="auto"/>
              <w:right w:val="single" w:sz="4" w:space="0" w:color="auto"/>
            </w:tcBorders>
            <w:shd w:val="clear" w:color="auto" w:fill="auto"/>
            <w:noWrap/>
            <w:vAlign w:val="center"/>
          </w:tcPr>
          <w:p w14:paraId="0F620B2E" w14:textId="79587EB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13,354</w:t>
            </w:r>
          </w:p>
        </w:tc>
        <w:tc>
          <w:tcPr>
            <w:tcW w:w="1188" w:type="dxa"/>
            <w:tcBorders>
              <w:top w:val="nil"/>
              <w:left w:val="nil"/>
              <w:bottom w:val="single" w:sz="4" w:space="0" w:color="auto"/>
              <w:right w:val="single" w:sz="4" w:space="0" w:color="auto"/>
            </w:tcBorders>
            <w:shd w:val="clear" w:color="auto" w:fill="auto"/>
            <w:noWrap/>
            <w:vAlign w:val="center"/>
          </w:tcPr>
          <w:p w14:paraId="3F53A007" w14:textId="0BE54E0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1,275</w:t>
            </w:r>
          </w:p>
        </w:tc>
        <w:tc>
          <w:tcPr>
            <w:tcW w:w="1188" w:type="dxa"/>
            <w:tcBorders>
              <w:top w:val="nil"/>
              <w:left w:val="nil"/>
              <w:bottom w:val="single" w:sz="4" w:space="0" w:color="auto"/>
              <w:right w:val="single" w:sz="4" w:space="0" w:color="auto"/>
            </w:tcBorders>
            <w:shd w:val="clear" w:color="auto" w:fill="auto"/>
            <w:noWrap/>
            <w:vAlign w:val="center"/>
          </w:tcPr>
          <w:p w14:paraId="062F0EDA" w14:textId="7E7A779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565980A9" w14:textId="66221BF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446</w:t>
            </w:r>
          </w:p>
        </w:tc>
        <w:tc>
          <w:tcPr>
            <w:tcW w:w="1188" w:type="dxa"/>
            <w:tcBorders>
              <w:top w:val="nil"/>
              <w:left w:val="nil"/>
              <w:bottom w:val="single" w:sz="4" w:space="0" w:color="auto"/>
              <w:right w:val="single" w:sz="4" w:space="0" w:color="auto"/>
            </w:tcBorders>
            <w:shd w:val="clear" w:color="auto" w:fill="auto"/>
            <w:noWrap/>
            <w:vAlign w:val="center"/>
          </w:tcPr>
          <w:p w14:paraId="42A9A777" w14:textId="0CDD57E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15,076</w:t>
            </w:r>
          </w:p>
        </w:tc>
      </w:tr>
      <w:tr w:rsidR="00D20BCB" w:rsidRPr="001B1818" w14:paraId="66A133EA"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2890367" w14:textId="7BBEAA6F"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Moyne Health Services</w:t>
            </w:r>
          </w:p>
        </w:tc>
        <w:tc>
          <w:tcPr>
            <w:tcW w:w="1187" w:type="dxa"/>
            <w:tcBorders>
              <w:top w:val="nil"/>
              <w:left w:val="nil"/>
              <w:bottom w:val="single" w:sz="4" w:space="0" w:color="auto"/>
              <w:right w:val="single" w:sz="4" w:space="0" w:color="auto"/>
            </w:tcBorders>
            <w:shd w:val="clear" w:color="auto" w:fill="auto"/>
            <w:noWrap/>
            <w:vAlign w:val="center"/>
          </w:tcPr>
          <w:p w14:paraId="4D545E29" w14:textId="1E1AB5B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6,484</w:t>
            </w:r>
          </w:p>
        </w:tc>
        <w:tc>
          <w:tcPr>
            <w:tcW w:w="1188" w:type="dxa"/>
            <w:tcBorders>
              <w:top w:val="nil"/>
              <w:left w:val="nil"/>
              <w:bottom w:val="single" w:sz="4" w:space="0" w:color="auto"/>
              <w:right w:val="single" w:sz="4" w:space="0" w:color="auto"/>
            </w:tcBorders>
            <w:shd w:val="clear" w:color="auto" w:fill="auto"/>
            <w:noWrap/>
            <w:vAlign w:val="center"/>
          </w:tcPr>
          <w:p w14:paraId="38AD24C6" w14:textId="63654B7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1,450</w:t>
            </w:r>
          </w:p>
        </w:tc>
        <w:tc>
          <w:tcPr>
            <w:tcW w:w="1188" w:type="dxa"/>
            <w:tcBorders>
              <w:top w:val="nil"/>
              <w:left w:val="nil"/>
              <w:bottom w:val="single" w:sz="4" w:space="0" w:color="auto"/>
              <w:right w:val="single" w:sz="4" w:space="0" w:color="auto"/>
            </w:tcBorders>
            <w:shd w:val="clear" w:color="auto" w:fill="auto"/>
            <w:noWrap/>
            <w:vAlign w:val="center"/>
          </w:tcPr>
          <w:p w14:paraId="656881DD" w14:textId="559B780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54AF57E" w14:textId="12047C6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w:t>
            </w:r>
          </w:p>
        </w:tc>
        <w:tc>
          <w:tcPr>
            <w:tcW w:w="1188" w:type="dxa"/>
            <w:tcBorders>
              <w:top w:val="nil"/>
              <w:left w:val="nil"/>
              <w:bottom w:val="single" w:sz="4" w:space="0" w:color="auto"/>
              <w:right w:val="single" w:sz="4" w:space="0" w:color="auto"/>
            </w:tcBorders>
            <w:shd w:val="clear" w:color="auto" w:fill="auto"/>
            <w:noWrap/>
            <w:vAlign w:val="center"/>
          </w:tcPr>
          <w:p w14:paraId="57B8C66D" w14:textId="7B92BD4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7,942</w:t>
            </w:r>
          </w:p>
        </w:tc>
      </w:tr>
      <w:tr w:rsidR="00D20BCB" w:rsidRPr="001B1818" w14:paraId="1B9BCC9A"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1517C90" w14:textId="6707E1F5"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N</w:t>
            </w:r>
            <w:r w:rsidR="00291905">
              <w:rPr>
                <w:rFonts w:cs="Arial"/>
                <w:color w:val="000000"/>
                <w:sz w:val="15"/>
                <w:szCs w:val="15"/>
              </w:rPr>
              <w:t>CN</w:t>
            </w:r>
            <w:r>
              <w:rPr>
                <w:rFonts w:cs="Arial"/>
                <w:color w:val="000000"/>
                <w:sz w:val="15"/>
                <w:szCs w:val="15"/>
              </w:rPr>
              <w:t xml:space="preserve"> Health</w:t>
            </w:r>
          </w:p>
        </w:tc>
        <w:tc>
          <w:tcPr>
            <w:tcW w:w="1187" w:type="dxa"/>
            <w:tcBorders>
              <w:top w:val="nil"/>
              <w:left w:val="nil"/>
              <w:bottom w:val="single" w:sz="4" w:space="0" w:color="auto"/>
              <w:right w:val="single" w:sz="4" w:space="0" w:color="auto"/>
            </w:tcBorders>
            <w:shd w:val="clear" w:color="auto" w:fill="auto"/>
            <w:noWrap/>
            <w:vAlign w:val="center"/>
          </w:tcPr>
          <w:p w14:paraId="3E247103" w14:textId="513CAAB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27,190</w:t>
            </w:r>
          </w:p>
        </w:tc>
        <w:tc>
          <w:tcPr>
            <w:tcW w:w="1188" w:type="dxa"/>
            <w:tcBorders>
              <w:top w:val="nil"/>
              <w:left w:val="nil"/>
              <w:bottom w:val="single" w:sz="4" w:space="0" w:color="auto"/>
              <w:right w:val="single" w:sz="4" w:space="0" w:color="auto"/>
            </w:tcBorders>
            <w:shd w:val="clear" w:color="auto" w:fill="auto"/>
            <w:noWrap/>
            <w:vAlign w:val="center"/>
          </w:tcPr>
          <w:p w14:paraId="17104B9F" w14:textId="0CD4E87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3,076</w:t>
            </w:r>
          </w:p>
        </w:tc>
        <w:tc>
          <w:tcPr>
            <w:tcW w:w="1188" w:type="dxa"/>
            <w:tcBorders>
              <w:top w:val="nil"/>
              <w:left w:val="nil"/>
              <w:bottom w:val="single" w:sz="4" w:space="0" w:color="auto"/>
              <w:right w:val="single" w:sz="4" w:space="0" w:color="auto"/>
            </w:tcBorders>
            <w:shd w:val="clear" w:color="auto" w:fill="auto"/>
            <w:noWrap/>
            <w:vAlign w:val="center"/>
          </w:tcPr>
          <w:p w14:paraId="6731C9D5" w14:textId="7E84A46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C18DD9F" w14:textId="59ADC10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433</w:t>
            </w:r>
          </w:p>
        </w:tc>
        <w:tc>
          <w:tcPr>
            <w:tcW w:w="1188" w:type="dxa"/>
            <w:tcBorders>
              <w:top w:val="nil"/>
              <w:left w:val="nil"/>
              <w:bottom w:val="single" w:sz="4" w:space="0" w:color="auto"/>
              <w:right w:val="single" w:sz="4" w:space="0" w:color="auto"/>
            </w:tcBorders>
            <w:shd w:val="clear" w:color="auto" w:fill="auto"/>
            <w:noWrap/>
            <w:vAlign w:val="center"/>
          </w:tcPr>
          <w:p w14:paraId="60FB1685" w14:textId="0D6C3D6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30,698</w:t>
            </w:r>
          </w:p>
        </w:tc>
      </w:tr>
      <w:tr w:rsidR="00D20BCB" w:rsidRPr="001B1818" w14:paraId="6321DE26"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304F315" w14:textId="2FBF0A43"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Omeo District Health</w:t>
            </w:r>
          </w:p>
        </w:tc>
        <w:tc>
          <w:tcPr>
            <w:tcW w:w="1187" w:type="dxa"/>
            <w:tcBorders>
              <w:top w:val="nil"/>
              <w:left w:val="nil"/>
              <w:bottom w:val="single" w:sz="4" w:space="0" w:color="auto"/>
              <w:right w:val="single" w:sz="4" w:space="0" w:color="auto"/>
            </w:tcBorders>
            <w:shd w:val="clear" w:color="auto" w:fill="auto"/>
            <w:noWrap/>
            <w:vAlign w:val="center"/>
          </w:tcPr>
          <w:p w14:paraId="2FEE3CE1" w14:textId="5421F57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4,319</w:t>
            </w:r>
          </w:p>
        </w:tc>
        <w:tc>
          <w:tcPr>
            <w:tcW w:w="1188" w:type="dxa"/>
            <w:tcBorders>
              <w:top w:val="nil"/>
              <w:left w:val="nil"/>
              <w:bottom w:val="single" w:sz="4" w:space="0" w:color="auto"/>
              <w:right w:val="single" w:sz="4" w:space="0" w:color="auto"/>
            </w:tcBorders>
            <w:shd w:val="clear" w:color="auto" w:fill="auto"/>
            <w:noWrap/>
            <w:vAlign w:val="center"/>
          </w:tcPr>
          <w:p w14:paraId="61A24BD1" w14:textId="5E716FB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436</w:t>
            </w:r>
          </w:p>
        </w:tc>
        <w:tc>
          <w:tcPr>
            <w:tcW w:w="1188" w:type="dxa"/>
            <w:tcBorders>
              <w:top w:val="nil"/>
              <w:left w:val="nil"/>
              <w:bottom w:val="single" w:sz="4" w:space="0" w:color="auto"/>
              <w:right w:val="single" w:sz="4" w:space="0" w:color="auto"/>
            </w:tcBorders>
            <w:shd w:val="clear" w:color="auto" w:fill="auto"/>
            <w:noWrap/>
            <w:vAlign w:val="center"/>
          </w:tcPr>
          <w:p w14:paraId="2A438717" w14:textId="457075F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BA241FD" w14:textId="15BB375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ACA6F70" w14:textId="0CC4BA6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4,754</w:t>
            </w:r>
          </w:p>
        </w:tc>
      </w:tr>
      <w:tr w:rsidR="00D20BCB" w:rsidRPr="001B1818" w14:paraId="4C29A45D"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5543611" w14:textId="13DAD41F"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Orbost Regional Health</w:t>
            </w:r>
          </w:p>
        </w:tc>
        <w:tc>
          <w:tcPr>
            <w:tcW w:w="1187" w:type="dxa"/>
            <w:tcBorders>
              <w:top w:val="nil"/>
              <w:left w:val="nil"/>
              <w:bottom w:val="single" w:sz="4" w:space="0" w:color="auto"/>
              <w:right w:val="single" w:sz="4" w:space="0" w:color="auto"/>
            </w:tcBorders>
            <w:shd w:val="clear" w:color="auto" w:fill="auto"/>
            <w:noWrap/>
            <w:vAlign w:val="center"/>
          </w:tcPr>
          <w:p w14:paraId="2AAAF0FC" w14:textId="588965E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8,105</w:t>
            </w:r>
          </w:p>
        </w:tc>
        <w:tc>
          <w:tcPr>
            <w:tcW w:w="1188" w:type="dxa"/>
            <w:tcBorders>
              <w:top w:val="nil"/>
              <w:left w:val="nil"/>
              <w:bottom w:val="single" w:sz="4" w:space="0" w:color="auto"/>
              <w:right w:val="single" w:sz="4" w:space="0" w:color="auto"/>
            </w:tcBorders>
            <w:shd w:val="clear" w:color="auto" w:fill="auto"/>
            <w:noWrap/>
            <w:vAlign w:val="center"/>
          </w:tcPr>
          <w:p w14:paraId="7AEBBFF8" w14:textId="655875C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717</w:t>
            </w:r>
          </w:p>
        </w:tc>
        <w:tc>
          <w:tcPr>
            <w:tcW w:w="1188" w:type="dxa"/>
            <w:tcBorders>
              <w:top w:val="nil"/>
              <w:left w:val="nil"/>
              <w:bottom w:val="single" w:sz="4" w:space="0" w:color="auto"/>
              <w:right w:val="single" w:sz="4" w:space="0" w:color="auto"/>
            </w:tcBorders>
            <w:shd w:val="clear" w:color="auto" w:fill="auto"/>
            <w:noWrap/>
            <w:vAlign w:val="center"/>
          </w:tcPr>
          <w:p w14:paraId="413097C9" w14:textId="1AB0554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003BDC41" w14:textId="0FD3AAB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395</w:t>
            </w:r>
          </w:p>
        </w:tc>
        <w:tc>
          <w:tcPr>
            <w:tcW w:w="1188" w:type="dxa"/>
            <w:tcBorders>
              <w:top w:val="nil"/>
              <w:left w:val="nil"/>
              <w:bottom w:val="single" w:sz="4" w:space="0" w:color="auto"/>
              <w:right w:val="single" w:sz="4" w:space="0" w:color="auto"/>
            </w:tcBorders>
            <w:shd w:val="clear" w:color="auto" w:fill="auto"/>
            <w:noWrap/>
            <w:vAlign w:val="center"/>
          </w:tcPr>
          <w:p w14:paraId="137D621D" w14:textId="52C0D0E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9,216</w:t>
            </w:r>
          </w:p>
        </w:tc>
      </w:tr>
      <w:tr w:rsidR="00D20BCB" w:rsidRPr="001B1818" w14:paraId="7FA43A8E"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49363F9" w14:textId="0012A1BC"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Robinvale District Health Services</w:t>
            </w:r>
          </w:p>
        </w:tc>
        <w:tc>
          <w:tcPr>
            <w:tcW w:w="1187" w:type="dxa"/>
            <w:tcBorders>
              <w:top w:val="nil"/>
              <w:left w:val="nil"/>
              <w:bottom w:val="single" w:sz="4" w:space="0" w:color="auto"/>
              <w:right w:val="single" w:sz="4" w:space="0" w:color="auto"/>
            </w:tcBorders>
            <w:shd w:val="clear" w:color="auto" w:fill="auto"/>
            <w:noWrap/>
            <w:vAlign w:val="center"/>
          </w:tcPr>
          <w:p w14:paraId="556F31DB" w14:textId="798C5EB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8,484</w:t>
            </w:r>
          </w:p>
        </w:tc>
        <w:tc>
          <w:tcPr>
            <w:tcW w:w="1188" w:type="dxa"/>
            <w:tcBorders>
              <w:top w:val="nil"/>
              <w:left w:val="nil"/>
              <w:bottom w:val="single" w:sz="4" w:space="0" w:color="auto"/>
              <w:right w:val="single" w:sz="4" w:space="0" w:color="auto"/>
            </w:tcBorders>
            <w:shd w:val="clear" w:color="auto" w:fill="auto"/>
            <w:noWrap/>
            <w:vAlign w:val="center"/>
          </w:tcPr>
          <w:p w14:paraId="25D875B4" w14:textId="4A10350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1,048</w:t>
            </w:r>
          </w:p>
        </w:tc>
        <w:tc>
          <w:tcPr>
            <w:tcW w:w="1188" w:type="dxa"/>
            <w:tcBorders>
              <w:top w:val="nil"/>
              <w:left w:val="nil"/>
              <w:bottom w:val="single" w:sz="4" w:space="0" w:color="auto"/>
              <w:right w:val="single" w:sz="4" w:space="0" w:color="auto"/>
            </w:tcBorders>
            <w:shd w:val="clear" w:color="auto" w:fill="auto"/>
            <w:noWrap/>
            <w:vAlign w:val="center"/>
          </w:tcPr>
          <w:p w14:paraId="7C283761" w14:textId="36D3A33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2DE17EE6" w14:textId="2763E96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263</w:t>
            </w:r>
          </w:p>
        </w:tc>
        <w:tc>
          <w:tcPr>
            <w:tcW w:w="1188" w:type="dxa"/>
            <w:tcBorders>
              <w:top w:val="nil"/>
              <w:left w:val="nil"/>
              <w:bottom w:val="single" w:sz="4" w:space="0" w:color="auto"/>
              <w:right w:val="single" w:sz="4" w:space="0" w:color="auto"/>
            </w:tcBorders>
            <w:shd w:val="clear" w:color="auto" w:fill="auto"/>
            <w:noWrap/>
            <w:vAlign w:val="center"/>
          </w:tcPr>
          <w:p w14:paraId="3ECDFE5E" w14:textId="2C0F49A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9,795</w:t>
            </w:r>
          </w:p>
        </w:tc>
      </w:tr>
      <w:tr w:rsidR="00D20BCB" w:rsidRPr="001B1818" w14:paraId="2DB42560"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A6754B1" w14:textId="6E83C3D8"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Rochester And Elmore District Health Service</w:t>
            </w:r>
          </w:p>
        </w:tc>
        <w:tc>
          <w:tcPr>
            <w:tcW w:w="1187" w:type="dxa"/>
            <w:tcBorders>
              <w:top w:val="nil"/>
              <w:left w:val="nil"/>
              <w:bottom w:val="single" w:sz="4" w:space="0" w:color="auto"/>
              <w:right w:val="single" w:sz="4" w:space="0" w:color="auto"/>
            </w:tcBorders>
            <w:shd w:val="clear" w:color="auto" w:fill="auto"/>
            <w:noWrap/>
            <w:vAlign w:val="center"/>
          </w:tcPr>
          <w:p w14:paraId="4928F4EC" w14:textId="3F995DE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6,178</w:t>
            </w:r>
          </w:p>
        </w:tc>
        <w:tc>
          <w:tcPr>
            <w:tcW w:w="1188" w:type="dxa"/>
            <w:tcBorders>
              <w:top w:val="nil"/>
              <w:left w:val="nil"/>
              <w:bottom w:val="single" w:sz="4" w:space="0" w:color="auto"/>
              <w:right w:val="single" w:sz="4" w:space="0" w:color="auto"/>
            </w:tcBorders>
            <w:shd w:val="clear" w:color="auto" w:fill="auto"/>
            <w:noWrap/>
            <w:vAlign w:val="center"/>
          </w:tcPr>
          <w:p w14:paraId="4348EDC8" w14:textId="7C5CCA8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1,184</w:t>
            </w:r>
          </w:p>
        </w:tc>
        <w:tc>
          <w:tcPr>
            <w:tcW w:w="1188" w:type="dxa"/>
            <w:tcBorders>
              <w:top w:val="nil"/>
              <w:left w:val="nil"/>
              <w:bottom w:val="single" w:sz="4" w:space="0" w:color="auto"/>
              <w:right w:val="single" w:sz="4" w:space="0" w:color="auto"/>
            </w:tcBorders>
            <w:shd w:val="clear" w:color="auto" w:fill="auto"/>
            <w:noWrap/>
            <w:vAlign w:val="center"/>
          </w:tcPr>
          <w:p w14:paraId="5FD6E8A5" w14:textId="5D5B43E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52A7FDB9" w14:textId="4DB8D188"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1BD7EBF" w14:textId="4C7EE89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7,362</w:t>
            </w:r>
          </w:p>
        </w:tc>
      </w:tr>
      <w:tr w:rsidR="00D20BCB" w:rsidRPr="001B1818" w14:paraId="69B1D2A8"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30AB25B" w14:textId="3E7BEFDF"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Rural Northwest Health</w:t>
            </w:r>
          </w:p>
        </w:tc>
        <w:tc>
          <w:tcPr>
            <w:tcW w:w="1187" w:type="dxa"/>
            <w:tcBorders>
              <w:top w:val="nil"/>
              <w:left w:val="nil"/>
              <w:bottom w:val="single" w:sz="4" w:space="0" w:color="auto"/>
              <w:right w:val="single" w:sz="4" w:space="0" w:color="auto"/>
            </w:tcBorders>
            <w:shd w:val="clear" w:color="auto" w:fill="auto"/>
            <w:noWrap/>
            <w:vAlign w:val="center"/>
          </w:tcPr>
          <w:p w14:paraId="7C694F21" w14:textId="3A4E66E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13,273</w:t>
            </w:r>
          </w:p>
        </w:tc>
        <w:tc>
          <w:tcPr>
            <w:tcW w:w="1188" w:type="dxa"/>
            <w:tcBorders>
              <w:top w:val="nil"/>
              <w:left w:val="nil"/>
              <w:bottom w:val="single" w:sz="4" w:space="0" w:color="auto"/>
              <w:right w:val="single" w:sz="4" w:space="0" w:color="auto"/>
            </w:tcBorders>
            <w:shd w:val="clear" w:color="auto" w:fill="auto"/>
            <w:noWrap/>
            <w:vAlign w:val="center"/>
          </w:tcPr>
          <w:p w14:paraId="6F0DB1C7" w14:textId="6BF10D6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2,079</w:t>
            </w:r>
          </w:p>
        </w:tc>
        <w:tc>
          <w:tcPr>
            <w:tcW w:w="1188" w:type="dxa"/>
            <w:tcBorders>
              <w:top w:val="nil"/>
              <w:left w:val="nil"/>
              <w:bottom w:val="single" w:sz="4" w:space="0" w:color="auto"/>
              <w:right w:val="single" w:sz="4" w:space="0" w:color="auto"/>
            </w:tcBorders>
            <w:shd w:val="clear" w:color="auto" w:fill="auto"/>
            <w:noWrap/>
            <w:vAlign w:val="center"/>
          </w:tcPr>
          <w:p w14:paraId="7B6A04D1" w14:textId="2B8F3E8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2D47CAED" w14:textId="022C9F5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652</w:t>
            </w:r>
          </w:p>
        </w:tc>
        <w:tc>
          <w:tcPr>
            <w:tcW w:w="1188" w:type="dxa"/>
            <w:tcBorders>
              <w:top w:val="nil"/>
              <w:left w:val="nil"/>
              <w:bottom w:val="single" w:sz="4" w:space="0" w:color="auto"/>
              <w:right w:val="single" w:sz="4" w:space="0" w:color="auto"/>
            </w:tcBorders>
            <w:shd w:val="clear" w:color="auto" w:fill="auto"/>
            <w:noWrap/>
            <w:vAlign w:val="center"/>
          </w:tcPr>
          <w:p w14:paraId="3640A976" w14:textId="64A826A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16,004</w:t>
            </w:r>
          </w:p>
        </w:tc>
      </w:tr>
      <w:tr w:rsidR="00D20BCB" w:rsidRPr="001B1818" w14:paraId="6C48AF03"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5EB591C" w14:textId="4277B9C9"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Seymour Health</w:t>
            </w:r>
          </w:p>
        </w:tc>
        <w:tc>
          <w:tcPr>
            <w:tcW w:w="1187" w:type="dxa"/>
            <w:tcBorders>
              <w:top w:val="nil"/>
              <w:left w:val="nil"/>
              <w:bottom w:val="single" w:sz="4" w:space="0" w:color="auto"/>
              <w:right w:val="single" w:sz="4" w:space="0" w:color="auto"/>
            </w:tcBorders>
            <w:shd w:val="clear" w:color="auto" w:fill="auto"/>
            <w:noWrap/>
            <w:vAlign w:val="center"/>
          </w:tcPr>
          <w:p w14:paraId="10C67E76" w14:textId="725AC32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16,674</w:t>
            </w:r>
          </w:p>
        </w:tc>
        <w:tc>
          <w:tcPr>
            <w:tcW w:w="1188" w:type="dxa"/>
            <w:tcBorders>
              <w:top w:val="nil"/>
              <w:left w:val="nil"/>
              <w:bottom w:val="single" w:sz="4" w:space="0" w:color="auto"/>
              <w:right w:val="single" w:sz="4" w:space="0" w:color="auto"/>
            </w:tcBorders>
            <w:shd w:val="clear" w:color="auto" w:fill="auto"/>
            <w:noWrap/>
            <w:vAlign w:val="center"/>
          </w:tcPr>
          <w:p w14:paraId="29EE2EF0" w14:textId="2DD20DE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1,646</w:t>
            </w:r>
          </w:p>
        </w:tc>
        <w:tc>
          <w:tcPr>
            <w:tcW w:w="1188" w:type="dxa"/>
            <w:tcBorders>
              <w:top w:val="nil"/>
              <w:left w:val="nil"/>
              <w:bottom w:val="single" w:sz="4" w:space="0" w:color="auto"/>
              <w:right w:val="single" w:sz="4" w:space="0" w:color="auto"/>
            </w:tcBorders>
            <w:shd w:val="clear" w:color="auto" w:fill="auto"/>
            <w:noWrap/>
            <w:vAlign w:val="center"/>
          </w:tcPr>
          <w:p w14:paraId="318B7E43" w14:textId="1F0B872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4F779858" w14:textId="46DB531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100</w:t>
            </w:r>
          </w:p>
        </w:tc>
        <w:tc>
          <w:tcPr>
            <w:tcW w:w="1188" w:type="dxa"/>
            <w:tcBorders>
              <w:top w:val="nil"/>
              <w:left w:val="nil"/>
              <w:bottom w:val="single" w:sz="4" w:space="0" w:color="auto"/>
              <w:right w:val="single" w:sz="4" w:space="0" w:color="auto"/>
            </w:tcBorders>
            <w:shd w:val="clear" w:color="auto" w:fill="auto"/>
            <w:noWrap/>
            <w:vAlign w:val="center"/>
          </w:tcPr>
          <w:p w14:paraId="3A1C572A" w14:textId="3A0A21A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18,420</w:t>
            </w:r>
          </w:p>
        </w:tc>
      </w:tr>
      <w:tr w:rsidR="00D20BCB" w:rsidRPr="001B1818" w14:paraId="738629E0"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B6EEE3E" w14:textId="412624E7"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South Gippsland Hospital</w:t>
            </w:r>
          </w:p>
        </w:tc>
        <w:tc>
          <w:tcPr>
            <w:tcW w:w="1187" w:type="dxa"/>
            <w:tcBorders>
              <w:top w:val="nil"/>
              <w:left w:val="nil"/>
              <w:bottom w:val="single" w:sz="4" w:space="0" w:color="auto"/>
              <w:right w:val="single" w:sz="4" w:space="0" w:color="auto"/>
            </w:tcBorders>
            <w:shd w:val="clear" w:color="auto" w:fill="auto"/>
            <w:noWrap/>
            <w:vAlign w:val="center"/>
          </w:tcPr>
          <w:p w14:paraId="29B68695" w14:textId="2F6DC79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8,824</w:t>
            </w:r>
          </w:p>
        </w:tc>
        <w:tc>
          <w:tcPr>
            <w:tcW w:w="1188" w:type="dxa"/>
            <w:tcBorders>
              <w:top w:val="nil"/>
              <w:left w:val="nil"/>
              <w:bottom w:val="single" w:sz="4" w:space="0" w:color="auto"/>
              <w:right w:val="single" w:sz="4" w:space="0" w:color="auto"/>
            </w:tcBorders>
            <w:shd w:val="clear" w:color="auto" w:fill="auto"/>
            <w:noWrap/>
            <w:vAlign w:val="center"/>
          </w:tcPr>
          <w:p w14:paraId="5A55D599" w14:textId="271F2D3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52</w:t>
            </w:r>
          </w:p>
        </w:tc>
        <w:tc>
          <w:tcPr>
            <w:tcW w:w="1188" w:type="dxa"/>
            <w:tcBorders>
              <w:top w:val="nil"/>
              <w:left w:val="nil"/>
              <w:bottom w:val="single" w:sz="4" w:space="0" w:color="auto"/>
              <w:right w:val="single" w:sz="4" w:space="0" w:color="auto"/>
            </w:tcBorders>
            <w:shd w:val="clear" w:color="auto" w:fill="auto"/>
            <w:noWrap/>
            <w:vAlign w:val="center"/>
          </w:tcPr>
          <w:p w14:paraId="29F035C3" w14:textId="59701BF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F4B31E2" w14:textId="29E2060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91</w:t>
            </w:r>
          </w:p>
        </w:tc>
        <w:tc>
          <w:tcPr>
            <w:tcW w:w="1188" w:type="dxa"/>
            <w:tcBorders>
              <w:top w:val="nil"/>
              <w:left w:val="nil"/>
              <w:bottom w:val="single" w:sz="4" w:space="0" w:color="auto"/>
              <w:right w:val="single" w:sz="4" w:space="0" w:color="auto"/>
            </w:tcBorders>
            <w:shd w:val="clear" w:color="auto" w:fill="auto"/>
            <w:noWrap/>
            <w:vAlign w:val="center"/>
          </w:tcPr>
          <w:p w14:paraId="02C5A636" w14:textId="18EE845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8,967</w:t>
            </w:r>
          </w:p>
        </w:tc>
      </w:tr>
      <w:tr w:rsidR="00D20BCB" w:rsidRPr="001B1818" w14:paraId="690F49B3"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D01626C" w14:textId="6D2E38EB"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Tallangatta Health Service</w:t>
            </w:r>
          </w:p>
        </w:tc>
        <w:tc>
          <w:tcPr>
            <w:tcW w:w="1187" w:type="dxa"/>
            <w:tcBorders>
              <w:top w:val="nil"/>
              <w:left w:val="nil"/>
              <w:bottom w:val="single" w:sz="4" w:space="0" w:color="auto"/>
              <w:right w:val="single" w:sz="4" w:space="0" w:color="auto"/>
            </w:tcBorders>
            <w:shd w:val="clear" w:color="auto" w:fill="auto"/>
            <w:noWrap/>
            <w:vAlign w:val="center"/>
          </w:tcPr>
          <w:p w14:paraId="3929B74E" w14:textId="41C6AAE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6,802</w:t>
            </w:r>
          </w:p>
        </w:tc>
        <w:tc>
          <w:tcPr>
            <w:tcW w:w="1188" w:type="dxa"/>
            <w:tcBorders>
              <w:top w:val="nil"/>
              <w:left w:val="nil"/>
              <w:bottom w:val="single" w:sz="4" w:space="0" w:color="auto"/>
              <w:right w:val="single" w:sz="4" w:space="0" w:color="auto"/>
            </w:tcBorders>
            <w:shd w:val="clear" w:color="auto" w:fill="auto"/>
            <w:noWrap/>
            <w:vAlign w:val="center"/>
          </w:tcPr>
          <w:p w14:paraId="1069FEBC" w14:textId="5449BB1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715</w:t>
            </w:r>
          </w:p>
        </w:tc>
        <w:tc>
          <w:tcPr>
            <w:tcW w:w="1188" w:type="dxa"/>
            <w:tcBorders>
              <w:top w:val="nil"/>
              <w:left w:val="nil"/>
              <w:bottom w:val="single" w:sz="4" w:space="0" w:color="auto"/>
              <w:right w:val="single" w:sz="4" w:space="0" w:color="auto"/>
            </w:tcBorders>
            <w:shd w:val="clear" w:color="auto" w:fill="auto"/>
            <w:noWrap/>
            <w:vAlign w:val="center"/>
          </w:tcPr>
          <w:p w14:paraId="4D5E2C24" w14:textId="114E579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0D0439C" w14:textId="21AA9E2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255</w:t>
            </w:r>
          </w:p>
        </w:tc>
        <w:tc>
          <w:tcPr>
            <w:tcW w:w="1188" w:type="dxa"/>
            <w:tcBorders>
              <w:top w:val="nil"/>
              <w:left w:val="nil"/>
              <w:bottom w:val="single" w:sz="4" w:space="0" w:color="auto"/>
              <w:right w:val="single" w:sz="4" w:space="0" w:color="auto"/>
            </w:tcBorders>
            <w:shd w:val="clear" w:color="auto" w:fill="auto"/>
            <w:noWrap/>
            <w:vAlign w:val="center"/>
          </w:tcPr>
          <w:p w14:paraId="40BE8C0B" w14:textId="53C1C70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7,772</w:t>
            </w:r>
          </w:p>
        </w:tc>
      </w:tr>
      <w:tr w:rsidR="00D20BCB" w:rsidRPr="001B1818" w14:paraId="5FFEB275"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A8B51B7" w14:textId="316C3904"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Terang And Mortlake Health Service</w:t>
            </w:r>
          </w:p>
        </w:tc>
        <w:tc>
          <w:tcPr>
            <w:tcW w:w="1187" w:type="dxa"/>
            <w:tcBorders>
              <w:top w:val="nil"/>
              <w:left w:val="nil"/>
              <w:bottom w:val="single" w:sz="4" w:space="0" w:color="auto"/>
              <w:right w:val="single" w:sz="4" w:space="0" w:color="auto"/>
            </w:tcBorders>
            <w:shd w:val="clear" w:color="auto" w:fill="auto"/>
            <w:noWrap/>
            <w:vAlign w:val="center"/>
          </w:tcPr>
          <w:p w14:paraId="1DCA8C5C" w14:textId="29DE0E2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6,418</w:t>
            </w:r>
          </w:p>
        </w:tc>
        <w:tc>
          <w:tcPr>
            <w:tcW w:w="1188" w:type="dxa"/>
            <w:tcBorders>
              <w:top w:val="nil"/>
              <w:left w:val="nil"/>
              <w:bottom w:val="single" w:sz="4" w:space="0" w:color="auto"/>
              <w:right w:val="single" w:sz="4" w:space="0" w:color="auto"/>
            </w:tcBorders>
            <w:shd w:val="clear" w:color="auto" w:fill="auto"/>
            <w:noWrap/>
            <w:vAlign w:val="center"/>
          </w:tcPr>
          <w:p w14:paraId="7E7765B5" w14:textId="4EE2EAD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734</w:t>
            </w:r>
          </w:p>
        </w:tc>
        <w:tc>
          <w:tcPr>
            <w:tcW w:w="1188" w:type="dxa"/>
            <w:tcBorders>
              <w:top w:val="nil"/>
              <w:left w:val="nil"/>
              <w:bottom w:val="single" w:sz="4" w:space="0" w:color="auto"/>
              <w:right w:val="single" w:sz="4" w:space="0" w:color="auto"/>
            </w:tcBorders>
            <w:shd w:val="clear" w:color="auto" w:fill="auto"/>
            <w:noWrap/>
            <w:vAlign w:val="center"/>
          </w:tcPr>
          <w:p w14:paraId="4585CB1D" w14:textId="4B801C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8CDE2D7" w14:textId="07764F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1,372</w:t>
            </w:r>
          </w:p>
        </w:tc>
        <w:tc>
          <w:tcPr>
            <w:tcW w:w="1188" w:type="dxa"/>
            <w:tcBorders>
              <w:top w:val="nil"/>
              <w:left w:val="nil"/>
              <w:bottom w:val="single" w:sz="4" w:space="0" w:color="auto"/>
              <w:right w:val="single" w:sz="4" w:space="0" w:color="auto"/>
            </w:tcBorders>
            <w:shd w:val="clear" w:color="auto" w:fill="auto"/>
            <w:noWrap/>
            <w:vAlign w:val="center"/>
          </w:tcPr>
          <w:p w14:paraId="4D841AA3" w14:textId="64167A0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8,524</w:t>
            </w:r>
          </w:p>
        </w:tc>
      </w:tr>
      <w:tr w:rsidR="00D20BCB" w:rsidRPr="001B1818" w14:paraId="4C8D3C52"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9112B23" w14:textId="376AA694"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Timboon &amp; District Healthcare Service</w:t>
            </w:r>
          </w:p>
        </w:tc>
        <w:tc>
          <w:tcPr>
            <w:tcW w:w="1187" w:type="dxa"/>
            <w:tcBorders>
              <w:top w:val="nil"/>
              <w:left w:val="nil"/>
              <w:bottom w:val="single" w:sz="4" w:space="0" w:color="auto"/>
              <w:right w:val="single" w:sz="4" w:space="0" w:color="auto"/>
            </w:tcBorders>
            <w:shd w:val="clear" w:color="auto" w:fill="auto"/>
            <w:noWrap/>
            <w:vAlign w:val="center"/>
          </w:tcPr>
          <w:p w14:paraId="32B0C87D" w14:textId="427FB50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5,742</w:t>
            </w:r>
          </w:p>
        </w:tc>
        <w:tc>
          <w:tcPr>
            <w:tcW w:w="1188" w:type="dxa"/>
            <w:tcBorders>
              <w:top w:val="nil"/>
              <w:left w:val="nil"/>
              <w:bottom w:val="single" w:sz="4" w:space="0" w:color="auto"/>
              <w:right w:val="single" w:sz="4" w:space="0" w:color="auto"/>
            </w:tcBorders>
            <w:shd w:val="clear" w:color="auto" w:fill="auto"/>
            <w:noWrap/>
            <w:vAlign w:val="center"/>
          </w:tcPr>
          <w:p w14:paraId="43083708" w14:textId="5EEE930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383</w:t>
            </w:r>
          </w:p>
        </w:tc>
        <w:tc>
          <w:tcPr>
            <w:tcW w:w="1188" w:type="dxa"/>
            <w:tcBorders>
              <w:top w:val="nil"/>
              <w:left w:val="nil"/>
              <w:bottom w:val="single" w:sz="4" w:space="0" w:color="auto"/>
              <w:right w:val="single" w:sz="4" w:space="0" w:color="auto"/>
            </w:tcBorders>
            <w:shd w:val="clear" w:color="auto" w:fill="auto"/>
            <w:noWrap/>
            <w:vAlign w:val="center"/>
          </w:tcPr>
          <w:p w14:paraId="2D33FCA8" w14:textId="023FD54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3E708F33" w14:textId="61FF326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307</w:t>
            </w:r>
          </w:p>
        </w:tc>
        <w:tc>
          <w:tcPr>
            <w:tcW w:w="1188" w:type="dxa"/>
            <w:tcBorders>
              <w:top w:val="nil"/>
              <w:left w:val="nil"/>
              <w:bottom w:val="single" w:sz="4" w:space="0" w:color="auto"/>
              <w:right w:val="single" w:sz="4" w:space="0" w:color="auto"/>
            </w:tcBorders>
            <w:shd w:val="clear" w:color="auto" w:fill="auto"/>
            <w:noWrap/>
            <w:vAlign w:val="center"/>
          </w:tcPr>
          <w:p w14:paraId="7F326D04" w14:textId="388219B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6,432</w:t>
            </w:r>
          </w:p>
        </w:tc>
      </w:tr>
      <w:tr w:rsidR="00D20BCB" w:rsidRPr="001B1818" w14:paraId="430D506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4FF805" w14:textId="2870EF14"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West Wimmera Health Service</w:t>
            </w:r>
          </w:p>
        </w:tc>
        <w:tc>
          <w:tcPr>
            <w:tcW w:w="1187" w:type="dxa"/>
            <w:tcBorders>
              <w:top w:val="nil"/>
              <w:left w:val="nil"/>
              <w:bottom w:val="single" w:sz="4" w:space="0" w:color="auto"/>
              <w:right w:val="single" w:sz="4" w:space="0" w:color="auto"/>
            </w:tcBorders>
            <w:shd w:val="clear" w:color="auto" w:fill="auto"/>
            <w:noWrap/>
            <w:vAlign w:val="center"/>
          </w:tcPr>
          <w:p w14:paraId="53EAB6AD" w14:textId="380589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19,085</w:t>
            </w:r>
          </w:p>
        </w:tc>
        <w:tc>
          <w:tcPr>
            <w:tcW w:w="1188" w:type="dxa"/>
            <w:tcBorders>
              <w:top w:val="nil"/>
              <w:left w:val="nil"/>
              <w:bottom w:val="single" w:sz="4" w:space="0" w:color="auto"/>
              <w:right w:val="single" w:sz="4" w:space="0" w:color="auto"/>
            </w:tcBorders>
            <w:shd w:val="clear" w:color="auto" w:fill="auto"/>
            <w:noWrap/>
            <w:vAlign w:val="center"/>
          </w:tcPr>
          <w:p w14:paraId="6E6EE309" w14:textId="0B03658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3,624</w:t>
            </w:r>
          </w:p>
        </w:tc>
        <w:tc>
          <w:tcPr>
            <w:tcW w:w="1188" w:type="dxa"/>
            <w:tcBorders>
              <w:top w:val="nil"/>
              <w:left w:val="nil"/>
              <w:bottom w:val="single" w:sz="4" w:space="0" w:color="auto"/>
              <w:right w:val="single" w:sz="4" w:space="0" w:color="auto"/>
            </w:tcBorders>
            <w:shd w:val="clear" w:color="auto" w:fill="auto"/>
            <w:noWrap/>
            <w:vAlign w:val="center"/>
          </w:tcPr>
          <w:p w14:paraId="2F08C875" w14:textId="4708F06E"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293</w:t>
            </w:r>
          </w:p>
        </w:tc>
        <w:tc>
          <w:tcPr>
            <w:tcW w:w="1188" w:type="dxa"/>
            <w:tcBorders>
              <w:top w:val="nil"/>
              <w:left w:val="nil"/>
              <w:bottom w:val="single" w:sz="4" w:space="0" w:color="auto"/>
              <w:right w:val="single" w:sz="4" w:space="0" w:color="auto"/>
            </w:tcBorders>
            <w:shd w:val="clear" w:color="auto" w:fill="auto"/>
            <w:noWrap/>
            <w:vAlign w:val="center"/>
          </w:tcPr>
          <w:p w14:paraId="7EFEF177" w14:textId="3FE20CEB"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3,113</w:t>
            </w:r>
          </w:p>
        </w:tc>
        <w:tc>
          <w:tcPr>
            <w:tcW w:w="1188" w:type="dxa"/>
            <w:tcBorders>
              <w:top w:val="nil"/>
              <w:left w:val="nil"/>
              <w:bottom w:val="single" w:sz="4" w:space="0" w:color="auto"/>
              <w:right w:val="single" w:sz="4" w:space="0" w:color="auto"/>
            </w:tcBorders>
            <w:shd w:val="clear" w:color="auto" w:fill="auto"/>
            <w:noWrap/>
            <w:vAlign w:val="center"/>
          </w:tcPr>
          <w:p w14:paraId="15824E94" w14:textId="1E6576E9"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26,114</w:t>
            </w:r>
          </w:p>
        </w:tc>
      </w:tr>
      <w:tr w:rsidR="00D20BCB" w:rsidRPr="001B1818" w14:paraId="0645A507"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0D2EBBD" w14:textId="5FAD1F7F"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Yarram And District Health Service</w:t>
            </w:r>
          </w:p>
        </w:tc>
        <w:tc>
          <w:tcPr>
            <w:tcW w:w="1187" w:type="dxa"/>
            <w:tcBorders>
              <w:top w:val="nil"/>
              <w:left w:val="nil"/>
              <w:bottom w:val="single" w:sz="4" w:space="0" w:color="auto"/>
              <w:right w:val="single" w:sz="4" w:space="0" w:color="auto"/>
            </w:tcBorders>
            <w:shd w:val="clear" w:color="auto" w:fill="auto"/>
            <w:noWrap/>
            <w:vAlign w:val="center"/>
          </w:tcPr>
          <w:p w14:paraId="66AAADD0" w14:textId="442DB7C4"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6,434</w:t>
            </w:r>
          </w:p>
        </w:tc>
        <w:tc>
          <w:tcPr>
            <w:tcW w:w="1188" w:type="dxa"/>
            <w:tcBorders>
              <w:top w:val="nil"/>
              <w:left w:val="nil"/>
              <w:bottom w:val="single" w:sz="4" w:space="0" w:color="auto"/>
              <w:right w:val="single" w:sz="4" w:space="0" w:color="auto"/>
            </w:tcBorders>
            <w:shd w:val="clear" w:color="auto" w:fill="auto"/>
            <w:noWrap/>
            <w:vAlign w:val="center"/>
          </w:tcPr>
          <w:p w14:paraId="3CDB0404" w14:textId="0BDE3E1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867</w:t>
            </w:r>
          </w:p>
        </w:tc>
        <w:tc>
          <w:tcPr>
            <w:tcW w:w="1188" w:type="dxa"/>
            <w:tcBorders>
              <w:top w:val="nil"/>
              <w:left w:val="nil"/>
              <w:bottom w:val="single" w:sz="4" w:space="0" w:color="auto"/>
              <w:right w:val="single" w:sz="4" w:space="0" w:color="auto"/>
            </w:tcBorders>
            <w:shd w:val="clear" w:color="auto" w:fill="auto"/>
            <w:noWrap/>
            <w:vAlign w:val="center"/>
          </w:tcPr>
          <w:p w14:paraId="3935E62B" w14:textId="634A01E1"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63CBDBDB" w14:textId="3BB63213"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608</w:t>
            </w:r>
          </w:p>
        </w:tc>
        <w:tc>
          <w:tcPr>
            <w:tcW w:w="1188" w:type="dxa"/>
            <w:tcBorders>
              <w:top w:val="nil"/>
              <w:left w:val="nil"/>
              <w:bottom w:val="single" w:sz="4" w:space="0" w:color="auto"/>
              <w:right w:val="single" w:sz="4" w:space="0" w:color="auto"/>
            </w:tcBorders>
            <w:shd w:val="clear" w:color="auto" w:fill="auto"/>
            <w:noWrap/>
            <w:vAlign w:val="center"/>
          </w:tcPr>
          <w:p w14:paraId="1EBE5167" w14:textId="785FA9C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7,909</w:t>
            </w:r>
          </w:p>
        </w:tc>
      </w:tr>
      <w:tr w:rsidR="00D20BCB" w:rsidRPr="001B1818" w14:paraId="2A6F82B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8D8B165" w14:textId="73664FA9"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Yarrawonga Health</w:t>
            </w:r>
          </w:p>
        </w:tc>
        <w:tc>
          <w:tcPr>
            <w:tcW w:w="1187" w:type="dxa"/>
            <w:tcBorders>
              <w:top w:val="nil"/>
              <w:left w:val="nil"/>
              <w:bottom w:val="single" w:sz="4" w:space="0" w:color="auto"/>
              <w:right w:val="single" w:sz="4" w:space="0" w:color="auto"/>
            </w:tcBorders>
            <w:shd w:val="clear" w:color="auto" w:fill="auto"/>
            <w:noWrap/>
            <w:vAlign w:val="center"/>
          </w:tcPr>
          <w:p w14:paraId="6C1A3DD7" w14:textId="3AEF6570"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13,360</w:t>
            </w:r>
          </w:p>
        </w:tc>
        <w:tc>
          <w:tcPr>
            <w:tcW w:w="1188" w:type="dxa"/>
            <w:tcBorders>
              <w:top w:val="nil"/>
              <w:left w:val="nil"/>
              <w:bottom w:val="single" w:sz="4" w:space="0" w:color="auto"/>
              <w:right w:val="single" w:sz="4" w:space="0" w:color="auto"/>
            </w:tcBorders>
            <w:shd w:val="clear" w:color="auto" w:fill="auto"/>
            <w:noWrap/>
            <w:vAlign w:val="center"/>
          </w:tcPr>
          <w:p w14:paraId="45C34C41" w14:textId="39E84EAC"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1,518</w:t>
            </w:r>
          </w:p>
        </w:tc>
        <w:tc>
          <w:tcPr>
            <w:tcW w:w="1188" w:type="dxa"/>
            <w:tcBorders>
              <w:top w:val="nil"/>
              <w:left w:val="nil"/>
              <w:bottom w:val="single" w:sz="4" w:space="0" w:color="auto"/>
              <w:right w:val="single" w:sz="4" w:space="0" w:color="auto"/>
            </w:tcBorders>
            <w:shd w:val="clear" w:color="auto" w:fill="auto"/>
            <w:noWrap/>
            <w:vAlign w:val="center"/>
          </w:tcPr>
          <w:p w14:paraId="705129DC" w14:textId="5DB48D2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74BFCB5D" w14:textId="3DED9E56"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737</w:t>
            </w:r>
          </w:p>
        </w:tc>
        <w:tc>
          <w:tcPr>
            <w:tcW w:w="1188" w:type="dxa"/>
            <w:tcBorders>
              <w:top w:val="nil"/>
              <w:left w:val="nil"/>
              <w:bottom w:val="single" w:sz="4" w:space="0" w:color="auto"/>
              <w:right w:val="single" w:sz="4" w:space="0" w:color="auto"/>
            </w:tcBorders>
            <w:shd w:val="clear" w:color="auto" w:fill="auto"/>
            <w:noWrap/>
            <w:vAlign w:val="center"/>
          </w:tcPr>
          <w:p w14:paraId="7CE9A518" w14:textId="3532E85A"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15,614</w:t>
            </w:r>
          </w:p>
        </w:tc>
      </w:tr>
      <w:tr w:rsidR="00D20BCB" w:rsidRPr="001B1818" w14:paraId="57DA47AB"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2F700E6" w14:textId="4EFBBC56" w:rsidR="00D20BCB" w:rsidRPr="00462DC7" w:rsidRDefault="00D20BCB" w:rsidP="00D20BCB">
            <w:pPr>
              <w:spacing w:after="0" w:line="240" w:lineRule="auto"/>
              <w:rPr>
                <w:rFonts w:cs="Arial"/>
                <w:color w:val="000000"/>
                <w:sz w:val="16"/>
                <w:szCs w:val="16"/>
                <w:lang w:eastAsia="en-AU"/>
              </w:rPr>
            </w:pPr>
            <w:r>
              <w:rPr>
                <w:rFonts w:cs="Arial"/>
                <w:color w:val="000000"/>
                <w:sz w:val="15"/>
                <w:szCs w:val="15"/>
              </w:rPr>
              <w:t>Yea And District Memorial Hospital</w:t>
            </w:r>
          </w:p>
        </w:tc>
        <w:tc>
          <w:tcPr>
            <w:tcW w:w="1187" w:type="dxa"/>
            <w:tcBorders>
              <w:top w:val="nil"/>
              <w:left w:val="nil"/>
              <w:bottom w:val="single" w:sz="4" w:space="0" w:color="auto"/>
              <w:right w:val="single" w:sz="4" w:space="0" w:color="auto"/>
            </w:tcBorders>
            <w:shd w:val="clear" w:color="auto" w:fill="auto"/>
            <w:noWrap/>
            <w:vAlign w:val="center"/>
          </w:tcPr>
          <w:p w14:paraId="28EA3D8A" w14:textId="694BA0E2"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3,866</w:t>
            </w:r>
          </w:p>
        </w:tc>
        <w:tc>
          <w:tcPr>
            <w:tcW w:w="1188" w:type="dxa"/>
            <w:tcBorders>
              <w:top w:val="nil"/>
              <w:left w:val="nil"/>
              <w:bottom w:val="single" w:sz="4" w:space="0" w:color="auto"/>
              <w:right w:val="single" w:sz="4" w:space="0" w:color="auto"/>
            </w:tcBorders>
            <w:shd w:val="clear" w:color="auto" w:fill="auto"/>
            <w:noWrap/>
            <w:vAlign w:val="center"/>
          </w:tcPr>
          <w:p w14:paraId="3D47A3A3" w14:textId="4D103BFF"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425</w:t>
            </w:r>
          </w:p>
        </w:tc>
        <w:tc>
          <w:tcPr>
            <w:tcW w:w="1188" w:type="dxa"/>
            <w:tcBorders>
              <w:top w:val="nil"/>
              <w:left w:val="nil"/>
              <w:bottom w:val="single" w:sz="4" w:space="0" w:color="auto"/>
              <w:right w:val="single" w:sz="4" w:space="0" w:color="auto"/>
            </w:tcBorders>
            <w:shd w:val="clear" w:color="auto" w:fill="auto"/>
            <w:noWrap/>
            <w:vAlign w:val="center"/>
          </w:tcPr>
          <w:p w14:paraId="005D6927" w14:textId="1456319D"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 </w:t>
            </w:r>
          </w:p>
        </w:tc>
        <w:tc>
          <w:tcPr>
            <w:tcW w:w="1188" w:type="dxa"/>
            <w:tcBorders>
              <w:top w:val="nil"/>
              <w:left w:val="nil"/>
              <w:bottom w:val="single" w:sz="4" w:space="0" w:color="auto"/>
              <w:right w:val="single" w:sz="4" w:space="0" w:color="auto"/>
            </w:tcBorders>
            <w:shd w:val="clear" w:color="auto" w:fill="auto"/>
            <w:noWrap/>
            <w:vAlign w:val="center"/>
          </w:tcPr>
          <w:p w14:paraId="1A97B4D8" w14:textId="03D2B1D5"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415</w:t>
            </w:r>
          </w:p>
        </w:tc>
        <w:tc>
          <w:tcPr>
            <w:tcW w:w="1188" w:type="dxa"/>
            <w:tcBorders>
              <w:top w:val="nil"/>
              <w:left w:val="nil"/>
              <w:bottom w:val="single" w:sz="4" w:space="0" w:color="auto"/>
              <w:right w:val="single" w:sz="4" w:space="0" w:color="auto"/>
            </w:tcBorders>
            <w:shd w:val="clear" w:color="auto" w:fill="auto"/>
            <w:noWrap/>
            <w:vAlign w:val="center"/>
          </w:tcPr>
          <w:p w14:paraId="4901745F" w14:textId="37C58D27" w:rsidR="00D20BCB" w:rsidRPr="00462DC7" w:rsidRDefault="00D20BCB" w:rsidP="00D20BCB">
            <w:pPr>
              <w:spacing w:after="0" w:line="240" w:lineRule="auto"/>
              <w:jc w:val="right"/>
              <w:rPr>
                <w:rFonts w:cs="Arial"/>
                <w:color w:val="000000"/>
                <w:sz w:val="16"/>
                <w:szCs w:val="16"/>
                <w:lang w:eastAsia="en-AU"/>
              </w:rPr>
            </w:pPr>
            <w:r>
              <w:rPr>
                <w:rFonts w:cs="Arial"/>
                <w:color w:val="000000"/>
                <w:sz w:val="15"/>
                <w:szCs w:val="15"/>
              </w:rPr>
              <w:t>4,707</w:t>
            </w:r>
          </w:p>
        </w:tc>
      </w:tr>
      <w:tr w:rsidR="00D20BCB" w:rsidRPr="001B1818" w14:paraId="5AC03DE8" w14:textId="77777777">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BFC5165" w14:textId="0A78FFEF" w:rsidR="00D20BCB" w:rsidRPr="00462DC7" w:rsidRDefault="00D20BCB" w:rsidP="00D20BCB">
            <w:pPr>
              <w:spacing w:after="0" w:line="240" w:lineRule="auto"/>
              <w:rPr>
                <w:rFonts w:cs="Arial"/>
                <w:b/>
                <w:bCs/>
                <w:color w:val="000000"/>
                <w:sz w:val="16"/>
                <w:szCs w:val="16"/>
                <w:lang w:eastAsia="en-AU"/>
              </w:rPr>
            </w:pPr>
            <w:r>
              <w:rPr>
                <w:rFonts w:cs="Arial"/>
                <w:b/>
                <w:bCs/>
                <w:color w:val="000000"/>
                <w:sz w:val="15"/>
                <w:szCs w:val="15"/>
              </w:rPr>
              <w:lastRenderedPageBreak/>
              <w:t>Grand Total</w:t>
            </w:r>
          </w:p>
        </w:tc>
        <w:tc>
          <w:tcPr>
            <w:tcW w:w="1187" w:type="dxa"/>
            <w:tcBorders>
              <w:top w:val="nil"/>
              <w:left w:val="nil"/>
              <w:bottom w:val="single" w:sz="4" w:space="0" w:color="auto"/>
              <w:right w:val="single" w:sz="4" w:space="0" w:color="auto"/>
            </w:tcBorders>
            <w:shd w:val="clear" w:color="auto" w:fill="auto"/>
            <w:noWrap/>
            <w:vAlign w:val="center"/>
          </w:tcPr>
          <w:p w14:paraId="49CB8D92" w14:textId="7BADBC7F" w:rsidR="00D20BCB" w:rsidRPr="00462DC7" w:rsidRDefault="00D20BCB" w:rsidP="00D20BCB">
            <w:pPr>
              <w:spacing w:after="0" w:line="240" w:lineRule="auto"/>
              <w:jc w:val="right"/>
              <w:rPr>
                <w:rFonts w:cs="Arial"/>
                <w:b/>
                <w:bCs/>
                <w:color w:val="000000"/>
                <w:sz w:val="16"/>
                <w:szCs w:val="16"/>
                <w:lang w:eastAsia="en-AU"/>
              </w:rPr>
            </w:pPr>
            <w:r>
              <w:rPr>
                <w:rFonts w:cs="Arial"/>
                <w:b/>
                <w:bCs/>
                <w:color w:val="000000"/>
                <w:sz w:val="15"/>
                <w:szCs w:val="15"/>
              </w:rPr>
              <w:t>330,828</w:t>
            </w:r>
          </w:p>
        </w:tc>
        <w:tc>
          <w:tcPr>
            <w:tcW w:w="1188" w:type="dxa"/>
            <w:tcBorders>
              <w:top w:val="nil"/>
              <w:left w:val="nil"/>
              <w:bottom w:val="single" w:sz="4" w:space="0" w:color="auto"/>
              <w:right w:val="single" w:sz="4" w:space="0" w:color="auto"/>
            </w:tcBorders>
            <w:shd w:val="clear" w:color="auto" w:fill="auto"/>
            <w:noWrap/>
            <w:vAlign w:val="center"/>
          </w:tcPr>
          <w:p w14:paraId="2102F9E0" w14:textId="5AF335D6" w:rsidR="00D20BCB" w:rsidRPr="00462DC7" w:rsidRDefault="00D20BCB" w:rsidP="00D20BCB">
            <w:pPr>
              <w:spacing w:after="0" w:line="240" w:lineRule="auto"/>
              <w:jc w:val="right"/>
              <w:rPr>
                <w:rFonts w:cs="Arial"/>
                <w:b/>
                <w:bCs/>
                <w:color w:val="000000"/>
                <w:sz w:val="16"/>
                <w:szCs w:val="16"/>
                <w:lang w:eastAsia="en-AU"/>
              </w:rPr>
            </w:pPr>
            <w:r>
              <w:rPr>
                <w:rFonts w:cs="Arial"/>
                <w:b/>
                <w:bCs/>
                <w:color w:val="000000"/>
                <w:sz w:val="15"/>
                <w:szCs w:val="15"/>
              </w:rPr>
              <w:t>42,959</w:t>
            </w:r>
          </w:p>
        </w:tc>
        <w:tc>
          <w:tcPr>
            <w:tcW w:w="1188" w:type="dxa"/>
            <w:tcBorders>
              <w:top w:val="nil"/>
              <w:left w:val="nil"/>
              <w:bottom w:val="single" w:sz="4" w:space="0" w:color="auto"/>
              <w:right w:val="single" w:sz="4" w:space="0" w:color="auto"/>
            </w:tcBorders>
            <w:shd w:val="clear" w:color="auto" w:fill="auto"/>
            <w:noWrap/>
            <w:vAlign w:val="center"/>
          </w:tcPr>
          <w:p w14:paraId="0A38C611" w14:textId="2843B81A" w:rsidR="00D20BCB" w:rsidRPr="00462DC7" w:rsidRDefault="00D20BCB" w:rsidP="00D20BCB">
            <w:pPr>
              <w:spacing w:after="0" w:line="240" w:lineRule="auto"/>
              <w:jc w:val="right"/>
              <w:rPr>
                <w:rFonts w:cs="Arial"/>
                <w:b/>
                <w:bCs/>
                <w:color w:val="000000"/>
                <w:sz w:val="16"/>
                <w:szCs w:val="16"/>
                <w:lang w:eastAsia="en-AU"/>
              </w:rPr>
            </w:pPr>
            <w:r>
              <w:rPr>
                <w:rFonts w:cs="Arial"/>
                <w:b/>
                <w:bCs/>
                <w:color w:val="000000"/>
                <w:sz w:val="15"/>
                <w:szCs w:val="15"/>
              </w:rPr>
              <w:t>293</w:t>
            </w:r>
          </w:p>
        </w:tc>
        <w:tc>
          <w:tcPr>
            <w:tcW w:w="1188" w:type="dxa"/>
            <w:tcBorders>
              <w:top w:val="nil"/>
              <w:left w:val="nil"/>
              <w:bottom w:val="single" w:sz="4" w:space="0" w:color="auto"/>
              <w:right w:val="single" w:sz="4" w:space="0" w:color="auto"/>
            </w:tcBorders>
            <w:shd w:val="clear" w:color="auto" w:fill="auto"/>
            <w:noWrap/>
            <w:vAlign w:val="center"/>
          </w:tcPr>
          <w:p w14:paraId="3F133CCA" w14:textId="502601B8" w:rsidR="00D20BCB" w:rsidRPr="00462DC7" w:rsidRDefault="00D20BCB" w:rsidP="00D20BCB">
            <w:pPr>
              <w:spacing w:after="0" w:line="240" w:lineRule="auto"/>
              <w:jc w:val="right"/>
              <w:rPr>
                <w:rFonts w:cs="Arial"/>
                <w:b/>
                <w:bCs/>
                <w:color w:val="000000"/>
                <w:sz w:val="16"/>
                <w:szCs w:val="16"/>
                <w:lang w:eastAsia="en-AU"/>
              </w:rPr>
            </w:pPr>
            <w:r>
              <w:rPr>
                <w:rFonts w:cs="Arial"/>
                <w:b/>
                <w:bCs/>
                <w:color w:val="000000"/>
                <w:sz w:val="15"/>
                <w:szCs w:val="15"/>
              </w:rPr>
              <w:t>14,295</w:t>
            </w:r>
          </w:p>
        </w:tc>
        <w:tc>
          <w:tcPr>
            <w:tcW w:w="1188" w:type="dxa"/>
            <w:tcBorders>
              <w:top w:val="nil"/>
              <w:left w:val="nil"/>
              <w:bottom w:val="single" w:sz="4" w:space="0" w:color="auto"/>
              <w:right w:val="single" w:sz="4" w:space="0" w:color="auto"/>
            </w:tcBorders>
            <w:shd w:val="clear" w:color="auto" w:fill="auto"/>
            <w:noWrap/>
            <w:vAlign w:val="center"/>
          </w:tcPr>
          <w:p w14:paraId="600FD737" w14:textId="32FF40EE" w:rsidR="00D20BCB" w:rsidRPr="00462DC7" w:rsidRDefault="00D20BCB" w:rsidP="00D20BCB">
            <w:pPr>
              <w:spacing w:after="0" w:line="240" w:lineRule="auto"/>
              <w:jc w:val="right"/>
              <w:rPr>
                <w:rFonts w:cs="Arial"/>
                <w:b/>
                <w:bCs/>
                <w:color w:val="000000"/>
                <w:sz w:val="16"/>
                <w:szCs w:val="16"/>
                <w:lang w:eastAsia="en-AU"/>
              </w:rPr>
            </w:pPr>
            <w:r>
              <w:rPr>
                <w:rFonts w:cs="Arial"/>
                <w:b/>
                <w:bCs/>
                <w:color w:val="000000"/>
                <w:sz w:val="15"/>
                <w:szCs w:val="15"/>
              </w:rPr>
              <w:t>388,375</w:t>
            </w:r>
          </w:p>
        </w:tc>
      </w:tr>
    </w:tbl>
    <w:p w14:paraId="35130BCE" w14:textId="68CF7214" w:rsidR="00D26DF2" w:rsidRDefault="00D26DF2" w:rsidP="005B699B">
      <w:pPr>
        <w:pStyle w:val="Body"/>
      </w:pPr>
    </w:p>
    <w:p w14:paraId="4B3510AA" w14:textId="36FB14CB" w:rsidR="00C13F85" w:rsidRDefault="00D26DF2" w:rsidP="001E4292">
      <w:pPr>
        <w:pStyle w:val="Heading2"/>
        <w:numPr>
          <w:ilvl w:val="1"/>
          <w:numId w:val="13"/>
        </w:numPr>
        <w:ind w:left="1134" w:hanging="1134"/>
        <w:rPr>
          <w:color w:val="FF0000"/>
        </w:rPr>
      </w:pPr>
      <w:r>
        <w:br w:type="page"/>
      </w:r>
      <w:bookmarkStart w:id="2446" w:name="_Toc144905667"/>
      <w:bookmarkStart w:id="2447" w:name="_Toc144905668"/>
      <w:bookmarkStart w:id="2448" w:name="_Toc12780658"/>
      <w:bookmarkStart w:id="2449" w:name="_Toc14172299"/>
      <w:bookmarkStart w:id="2450" w:name="_Toc33703973"/>
      <w:bookmarkStart w:id="2451" w:name="_Toc55381161"/>
      <w:bookmarkStart w:id="2452" w:name="_Toc100263367"/>
      <w:bookmarkStart w:id="2453" w:name="_Toc165961863"/>
      <w:bookmarkStart w:id="2454" w:name="_Toc178963649"/>
      <w:bookmarkEnd w:id="2446"/>
      <w:bookmarkEnd w:id="2447"/>
      <w:r w:rsidR="005B699B" w:rsidRPr="00977693">
        <w:lastRenderedPageBreak/>
        <w:t>Activity-</w:t>
      </w:r>
      <w:r w:rsidR="005B699B" w:rsidRPr="00295CB9">
        <w:t>based</w:t>
      </w:r>
      <w:r w:rsidR="005B699B" w:rsidRPr="00977693">
        <w:t xml:space="preserve"> funding: health service expenditure budgets 202</w:t>
      </w:r>
      <w:r w:rsidR="005B699B">
        <w:t>4</w:t>
      </w:r>
      <w:r w:rsidR="005B699B" w:rsidRPr="00977693">
        <w:t>–2</w:t>
      </w:r>
      <w:r w:rsidR="005B699B">
        <w:t>5</w:t>
      </w:r>
      <w:r w:rsidR="005B699B" w:rsidRPr="00977693">
        <w:t xml:space="preserve"> by service category</w:t>
      </w:r>
      <w:bookmarkEnd w:id="2448"/>
      <w:bookmarkEnd w:id="2449"/>
      <w:bookmarkEnd w:id="2450"/>
      <w:bookmarkEnd w:id="2451"/>
      <w:bookmarkEnd w:id="2452"/>
      <w:bookmarkEnd w:id="2453"/>
      <w:bookmarkEnd w:id="2454"/>
      <w:r w:rsidR="00054728">
        <w:t xml:space="preserve"> </w:t>
      </w:r>
    </w:p>
    <w:p w14:paraId="37C3A707" w14:textId="77777777" w:rsidR="003F33E2" w:rsidRPr="00216EF2" w:rsidRDefault="003F33E2" w:rsidP="003F33E2">
      <w:pPr>
        <w:pStyle w:val="Tablefigurenote9pt"/>
        <w:keepNext/>
        <w:keepLines/>
        <w:spacing w:line="240" w:lineRule="auto"/>
      </w:pPr>
      <w:r w:rsidRPr="00216EF2">
        <w:t>Notes:</w:t>
      </w:r>
    </w:p>
    <w:p w14:paraId="67EB83D1" w14:textId="77777777" w:rsidR="003F33E2" w:rsidRPr="00216EF2" w:rsidRDefault="003F33E2" w:rsidP="003F33E2">
      <w:pPr>
        <w:pStyle w:val="Tablenoteroman"/>
        <w:keepNext/>
        <w:keepLines/>
        <w:numPr>
          <w:ilvl w:val="0"/>
          <w:numId w:val="63"/>
        </w:numPr>
        <w:tabs>
          <w:tab w:val="clear" w:pos="720"/>
        </w:tabs>
        <w:spacing w:line="240" w:lineRule="auto"/>
        <w:rPr>
          <w:rFonts w:cs="Arial"/>
        </w:rPr>
      </w:pPr>
      <w:r w:rsidRPr="00216EF2">
        <w:rPr>
          <w:rFonts w:cs="Arial"/>
        </w:rPr>
        <w:t>This table shows (State and Commonwealth) funding flowed through the National Health Funding Pool to activity funding.</w:t>
      </w:r>
    </w:p>
    <w:p w14:paraId="512CE5AE" w14:textId="77777777" w:rsidR="003F33E2" w:rsidRDefault="003F33E2" w:rsidP="003F33E2">
      <w:pPr>
        <w:pStyle w:val="Tablenoteroman"/>
        <w:keepNext/>
        <w:keepLines/>
        <w:numPr>
          <w:ilvl w:val="0"/>
          <w:numId w:val="63"/>
        </w:numPr>
        <w:tabs>
          <w:tab w:val="clear" w:pos="720"/>
        </w:tabs>
        <w:spacing w:line="240" w:lineRule="auto"/>
        <w:rPr>
          <w:rFonts w:cs="Arial"/>
        </w:rPr>
      </w:pPr>
      <w:r w:rsidRPr="00CC0DD6">
        <w:rPr>
          <w:rFonts w:cs="Arial"/>
        </w:rPr>
        <w:t>This table does not include public hospital services provided by small rural health services or non-health service organisations.</w:t>
      </w:r>
    </w:p>
    <w:p w14:paraId="4D790BB9" w14:textId="6A2F1ACF" w:rsidR="003F33E2" w:rsidRDefault="003217DF" w:rsidP="003F33E2">
      <w:pPr>
        <w:pStyle w:val="Tablenoteroman"/>
        <w:numPr>
          <w:ilvl w:val="0"/>
          <w:numId w:val="63"/>
        </w:numPr>
        <w:tabs>
          <w:tab w:val="clear" w:pos="720"/>
        </w:tabs>
        <w:spacing w:line="240" w:lineRule="auto"/>
        <w:rPr>
          <w:rFonts w:cs="Arial"/>
        </w:rPr>
      </w:pPr>
      <w:r w:rsidRPr="00216EF2">
        <w:rPr>
          <w:rFonts w:cs="Arial"/>
        </w:rPr>
        <w:t>Subtotals and totals may not add up due to rounding.</w:t>
      </w:r>
    </w:p>
    <w:p w14:paraId="56175005" w14:textId="15F9442F" w:rsidR="00017F6A" w:rsidRPr="00CC73AA" w:rsidRDefault="00017F6A" w:rsidP="00CC73AA">
      <w:pPr>
        <w:pStyle w:val="Tablenoteroman"/>
        <w:numPr>
          <w:ilvl w:val="0"/>
          <w:numId w:val="63"/>
        </w:numPr>
        <w:tabs>
          <w:tab w:val="clear" w:pos="720"/>
        </w:tabs>
        <w:rPr>
          <w:lang w:eastAsia="en-AU"/>
        </w:rPr>
      </w:pPr>
      <w:r>
        <w:rPr>
          <w:lang w:eastAsia="en-AU"/>
        </w:rPr>
        <w:t>Excludes NSW contribution.</w:t>
      </w:r>
    </w:p>
    <w:p w14:paraId="59AEF8E1" w14:textId="3CE1700C" w:rsidR="005B699B" w:rsidRPr="001D69B6" w:rsidRDefault="00462DC7" w:rsidP="00297FC9">
      <w:pPr>
        <w:pStyle w:val="Tablecaption"/>
      </w:pPr>
      <w:bookmarkStart w:id="2455" w:name="_Ref485757837"/>
      <w:bookmarkStart w:id="2456" w:name="_Ref423037493"/>
      <w:bookmarkStart w:id="2457" w:name="_Toc12780562"/>
      <w:bookmarkStart w:id="2458" w:name="_Toc14194818"/>
      <w:bookmarkStart w:id="2459" w:name="_Toc33703999"/>
      <w:bookmarkStart w:id="2460" w:name="_Toc109894129"/>
      <w:bookmarkStart w:id="2461" w:name="_Toc176510415"/>
      <w:bookmarkStart w:id="2462" w:name="_Hlk170294557"/>
      <w:r w:rsidRPr="00216EF2">
        <w:t>Table</w:t>
      </w:r>
      <w:r w:rsidR="00D72666">
        <w:t xml:space="preserve"> 2</w:t>
      </w:r>
      <w:r w:rsidR="000E0ED2">
        <w:t>.</w:t>
      </w:r>
      <w:r>
        <w:fldChar w:fldCharType="begin"/>
      </w:r>
      <w:r>
        <w:instrText>SEQ Table \* ARABIC \s 1</w:instrText>
      </w:r>
      <w:r>
        <w:fldChar w:fldCharType="separate"/>
      </w:r>
      <w:r w:rsidR="00F30C16">
        <w:rPr>
          <w:noProof/>
        </w:rPr>
        <w:t>3</w:t>
      </w:r>
      <w:r>
        <w:fldChar w:fldCharType="end"/>
      </w:r>
      <w:bookmarkEnd w:id="2455"/>
      <w:r w:rsidRPr="00216EF2">
        <w:t xml:space="preserve">: </w:t>
      </w:r>
      <w:bookmarkEnd w:id="2456"/>
      <w:r w:rsidR="005B699B" w:rsidRPr="00216EF2">
        <w:t>Activity-based funding: Health service expenditure budgets 202</w:t>
      </w:r>
      <w:r w:rsidR="005B699B">
        <w:t>4</w:t>
      </w:r>
      <w:r w:rsidR="005B699B" w:rsidRPr="00216EF2">
        <w:t>–2</w:t>
      </w:r>
      <w:r w:rsidR="005B699B">
        <w:t>5</w:t>
      </w:r>
      <w:r w:rsidR="005B699B" w:rsidRPr="00216EF2">
        <w:t xml:space="preserve"> by service category</w:t>
      </w:r>
      <w:bookmarkEnd w:id="2457"/>
      <w:bookmarkEnd w:id="2458"/>
      <w:bookmarkEnd w:id="2459"/>
      <w:bookmarkEnd w:id="2460"/>
      <w:bookmarkEnd w:id="2461"/>
    </w:p>
    <w:p w14:paraId="288EC108" w14:textId="77777777" w:rsidR="005B699B" w:rsidRDefault="005B699B" w:rsidP="005B699B">
      <w:pPr>
        <w:pStyle w:val="Body"/>
        <w:keepNext/>
        <w:keepLines/>
        <w:spacing w:line="240" w:lineRule="auto"/>
      </w:pPr>
      <w:bookmarkStart w:id="2463" w:name="_Toc12780659"/>
      <w:bookmarkStart w:id="2464" w:name="_Toc14172300"/>
      <w:bookmarkStart w:id="2465" w:name="_Toc33703974"/>
      <w:bookmarkStart w:id="2466" w:name="_Toc55381162"/>
      <w:bookmarkStart w:id="2467" w:name="_Toc100263368"/>
      <w:bookmarkEnd w:id="2462"/>
      <w:r>
        <w:t>Metropolitan and regional – $’000s</w:t>
      </w:r>
    </w:p>
    <w:tbl>
      <w:tblPr>
        <w:tblW w:w="10491" w:type="dxa"/>
        <w:tblInd w:w="-431" w:type="dxa"/>
        <w:tblLayout w:type="fixed"/>
        <w:tblLook w:val="04A0" w:firstRow="1" w:lastRow="0" w:firstColumn="1" w:lastColumn="0" w:noHBand="0" w:noVBand="1"/>
      </w:tblPr>
      <w:tblGrid>
        <w:gridCol w:w="1588"/>
        <w:gridCol w:w="1106"/>
        <w:gridCol w:w="840"/>
        <w:gridCol w:w="974"/>
        <w:gridCol w:w="973"/>
        <w:gridCol w:w="974"/>
        <w:gridCol w:w="973"/>
        <w:gridCol w:w="936"/>
        <w:gridCol w:w="992"/>
        <w:gridCol w:w="1135"/>
      </w:tblGrid>
      <w:tr w:rsidR="002F432C" w:rsidRPr="00A2223A" w14:paraId="6D81D1E5" w14:textId="19BFBAA5" w:rsidTr="000674C4">
        <w:trPr>
          <w:trHeight w:val="900"/>
          <w:tblHeader/>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0632DC81" w14:textId="77777777" w:rsidR="004D2156" w:rsidRPr="00A2223A" w:rsidRDefault="004D2156" w:rsidP="004D2156">
            <w:pPr>
              <w:spacing w:after="0" w:line="240" w:lineRule="auto"/>
              <w:rPr>
                <w:rFonts w:cs="Arial"/>
                <w:b/>
                <w:bCs/>
                <w:color w:val="53565A"/>
                <w:sz w:val="16"/>
                <w:szCs w:val="16"/>
                <w:lang w:eastAsia="en-AU"/>
              </w:rPr>
            </w:pPr>
            <w:bookmarkStart w:id="2468" w:name="_Hlk170294604"/>
            <w:r w:rsidRPr="00A2223A">
              <w:rPr>
                <w:rFonts w:cs="Arial"/>
                <w:b/>
                <w:bCs/>
                <w:color w:val="53565A"/>
                <w:sz w:val="16"/>
                <w:szCs w:val="16"/>
                <w:lang w:eastAsia="en-AU"/>
              </w:rPr>
              <w:t>Health Service</w:t>
            </w:r>
          </w:p>
        </w:tc>
        <w:tc>
          <w:tcPr>
            <w:tcW w:w="1106" w:type="dxa"/>
            <w:tcBorders>
              <w:top w:val="single" w:sz="4" w:space="0" w:color="auto"/>
              <w:left w:val="nil"/>
              <w:bottom w:val="single" w:sz="4" w:space="0" w:color="auto"/>
              <w:right w:val="single" w:sz="4" w:space="0" w:color="auto"/>
            </w:tcBorders>
            <w:shd w:val="clear" w:color="auto" w:fill="auto"/>
            <w:hideMark/>
          </w:tcPr>
          <w:p w14:paraId="5834CF3D" w14:textId="77777777" w:rsidR="004D2156" w:rsidRDefault="004D2156" w:rsidP="004D2156">
            <w:pPr>
              <w:spacing w:after="0" w:line="240" w:lineRule="auto"/>
              <w:jc w:val="right"/>
              <w:rPr>
                <w:rFonts w:cs="Arial"/>
                <w:b/>
                <w:bCs/>
                <w:color w:val="53565A"/>
                <w:sz w:val="16"/>
                <w:szCs w:val="16"/>
              </w:rPr>
            </w:pPr>
            <w:r w:rsidRPr="00AC52D2">
              <w:rPr>
                <w:rFonts w:cs="Arial"/>
                <w:b/>
                <w:color w:val="53565A"/>
                <w:sz w:val="16"/>
                <w:szCs w:val="16"/>
                <w:lang w:eastAsia="en-AU"/>
              </w:rPr>
              <w:t>2024-25</w:t>
            </w:r>
          </w:p>
          <w:p w14:paraId="6841FD2E" w14:textId="5FC65EEF" w:rsidR="004D2156" w:rsidRPr="00AC52D2" w:rsidRDefault="004D2156" w:rsidP="004D2156">
            <w:pPr>
              <w:spacing w:after="0" w:line="240" w:lineRule="auto"/>
              <w:jc w:val="right"/>
              <w:rPr>
                <w:rFonts w:cs="Arial"/>
                <w:b/>
                <w:bCs/>
                <w:color w:val="53565A"/>
                <w:sz w:val="16"/>
                <w:szCs w:val="16"/>
                <w:lang w:eastAsia="en-AU"/>
              </w:rPr>
            </w:pPr>
            <w:r w:rsidRPr="00AC52D2">
              <w:rPr>
                <w:rFonts w:cs="Arial"/>
                <w:b/>
                <w:color w:val="53565A"/>
                <w:sz w:val="16"/>
                <w:szCs w:val="16"/>
                <w:lang w:eastAsia="en-AU"/>
              </w:rPr>
              <w:t xml:space="preserve">Consolidated </w:t>
            </w:r>
            <w:r>
              <w:rPr>
                <w:rFonts w:cs="Arial"/>
                <w:b/>
                <w:bCs/>
                <w:color w:val="53565A"/>
                <w:sz w:val="16"/>
                <w:szCs w:val="16"/>
              </w:rPr>
              <w:t>ABF</w:t>
            </w:r>
          </w:p>
        </w:tc>
        <w:tc>
          <w:tcPr>
            <w:tcW w:w="840" w:type="dxa"/>
            <w:tcBorders>
              <w:top w:val="single" w:sz="4" w:space="0" w:color="auto"/>
              <w:left w:val="nil"/>
              <w:bottom w:val="single" w:sz="4" w:space="0" w:color="auto"/>
              <w:right w:val="single" w:sz="4" w:space="0" w:color="auto"/>
            </w:tcBorders>
            <w:shd w:val="clear" w:color="auto" w:fill="auto"/>
            <w:hideMark/>
          </w:tcPr>
          <w:p w14:paraId="39775AE8"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469AB004" w14:textId="5A52E711"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Highly Specialised Therapies</w:t>
            </w:r>
          </w:p>
        </w:tc>
        <w:tc>
          <w:tcPr>
            <w:tcW w:w="974" w:type="dxa"/>
            <w:tcBorders>
              <w:top w:val="single" w:sz="4" w:space="0" w:color="auto"/>
              <w:left w:val="nil"/>
              <w:bottom w:val="single" w:sz="4" w:space="0" w:color="auto"/>
              <w:right w:val="single" w:sz="4" w:space="0" w:color="auto"/>
            </w:tcBorders>
          </w:tcPr>
          <w:p w14:paraId="3B9B1288"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375F6F48" w14:textId="5147692F"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Mental Health Admitted</w:t>
            </w:r>
          </w:p>
        </w:tc>
        <w:tc>
          <w:tcPr>
            <w:tcW w:w="973" w:type="dxa"/>
            <w:tcBorders>
              <w:top w:val="single" w:sz="4" w:space="0" w:color="auto"/>
              <w:left w:val="single" w:sz="4" w:space="0" w:color="auto"/>
              <w:bottom w:val="single" w:sz="4" w:space="0" w:color="auto"/>
              <w:right w:val="single" w:sz="4" w:space="0" w:color="auto"/>
            </w:tcBorders>
          </w:tcPr>
          <w:p w14:paraId="68FFF69B" w14:textId="77777777" w:rsidR="004D2156" w:rsidRDefault="004D2156" w:rsidP="004D2156">
            <w:pPr>
              <w:spacing w:after="0" w:line="240" w:lineRule="auto"/>
              <w:jc w:val="right"/>
              <w:rPr>
                <w:rFonts w:cs="Arial"/>
                <w:b/>
                <w:bCs/>
                <w:color w:val="53565A"/>
                <w:sz w:val="16"/>
                <w:szCs w:val="16"/>
              </w:rPr>
            </w:pPr>
            <w:r w:rsidRPr="00AC52D2">
              <w:rPr>
                <w:rFonts w:cs="Arial"/>
                <w:b/>
                <w:color w:val="53565A"/>
                <w:sz w:val="16"/>
                <w:szCs w:val="16"/>
                <w:lang w:eastAsia="en-AU"/>
              </w:rPr>
              <w:t>2024-25</w:t>
            </w:r>
          </w:p>
          <w:p w14:paraId="633CF139" w14:textId="74FEAB56" w:rsidR="004D2156" w:rsidRPr="00AC52D2" w:rsidRDefault="004D2156" w:rsidP="004D2156">
            <w:pPr>
              <w:spacing w:after="0" w:line="240" w:lineRule="auto"/>
              <w:jc w:val="right"/>
              <w:rPr>
                <w:rFonts w:cs="Arial"/>
                <w:b/>
                <w:bCs/>
                <w:color w:val="53565A"/>
                <w:sz w:val="16"/>
                <w:szCs w:val="16"/>
                <w:lang w:eastAsia="en-AU"/>
              </w:rPr>
            </w:pPr>
            <w:r w:rsidRPr="00AC52D2">
              <w:rPr>
                <w:rFonts w:cs="Arial"/>
                <w:b/>
                <w:color w:val="53565A"/>
                <w:sz w:val="16"/>
                <w:szCs w:val="16"/>
                <w:lang w:eastAsia="en-AU"/>
              </w:rPr>
              <w:t xml:space="preserve">Other </w:t>
            </w:r>
            <w:r>
              <w:rPr>
                <w:rFonts w:cs="Arial"/>
                <w:b/>
                <w:bCs/>
                <w:color w:val="53565A"/>
                <w:sz w:val="16"/>
                <w:szCs w:val="16"/>
              </w:rPr>
              <w:t>Mental Health</w:t>
            </w:r>
          </w:p>
        </w:tc>
        <w:tc>
          <w:tcPr>
            <w:tcW w:w="974" w:type="dxa"/>
            <w:tcBorders>
              <w:top w:val="single" w:sz="4" w:space="0" w:color="auto"/>
              <w:left w:val="nil"/>
              <w:bottom w:val="single" w:sz="4" w:space="0" w:color="auto"/>
              <w:right w:val="single" w:sz="4" w:space="0" w:color="auto"/>
            </w:tcBorders>
            <w:shd w:val="clear" w:color="auto" w:fill="auto"/>
            <w:hideMark/>
          </w:tcPr>
          <w:p w14:paraId="40FA393A"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718E26F7" w14:textId="50BEC0E0"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Other Public Hospital Programs</w:t>
            </w:r>
          </w:p>
        </w:tc>
        <w:tc>
          <w:tcPr>
            <w:tcW w:w="973" w:type="dxa"/>
            <w:tcBorders>
              <w:top w:val="single" w:sz="4" w:space="0" w:color="auto"/>
              <w:left w:val="nil"/>
              <w:bottom w:val="single" w:sz="4" w:space="0" w:color="auto"/>
              <w:right w:val="single" w:sz="4" w:space="0" w:color="auto"/>
            </w:tcBorders>
            <w:shd w:val="clear" w:color="auto" w:fill="auto"/>
            <w:hideMark/>
          </w:tcPr>
          <w:p w14:paraId="271C534E" w14:textId="77777777" w:rsidR="004D2156" w:rsidRDefault="004D2156" w:rsidP="004D2156">
            <w:pPr>
              <w:spacing w:after="0" w:line="240" w:lineRule="auto"/>
              <w:jc w:val="right"/>
              <w:rPr>
                <w:rFonts w:cs="Arial"/>
                <w:b/>
                <w:bCs/>
                <w:color w:val="53565A"/>
                <w:sz w:val="16"/>
                <w:szCs w:val="16"/>
              </w:rPr>
            </w:pPr>
            <w:r w:rsidRPr="00AC52D2">
              <w:rPr>
                <w:rFonts w:cs="Arial"/>
                <w:b/>
                <w:color w:val="53565A"/>
                <w:sz w:val="16"/>
                <w:szCs w:val="16"/>
                <w:lang w:eastAsia="en-AU"/>
              </w:rPr>
              <w:t>2024-25</w:t>
            </w:r>
          </w:p>
          <w:p w14:paraId="7579C677" w14:textId="5AD13648"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Out of Scope of Agreement</w:t>
            </w:r>
          </w:p>
        </w:tc>
        <w:tc>
          <w:tcPr>
            <w:tcW w:w="936" w:type="dxa"/>
            <w:tcBorders>
              <w:top w:val="single" w:sz="4" w:space="0" w:color="auto"/>
              <w:left w:val="nil"/>
              <w:bottom w:val="single" w:sz="4" w:space="0" w:color="auto"/>
              <w:right w:val="single" w:sz="4" w:space="0" w:color="auto"/>
            </w:tcBorders>
            <w:shd w:val="clear" w:color="000000" w:fill="FFFFFF"/>
            <w:hideMark/>
          </w:tcPr>
          <w:p w14:paraId="799F33BE"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5BBFC36E" w14:textId="46385199"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Small Rural Hospitals</w:t>
            </w:r>
          </w:p>
        </w:tc>
        <w:tc>
          <w:tcPr>
            <w:tcW w:w="992" w:type="dxa"/>
            <w:tcBorders>
              <w:top w:val="single" w:sz="4" w:space="0" w:color="auto"/>
              <w:left w:val="nil"/>
              <w:bottom w:val="single" w:sz="4" w:space="0" w:color="auto"/>
              <w:right w:val="single" w:sz="4" w:space="0" w:color="auto"/>
            </w:tcBorders>
            <w:shd w:val="clear" w:color="auto" w:fill="auto"/>
            <w:hideMark/>
          </w:tcPr>
          <w:p w14:paraId="39094A36"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66B94B12" w14:textId="7528CB39"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Teaching, Training and Research</w:t>
            </w:r>
          </w:p>
        </w:tc>
        <w:tc>
          <w:tcPr>
            <w:tcW w:w="1135" w:type="dxa"/>
            <w:tcBorders>
              <w:top w:val="single" w:sz="4" w:space="0" w:color="auto"/>
              <w:left w:val="nil"/>
              <w:bottom w:val="single" w:sz="4" w:space="0" w:color="auto"/>
              <w:right w:val="single" w:sz="4" w:space="0" w:color="auto"/>
            </w:tcBorders>
          </w:tcPr>
          <w:p w14:paraId="6B681871" w14:textId="108ED387"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Total</w:t>
            </w:r>
          </w:p>
        </w:tc>
      </w:tr>
      <w:tr w:rsidR="00EC652D" w:rsidRPr="00A2223A" w14:paraId="09812B55" w14:textId="0582746B"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85E2EA9" w14:textId="281A1D9A"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Albury Wodonga Health</w:t>
            </w:r>
          </w:p>
        </w:tc>
        <w:tc>
          <w:tcPr>
            <w:tcW w:w="1106" w:type="dxa"/>
            <w:tcBorders>
              <w:top w:val="nil"/>
              <w:left w:val="nil"/>
              <w:bottom w:val="single" w:sz="4" w:space="0" w:color="auto"/>
              <w:right w:val="single" w:sz="4" w:space="0" w:color="auto"/>
            </w:tcBorders>
            <w:shd w:val="clear" w:color="auto" w:fill="auto"/>
            <w:noWrap/>
            <w:vAlign w:val="center"/>
          </w:tcPr>
          <w:p w14:paraId="4030D599" w14:textId="2F7E7AA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219,302</w:t>
            </w:r>
          </w:p>
        </w:tc>
        <w:tc>
          <w:tcPr>
            <w:tcW w:w="840" w:type="dxa"/>
            <w:tcBorders>
              <w:top w:val="nil"/>
              <w:left w:val="nil"/>
              <w:bottom w:val="single" w:sz="4" w:space="0" w:color="auto"/>
              <w:right w:val="single" w:sz="4" w:space="0" w:color="auto"/>
            </w:tcBorders>
            <w:shd w:val="clear" w:color="auto" w:fill="auto"/>
            <w:noWrap/>
            <w:vAlign w:val="center"/>
          </w:tcPr>
          <w:p w14:paraId="2C7F1E02" w14:textId="55F31096"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23AEFAE2" w14:textId="1328ACE6"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251</w:t>
            </w:r>
          </w:p>
        </w:tc>
        <w:tc>
          <w:tcPr>
            <w:tcW w:w="973" w:type="dxa"/>
            <w:tcBorders>
              <w:top w:val="single" w:sz="4" w:space="0" w:color="auto"/>
              <w:left w:val="single" w:sz="4" w:space="0" w:color="auto"/>
              <w:bottom w:val="single" w:sz="4" w:space="0" w:color="auto"/>
              <w:right w:val="single" w:sz="4" w:space="0" w:color="auto"/>
            </w:tcBorders>
            <w:vAlign w:val="center"/>
          </w:tcPr>
          <w:p w14:paraId="0ADB86DF" w14:textId="64D6490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32,362</w:t>
            </w:r>
          </w:p>
        </w:tc>
        <w:tc>
          <w:tcPr>
            <w:tcW w:w="974" w:type="dxa"/>
            <w:tcBorders>
              <w:top w:val="nil"/>
              <w:left w:val="nil"/>
              <w:bottom w:val="single" w:sz="4" w:space="0" w:color="auto"/>
              <w:right w:val="single" w:sz="4" w:space="0" w:color="auto"/>
            </w:tcBorders>
            <w:shd w:val="clear" w:color="auto" w:fill="auto"/>
            <w:noWrap/>
            <w:vAlign w:val="center"/>
          </w:tcPr>
          <w:p w14:paraId="06A55CFF" w14:textId="678D1B2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10ED6553" w14:textId="00D3598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188,340</w:t>
            </w:r>
          </w:p>
        </w:tc>
        <w:tc>
          <w:tcPr>
            <w:tcW w:w="936" w:type="dxa"/>
            <w:tcBorders>
              <w:top w:val="nil"/>
              <w:left w:val="nil"/>
              <w:bottom w:val="single" w:sz="4" w:space="0" w:color="auto"/>
              <w:right w:val="single" w:sz="4" w:space="0" w:color="auto"/>
            </w:tcBorders>
            <w:shd w:val="clear" w:color="auto" w:fill="auto"/>
            <w:noWrap/>
            <w:vAlign w:val="center"/>
          </w:tcPr>
          <w:p w14:paraId="7E54EDF3" w14:textId="7909A42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1B398A73" w14:textId="3391759E"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8,965</w:t>
            </w:r>
          </w:p>
        </w:tc>
        <w:tc>
          <w:tcPr>
            <w:tcW w:w="1135" w:type="dxa"/>
            <w:tcBorders>
              <w:top w:val="nil"/>
              <w:left w:val="nil"/>
              <w:bottom w:val="single" w:sz="4" w:space="0" w:color="auto"/>
              <w:right w:val="single" w:sz="4" w:space="0" w:color="auto"/>
            </w:tcBorders>
            <w:vAlign w:val="center"/>
          </w:tcPr>
          <w:p w14:paraId="78B8DF72" w14:textId="0F3D11DD"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449,220</w:t>
            </w:r>
          </w:p>
        </w:tc>
      </w:tr>
      <w:tr w:rsidR="00EC652D" w:rsidRPr="00A2223A" w14:paraId="601B8B2F" w14:textId="0EDC22A6"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3B680F48" w14:textId="04F23DE5"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Alfred Health</w:t>
            </w:r>
          </w:p>
        </w:tc>
        <w:tc>
          <w:tcPr>
            <w:tcW w:w="1106" w:type="dxa"/>
            <w:tcBorders>
              <w:top w:val="nil"/>
              <w:left w:val="nil"/>
              <w:bottom w:val="single" w:sz="4" w:space="0" w:color="auto"/>
              <w:right w:val="single" w:sz="4" w:space="0" w:color="auto"/>
            </w:tcBorders>
            <w:shd w:val="clear" w:color="auto" w:fill="auto"/>
            <w:noWrap/>
            <w:vAlign w:val="center"/>
          </w:tcPr>
          <w:p w14:paraId="221F07DD" w14:textId="2F4AAA9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1,251,606</w:t>
            </w:r>
          </w:p>
        </w:tc>
        <w:tc>
          <w:tcPr>
            <w:tcW w:w="840" w:type="dxa"/>
            <w:tcBorders>
              <w:top w:val="nil"/>
              <w:left w:val="nil"/>
              <w:bottom w:val="single" w:sz="4" w:space="0" w:color="auto"/>
              <w:right w:val="single" w:sz="4" w:space="0" w:color="auto"/>
            </w:tcBorders>
            <w:shd w:val="clear" w:color="auto" w:fill="auto"/>
            <w:noWrap/>
            <w:vAlign w:val="center"/>
          </w:tcPr>
          <w:p w14:paraId="1B7D606F" w14:textId="6BA8A60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14,256</w:t>
            </w:r>
          </w:p>
        </w:tc>
        <w:tc>
          <w:tcPr>
            <w:tcW w:w="974" w:type="dxa"/>
            <w:tcBorders>
              <w:top w:val="single" w:sz="4" w:space="0" w:color="auto"/>
              <w:left w:val="nil"/>
              <w:bottom w:val="single" w:sz="4" w:space="0" w:color="auto"/>
              <w:right w:val="single" w:sz="4" w:space="0" w:color="auto"/>
            </w:tcBorders>
            <w:vAlign w:val="center"/>
          </w:tcPr>
          <w:p w14:paraId="33E9502D" w14:textId="127E856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1,141</w:t>
            </w:r>
          </w:p>
        </w:tc>
        <w:tc>
          <w:tcPr>
            <w:tcW w:w="973" w:type="dxa"/>
            <w:tcBorders>
              <w:top w:val="single" w:sz="4" w:space="0" w:color="auto"/>
              <w:left w:val="single" w:sz="4" w:space="0" w:color="auto"/>
              <w:bottom w:val="single" w:sz="4" w:space="0" w:color="auto"/>
              <w:right w:val="single" w:sz="4" w:space="0" w:color="auto"/>
            </w:tcBorders>
            <w:vAlign w:val="center"/>
          </w:tcPr>
          <w:p w14:paraId="18B59DA0" w14:textId="51C2F03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75,759</w:t>
            </w:r>
          </w:p>
        </w:tc>
        <w:tc>
          <w:tcPr>
            <w:tcW w:w="974" w:type="dxa"/>
            <w:tcBorders>
              <w:top w:val="nil"/>
              <w:left w:val="nil"/>
              <w:bottom w:val="single" w:sz="4" w:space="0" w:color="auto"/>
              <w:right w:val="single" w:sz="4" w:space="0" w:color="auto"/>
            </w:tcBorders>
            <w:shd w:val="clear" w:color="auto" w:fill="auto"/>
            <w:noWrap/>
            <w:vAlign w:val="center"/>
          </w:tcPr>
          <w:p w14:paraId="4BA6D7F2" w14:textId="661E839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5AB74EDB" w14:textId="2CEC8A2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97,569</w:t>
            </w:r>
          </w:p>
        </w:tc>
        <w:tc>
          <w:tcPr>
            <w:tcW w:w="936" w:type="dxa"/>
            <w:tcBorders>
              <w:top w:val="nil"/>
              <w:left w:val="nil"/>
              <w:bottom w:val="single" w:sz="4" w:space="0" w:color="auto"/>
              <w:right w:val="single" w:sz="4" w:space="0" w:color="auto"/>
            </w:tcBorders>
            <w:shd w:val="clear" w:color="auto" w:fill="auto"/>
            <w:noWrap/>
            <w:vAlign w:val="center"/>
          </w:tcPr>
          <w:p w14:paraId="45590FA2" w14:textId="31BC75E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4B99F29" w14:textId="004E68F5"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25,951</w:t>
            </w:r>
          </w:p>
        </w:tc>
        <w:tc>
          <w:tcPr>
            <w:tcW w:w="1135" w:type="dxa"/>
            <w:tcBorders>
              <w:top w:val="nil"/>
              <w:left w:val="nil"/>
              <w:bottom w:val="single" w:sz="4" w:space="0" w:color="auto"/>
              <w:right w:val="single" w:sz="4" w:space="0" w:color="auto"/>
            </w:tcBorders>
            <w:vAlign w:val="center"/>
          </w:tcPr>
          <w:p w14:paraId="2E2A01B6" w14:textId="07FBA352"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1,466,282</w:t>
            </w:r>
          </w:p>
        </w:tc>
      </w:tr>
      <w:tr w:rsidR="00EC652D" w:rsidRPr="00A2223A" w14:paraId="1EAE1661" w14:textId="47E67671"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BB7791F" w14:textId="522FC00A"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Austin Health</w:t>
            </w:r>
          </w:p>
        </w:tc>
        <w:tc>
          <w:tcPr>
            <w:tcW w:w="1106" w:type="dxa"/>
            <w:tcBorders>
              <w:top w:val="nil"/>
              <w:left w:val="nil"/>
              <w:bottom w:val="single" w:sz="4" w:space="0" w:color="auto"/>
              <w:right w:val="single" w:sz="4" w:space="0" w:color="auto"/>
            </w:tcBorders>
            <w:shd w:val="clear" w:color="auto" w:fill="auto"/>
            <w:noWrap/>
            <w:vAlign w:val="center"/>
          </w:tcPr>
          <w:p w14:paraId="68AE5514" w14:textId="1733BAD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978,768</w:t>
            </w:r>
          </w:p>
        </w:tc>
        <w:tc>
          <w:tcPr>
            <w:tcW w:w="840" w:type="dxa"/>
            <w:tcBorders>
              <w:top w:val="nil"/>
              <w:left w:val="nil"/>
              <w:bottom w:val="single" w:sz="4" w:space="0" w:color="auto"/>
              <w:right w:val="single" w:sz="4" w:space="0" w:color="auto"/>
            </w:tcBorders>
            <w:shd w:val="clear" w:color="auto" w:fill="auto"/>
            <w:noWrap/>
            <w:vAlign w:val="center"/>
          </w:tcPr>
          <w:p w14:paraId="0302D0A9" w14:textId="7C4A165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1E0BA88E" w14:textId="2EEE8C5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844</w:t>
            </w:r>
          </w:p>
        </w:tc>
        <w:tc>
          <w:tcPr>
            <w:tcW w:w="973" w:type="dxa"/>
            <w:tcBorders>
              <w:top w:val="single" w:sz="4" w:space="0" w:color="auto"/>
              <w:left w:val="single" w:sz="4" w:space="0" w:color="auto"/>
              <w:bottom w:val="single" w:sz="4" w:space="0" w:color="auto"/>
              <w:right w:val="single" w:sz="4" w:space="0" w:color="auto"/>
            </w:tcBorders>
            <w:vAlign w:val="center"/>
          </w:tcPr>
          <w:p w14:paraId="404E1C2A" w14:textId="5C2C30F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54,026</w:t>
            </w:r>
          </w:p>
        </w:tc>
        <w:tc>
          <w:tcPr>
            <w:tcW w:w="974" w:type="dxa"/>
            <w:tcBorders>
              <w:top w:val="nil"/>
              <w:left w:val="nil"/>
              <w:bottom w:val="single" w:sz="4" w:space="0" w:color="auto"/>
              <w:right w:val="single" w:sz="4" w:space="0" w:color="auto"/>
            </w:tcBorders>
            <w:shd w:val="clear" w:color="auto" w:fill="auto"/>
            <w:noWrap/>
            <w:vAlign w:val="center"/>
          </w:tcPr>
          <w:p w14:paraId="5F95BB45" w14:textId="233AAC7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9,518</w:t>
            </w:r>
          </w:p>
        </w:tc>
        <w:tc>
          <w:tcPr>
            <w:tcW w:w="973" w:type="dxa"/>
            <w:tcBorders>
              <w:top w:val="nil"/>
              <w:left w:val="nil"/>
              <w:bottom w:val="single" w:sz="4" w:space="0" w:color="auto"/>
              <w:right w:val="single" w:sz="4" w:space="0" w:color="auto"/>
            </w:tcBorders>
            <w:shd w:val="clear" w:color="auto" w:fill="auto"/>
            <w:noWrap/>
            <w:vAlign w:val="center"/>
          </w:tcPr>
          <w:p w14:paraId="0E3E41A0" w14:textId="4E70636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165,215</w:t>
            </w:r>
          </w:p>
        </w:tc>
        <w:tc>
          <w:tcPr>
            <w:tcW w:w="936" w:type="dxa"/>
            <w:tcBorders>
              <w:top w:val="nil"/>
              <w:left w:val="nil"/>
              <w:bottom w:val="single" w:sz="4" w:space="0" w:color="auto"/>
              <w:right w:val="single" w:sz="4" w:space="0" w:color="auto"/>
            </w:tcBorders>
            <w:shd w:val="clear" w:color="auto" w:fill="auto"/>
            <w:noWrap/>
            <w:vAlign w:val="center"/>
          </w:tcPr>
          <w:p w14:paraId="05685EC3" w14:textId="2343207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100804D5" w14:textId="1E94F8F8"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24,877</w:t>
            </w:r>
          </w:p>
        </w:tc>
        <w:tc>
          <w:tcPr>
            <w:tcW w:w="1135" w:type="dxa"/>
            <w:tcBorders>
              <w:top w:val="nil"/>
              <w:left w:val="nil"/>
              <w:bottom w:val="single" w:sz="4" w:space="0" w:color="auto"/>
              <w:right w:val="single" w:sz="4" w:space="0" w:color="auto"/>
            </w:tcBorders>
            <w:vAlign w:val="center"/>
          </w:tcPr>
          <w:p w14:paraId="6F5AAF47" w14:textId="69421207"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1,233,250</w:t>
            </w:r>
          </w:p>
        </w:tc>
      </w:tr>
      <w:tr w:rsidR="00EC652D" w:rsidRPr="00A2223A" w14:paraId="2A52DDB8" w14:textId="04A97482"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79D4728" w14:textId="5CDD2A16"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Barwon Health</w:t>
            </w:r>
          </w:p>
        </w:tc>
        <w:tc>
          <w:tcPr>
            <w:tcW w:w="1106" w:type="dxa"/>
            <w:tcBorders>
              <w:top w:val="nil"/>
              <w:left w:val="nil"/>
              <w:bottom w:val="single" w:sz="4" w:space="0" w:color="auto"/>
              <w:right w:val="single" w:sz="4" w:space="0" w:color="auto"/>
            </w:tcBorders>
            <w:shd w:val="clear" w:color="auto" w:fill="auto"/>
            <w:noWrap/>
            <w:vAlign w:val="center"/>
          </w:tcPr>
          <w:p w14:paraId="07BF7AB0" w14:textId="5FB6EAF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761,909</w:t>
            </w:r>
          </w:p>
        </w:tc>
        <w:tc>
          <w:tcPr>
            <w:tcW w:w="840" w:type="dxa"/>
            <w:tcBorders>
              <w:top w:val="nil"/>
              <w:left w:val="nil"/>
              <w:bottom w:val="single" w:sz="4" w:space="0" w:color="auto"/>
              <w:right w:val="single" w:sz="4" w:space="0" w:color="auto"/>
            </w:tcBorders>
            <w:shd w:val="clear" w:color="auto" w:fill="auto"/>
            <w:noWrap/>
            <w:vAlign w:val="center"/>
          </w:tcPr>
          <w:p w14:paraId="57D26B68" w14:textId="1823286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3E6F5AD6" w14:textId="4A774F2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643</w:t>
            </w:r>
          </w:p>
        </w:tc>
        <w:tc>
          <w:tcPr>
            <w:tcW w:w="973" w:type="dxa"/>
            <w:tcBorders>
              <w:top w:val="single" w:sz="4" w:space="0" w:color="auto"/>
              <w:left w:val="single" w:sz="4" w:space="0" w:color="auto"/>
              <w:bottom w:val="single" w:sz="4" w:space="0" w:color="auto"/>
              <w:right w:val="single" w:sz="4" w:space="0" w:color="auto"/>
            </w:tcBorders>
            <w:vAlign w:val="center"/>
          </w:tcPr>
          <w:p w14:paraId="50FC865A" w14:textId="2ABE689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66,757</w:t>
            </w:r>
          </w:p>
        </w:tc>
        <w:tc>
          <w:tcPr>
            <w:tcW w:w="974" w:type="dxa"/>
            <w:tcBorders>
              <w:top w:val="nil"/>
              <w:left w:val="nil"/>
              <w:bottom w:val="single" w:sz="4" w:space="0" w:color="auto"/>
              <w:right w:val="single" w:sz="4" w:space="0" w:color="auto"/>
            </w:tcBorders>
            <w:shd w:val="clear" w:color="auto" w:fill="auto"/>
            <w:noWrap/>
            <w:vAlign w:val="center"/>
          </w:tcPr>
          <w:p w14:paraId="259E98A8" w14:textId="622136A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w:t>
            </w:r>
          </w:p>
        </w:tc>
        <w:tc>
          <w:tcPr>
            <w:tcW w:w="973" w:type="dxa"/>
            <w:tcBorders>
              <w:top w:val="nil"/>
              <w:left w:val="nil"/>
              <w:bottom w:val="single" w:sz="4" w:space="0" w:color="auto"/>
              <w:right w:val="single" w:sz="4" w:space="0" w:color="auto"/>
            </w:tcBorders>
            <w:shd w:val="clear" w:color="auto" w:fill="auto"/>
            <w:noWrap/>
            <w:vAlign w:val="center"/>
          </w:tcPr>
          <w:p w14:paraId="505332F5" w14:textId="6A4C0C8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31,856</w:t>
            </w:r>
          </w:p>
        </w:tc>
        <w:tc>
          <w:tcPr>
            <w:tcW w:w="936" w:type="dxa"/>
            <w:tcBorders>
              <w:top w:val="nil"/>
              <w:left w:val="nil"/>
              <w:bottom w:val="single" w:sz="4" w:space="0" w:color="auto"/>
              <w:right w:val="single" w:sz="4" w:space="0" w:color="auto"/>
            </w:tcBorders>
            <w:shd w:val="clear" w:color="auto" w:fill="auto"/>
            <w:noWrap/>
            <w:vAlign w:val="center"/>
          </w:tcPr>
          <w:p w14:paraId="22D6B740" w14:textId="64B8279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2240C85A" w14:textId="0CF38433"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21,010</w:t>
            </w:r>
          </w:p>
        </w:tc>
        <w:tc>
          <w:tcPr>
            <w:tcW w:w="1135" w:type="dxa"/>
            <w:tcBorders>
              <w:top w:val="nil"/>
              <w:left w:val="nil"/>
              <w:bottom w:val="single" w:sz="4" w:space="0" w:color="auto"/>
              <w:right w:val="single" w:sz="4" w:space="0" w:color="auto"/>
            </w:tcBorders>
            <w:vAlign w:val="center"/>
          </w:tcPr>
          <w:p w14:paraId="73E757F2" w14:textId="66C88CCA"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882,180</w:t>
            </w:r>
          </w:p>
        </w:tc>
      </w:tr>
      <w:tr w:rsidR="00EC652D" w:rsidRPr="00A2223A" w14:paraId="5FD4EA79" w14:textId="5388674F"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48109816" w14:textId="1CC8CAB8"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Bendigo Health</w:t>
            </w:r>
          </w:p>
        </w:tc>
        <w:tc>
          <w:tcPr>
            <w:tcW w:w="1106" w:type="dxa"/>
            <w:tcBorders>
              <w:top w:val="nil"/>
              <w:left w:val="nil"/>
              <w:bottom w:val="single" w:sz="4" w:space="0" w:color="auto"/>
              <w:right w:val="single" w:sz="4" w:space="0" w:color="auto"/>
            </w:tcBorders>
            <w:shd w:val="clear" w:color="auto" w:fill="auto"/>
            <w:noWrap/>
            <w:vAlign w:val="center"/>
          </w:tcPr>
          <w:p w14:paraId="3FA75F55" w14:textId="017F511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468,132</w:t>
            </w:r>
          </w:p>
        </w:tc>
        <w:tc>
          <w:tcPr>
            <w:tcW w:w="840" w:type="dxa"/>
            <w:tcBorders>
              <w:top w:val="nil"/>
              <w:left w:val="nil"/>
              <w:bottom w:val="single" w:sz="4" w:space="0" w:color="auto"/>
              <w:right w:val="single" w:sz="4" w:space="0" w:color="auto"/>
            </w:tcBorders>
            <w:shd w:val="clear" w:color="auto" w:fill="auto"/>
            <w:noWrap/>
            <w:vAlign w:val="center"/>
          </w:tcPr>
          <w:p w14:paraId="13010378" w14:textId="0004120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28EEBFED" w14:textId="433359C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565</w:t>
            </w:r>
          </w:p>
        </w:tc>
        <w:tc>
          <w:tcPr>
            <w:tcW w:w="973" w:type="dxa"/>
            <w:tcBorders>
              <w:top w:val="single" w:sz="4" w:space="0" w:color="auto"/>
              <w:left w:val="single" w:sz="4" w:space="0" w:color="auto"/>
              <w:bottom w:val="single" w:sz="4" w:space="0" w:color="auto"/>
              <w:right w:val="single" w:sz="4" w:space="0" w:color="auto"/>
            </w:tcBorders>
            <w:vAlign w:val="center"/>
          </w:tcPr>
          <w:p w14:paraId="6A45BCD0" w14:textId="6AAEA47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59,842</w:t>
            </w:r>
          </w:p>
        </w:tc>
        <w:tc>
          <w:tcPr>
            <w:tcW w:w="974" w:type="dxa"/>
            <w:tcBorders>
              <w:top w:val="nil"/>
              <w:left w:val="nil"/>
              <w:bottom w:val="single" w:sz="4" w:space="0" w:color="auto"/>
              <w:right w:val="single" w:sz="4" w:space="0" w:color="auto"/>
            </w:tcBorders>
            <w:shd w:val="clear" w:color="auto" w:fill="auto"/>
            <w:noWrap/>
            <w:vAlign w:val="center"/>
          </w:tcPr>
          <w:p w14:paraId="78B04522" w14:textId="23648BC6"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1D591D58" w14:textId="6F9B3A22" w:rsidR="00EC652D" w:rsidRPr="006613F1" w:rsidRDefault="003F6C6A"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8,446</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7EC77356" w14:textId="369A7A9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44A09730" w14:textId="3C9F80C1"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15,995</w:t>
            </w:r>
          </w:p>
        </w:tc>
        <w:tc>
          <w:tcPr>
            <w:tcW w:w="1135" w:type="dxa"/>
            <w:tcBorders>
              <w:top w:val="nil"/>
              <w:left w:val="nil"/>
              <w:bottom w:val="single" w:sz="4" w:space="0" w:color="auto"/>
              <w:right w:val="single" w:sz="4" w:space="0" w:color="auto"/>
            </w:tcBorders>
            <w:vAlign w:val="center"/>
          </w:tcPr>
          <w:p w14:paraId="32F023A2" w14:textId="0668DE0D"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536,088</w:t>
            </w:r>
          </w:p>
        </w:tc>
      </w:tr>
      <w:tr w:rsidR="00EC652D" w:rsidRPr="00A2223A" w14:paraId="22A2FA2D" w14:textId="79516B31" w:rsidTr="000674C4">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0633FC3A" w14:textId="31BA388A"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Calvary Health Care Bethlehem Limited</w:t>
            </w:r>
          </w:p>
        </w:tc>
        <w:tc>
          <w:tcPr>
            <w:tcW w:w="1106" w:type="dxa"/>
            <w:tcBorders>
              <w:top w:val="nil"/>
              <w:left w:val="nil"/>
              <w:bottom w:val="single" w:sz="4" w:space="0" w:color="auto"/>
              <w:right w:val="single" w:sz="4" w:space="0" w:color="auto"/>
            </w:tcBorders>
            <w:shd w:val="clear" w:color="auto" w:fill="auto"/>
            <w:noWrap/>
            <w:vAlign w:val="center"/>
          </w:tcPr>
          <w:p w14:paraId="135FEF80" w14:textId="3AAB450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28,473</w:t>
            </w:r>
          </w:p>
        </w:tc>
        <w:tc>
          <w:tcPr>
            <w:tcW w:w="840" w:type="dxa"/>
            <w:tcBorders>
              <w:top w:val="nil"/>
              <w:left w:val="nil"/>
              <w:bottom w:val="single" w:sz="4" w:space="0" w:color="auto"/>
              <w:right w:val="single" w:sz="4" w:space="0" w:color="auto"/>
            </w:tcBorders>
            <w:shd w:val="clear" w:color="auto" w:fill="auto"/>
            <w:noWrap/>
            <w:vAlign w:val="center"/>
          </w:tcPr>
          <w:p w14:paraId="6273BE57" w14:textId="197D90D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0D59FC54" w14:textId="27D2983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vAlign w:val="center"/>
          </w:tcPr>
          <w:p w14:paraId="5031EB7F" w14:textId="2A9FD77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nil"/>
              <w:left w:val="nil"/>
              <w:bottom w:val="single" w:sz="4" w:space="0" w:color="auto"/>
              <w:right w:val="single" w:sz="4" w:space="0" w:color="auto"/>
            </w:tcBorders>
            <w:shd w:val="clear" w:color="auto" w:fill="auto"/>
            <w:noWrap/>
            <w:vAlign w:val="center"/>
          </w:tcPr>
          <w:p w14:paraId="513CC3C1" w14:textId="4144E68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232EA7F8" w14:textId="196D2851" w:rsidR="00EC652D" w:rsidRPr="006613F1" w:rsidRDefault="003F6C6A"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30</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4FEE9B4D" w14:textId="6F01F3D5"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FC8BA62" w14:textId="0B4DEF91"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629</w:t>
            </w:r>
          </w:p>
        </w:tc>
        <w:tc>
          <w:tcPr>
            <w:tcW w:w="1135" w:type="dxa"/>
            <w:tcBorders>
              <w:top w:val="nil"/>
              <w:left w:val="nil"/>
              <w:bottom w:val="single" w:sz="4" w:space="0" w:color="auto"/>
              <w:right w:val="single" w:sz="4" w:space="0" w:color="auto"/>
            </w:tcBorders>
            <w:vAlign w:val="center"/>
          </w:tcPr>
          <w:p w14:paraId="438A2C37" w14:textId="4DB764E6"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29,073</w:t>
            </w:r>
          </w:p>
        </w:tc>
      </w:tr>
      <w:tr w:rsidR="00EC652D" w:rsidRPr="00A2223A" w14:paraId="0453AA5C" w14:textId="18056351"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61644924" w14:textId="094EAC68"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Eastern Health</w:t>
            </w:r>
          </w:p>
        </w:tc>
        <w:tc>
          <w:tcPr>
            <w:tcW w:w="1106" w:type="dxa"/>
            <w:tcBorders>
              <w:top w:val="nil"/>
              <w:left w:val="nil"/>
              <w:bottom w:val="single" w:sz="4" w:space="0" w:color="auto"/>
              <w:right w:val="single" w:sz="4" w:space="0" w:color="auto"/>
            </w:tcBorders>
            <w:shd w:val="clear" w:color="auto" w:fill="auto"/>
            <w:noWrap/>
            <w:vAlign w:val="center"/>
          </w:tcPr>
          <w:p w14:paraId="5F56DE24" w14:textId="606CD5B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1,196,112</w:t>
            </w:r>
          </w:p>
        </w:tc>
        <w:tc>
          <w:tcPr>
            <w:tcW w:w="840" w:type="dxa"/>
            <w:tcBorders>
              <w:top w:val="nil"/>
              <w:left w:val="nil"/>
              <w:bottom w:val="single" w:sz="4" w:space="0" w:color="auto"/>
              <w:right w:val="single" w:sz="4" w:space="0" w:color="auto"/>
            </w:tcBorders>
            <w:shd w:val="clear" w:color="auto" w:fill="auto"/>
            <w:noWrap/>
            <w:vAlign w:val="center"/>
          </w:tcPr>
          <w:p w14:paraId="2294F2C8" w14:textId="60D7B07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4732A51E" w14:textId="05F747D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1,018</w:t>
            </w:r>
          </w:p>
        </w:tc>
        <w:tc>
          <w:tcPr>
            <w:tcW w:w="973" w:type="dxa"/>
            <w:tcBorders>
              <w:top w:val="single" w:sz="4" w:space="0" w:color="auto"/>
              <w:left w:val="single" w:sz="4" w:space="0" w:color="auto"/>
              <w:bottom w:val="single" w:sz="4" w:space="0" w:color="auto"/>
              <w:right w:val="single" w:sz="4" w:space="0" w:color="auto"/>
            </w:tcBorders>
            <w:vAlign w:val="center"/>
          </w:tcPr>
          <w:p w14:paraId="7CF54E28" w14:textId="717D36B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134,098</w:t>
            </w:r>
          </w:p>
        </w:tc>
        <w:tc>
          <w:tcPr>
            <w:tcW w:w="974" w:type="dxa"/>
            <w:tcBorders>
              <w:top w:val="nil"/>
              <w:left w:val="nil"/>
              <w:bottom w:val="single" w:sz="4" w:space="0" w:color="auto"/>
              <w:right w:val="single" w:sz="4" w:space="0" w:color="auto"/>
            </w:tcBorders>
            <w:shd w:val="clear" w:color="auto" w:fill="auto"/>
            <w:noWrap/>
            <w:vAlign w:val="center"/>
          </w:tcPr>
          <w:p w14:paraId="4DF3B020" w14:textId="77C8582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18B899AA" w14:textId="2EDA127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1,212</w:t>
            </w:r>
          </w:p>
        </w:tc>
        <w:tc>
          <w:tcPr>
            <w:tcW w:w="936" w:type="dxa"/>
            <w:tcBorders>
              <w:top w:val="nil"/>
              <w:left w:val="nil"/>
              <w:bottom w:val="single" w:sz="4" w:space="0" w:color="auto"/>
              <w:right w:val="single" w:sz="4" w:space="0" w:color="auto"/>
            </w:tcBorders>
            <w:shd w:val="clear" w:color="auto" w:fill="auto"/>
            <w:noWrap/>
            <w:vAlign w:val="center"/>
          </w:tcPr>
          <w:p w14:paraId="7CEBC0A8" w14:textId="60151F0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7B4AEC2E" w14:textId="43DF6E15"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25,347</w:t>
            </w:r>
          </w:p>
        </w:tc>
        <w:tc>
          <w:tcPr>
            <w:tcW w:w="1135" w:type="dxa"/>
            <w:tcBorders>
              <w:top w:val="nil"/>
              <w:left w:val="nil"/>
              <w:bottom w:val="single" w:sz="4" w:space="0" w:color="auto"/>
              <w:right w:val="single" w:sz="4" w:space="0" w:color="auto"/>
            </w:tcBorders>
            <w:vAlign w:val="center"/>
          </w:tcPr>
          <w:p w14:paraId="21BFC8A9" w14:textId="1E88E3FF"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1,357,787</w:t>
            </w:r>
          </w:p>
        </w:tc>
      </w:tr>
      <w:tr w:rsidR="00EC652D" w:rsidRPr="00A2223A" w14:paraId="7328394B" w14:textId="7A4FCAEA"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8BB3276" w14:textId="7196E49E"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Goulburn Valley Health</w:t>
            </w:r>
          </w:p>
        </w:tc>
        <w:tc>
          <w:tcPr>
            <w:tcW w:w="1106" w:type="dxa"/>
            <w:tcBorders>
              <w:top w:val="nil"/>
              <w:left w:val="nil"/>
              <w:bottom w:val="single" w:sz="4" w:space="0" w:color="auto"/>
              <w:right w:val="single" w:sz="4" w:space="0" w:color="auto"/>
            </w:tcBorders>
            <w:shd w:val="clear" w:color="auto" w:fill="auto"/>
            <w:noWrap/>
            <w:vAlign w:val="center"/>
          </w:tcPr>
          <w:p w14:paraId="608BA4B1" w14:textId="1A060D4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267,903</w:t>
            </w:r>
          </w:p>
        </w:tc>
        <w:tc>
          <w:tcPr>
            <w:tcW w:w="840" w:type="dxa"/>
            <w:tcBorders>
              <w:top w:val="nil"/>
              <w:left w:val="nil"/>
              <w:bottom w:val="single" w:sz="4" w:space="0" w:color="auto"/>
              <w:right w:val="single" w:sz="4" w:space="0" w:color="auto"/>
            </w:tcBorders>
            <w:shd w:val="clear" w:color="auto" w:fill="auto"/>
            <w:noWrap/>
            <w:vAlign w:val="center"/>
          </w:tcPr>
          <w:p w14:paraId="683A139C" w14:textId="2533CCE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170F2470" w14:textId="0158517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427</w:t>
            </w:r>
          </w:p>
        </w:tc>
        <w:tc>
          <w:tcPr>
            <w:tcW w:w="973" w:type="dxa"/>
            <w:tcBorders>
              <w:top w:val="single" w:sz="4" w:space="0" w:color="auto"/>
              <w:left w:val="single" w:sz="4" w:space="0" w:color="auto"/>
              <w:bottom w:val="single" w:sz="4" w:space="0" w:color="auto"/>
              <w:right w:val="single" w:sz="4" w:space="0" w:color="auto"/>
            </w:tcBorders>
            <w:vAlign w:val="center"/>
          </w:tcPr>
          <w:p w14:paraId="3AF58B38" w14:textId="542601B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34,024</w:t>
            </w:r>
          </w:p>
        </w:tc>
        <w:tc>
          <w:tcPr>
            <w:tcW w:w="974" w:type="dxa"/>
            <w:tcBorders>
              <w:top w:val="nil"/>
              <w:left w:val="nil"/>
              <w:bottom w:val="single" w:sz="4" w:space="0" w:color="auto"/>
              <w:right w:val="single" w:sz="4" w:space="0" w:color="auto"/>
            </w:tcBorders>
            <w:shd w:val="clear" w:color="auto" w:fill="auto"/>
            <w:noWrap/>
            <w:vAlign w:val="center"/>
          </w:tcPr>
          <w:p w14:paraId="468B2F1D" w14:textId="409CF2C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649B4080" w14:textId="7777229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39,032</w:t>
            </w:r>
          </w:p>
        </w:tc>
        <w:tc>
          <w:tcPr>
            <w:tcW w:w="936" w:type="dxa"/>
            <w:tcBorders>
              <w:top w:val="nil"/>
              <w:left w:val="nil"/>
              <w:bottom w:val="single" w:sz="4" w:space="0" w:color="auto"/>
              <w:right w:val="single" w:sz="4" w:space="0" w:color="auto"/>
            </w:tcBorders>
            <w:shd w:val="clear" w:color="auto" w:fill="auto"/>
            <w:noWrap/>
            <w:vAlign w:val="center"/>
          </w:tcPr>
          <w:p w14:paraId="33066DF4" w14:textId="5C87E2D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18B5025C" w14:textId="58634E71"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17,118</w:t>
            </w:r>
          </w:p>
        </w:tc>
        <w:tc>
          <w:tcPr>
            <w:tcW w:w="1135" w:type="dxa"/>
            <w:tcBorders>
              <w:top w:val="nil"/>
              <w:left w:val="nil"/>
              <w:bottom w:val="single" w:sz="4" w:space="0" w:color="auto"/>
              <w:right w:val="single" w:sz="4" w:space="0" w:color="auto"/>
            </w:tcBorders>
            <w:vAlign w:val="center"/>
          </w:tcPr>
          <w:p w14:paraId="6228759B" w14:textId="4AA63255"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358,503</w:t>
            </w:r>
          </w:p>
        </w:tc>
      </w:tr>
      <w:tr w:rsidR="00EC652D" w:rsidRPr="00A2223A" w14:paraId="558637DE" w14:textId="304C1C09"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692AE316" w14:textId="605AFF45"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Grampians Health</w:t>
            </w:r>
          </w:p>
        </w:tc>
        <w:tc>
          <w:tcPr>
            <w:tcW w:w="1106" w:type="dxa"/>
            <w:tcBorders>
              <w:top w:val="nil"/>
              <w:left w:val="nil"/>
              <w:bottom w:val="single" w:sz="4" w:space="0" w:color="auto"/>
              <w:right w:val="single" w:sz="4" w:space="0" w:color="auto"/>
            </w:tcBorders>
            <w:shd w:val="clear" w:color="auto" w:fill="auto"/>
            <w:noWrap/>
            <w:vAlign w:val="center"/>
          </w:tcPr>
          <w:p w14:paraId="2D56B21D" w14:textId="7ABBF996"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485,810</w:t>
            </w:r>
          </w:p>
        </w:tc>
        <w:tc>
          <w:tcPr>
            <w:tcW w:w="840" w:type="dxa"/>
            <w:tcBorders>
              <w:top w:val="nil"/>
              <w:left w:val="nil"/>
              <w:bottom w:val="single" w:sz="4" w:space="0" w:color="auto"/>
              <w:right w:val="single" w:sz="4" w:space="0" w:color="auto"/>
            </w:tcBorders>
            <w:shd w:val="clear" w:color="auto" w:fill="auto"/>
            <w:noWrap/>
            <w:vAlign w:val="center"/>
          </w:tcPr>
          <w:p w14:paraId="71FBC452" w14:textId="27B1C47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62A76A0F" w14:textId="3B2AB83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478</w:t>
            </w:r>
          </w:p>
        </w:tc>
        <w:tc>
          <w:tcPr>
            <w:tcW w:w="973" w:type="dxa"/>
            <w:tcBorders>
              <w:top w:val="single" w:sz="4" w:space="0" w:color="auto"/>
              <w:left w:val="single" w:sz="4" w:space="0" w:color="auto"/>
              <w:bottom w:val="single" w:sz="4" w:space="0" w:color="auto"/>
              <w:right w:val="single" w:sz="4" w:space="0" w:color="auto"/>
            </w:tcBorders>
            <w:vAlign w:val="center"/>
          </w:tcPr>
          <w:p w14:paraId="4B9CAD6C" w14:textId="04898ED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43,814</w:t>
            </w:r>
          </w:p>
        </w:tc>
        <w:tc>
          <w:tcPr>
            <w:tcW w:w="974" w:type="dxa"/>
            <w:tcBorders>
              <w:top w:val="nil"/>
              <w:left w:val="nil"/>
              <w:bottom w:val="single" w:sz="4" w:space="0" w:color="auto"/>
              <w:right w:val="single" w:sz="4" w:space="0" w:color="auto"/>
            </w:tcBorders>
            <w:shd w:val="clear" w:color="auto" w:fill="auto"/>
            <w:noWrap/>
            <w:vAlign w:val="center"/>
          </w:tcPr>
          <w:p w14:paraId="3DAFE51E" w14:textId="0A3CF15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8</w:t>
            </w:r>
          </w:p>
        </w:tc>
        <w:tc>
          <w:tcPr>
            <w:tcW w:w="973" w:type="dxa"/>
            <w:tcBorders>
              <w:top w:val="nil"/>
              <w:left w:val="nil"/>
              <w:bottom w:val="single" w:sz="4" w:space="0" w:color="auto"/>
              <w:right w:val="single" w:sz="4" w:space="0" w:color="auto"/>
            </w:tcBorders>
            <w:shd w:val="clear" w:color="auto" w:fill="auto"/>
            <w:noWrap/>
            <w:vAlign w:val="center"/>
          </w:tcPr>
          <w:p w14:paraId="1FF57369" w14:textId="266A2422"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118,780</w:t>
            </w:r>
          </w:p>
        </w:tc>
        <w:tc>
          <w:tcPr>
            <w:tcW w:w="936" w:type="dxa"/>
            <w:tcBorders>
              <w:top w:val="nil"/>
              <w:left w:val="nil"/>
              <w:bottom w:val="single" w:sz="4" w:space="0" w:color="auto"/>
              <w:right w:val="single" w:sz="4" w:space="0" w:color="auto"/>
            </w:tcBorders>
            <w:shd w:val="clear" w:color="auto" w:fill="auto"/>
            <w:noWrap/>
            <w:vAlign w:val="center"/>
          </w:tcPr>
          <w:p w14:paraId="26594FDF" w14:textId="7A80EDB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5,660</w:t>
            </w:r>
          </w:p>
        </w:tc>
        <w:tc>
          <w:tcPr>
            <w:tcW w:w="992" w:type="dxa"/>
            <w:tcBorders>
              <w:top w:val="nil"/>
              <w:left w:val="nil"/>
              <w:bottom w:val="single" w:sz="4" w:space="0" w:color="auto"/>
              <w:right w:val="single" w:sz="4" w:space="0" w:color="auto"/>
            </w:tcBorders>
            <w:shd w:val="clear" w:color="auto" w:fill="auto"/>
            <w:noWrap/>
            <w:vAlign w:val="center"/>
          </w:tcPr>
          <w:p w14:paraId="4B59F7DA" w14:textId="26FDBFC2"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17,441</w:t>
            </w:r>
          </w:p>
        </w:tc>
        <w:tc>
          <w:tcPr>
            <w:tcW w:w="1135" w:type="dxa"/>
            <w:tcBorders>
              <w:top w:val="nil"/>
              <w:left w:val="nil"/>
              <w:bottom w:val="single" w:sz="4" w:space="0" w:color="auto"/>
              <w:right w:val="single" w:sz="4" w:space="0" w:color="auto"/>
            </w:tcBorders>
            <w:vAlign w:val="center"/>
          </w:tcPr>
          <w:p w14:paraId="72DC53CB" w14:textId="2452225A"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671,991</w:t>
            </w:r>
          </w:p>
        </w:tc>
      </w:tr>
      <w:tr w:rsidR="00EC652D" w:rsidRPr="00A2223A" w14:paraId="1AE7CDCB" w14:textId="00DC8867"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91A190A" w14:textId="60E256E4"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Latrobe Regional Health</w:t>
            </w:r>
          </w:p>
        </w:tc>
        <w:tc>
          <w:tcPr>
            <w:tcW w:w="1106" w:type="dxa"/>
            <w:tcBorders>
              <w:top w:val="nil"/>
              <w:left w:val="nil"/>
              <w:bottom w:val="single" w:sz="4" w:space="0" w:color="auto"/>
              <w:right w:val="single" w:sz="4" w:space="0" w:color="auto"/>
            </w:tcBorders>
            <w:shd w:val="clear" w:color="auto" w:fill="auto"/>
            <w:noWrap/>
            <w:vAlign w:val="center"/>
          </w:tcPr>
          <w:p w14:paraId="193F62DC" w14:textId="4BF7E0E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284,952</w:t>
            </w:r>
          </w:p>
        </w:tc>
        <w:tc>
          <w:tcPr>
            <w:tcW w:w="840" w:type="dxa"/>
            <w:tcBorders>
              <w:top w:val="nil"/>
              <w:left w:val="nil"/>
              <w:bottom w:val="single" w:sz="4" w:space="0" w:color="auto"/>
              <w:right w:val="single" w:sz="4" w:space="0" w:color="auto"/>
            </w:tcBorders>
            <w:shd w:val="clear" w:color="auto" w:fill="auto"/>
            <w:noWrap/>
            <w:vAlign w:val="center"/>
          </w:tcPr>
          <w:p w14:paraId="2FC05DAD" w14:textId="751B71F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01D681D4" w14:textId="7213358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419</w:t>
            </w:r>
          </w:p>
        </w:tc>
        <w:tc>
          <w:tcPr>
            <w:tcW w:w="973" w:type="dxa"/>
            <w:tcBorders>
              <w:top w:val="single" w:sz="4" w:space="0" w:color="auto"/>
              <w:left w:val="single" w:sz="4" w:space="0" w:color="auto"/>
              <w:bottom w:val="single" w:sz="4" w:space="0" w:color="auto"/>
              <w:right w:val="single" w:sz="4" w:space="0" w:color="auto"/>
            </w:tcBorders>
            <w:vAlign w:val="center"/>
          </w:tcPr>
          <w:p w14:paraId="1D3F5C89" w14:textId="2C0F920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51,571</w:t>
            </w:r>
          </w:p>
        </w:tc>
        <w:tc>
          <w:tcPr>
            <w:tcW w:w="974" w:type="dxa"/>
            <w:tcBorders>
              <w:top w:val="nil"/>
              <w:left w:val="nil"/>
              <w:bottom w:val="single" w:sz="4" w:space="0" w:color="auto"/>
              <w:right w:val="single" w:sz="4" w:space="0" w:color="auto"/>
            </w:tcBorders>
            <w:shd w:val="clear" w:color="auto" w:fill="auto"/>
            <w:noWrap/>
            <w:vAlign w:val="center"/>
          </w:tcPr>
          <w:p w14:paraId="7B86426A" w14:textId="71362D4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68AEDDAF" w14:textId="469B748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10,038</w:t>
            </w:r>
          </w:p>
        </w:tc>
        <w:tc>
          <w:tcPr>
            <w:tcW w:w="936" w:type="dxa"/>
            <w:tcBorders>
              <w:top w:val="nil"/>
              <w:left w:val="nil"/>
              <w:bottom w:val="single" w:sz="4" w:space="0" w:color="auto"/>
              <w:right w:val="single" w:sz="4" w:space="0" w:color="auto"/>
            </w:tcBorders>
            <w:shd w:val="clear" w:color="auto" w:fill="auto"/>
            <w:noWrap/>
            <w:vAlign w:val="center"/>
          </w:tcPr>
          <w:p w14:paraId="177B621C" w14:textId="4743A1F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736F9659" w14:textId="6A063F85"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7,610</w:t>
            </w:r>
          </w:p>
        </w:tc>
        <w:tc>
          <w:tcPr>
            <w:tcW w:w="1135" w:type="dxa"/>
            <w:tcBorders>
              <w:top w:val="nil"/>
              <w:left w:val="nil"/>
              <w:bottom w:val="single" w:sz="4" w:space="0" w:color="auto"/>
              <w:right w:val="single" w:sz="4" w:space="0" w:color="auto"/>
            </w:tcBorders>
            <w:vAlign w:val="center"/>
          </w:tcPr>
          <w:p w14:paraId="276999BB" w14:textId="330FACEF"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354,590</w:t>
            </w:r>
          </w:p>
        </w:tc>
      </w:tr>
      <w:tr w:rsidR="00EC652D" w:rsidRPr="00A2223A" w14:paraId="1F5BC85E" w14:textId="553E1E5E"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49CEA928" w14:textId="2F99D91E"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Melbourne Health</w:t>
            </w:r>
          </w:p>
        </w:tc>
        <w:tc>
          <w:tcPr>
            <w:tcW w:w="1106" w:type="dxa"/>
            <w:tcBorders>
              <w:top w:val="nil"/>
              <w:left w:val="nil"/>
              <w:bottom w:val="single" w:sz="4" w:space="0" w:color="auto"/>
              <w:right w:val="single" w:sz="4" w:space="0" w:color="auto"/>
            </w:tcBorders>
            <w:shd w:val="clear" w:color="auto" w:fill="auto"/>
            <w:noWrap/>
            <w:vAlign w:val="center"/>
          </w:tcPr>
          <w:p w14:paraId="183C3727" w14:textId="5B8CEB1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1,037,667</w:t>
            </w:r>
          </w:p>
        </w:tc>
        <w:tc>
          <w:tcPr>
            <w:tcW w:w="840" w:type="dxa"/>
            <w:tcBorders>
              <w:top w:val="nil"/>
              <w:left w:val="nil"/>
              <w:bottom w:val="single" w:sz="4" w:space="0" w:color="auto"/>
              <w:right w:val="single" w:sz="4" w:space="0" w:color="auto"/>
            </w:tcBorders>
            <w:shd w:val="clear" w:color="auto" w:fill="auto"/>
            <w:noWrap/>
            <w:vAlign w:val="center"/>
          </w:tcPr>
          <w:p w14:paraId="591CA1EB" w14:textId="3E00E08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364</w:t>
            </w:r>
          </w:p>
        </w:tc>
        <w:tc>
          <w:tcPr>
            <w:tcW w:w="974" w:type="dxa"/>
            <w:tcBorders>
              <w:top w:val="single" w:sz="4" w:space="0" w:color="auto"/>
              <w:left w:val="nil"/>
              <w:bottom w:val="single" w:sz="4" w:space="0" w:color="auto"/>
              <w:right w:val="single" w:sz="4" w:space="0" w:color="auto"/>
            </w:tcBorders>
            <w:vAlign w:val="center"/>
          </w:tcPr>
          <w:p w14:paraId="3A7C8A8A" w14:textId="3CF9941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3,318</w:t>
            </w:r>
          </w:p>
        </w:tc>
        <w:tc>
          <w:tcPr>
            <w:tcW w:w="973" w:type="dxa"/>
            <w:tcBorders>
              <w:top w:val="single" w:sz="4" w:space="0" w:color="auto"/>
              <w:left w:val="single" w:sz="4" w:space="0" w:color="auto"/>
              <w:bottom w:val="single" w:sz="4" w:space="0" w:color="auto"/>
              <w:right w:val="single" w:sz="4" w:space="0" w:color="auto"/>
            </w:tcBorders>
            <w:vAlign w:val="center"/>
          </w:tcPr>
          <w:p w14:paraId="56DBA5A0" w14:textId="746B222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96,740</w:t>
            </w:r>
          </w:p>
        </w:tc>
        <w:tc>
          <w:tcPr>
            <w:tcW w:w="974" w:type="dxa"/>
            <w:tcBorders>
              <w:top w:val="nil"/>
              <w:left w:val="nil"/>
              <w:bottom w:val="single" w:sz="4" w:space="0" w:color="auto"/>
              <w:right w:val="single" w:sz="4" w:space="0" w:color="auto"/>
            </w:tcBorders>
            <w:shd w:val="clear" w:color="auto" w:fill="auto"/>
            <w:noWrap/>
            <w:vAlign w:val="center"/>
          </w:tcPr>
          <w:p w14:paraId="2A32E9B4" w14:textId="764A21B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7E3C7694" w14:textId="528F1E3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138,437</w:t>
            </w:r>
          </w:p>
        </w:tc>
        <w:tc>
          <w:tcPr>
            <w:tcW w:w="936" w:type="dxa"/>
            <w:tcBorders>
              <w:top w:val="nil"/>
              <w:left w:val="nil"/>
              <w:bottom w:val="single" w:sz="4" w:space="0" w:color="auto"/>
              <w:right w:val="single" w:sz="4" w:space="0" w:color="auto"/>
            </w:tcBorders>
            <w:shd w:val="clear" w:color="auto" w:fill="auto"/>
            <w:noWrap/>
            <w:vAlign w:val="center"/>
          </w:tcPr>
          <w:p w14:paraId="709E03F3" w14:textId="1CC5582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790A689A" w14:textId="0B720B59"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28,307</w:t>
            </w:r>
          </w:p>
        </w:tc>
        <w:tc>
          <w:tcPr>
            <w:tcW w:w="1135" w:type="dxa"/>
            <w:tcBorders>
              <w:top w:val="nil"/>
              <w:left w:val="nil"/>
              <w:bottom w:val="single" w:sz="4" w:space="0" w:color="auto"/>
              <w:right w:val="single" w:sz="4" w:space="0" w:color="auto"/>
            </w:tcBorders>
            <w:vAlign w:val="center"/>
          </w:tcPr>
          <w:p w14:paraId="4B1FE7EF" w14:textId="33F166C3"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1,304,832</w:t>
            </w:r>
          </w:p>
        </w:tc>
      </w:tr>
      <w:tr w:rsidR="00EC652D" w:rsidRPr="00A2223A" w14:paraId="65744D79" w14:textId="75894F0C"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F2291B2" w14:textId="504F0346"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Mercy Hospitals Victoria Limited</w:t>
            </w:r>
          </w:p>
        </w:tc>
        <w:tc>
          <w:tcPr>
            <w:tcW w:w="1106" w:type="dxa"/>
            <w:tcBorders>
              <w:top w:val="nil"/>
              <w:left w:val="nil"/>
              <w:bottom w:val="single" w:sz="4" w:space="0" w:color="auto"/>
              <w:right w:val="single" w:sz="4" w:space="0" w:color="auto"/>
            </w:tcBorders>
            <w:shd w:val="clear" w:color="auto" w:fill="auto"/>
            <w:noWrap/>
            <w:vAlign w:val="center"/>
          </w:tcPr>
          <w:p w14:paraId="0C3C2173" w14:textId="0B122F5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500,975</w:t>
            </w:r>
          </w:p>
        </w:tc>
        <w:tc>
          <w:tcPr>
            <w:tcW w:w="840" w:type="dxa"/>
            <w:tcBorders>
              <w:top w:val="nil"/>
              <w:left w:val="nil"/>
              <w:bottom w:val="single" w:sz="4" w:space="0" w:color="auto"/>
              <w:right w:val="single" w:sz="4" w:space="0" w:color="auto"/>
            </w:tcBorders>
            <w:shd w:val="clear" w:color="auto" w:fill="auto"/>
            <w:noWrap/>
            <w:vAlign w:val="center"/>
          </w:tcPr>
          <w:p w14:paraId="79DBECB3" w14:textId="06DEAA1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05148A83" w14:textId="5D4BEBF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986</w:t>
            </w:r>
          </w:p>
        </w:tc>
        <w:tc>
          <w:tcPr>
            <w:tcW w:w="973" w:type="dxa"/>
            <w:tcBorders>
              <w:top w:val="single" w:sz="4" w:space="0" w:color="auto"/>
              <w:left w:val="single" w:sz="4" w:space="0" w:color="auto"/>
              <w:bottom w:val="single" w:sz="4" w:space="0" w:color="auto"/>
              <w:right w:val="single" w:sz="4" w:space="0" w:color="auto"/>
            </w:tcBorders>
            <w:vAlign w:val="center"/>
          </w:tcPr>
          <w:p w14:paraId="00128442" w14:textId="329C733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50,431</w:t>
            </w:r>
          </w:p>
        </w:tc>
        <w:tc>
          <w:tcPr>
            <w:tcW w:w="974" w:type="dxa"/>
            <w:tcBorders>
              <w:top w:val="nil"/>
              <w:left w:val="nil"/>
              <w:bottom w:val="single" w:sz="4" w:space="0" w:color="auto"/>
              <w:right w:val="single" w:sz="4" w:space="0" w:color="auto"/>
            </w:tcBorders>
            <w:shd w:val="clear" w:color="auto" w:fill="auto"/>
            <w:noWrap/>
            <w:vAlign w:val="center"/>
          </w:tcPr>
          <w:p w14:paraId="77090841" w14:textId="07D2AF4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308E93FC" w14:textId="6097D9FA" w:rsidR="00EC652D" w:rsidRPr="006613F1" w:rsidRDefault="003F6C6A"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1,767</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68CFFEFD" w14:textId="794C8C1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E7624F4" w14:textId="2591DC81"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11,927</w:t>
            </w:r>
          </w:p>
        </w:tc>
        <w:tc>
          <w:tcPr>
            <w:tcW w:w="1135" w:type="dxa"/>
            <w:tcBorders>
              <w:top w:val="nil"/>
              <w:left w:val="nil"/>
              <w:bottom w:val="single" w:sz="4" w:space="0" w:color="auto"/>
              <w:right w:val="single" w:sz="4" w:space="0" w:color="auto"/>
            </w:tcBorders>
            <w:vAlign w:val="center"/>
          </w:tcPr>
          <w:p w14:paraId="2FAA723A" w14:textId="0BD588A6"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562,552</w:t>
            </w:r>
          </w:p>
        </w:tc>
      </w:tr>
      <w:tr w:rsidR="00EC652D" w:rsidRPr="00A2223A" w14:paraId="635D6745" w14:textId="7F10DF35"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39CD1AEF" w14:textId="74C9CCC8"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Monash Health</w:t>
            </w:r>
          </w:p>
        </w:tc>
        <w:tc>
          <w:tcPr>
            <w:tcW w:w="1106" w:type="dxa"/>
            <w:tcBorders>
              <w:top w:val="nil"/>
              <w:left w:val="nil"/>
              <w:bottom w:val="single" w:sz="4" w:space="0" w:color="auto"/>
              <w:right w:val="single" w:sz="4" w:space="0" w:color="auto"/>
            </w:tcBorders>
            <w:shd w:val="clear" w:color="auto" w:fill="auto"/>
            <w:noWrap/>
            <w:vAlign w:val="center"/>
          </w:tcPr>
          <w:p w14:paraId="0C8F25F5" w14:textId="3A2BCA5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2,219,995</w:t>
            </w:r>
          </w:p>
        </w:tc>
        <w:tc>
          <w:tcPr>
            <w:tcW w:w="840" w:type="dxa"/>
            <w:tcBorders>
              <w:top w:val="nil"/>
              <w:left w:val="nil"/>
              <w:bottom w:val="single" w:sz="4" w:space="0" w:color="auto"/>
              <w:right w:val="single" w:sz="4" w:space="0" w:color="auto"/>
            </w:tcBorders>
            <w:shd w:val="clear" w:color="auto" w:fill="auto"/>
            <w:noWrap/>
            <w:vAlign w:val="center"/>
          </w:tcPr>
          <w:p w14:paraId="6AAFE764" w14:textId="6B45FAB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1,538</w:t>
            </w:r>
          </w:p>
        </w:tc>
        <w:tc>
          <w:tcPr>
            <w:tcW w:w="974" w:type="dxa"/>
            <w:tcBorders>
              <w:top w:val="single" w:sz="4" w:space="0" w:color="auto"/>
              <w:left w:val="nil"/>
              <w:bottom w:val="single" w:sz="4" w:space="0" w:color="auto"/>
              <w:right w:val="single" w:sz="4" w:space="0" w:color="auto"/>
            </w:tcBorders>
            <w:vAlign w:val="center"/>
          </w:tcPr>
          <w:p w14:paraId="794CDACA" w14:textId="7E29115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3,064</w:t>
            </w:r>
          </w:p>
        </w:tc>
        <w:tc>
          <w:tcPr>
            <w:tcW w:w="973" w:type="dxa"/>
            <w:tcBorders>
              <w:top w:val="single" w:sz="4" w:space="0" w:color="auto"/>
              <w:left w:val="single" w:sz="4" w:space="0" w:color="auto"/>
              <w:bottom w:val="single" w:sz="4" w:space="0" w:color="auto"/>
              <w:right w:val="single" w:sz="4" w:space="0" w:color="auto"/>
            </w:tcBorders>
            <w:vAlign w:val="center"/>
          </w:tcPr>
          <w:p w14:paraId="14727411" w14:textId="049C8C8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172,687</w:t>
            </w:r>
          </w:p>
        </w:tc>
        <w:tc>
          <w:tcPr>
            <w:tcW w:w="974" w:type="dxa"/>
            <w:tcBorders>
              <w:top w:val="nil"/>
              <w:left w:val="nil"/>
              <w:bottom w:val="single" w:sz="4" w:space="0" w:color="auto"/>
              <w:right w:val="single" w:sz="4" w:space="0" w:color="auto"/>
            </w:tcBorders>
            <w:shd w:val="clear" w:color="auto" w:fill="auto"/>
            <w:noWrap/>
            <w:vAlign w:val="center"/>
          </w:tcPr>
          <w:p w14:paraId="27760800" w14:textId="5AF6A90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761DBFD0" w14:textId="07D650F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167,479</w:t>
            </w:r>
          </w:p>
        </w:tc>
        <w:tc>
          <w:tcPr>
            <w:tcW w:w="936" w:type="dxa"/>
            <w:tcBorders>
              <w:top w:val="nil"/>
              <w:left w:val="nil"/>
              <w:bottom w:val="single" w:sz="4" w:space="0" w:color="auto"/>
              <w:right w:val="single" w:sz="4" w:space="0" w:color="auto"/>
            </w:tcBorders>
            <w:shd w:val="clear" w:color="auto" w:fill="auto"/>
            <w:noWrap/>
            <w:vAlign w:val="center"/>
          </w:tcPr>
          <w:p w14:paraId="6E548A44" w14:textId="5BD13B2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3C494EB6" w14:textId="600855D8"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46,730</w:t>
            </w:r>
          </w:p>
        </w:tc>
        <w:tc>
          <w:tcPr>
            <w:tcW w:w="1135" w:type="dxa"/>
            <w:tcBorders>
              <w:top w:val="nil"/>
              <w:left w:val="nil"/>
              <w:bottom w:val="single" w:sz="4" w:space="0" w:color="auto"/>
              <w:right w:val="single" w:sz="4" w:space="0" w:color="auto"/>
            </w:tcBorders>
            <w:vAlign w:val="center"/>
          </w:tcPr>
          <w:p w14:paraId="454FF3DB" w14:textId="2AF0888D"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2,611,493</w:t>
            </w:r>
          </w:p>
        </w:tc>
      </w:tr>
      <w:tr w:rsidR="00EC652D" w:rsidRPr="00A2223A" w14:paraId="4AE3B102" w14:textId="740B5227"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14FA307" w14:textId="4328E2CA"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Northern Health</w:t>
            </w:r>
          </w:p>
        </w:tc>
        <w:tc>
          <w:tcPr>
            <w:tcW w:w="1106" w:type="dxa"/>
            <w:tcBorders>
              <w:top w:val="nil"/>
              <w:left w:val="nil"/>
              <w:bottom w:val="single" w:sz="4" w:space="0" w:color="auto"/>
              <w:right w:val="single" w:sz="4" w:space="0" w:color="auto"/>
            </w:tcBorders>
            <w:shd w:val="clear" w:color="auto" w:fill="auto"/>
            <w:noWrap/>
            <w:vAlign w:val="center"/>
          </w:tcPr>
          <w:p w14:paraId="372DF8AB" w14:textId="67757B1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1,006,261</w:t>
            </w:r>
          </w:p>
        </w:tc>
        <w:tc>
          <w:tcPr>
            <w:tcW w:w="840" w:type="dxa"/>
            <w:tcBorders>
              <w:top w:val="nil"/>
              <w:left w:val="nil"/>
              <w:bottom w:val="single" w:sz="4" w:space="0" w:color="auto"/>
              <w:right w:val="single" w:sz="4" w:space="0" w:color="auto"/>
            </w:tcBorders>
            <w:shd w:val="clear" w:color="auto" w:fill="auto"/>
            <w:noWrap/>
            <w:vAlign w:val="center"/>
          </w:tcPr>
          <w:p w14:paraId="79A989A4" w14:textId="0657628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78124A64" w14:textId="5B9C30C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1,429</w:t>
            </w:r>
          </w:p>
        </w:tc>
        <w:tc>
          <w:tcPr>
            <w:tcW w:w="973" w:type="dxa"/>
            <w:tcBorders>
              <w:top w:val="single" w:sz="4" w:space="0" w:color="auto"/>
              <w:left w:val="single" w:sz="4" w:space="0" w:color="auto"/>
              <w:bottom w:val="single" w:sz="4" w:space="0" w:color="auto"/>
              <w:right w:val="single" w:sz="4" w:space="0" w:color="auto"/>
            </w:tcBorders>
            <w:vAlign w:val="center"/>
          </w:tcPr>
          <w:p w14:paraId="70BCDB3B" w14:textId="706ACCD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105,187</w:t>
            </w:r>
          </w:p>
        </w:tc>
        <w:tc>
          <w:tcPr>
            <w:tcW w:w="974" w:type="dxa"/>
            <w:tcBorders>
              <w:top w:val="nil"/>
              <w:left w:val="nil"/>
              <w:bottom w:val="single" w:sz="4" w:space="0" w:color="auto"/>
              <w:right w:val="single" w:sz="4" w:space="0" w:color="auto"/>
            </w:tcBorders>
            <w:shd w:val="clear" w:color="auto" w:fill="auto"/>
            <w:noWrap/>
            <w:vAlign w:val="center"/>
          </w:tcPr>
          <w:p w14:paraId="3EFB5519" w14:textId="08CF35D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56,053</w:t>
            </w:r>
          </w:p>
        </w:tc>
        <w:tc>
          <w:tcPr>
            <w:tcW w:w="973" w:type="dxa"/>
            <w:tcBorders>
              <w:top w:val="nil"/>
              <w:left w:val="nil"/>
              <w:bottom w:val="single" w:sz="4" w:space="0" w:color="auto"/>
              <w:right w:val="single" w:sz="4" w:space="0" w:color="auto"/>
            </w:tcBorders>
            <w:shd w:val="clear" w:color="auto" w:fill="auto"/>
            <w:noWrap/>
            <w:vAlign w:val="center"/>
          </w:tcPr>
          <w:p w14:paraId="4AFC6996" w14:textId="4A46C72F" w:rsidR="00EC652D" w:rsidRPr="006613F1" w:rsidRDefault="003F6C6A"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177,493</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506B8099" w14:textId="7FAFDE8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19,545</w:t>
            </w:r>
          </w:p>
        </w:tc>
        <w:tc>
          <w:tcPr>
            <w:tcW w:w="992" w:type="dxa"/>
            <w:tcBorders>
              <w:top w:val="nil"/>
              <w:left w:val="nil"/>
              <w:bottom w:val="single" w:sz="4" w:space="0" w:color="auto"/>
              <w:right w:val="single" w:sz="4" w:space="0" w:color="auto"/>
            </w:tcBorders>
            <w:shd w:val="clear" w:color="auto" w:fill="auto"/>
            <w:noWrap/>
            <w:vAlign w:val="center"/>
          </w:tcPr>
          <w:p w14:paraId="47315702" w14:textId="3AC75E98"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21,839</w:t>
            </w:r>
          </w:p>
        </w:tc>
        <w:tc>
          <w:tcPr>
            <w:tcW w:w="1135" w:type="dxa"/>
            <w:tcBorders>
              <w:top w:val="nil"/>
              <w:left w:val="nil"/>
              <w:bottom w:val="single" w:sz="4" w:space="0" w:color="auto"/>
              <w:right w:val="single" w:sz="4" w:space="0" w:color="auto"/>
            </w:tcBorders>
            <w:vAlign w:val="center"/>
          </w:tcPr>
          <w:p w14:paraId="715B8A78" w14:textId="37AA9515"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1,032,820</w:t>
            </w:r>
          </w:p>
        </w:tc>
      </w:tr>
      <w:tr w:rsidR="00EC652D" w:rsidRPr="00A2223A" w14:paraId="4E3D8AF9" w14:textId="7CC0F4F7"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C0A65EE" w14:textId="1E1D5FC3"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Peninsula Health</w:t>
            </w:r>
          </w:p>
        </w:tc>
        <w:tc>
          <w:tcPr>
            <w:tcW w:w="1106" w:type="dxa"/>
            <w:tcBorders>
              <w:top w:val="nil"/>
              <w:left w:val="nil"/>
              <w:bottom w:val="single" w:sz="4" w:space="0" w:color="auto"/>
              <w:right w:val="single" w:sz="4" w:space="0" w:color="auto"/>
            </w:tcBorders>
            <w:shd w:val="clear" w:color="auto" w:fill="auto"/>
            <w:noWrap/>
            <w:vAlign w:val="center"/>
          </w:tcPr>
          <w:p w14:paraId="55F52AE2" w14:textId="6990D0F2"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753,889</w:t>
            </w:r>
          </w:p>
        </w:tc>
        <w:tc>
          <w:tcPr>
            <w:tcW w:w="840" w:type="dxa"/>
            <w:tcBorders>
              <w:top w:val="nil"/>
              <w:left w:val="nil"/>
              <w:bottom w:val="single" w:sz="4" w:space="0" w:color="auto"/>
              <w:right w:val="single" w:sz="4" w:space="0" w:color="auto"/>
            </w:tcBorders>
            <w:shd w:val="clear" w:color="auto" w:fill="auto"/>
            <w:noWrap/>
            <w:vAlign w:val="center"/>
          </w:tcPr>
          <w:p w14:paraId="397B0E9F" w14:textId="46F0C47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40ECC087" w14:textId="4557271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771</w:t>
            </w:r>
          </w:p>
        </w:tc>
        <w:tc>
          <w:tcPr>
            <w:tcW w:w="973" w:type="dxa"/>
            <w:tcBorders>
              <w:top w:val="single" w:sz="4" w:space="0" w:color="auto"/>
              <w:left w:val="single" w:sz="4" w:space="0" w:color="auto"/>
              <w:bottom w:val="single" w:sz="4" w:space="0" w:color="auto"/>
              <w:right w:val="single" w:sz="4" w:space="0" w:color="auto"/>
            </w:tcBorders>
            <w:vAlign w:val="center"/>
          </w:tcPr>
          <w:p w14:paraId="55A2E1EB" w14:textId="64B0877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64,381</w:t>
            </w:r>
          </w:p>
        </w:tc>
        <w:tc>
          <w:tcPr>
            <w:tcW w:w="974" w:type="dxa"/>
            <w:tcBorders>
              <w:top w:val="nil"/>
              <w:left w:val="nil"/>
              <w:bottom w:val="single" w:sz="4" w:space="0" w:color="auto"/>
              <w:right w:val="single" w:sz="4" w:space="0" w:color="auto"/>
            </w:tcBorders>
            <w:shd w:val="clear" w:color="auto" w:fill="auto"/>
            <w:noWrap/>
            <w:vAlign w:val="center"/>
          </w:tcPr>
          <w:p w14:paraId="04D0774D" w14:textId="4171033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4C7D6B8F" w14:textId="398AF492" w:rsidR="00EC652D" w:rsidRPr="006613F1" w:rsidRDefault="003F6C6A"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2,606</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02943BB3" w14:textId="3434D02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BC2E0FA" w14:textId="4D34E246"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15,890</w:t>
            </w:r>
          </w:p>
        </w:tc>
        <w:tc>
          <w:tcPr>
            <w:tcW w:w="1135" w:type="dxa"/>
            <w:tcBorders>
              <w:top w:val="nil"/>
              <w:left w:val="nil"/>
              <w:bottom w:val="single" w:sz="4" w:space="0" w:color="auto"/>
              <w:right w:val="single" w:sz="4" w:space="0" w:color="auto"/>
            </w:tcBorders>
            <w:vAlign w:val="center"/>
          </w:tcPr>
          <w:p w14:paraId="1182A0E5" w14:textId="33ACB547"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832,325</w:t>
            </w:r>
          </w:p>
        </w:tc>
      </w:tr>
      <w:tr w:rsidR="00EC652D" w:rsidRPr="00A2223A" w14:paraId="3F2C4C31" w14:textId="172B321A"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A094D1D" w14:textId="0E9C0859"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Peter Maccallum Cancer Institute</w:t>
            </w:r>
          </w:p>
        </w:tc>
        <w:tc>
          <w:tcPr>
            <w:tcW w:w="1106" w:type="dxa"/>
            <w:tcBorders>
              <w:top w:val="nil"/>
              <w:left w:val="nil"/>
              <w:bottom w:val="single" w:sz="4" w:space="0" w:color="auto"/>
              <w:right w:val="single" w:sz="4" w:space="0" w:color="auto"/>
            </w:tcBorders>
            <w:shd w:val="clear" w:color="auto" w:fill="auto"/>
            <w:noWrap/>
            <w:vAlign w:val="center"/>
          </w:tcPr>
          <w:p w14:paraId="41E013D9" w14:textId="733A959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270,644</w:t>
            </w:r>
          </w:p>
        </w:tc>
        <w:tc>
          <w:tcPr>
            <w:tcW w:w="840" w:type="dxa"/>
            <w:tcBorders>
              <w:top w:val="nil"/>
              <w:left w:val="nil"/>
              <w:bottom w:val="single" w:sz="4" w:space="0" w:color="auto"/>
              <w:right w:val="single" w:sz="4" w:space="0" w:color="auto"/>
            </w:tcBorders>
            <w:shd w:val="clear" w:color="auto" w:fill="auto"/>
            <w:noWrap/>
            <w:vAlign w:val="center"/>
          </w:tcPr>
          <w:p w14:paraId="4C663C28" w14:textId="470A71F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47,918</w:t>
            </w:r>
          </w:p>
        </w:tc>
        <w:tc>
          <w:tcPr>
            <w:tcW w:w="974" w:type="dxa"/>
            <w:tcBorders>
              <w:top w:val="single" w:sz="4" w:space="0" w:color="auto"/>
              <w:left w:val="nil"/>
              <w:bottom w:val="single" w:sz="4" w:space="0" w:color="auto"/>
              <w:right w:val="single" w:sz="4" w:space="0" w:color="auto"/>
            </w:tcBorders>
            <w:vAlign w:val="center"/>
          </w:tcPr>
          <w:p w14:paraId="091E9996" w14:textId="0ED8835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vAlign w:val="center"/>
          </w:tcPr>
          <w:p w14:paraId="75F6B4CE" w14:textId="177A917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nil"/>
              <w:left w:val="nil"/>
              <w:bottom w:val="single" w:sz="4" w:space="0" w:color="auto"/>
              <w:right w:val="single" w:sz="4" w:space="0" w:color="auto"/>
            </w:tcBorders>
            <w:shd w:val="clear" w:color="auto" w:fill="auto"/>
            <w:noWrap/>
            <w:vAlign w:val="center"/>
          </w:tcPr>
          <w:p w14:paraId="4F6473FE" w14:textId="3423B69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5BC2AC51" w14:textId="731EBF4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47,241</w:t>
            </w:r>
          </w:p>
        </w:tc>
        <w:tc>
          <w:tcPr>
            <w:tcW w:w="936" w:type="dxa"/>
            <w:tcBorders>
              <w:top w:val="nil"/>
              <w:left w:val="nil"/>
              <w:bottom w:val="single" w:sz="4" w:space="0" w:color="auto"/>
              <w:right w:val="single" w:sz="4" w:space="0" w:color="auto"/>
            </w:tcBorders>
            <w:shd w:val="clear" w:color="auto" w:fill="auto"/>
            <w:noWrap/>
            <w:vAlign w:val="center"/>
          </w:tcPr>
          <w:p w14:paraId="56597F7C" w14:textId="1A4DD32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427C8CA4" w14:textId="605F403B"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4,283</w:t>
            </w:r>
          </w:p>
        </w:tc>
        <w:tc>
          <w:tcPr>
            <w:tcW w:w="1135" w:type="dxa"/>
            <w:tcBorders>
              <w:top w:val="nil"/>
              <w:left w:val="nil"/>
              <w:bottom w:val="single" w:sz="4" w:space="0" w:color="auto"/>
              <w:right w:val="single" w:sz="4" w:space="0" w:color="auto"/>
            </w:tcBorders>
            <w:vAlign w:val="center"/>
          </w:tcPr>
          <w:p w14:paraId="6F2DCD55" w14:textId="6B3BAE94"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370,085</w:t>
            </w:r>
          </w:p>
        </w:tc>
      </w:tr>
      <w:tr w:rsidR="00EC652D" w:rsidRPr="00A2223A" w14:paraId="402C00A3" w14:textId="4550D644" w:rsidTr="000674C4">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173BAC3" w14:textId="3E3BE96B"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St Vincents Hospital Melbourne Limited</w:t>
            </w:r>
          </w:p>
        </w:tc>
        <w:tc>
          <w:tcPr>
            <w:tcW w:w="1106" w:type="dxa"/>
            <w:tcBorders>
              <w:top w:val="nil"/>
              <w:left w:val="nil"/>
              <w:bottom w:val="single" w:sz="4" w:space="0" w:color="auto"/>
              <w:right w:val="single" w:sz="4" w:space="0" w:color="auto"/>
            </w:tcBorders>
            <w:shd w:val="clear" w:color="auto" w:fill="auto"/>
            <w:noWrap/>
            <w:vAlign w:val="center"/>
          </w:tcPr>
          <w:p w14:paraId="6FD07ED6" w14:textId="2A6703A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648,582</w:t>
            </w:r>
          </w:p>
        </w:tc>
        <w:tc>
          <w:tcPr>
            <w:tcW w:w="840" w:type="dxa"/>
            <w:tcBorders>
              <w:top w:val="nil"/>
              <w:left w:val="nil"/>
              <w:bottom w:val="single" w:sz="4" w:space="0" w:color="auto"/>
              <w:right w:val="single" w:sz="4" w:space="0" w:color="auto"/>
            </w:tcBorders>
            <w:shd w:val="clear" w:color="auto" w:fill="auto"/>
            <w:noWrap/>
            <w:vAlign w:val="center"/>
          </w:tcPr>
          <w:p w14:paraId="2C9EDA32" w14:textId="16CE7EA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65256CC7" w14:textId="73FEDE42"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780</w:t>
            </w:r>
          </w:p>
        </w:tc>
        <w:tc>
          <w:tcPr>
            <w:tcW w:w="973" w:type="dxa"/>
            <w:tcBorders>
              <w:top w:val="single" w:sz="4" w:space="0" w:color="auto"/>
              <w:left w:val="single" w:sz="4" w:space="0" w:color="auto"/>
              <w:bottom w:val="single" w:sz="4" w:space="0" w:color="auto"/>
              <w:right w:val="single" w:sz="4" w:space="0" w:color="auto"/>
            </w:tcBorders>
            <w:vAlign w:val="center"/>
          </w:tcPr>
          <w:p w14:paraId="67CB0C78" w14:textId="35FCE6F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57,299</w:t>
            </w:r>
          </w:p>
        </w:tc>
        <w:tc>
          <w:tcPr>
            <w:tcW w:w="974" w:type="dxa"/>
            <w:tcBorders>
              <w:top w:val="nil"/>
              <w:left w:val="nil"/>
              <w:bottom w:val="single" w:sz="4" w:space="0" w:color="auto"/>
              <w:right w:val="single" w:sz="4" w:space="0" w:color="auto"/>
            </w:tcBorders>
            <w:shd w:val="clear" w:color="auto" w:fill="auto"/>
            <w:noWrap/>
            <w:vAlign w:val="center"/>
          </w:tcPr>
          <w:p w14:paraId="0E1846C2" w14:textId="751631A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321</w:t>
            </w:r>
          </w:p>
        </w:tc>
        <w:tc>
          <w:tcPr>
            <w:tcW w:w="973" w:type="dxa"/>
            <w:tcBorders>
              <w:top w:val="nil"/>
              <w:left w:val="nil"/>
              <w:bottom w:val="single" w:sz="4" w:space="0" w:color="auto"/>
              <w:right w:val="single" w:sz="4" w:space="0" w:color="auto"/>
            </w:tcBorders>
            <w:shd w:val="clear" w:color="auto" w:fill="auto"/>
            <w:noWrap/>
            <w:vAlign w:val="center"/>
          </w:tcPr>
          <w:p w14:paraId="545F4629" w14:textId="1E8A3B7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36,134</w:t>
            </w:r>
          </w:p>
        </w:tc>
        <w:tc>
          <w:tcPr>
            <w:tcW w:w="936" w:type="dxa"/>
            <w:tcBorders>
              <w:top w:val="nil"/>
              <w:left w:val="nil"/>
              <w:bottom w:val="single" w:sz="4" w:space="0" w:color="auto"/>
              <w:right w:val="single" w:sz="4" w:space="0" w:color="auto"/>
            </w:tcBorders>
            <w:shd w:val="clear" w:color="auto" w:fill="auto"/>
            <w:noWrap/>
            <w:vAlign w:val="center"/>
          </w:tcPr>
          <w:p w14:paraId="661369E2" w14:textId="6910ADD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11D1FEE3" w14:textId="6A03DDE4"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24,214</w:t>
            </w:r>
          </w:p>
        </w:tc>
        <w:tc>
          <w:tcPr>
            <w:tcW w:w="1135" w:type="dxa"/>
            <w:tcBorders>
              <w:top w:val="nil"/>
              <w:left w:val="nil"/>
              <w:bottom w:val="single" w:sz="4" w:space="0" w:color="auto"/>
              <w:right w:val="single" w:sz="4" w:space="0" w:color="auto"/>
            </w:tcBorders>
            <w:vAlign w:val="center"/>
          </w:tcPr>
          <w:p w14:paraId="4938BF8D" w14:textId="71185E60"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767,330</w:t>
            </w:r>
          </w:p>
        </w:tc>
      </w:tr>
      <w:tr w:rsidR="00EC652D" w:rsidRPr="00A2223A" w14:paraId="055CB544" w14:textId="63C125FB"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73215390" w14:textId="0DD38108"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The Royal Children</w:t>
            </w:r>
            <w:r w:rsidR="00544284">
              <w:rPr>
                <w:rFonts w:cs="Arial"/>
                <w:color w:val="000000"/>
                <w:sz w:val="16"/>
                <w:szCs w:val="16"/>
              </w:rPr>
              <w:t>’</w:t>
            </w:r>
            <w:r>
              <w:rPr>
                <w:rFonts w:cs="Arial"/>
                <w:color w:val="000000"/>
                <w:sz w:val="16"/>
                <w:szCs w:val="16"/>
              </w:rPr>
              <w:t>s Hospital</w:t>
            </w:r>
          </w:p>
        </w:tc>
        <w:tc>
          <w:tcPr>
            <w:tcW w:w="1106" w:type="dxa"/>
            <w:tcBorders>
              <w:top w:val="nil"/>
              <w:left w:val="nil"/>
              <w:bottom w:val="single" w:sz="4" w:space="0" w:color="auto"/>
              <w:right w:val="single" w:sz="4" w:space="0" w:color="auto"/>
            </w:tcBorders>
            <w:shd w:val="clear" w:color="auto" w:fill="auto"/>
            <w:noWrap/>
            <w:vAlign w:val="center"/>
          </w:tcPr>
          <w:p w14:paraId="608FC029" w14:textId="0A1AF13A"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668,985</w:t>
            </w:r>
          </w:p>
        </w:tc>
        <w:tc>
          <w:tcPr>
            <w:tcW w:w="840" w:type="dxa"/>
            <w:tcBorders>
              <w:top w:val="nil"/>
              <w:left w:val="nil"/>
              <w:bottom w:val="single" w:sz="4" w:space="0" w:color="auto"/>
              <w:right w:val="single" w:sz="4" w:space="0" w:color="auto"/>
            </w:tcBorders>
            <w:shd w:val="clear" w:color="auto" w:fill="auto"/>
            <w:noWrap/>
            <w:vAlign w:val="center"/>
          </w:tcPr>
          <w:p w14:paraId="05CBC0B0" w14:textId="4024016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5,481</w:t>
            </w:r>
          </w:p>
        </w:tc>
        <w:tc>
          <w:tcPr>
            <w:tcW w:w="974" w:type="dxa"/>
            <w:tcBorders>
              <w:top w:val="single" w:sz="4" w:space="0" w:color="auto"/>
              <w:left w:val="nil"/>
              <w:bottom w:val="single" w:sz="4" w:space="0" w:color="auto"/>
              <w:right w:val="single" w:sz="4" w:space="0" w:color="auto"/>
            </w:tcBorders>
            <w:vAlign w:val="center"/>
          </w:tcPr>
          <w:p w14:paraId="74ABC09A" w14:textId="715036F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28</w:t>
            </w:r>
          </w:p>
        </w:tc>
        <w:tc>
          <w:tcPr>
            <w:tcW w:w="973" w:type="dxa"/>
            <w:tcBorders>
              <w:top w:val="single" w:sz="4" w:space="0" w:color="auto"/>
              <w:left w:val="single" w:sz="4" w:space="0" w:color="auto"/>
              <w:bottom w:val="single" w:sz="4" w:space="0" w:color="auto"/>
              <w:right w:val="single" w:sz="4" w:space="0" w:color="auto"/>
            </w:tcBorders>
            <w:vAlign w:val="center"/>
          </w:tcPr>
          <w:p w14:paraId="7C08DBA3" w14:textId="5E3C727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25,406</w:t>
            </w:r>
          </w:p>
        </w:tc>
        <w:tc>
          <w:tcPr>
            <w:tcW w:w="974" w:type="dxa"/>
            <w:tcBorders>
              <w:top w:val="nil"/>
              <w:left w:val="nil"/>
              <w:bottom w:val="single" w:sz="4" w:space="0" w:color="auto"/>
              <w:right w:val="single" w:sz="4" w:space="0" w:color="auto"/>
            </w:tcBorders>
            <w:shd w:val="clear" w:color="auto" w:fill="auto"/>
            <w:noWrap/>
            <w:vAlign w:val="center"/>
          </w:tcPr>
          <w:p w14:paraId="0381AE76" w14:textId="37D2D15D"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2,592</w:t>
            </w:r>
          </w:p>
        </w:tc>
        <w:tc>
          <w:tcPr>
            <w:tcW w:w="973" w:type="dxa"/>
            <w:tcBorders>
              <w:top w:val="nil"/>
              <w:left w:val="nil"/>
              <w:bottom w:val="single" w:sz="4" w:space="0" w:color="auto"/>
              <w:right w:val="single" w:sz="4" w:space="0" w:color="auto"/>
            </w:tcBorders>
            <w:shd w:val="clear" w:color="auto" w:fill="auto"/>
            <w:noWrap/>
            <w:vAlign w:val="center"/>
          </w:tcPr>
          <w:p w14:paraId="210E8696" w14:textId="0E27474A" w:rsidR="00EC652D" w:rsidRPr="006613F1" w:rsidRDefault="00EE045F" w:rsidP="00EC652D">
            <w:pPr>
              <w:spacing w:after="0" w:line="240" w:lineRule="auto"/>
              <w:jc w:val="right"/>
              <w:rPr>
                <w:rFonts w:cs="Arial"/>
                <w:color w:val="000000"/>
                <w:sz w:val="16"/>
                <w:szCs w:val="16"/>
                <w:lang w:eastAsia="en-AU"/>
              </w:rPr>
            </w:pPr>
            <w:r>
              <w:rPr>
                <w:rFonts w:cs="Arial"/>
                <w:color w:val="000000"/>
                <w:sz w:val="16"/>
                <w:szCs w:val="16"/>
              </w:rPr>
              <w:t>(</w:t>
            </w:r>
            <w:r w:rsidR="00EC652D">
              <w:rPr>
                <w:rFonts w:cs="Arial"/>
                <w:color w:val="000000"/>
                <w:sz w:val="16"/>
                <w:szCs w:val="16"/>
              </w:rPr>
              <w:t>18,534</w:t>
            </w:r>
            <w:r>
              <w:rPr>
                <w:rFonts w:cs="Arial"/>
                <w:color w:val="000000"/>
                <w:sz w:val="16"/>
                <w:szCs w:val="16"/>
              </w:rPr>
              <w:t>)</w:t>
            </w:r>
          </w:p>
        </w:tc>
        <w:tc>
          <w:tcPr>
            <w:tcW w:w="936" w:type="dxa"/>
            <w:tcBorders>
              <w:top w:val="nil"/>
              <w:left w:val="nil"/>
              <w:bottom w:val="single" w:sz="4" w:space="0" w:color="auto"/>
              <w:right w:val="single" w:sz="4" w:space="0" w:color="auto"/>
            </w:tcBorders>
            <w:shd w:val="clear" w:color="auto" w:fill="auto"/>
            <w:noWrap/>
            <w:vAlign w:val="center"/>
          </w:tcPr>
          <w:p w14:paraId="454DF84A" w14:textId="34DC408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5B3B19E1" w14:textId="4EDA3322"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11,078</w:t>
            </w:r>
          </w:p>
        </w:tc>
        <w:tc>
          <w:tcPr>
            <w:tcW w:w="1135" w:type="dxa"/>
            <w:tcBorders>
              <w:top w:val="nil"/>
              <w:left w:val="nil"/>
              <w:bottom w:val="single" w:sz="4" w:space="0" w:color="auto"/>
              <w:right w:val="single" w:sz="4" w:space="0" w:color="auto"/>
            </w:tcBorders>
            <w:vAlign w:val="center"/>
          </w:tcPr>
          <w:p w14:paraId="03DB00E7" w14:textId="2AC5AFAF"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695,036</w:t>
            </w:r>
          </w:p>
        </w:tc>
      </w:tr>
      <w:tr w:rsidR="00EC652D" w:rsidRPr="00A2223A" w14:paraId="49B106EB" w14:textId="3AA27709" w:rsidTr="000674C4">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50A2B417" w14:textId="5D61C3FD"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The Royal Victorian Eye And Ear Hospital</w:t>
            </w:r>
          </w:p>
        </w:tc>
        <w:tc>
          <w:tcPr>
            <w:tcW w:w="1106" w:type="dxa"/>
            <w:tcBorders>
              <w:top w:val="nil"/>
              <w:left w:val="nil"/>
              <w:bottom w:val="single" w:sz="4" w:space="0" w:color="auto"/>
              <w:right w:val="single" w:sz="4" w:space="0" w:color="auto"/>
            </w:tcBorders>
            <w:shd w:val="clear" w:color="auto" w:fill="auto"/>
            <w:noWrap/>
            <w:vAlign w:val="center"/>
          </w:tcPr>
          <w:p w14:paraId="0CE3ADA6" w14:textId="0419E8D6"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129,700</w:t>
            </w:r>
          </w:p>
        </w:tc>
        <w:tc>
          <w:tcPr>
            <w:tcW w:w="840" w:type="dxa"/>
            <w:tcBorders>
              <w:top w:val="nil"/>
              <w:left w:val="nil"/>
              <w:bottom w:val="single" w:sz="4" w:space="0" w:color="auto"/>
              <w:right w:val="single" w:sz="4" w:space="0" w:color="auto"/>
            </w:tcBorders>
            <w:shd w:val="clear" w:color="auto" w:fill="auto"/>
            <w:noWrap/>
            <w:vAlign w:val="center"/>
          </w:tcPr>
          <w:p w14:paraId="1589843C" w14:textId="0FBD347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2,091</w:t>
            </w:r>
          </w:p>
        </w:tc>
        <w:tc>
          <w:tcPr>
            <w:tcW w:w="974" w:type="dxa"/>
            <w:tcBorders>
              <w:top w:val="single" w:sz="4" w:space="0" w:color="auto"/>
              <w:left w:val="nil"/>
              <w:bottom w:val="single" w:sz="4" w:space="0" w:color="auto"/>
              <w:right w:val="single" w:sz="4" w:space="0" w:color="auto"/>
            </w:tcBorders>
            <w:vAlign w:val="center"/>
          </w:tcPr>
          <w:p w14:paraId="57A2BDD9" w14:textId="4042152E"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vAlign w:val="center"/>
          </w:tcPr>
          <w:p w14:paraId="195A15AF" w14:textId="44F457C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nil"/>
              <w:left w:val="nil"/>
              <w:bottom w:val="single" w:sz="4" w:space="0" w:color="auto"/>
              <w:right w:val="single" w:sz="4" w:space="0" w:color="auto"/>
            </w:tcBorders>
            <w:shd w:val="clear" w:color="auto" w:fill="auto"/>
            <w:noWrap/>
            <w:vAlign w:val="center"/>
          </w:tcPr>
          <w:p w14:paraId="767057E0" w14:textId="40F12C3B"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4EE8181F" w14:textId="074A3CC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837</w:t>
            </w:r>
          </w:p>
        </w:tc>
        <w:tc>
          <w:tcPr>
            <w:tcW w:w="936" w:type="dxa"/>
            <w:tcBorders>
              <w:top w:val="nil"/>
              <w:left w:val="nil"/>
              <w:bottom w:val="single" w:sz="4" w:space="0" w:color="auto"/>
              <w:right w:val="single" w:sz="4" w:space="0" w:color="auto"/>
            </w:tcBorders>
            <w:shd w:val="clear" w:color="auto" w:fill="auto"/>
            <w:noWrap/>
            <w:vAlign w:val="center"/>
          </w:tcPr>
          <w:p w14:paraId="38F23EE5" w14:textId="32B6ED4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4063A4AB" w14:textId="10309630"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1,974</w:t>
            </w:r>
          </w:p>
        </w:tc>
        <w:tc>
          <w:tcPr>
            <w:tcW w:w="1135" w:type="dxa"/>
            <w:tcBorders>
              <w:top w:val="nil"/>
              <w:left w:val="nil"/>
              <w:bottom w:val="single" w:sz="4" w:space="0" w:color="auto"/>
              <w:right w:val="single" w:sz="4" w:space="0" w:color="auto"/>
            </w:tcBorders>
            <w:vAlign w:val="center"/>
          </w:tcPr>
          <w:p w14:paraId="05BD741B" w14:textId="65397043"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134,602</w:t>
            </w:r>
          </w:p>
        </w:tc>
      </w:tr>
      <w:tr w:rsidR="00EC652D" w:rsidRPr="00A2223A" w14:paraId="49F1D371" w14:textId="09D3525F"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7633433" w14:textId="1D00675C"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The Royal Women</w:t>
            </w:r>
            <w:r w:rsidR="00544284">
              <w:rPr>
                <w:rFonts w:cs="Arial"/>
                <w:color w:val="000000"/>
                <w:sz w:val="16"/>
                <w:szCs w:val="16"/>
              </w:rPr>
              <w:t>’</w:t>
            </w:r>
            <w:r>
              <w:rPr>
                <w:rFonts w:cs="Arial"/>
                <w:color w:val="000000"/>
                <w:sz w:val="16"/>
                <w:szCs w:val="16"/>
              </w:rPr>
              <w:t>s Hospital</w:t>
            </w:r>
          </w:p>
        </w:tc>
        <w:tc>
          <w:tcPr>
            <w:tcW w:w="1106" w:type="dxa"/>
            <w:tcBorders>
              <w:top w:val="nil"/>
              <w:left w:val="nil"/>
              <w:bottom w:val="single" w:sz="4" w:space="0" w:color="auto"/>
              <w:right w:val="single" w:sz="4" w:space="0" w:color="auto"/>
            </w:tcBorders>
            <w:shd w:val="clear" w:color="auto" w:fill="auto"/>
            <w:noWrap/>
            <w:vAlign w:val="center"/>
          </w:tcPr>
          <w:p w14:paraId="23D63F4D" w14:textId="2EE676A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280,770</w:t>
            </w:r>
          </w:p>
        </w:tc>
        <w:tc>
          <w:tcPr>
            <w:tcW w:w="840" w:type="dxa"/>
            <w:tcBorders>
              <w:top w:val="nil"/>
              <w:left w:val="nil"/>
              <w:bottom w:val="single" w:sz="4" w:space="0" w:color="auto"/>
              <w:right w:val="single" w:sz="4" w:space="0" w:color="auto"/>
            </w:tcBorders>
            <w:shd w:val="clear" w:color="auto" w:fill="auto"/>
            <w:noWrap/>
            <w:vAlign w:val="center"/>
          </w:tcPr>
          <w:p w14:paraId="6D473E58" w14:textId="1E35593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612F99D9" w14:textId="1B0A3E9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507</w:t>
            </w:r>
          </w:p>
        </w:tc>
        <w:tc>
          <w:tcPr>
            <w:tcW w:w="973" w:type="dxa"/>
            <w:tcBorders>
              <w:top w:val="single" w:sz="4" w:space="0" w:color="auto"/>
              <w:left w:val="single" w:sz="4" w:space="0" w:color="auto"/>
              <w:bottom w:val="single" w:sz="4" w:space="0" w:color="auto"/>
              <w:right w:val="single" w:sz="4" w:space="0" w:color="auto"/>
            </w:tcBorders>
            <w:vAlign w:val="center"/>
          </w:tcPr>
          <w:p w14:paraId="7A2DF89D" w14:textId="2F381B5F"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508</w:t>
            </w:r>
          </w:p>
        </w:tc>
        <w:tc>
          <w:tcPr>
            <w:tcW w:w="974" w:type="dxa"/>
            <w:tcBorders>
              <w:top w:val="nil"/>
              <w:left w:val="nil"/>
              <w:bottom w:val="single" w:sz="4" w:space="0" w:color="auto"/>
              <w:right w:val="single" w:sz="4" w:space="0" w:color="auto"/>
            </w:tcBorders>
            <w:shd w:val="clear" w:color="auto" w:fill="auto"/>
            <w:noWrap/>
            <w:vAlign w:val="center"/>
          </w:tcPr>
          <w:p w14:paraId="5FE20B57" w14:textId="1BC18FE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7DD9F878" w14:textId="04DBEC68"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13,657</w:t>
            </w:r>
          </w:p>
        </w:tc>
        <w:tc>
          <w:tcPr>
            <w:tcW w:w="936" w:type="dxa"/>
            <w:tcBorders>
              <w:top w:val="nil"/>
              <w:left w:val="nil"/>
              <w:bottom w:val="single" w:sz="4" w:space="0" w:color="auto"/>
              <w:right w:val="single" w:sz="4" w:space="0" w:color="auto"/>
            </w:tcBorders>
            <w:shd w:val="clear" w:color="auto" w:fill="auto"/>
            <w:noWrap/>
            <w:vAlign w:val="center"/>
          </w:tcPr>
          <w:p w14:paraId="2E1E1B11" w14:textId="6B4EED4C"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54011E3C" w14:textId="6A494DB4"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4,714</w:t>
            </w:r>
          </w:p>
        </w:tc>
        <w:tc>
          <w:tcPr>
            <w:tcW w:w="1135" w:type="dxa"/>
            <w:tcBorders>
              <w:top w:val="nil"/>
              <w:left w:val="nil"/>
              <w:bottom w:val="single" w:sz="4" w:space="0" w:color="auto"/>
              <w:right w:val="single" w:sz="4" w:space="0" w:color="auto"/>
            </w:tcBorders>
            <w:vAlign w:val="center"/>
          </w:tcPr>
          <w:p w14:paraId="0B0BC515" w14:textId="6AFFEEA8"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300,157</w:t>
            </w:r>
          </w:p>
        </w:tc>
      </w:tr>
      <w:tr w:rsidR="00EC652D" w:rsidRPr="00A2223A" w14:paraId="766A5B8F" w14:textId="465AE38D" w:rsidTr="000674C4">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5D496240" w14:textId="28EE3645" w:rsidR="00EC652D" w:rsidRPr="00A2223A" w:rsidRDefault="00EC652D" w:rsidP="00EC652D">
            <w:pPr>
              <w:spacing w:after="0" w:line="240" w:lineRule="auto"/>
              <w:rPr>
                <w:rFonts w:cs="Arial"/>
                <w:color w:val="000000"/>
                <w:sz w:val="15"/>
                <w:szCs w:val="15"/>
                <w:lang w:eastAsia="en-AU"/>
              </w:rPr>
            </w:pPr>
            <w:r>
              <w:rPr>
                <w:rFonts w:cs="Arial"/>
                <w:color w:val="000000"/>
                <w:sz w:val="16"/>
                <w:szCs w:val="16"/>
              </w:rPr>
              <w:t>Western Health</w:t>
            </w:r>
          </w:p>
        </w:tc>
        <w:tc>
          <w:tcPr>
            <w:tcW w:w="1106" w:type="dxa"/>
            <w:tcBorders>
              <w:top w:val="nil"/>
              <w:left w:val="nil"/>
              <w:bottom w:val="single" w:sz="4" w:space="0" w:color="auto"/>
              <w:right w:val="single" w:sz="4" w:space="0" w:color="auto"/>
            </w:tcBorders>
            <w:shd w:val="clear" w:color="auto" w:fill="auto"/>
            <w:noWrap/>
            <w:vAlign w:val="center"/>
          </w:tcPr>
          <w:p w14:paraId="634B2709" w14:textId="2AE816E4"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1,223,229</w:t>
            </w:r>
          </w:p>
        </w:tc>
        <w:tc>
          <w:tcPr>
            <w:tcW w:w="840" w:type="dxa"/>
            <w:tcBorders>
              <w:top w:val="nil"/>
              <w:left w:val="nil"/>
              <w:bottom w:val="single" w:sz="4" w:space="0" w:color="auto"/>
              <w:right w:val="single" w:sz="4" w:space="0" w:color="auto"/>
            </w:tcBorders>
            <w:shd w:val="clear" w:color="auto" w:fill="auto"/>
            <w:noWrap/>
            <w:vAlign w:val="center"/>
          </w:tcPr>
          <w:p w14:paraId="552572CA" w14:textId="664A82D0"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4" w:type="dxa"/>
            <w:tcBorders>
              <w:top w:val="single" w:sz="4" w:space="0" w:color="auto"/>
              <w:left w:val="nil"/>
              <w:bottom w:val="single" w:sz="4" w:space="0" w:color="auto"/>
              <w:right w:val="single" w:sz="4" w:space="0" w:color="auto"/>
            </w:tcBorders>
            <w:vAlign w:val="center"/>
          </w:tcPr>
          <w:p w14:paraId="18B18627" w14:textId="53F31CD9"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1,648</w:t>
            </w:r>
          </w:p>
        </w:tc>
        <w:tc>
          <w:tcPr>
            <w:tcW w:w="973" w:type="dxa"/>
            <w:tcBorders>
              <w:top w:val="single" w:sz="4" w:space="0" w:color="auto"/>
              <w:left w:val="single" w:sz="4" w:space="0" w:color="auto"/>
              <w:bottom w:val="single" w:sz="4" w:space="0" w:color="auto"/>
              <w:right w:val="single" w:sz="4" w:space="0" w:color="auto"/>
            </w:tcBorders>
            <w:vAlign w:val="center"/>
          </w:tcPr>
          <w:p w14:paraId="6D7446AE" w14:textId="7FFA7BF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66,159</w:t>
            </w:r>
          </w:p>
        </w:tc>
        <w:tc>
          <w:tcPr>
            <w:tcW w:w="974" w:type="dxa"/>
            <w:tcBorders>
              <w:top w:val="nil"/>
              <w:left w:val="nil"/>
              <w:bottom w:val="single" w:sz="4" w:space="0" w:color="auto"/>
              <w:right w:val="single" w:sz="4" w:space="0" w:color="auto"/>
            </w:tcBorders>
            <w:shd w:val="clear" w:color="auto" w:fill="auto"/>
            <w:noWrap/>
            <w:vAlign w:val="center"/>
          </w:tcPr>
          <w:p w14:paraId="4358C71B" w14:textId="135BEE33"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or="auto"/>
            </w:tcBorders>
            <w:shd w:val="clear" w:color="auto" w:fill="auto"/>
            <w:noWrap/>
            <w:vAlign w:val="center"/>
          </w:tcPr>
          <w:p w14:paraId="3FDB239C" w14:textId="1AF76771"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105,719</w:t>
            </w:r>
          </w:p>
        </w:tc>
        <w:tc>
          <w:tcPr>
            <w:tcW w:w="936" w:type="dxa"/>
            <w:tcBorders>
              <w:top w:val="nil"/>
              <w:left w:val="nil"/>
              <w:bottom w:val="single" w:sz="4" w:space="0" w:color="auto"/>
              <w:right w:val="single" w:sz="4" w:space="0" w:color="auto"/>
            </w:tcBorders>
            <w:shd w:val="clear" w:color="auto" w:fill="auto"/>
            <w:noWrap/>
            <w:vAlign w:val="center"/>
          </w:tcPr>
          <w:p w14:paraId="54F1F87A" w14:textId="0A2A03F7" w:rsidR="00EC652D" w:rsidRPr="006613F1" w:rsidRDefault="00EC652D" w:rsidP="00EC652D">
            <w:pPr>
              <w:spacing w:after="0" w:line="240" w:lineRule="auto"/>
              <w:jc w:val="right"/>
              <w:rPr>
                <w:rFonts w:cs="Arial"/>
                <w:color w:val="000000"/>
                <w:sz w:val="16"/>
                <w:szCs w:val="16"/>
                <w:lang w:eastAsia="en-AU"/>
              </w:rPr>
            </w:pPr>
            <w:r>
              <w:rPr>
                <w:rFonts w:cs="Arial"/>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61D6543C" w14:textId="1939BC29"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23,951</w:t>
            </w:r>
          </w:p>
        </w:tc>
        <w:tc>
          <w:tcPr>
            <w:tcW w:w="1135" w:type="dxa"/>
            <w:tcBorders>
              <w:top w:val="nil"/>
              <w:left w:val="nil"/>
              <w:bottom w:val="single" w:sz="4" w:space="0" w:color="auto"/>
              <w:right w:val="single" w:sz="4" w:space="0" w:color="auto"/>
            </w:tcBorders>
            <w:vAlign w:val="center"/>
          </w:tcPr>
          <w:p w14:paraId="27D873DD" w14:textId="7303D590" w:rsidR="00EC652D" w:rsidRPr="006613F1" w:rsidRDefault="00EC652D" w:rsidP="00EC652D">
            <w:pPr>
              <w:spacing w:after="0" w:line="240" w:lineRule="auto"/>
              <w:jc w:val="right"/>
              <w:rPr>
                <w:rFonts w:cs="Arial"/>
                <w:b/>
                <w:color w:val="000000"/>
                <w:sz w:val="16"/>
                <w:szCs w:val="16"/>
                <w:lang w:eastAsia="en-AU"/>
              </w:rPr>
            </w:pPr>
            <w:r>
              <w:rPr>
                <w:rFonts w:cs="Arial"/>
                <w:color w:val="000000"/>
                <w:sz w:val="16"/>
                <w:szCs w:val="16"/>
              </w:rPr>
              <w:t>1,420,707</w:t>
            </w:r>
          </w:p>
        </w:tc>
      </w:tr>
      <w:tr w:rsidR="00EC652D" w:rsidRPr="00A2223A" w14:paraId="452A50D0" w14:textId="48DB7AC7" w:rsidTr="000674C4">
        <w:trPr>
          <w:trHeight w:val="300"/>
        </w:trPr>
        <w:tc>
          <w:tcPr>
            <w:tcW w:w="1588" w:type="dxa"/>
            <w:tcBorders>
              <w:top w:val="nil"/>
              <w:left w:val="single" w:sz="4" w:space="0" w:color="auto"/>
              <w:bottom w:val="single" w:sz="4" w:space="0" w:color="auto"/>
              <w:right w:val="single" w:sz="4" w:space="0" w:color="auto"/>
            </w:tcBorders>
            <w:shd w:val="clear" w:color="auto" w:fill="auto"/>
            <w:noWrap/>
            <w:vAlign w:val="center"/>
            <w:hideMark/>
          </w:tcPr>
          <w:p w14:paraId="69476E04" w14:textId="25813F90" w:rsidR="00EC652D" w:rsidRPr="00A2223A" w:rsidRDefault="00EC652D" w:rsidP="00EC652D">
            <w:pPr>
              <w:spacing w:after="0" w:line="240" w:lineRule="auto"/>
              <w:rPr>
                <w:rFonts w:cs="Arial"/>
                <w:b/>
                <w:bCs/>
                <w:color w:val="000000"/>
                <w:sz w:val="15"/>
                <w:szCs w:val="15"/>
                <w:lang w:eastAsia="en-AU"/>
              </w:rPr>
            </w:pPr>
            <w:r>
              <w:rPr>
                <w:rFonts w:cs="Arial"/>
                <w:b/>
                <w:bCs/>
                <w:color w:val="000000"/>
                <w:sz w:val="16"/>
                <w:szCs w:val="16"/>
              </w:rPr>
              <w:t>Total</w:t>
            </w:r>
          </w:p>
        </w:tc>
        <w:tc>
          <w:tcPr>
            <w:tcW w:w="1106" w:type="dxa"/>
            <w:tcBorders>
              <w:top w:val="nil"/>
              <w:left w:val="nil"/>
              <w:bottom w:val="single" w:sz="4" w:space="0" w:color="auto"/>
              <w:right w:val="single" w:sz="4" w:space="0" w:color="auto"/>
            </w:tcBorders>
            <w:shd w:val="clear" w:color="auto" w:fill="auto"/>
            <w:noWrap/>
            <w:vAlign w:val="center"/>
          </w:tcPr>
          <w:p w14:paraId="74546D09" w14:textId="6E094353"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14,683,663</w:t>
            </w:r>
          </w:p>
        </w:tc>
        <w:tc>
          <w:tcPr>
            <w:tcW w:w="840" w:type="dxa"/>
            <w:tcBorders>
              <w:top w:val="nil"/>
              <w:left w:val="nil"/>
              <w:bottom w:val="single" w:sz="4" w:space="0" w:color="auto"/>
              <w:right w:val="single" w:sz="4" w:space="0" w:color="auto"/>
            </w:tcBorders>
            <w:shd w:val="clear" w:color="auto" w:fill="auto"/>
            <w:noWrap/>
            <w:vAlign w:val="center"/>
          </w:tcPr>
          <w:p w14:paraId="65E7ED73" w14:textId="725E83AF"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71,647</w:t>
            </w:r>
          </w:p>
        </w:tc>
        <w:tc>
          <w:tcPr>
            <w:tcW w:w="974" w:type="dxa"/>
            <w:tcBorders>
              <w:top w:val="single" w:sz="4" w:space="0" w:color="auto"/>
              <w:left w:val="nil"/>
              <w:bottom w:val="single" w:sz="4" w:space="0" w:color="auto"/>
              <w:right w:val="single" w:sz="4" w:space="0" w:color="auto"/>
            </w:tcBorders>
            <w:vAlign w:val="center"/>
          </w:tcPr>
          <w:p w14:paraId="0D8D464C" w14:textId="17511C22"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18,319</w:t>
            </w:r>
          </w:p>
        </w:tc>
        <w:tc>
          <w:tcPr>
            <w:tcW w:w="973" w:type="dxa"/>
            <w:tcBorders>
              <w:top w:val="single" w:sz="4" w:space="0" w:color="auto"/>
              <w:left w:val="single" w:sz="4" w:space="0" w:color="auto"/>
              <w:bottom w:val="single" w:sz="4" w:space="0" w:color="auto"/>
              <w:right w:val="single" w:sz="4" w:space="0" w:color="auto"/>
            </w:tcBorders>
            <w:vAlign w:val="center"/>
          </w:tcPr>
          <w:p w14:paraId="7FCE8C33" w14:textId="2BD51286"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1,191,052</w:t>
            </w:r>
          </w:p>
        </w:tc>
        <w:tc>
          <w:tcPr>
            <w:tcW w:w="974" w:type="dxa"/>
            <w:tcBorders>
              <w:top w:val="nil"/>
              <w:left w:val="nil"/>
              <w:bottom w:val="single" w:sz="4" w:space="0" w:color="auto"/>
              <w:right w:val="single" w:sz="4" w:space="0" w:color="auto"/>
            </w:tcBorders>
            <w:shd w:val="clear" w:color="auto" w:fill="auto"/>
            <w:noWrap/>
            <w:vAlign w:val="center"/>
          </w:tcPr>
          <w:p w14:paraId="1FA5A82A" w14:textId="7AD3339B"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68,499</w:t>
            </w:r>
          </w:p>
        </w:tc>
        <w:tc>
          <w:tcPr>
            <w:tcW w:w="973" w:type="dxa"/>
            <w:tcBorders>
              <w:top w:val="nil"/>
              <w:left w:val="nil"/>
              <w:bottom w:val="single" w:sz="4" w:space="0" w:color="auto"/>
              <w:right w:val="single" w:sz="4" w:space="0" w:color="auto"/>
            </w:tcBorders>
            <w:shd w:val="clear" w:color="auto" w:fill="auto"/>
            <w:noWrap/>
            <w:vAlign w:val="center"/>
          </w:tcPr>
          <w:p w14:paraId="3131259B" w14:textId="3E8E10B9"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952,669</w:t>
            </w:r>
          </w:p>
        </w:tc>
        <w:tc>
          <w:tcPr>
            <w:tcW w:w="936" w:type="dxa"/>
            <w:tcBorders>
              <w:top w:val="nil"/>
              <w:left w:val="nil"/>
              <w:bottom w:val="single" w:sz="4" w:space="0" w:color="auto"/>
              <w:right w:val="single" w:sz="4" w:space="0" w:color="auto"/>
            </w:tcBorders>
            <w:shd w:val="clear" w:color="auto" w:fill="auto"/>
            <w:noWrap/>
            <w:vAlign w:val="center"/>
          </w:tcPr>
          <w:p w14:paraId="457C76B0" w14:textId="6DB0B843"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25,205</w:t>
            </w:r>
          </w:p>
        </w:tc>
        <w:tc>
          <w:tcPr>
            <w:tcW w:w="992" w:type="dxa"/>
            <w:tcBorders>
              <w:top w:val="nil"/>
              <w:left w:val="nil"/>
              <w:bottom w:val="single" w:sz="4" w:space="0" w:color="auto"/>
              <w:right w:val="single" w:sz="4" w:space="0" w:color="auto"/>
            </w:tcBorders>
            <w:shd w:val="clear" w:color="auto" w:fill="auto"/>
            <w:noWrap/>
            <w:vAlign w:val="center"/>
          </w:tcPr>
          <w:p w14:paraId="52E20D70" w14:textId="3BB795B6"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359,850</w:t>
            </w:r>
          </w:p>
        </w:tc>
        <w:tc>
          <w:tcPr>
            <w:tcW w:w="1135" w:type="dxa"/>
            <w:tcBorders>
              <w:top w:val="nil"/>
              <w:left w:val="nil"/>
              <w:bottom w:val="single" w:sz="4" w:space="0" w:color="auto"/>
              <w:right w:val="single" w:sz="4" w:space="0" w:color="auto"/>
            </w:tcBorders>
            <w:vAlign w:val="center"/>
          </w:tcPr>
          <w:p w14:paraId="27020E9E" w14:textId="0486A88D" w:rsidR="00EC652D" w:rsidRPr="006613F1" w:rsidRDefault="00EC652D" w:rsidP="00EC652D">
            <w:pPr>
              <w:spacing w:after="0" w:line="240" w:lineRule="auto"/>
              <w:jc w:val="right"/>
              <w:rPr>
                <w:rFonts w:cs="Arial"/>
                <w:b/>
                <w:color w:val="000000"/>
                <w:sz w:val="16"/>
                <w:szCs w:val="16"/>
                <w:lang w:eastAsia="en-AU"/>
              </w:rPr>
            </w:pPr>
            <w:r>
              <w:rPr>
                <w:rFonts w:cs="Arial"/>
                <w:b/>
                <w:bCs/>
                <w:color w:val="000000"/>
                <w:sz w:val="16"/>
                <w:szCs w:val="16"/>
              </w:rPr>
              <w:t>17,370,905</w:t>
            </w:r>
          </w:p>
        </w:tc>
      </w:tr>
    </w:tbl>
    <w:p w14:paraId="07901BF6" w14:textId="77777777" w:rsidR="005B699B" w:rsidRDefault="005B699B" w:rsidP="005B699B">
      <w:pPr>
        <w:pStyle w:val="Body"/>
        <w:keepNext/>
        <w:keepLines/>
        <w:spacing w:line="240" w:lineRule="auto"/>
      </w:pPr>
    </w:p>
    <w:p w14:paraId="679B9452" w14:textId="77777777" w:rsidR="003142AC" w:rsidRDefault="003142AC" w:rsidP="00705DCA">
      <w:pPr>
        <w:pStyle w:val="Body"/>
      </w:pPr>
    </w:p>
    <w:p w14:paraId="50653757" w14:textId="77777777" w:rsidR="003142AC" w:rsidRDefault="003142AC" w:rsidP="00705DCA">
      <w:pPr>
        <w:pStyle w:val="Body"/>
      </w:pPr>
    </w:p>
    <w:p w14:paraId="2E2DA2DF" w14:textId="77777777" w:rsidR="003142AC" w:rsidRDefault="003142AC" w:rsidP="00705DCA">
      <w:pPr>
        <w:pStyle w:val="Body"/>
      </w:pPr>
    </w:p>
    <w:p w14:paraId="3E8D6DDB" w14:textId="77777777" w:rsidR="005B699B" w:rsidRPr="009F14D0" w:rsidRDefault="005B699B" w:rsidP="00705DCA">
      <w:pPr>
        <w:pStyle w:val="Body"/>
      </w:pPr>
      <w:r w:rsidRPr="009F14D0">
        <w:t>Subregional and local – $’000s</w:t>
      </w:r>
    </w:p>
    <w:tbl>
      <w:tblPr>
        <w:tblW w:w="10065" w:type="dxa"/>
        <w:tblInd w:w="-289" w:type="dxa"/>
        <w:tblLayout w:type="fixed"/>
        <w:tblLook w:val="04A0" w:firstRow="1" w:lastRow="0" w:firstColumn="1" w:lastColumn="0" w:noHBand="0" w:noVBand="1"/>
      </w:tblPr>
      <w:tblGrid>
        <w:gridCol w:w="1588"/>
        <w:gridCol w:w="926"/>
        <w:gridCol w:w="926"/>
        <w:gridCol w:w="926"/>
        <w:gridCol w:w="926"/>
        <w:gridCol w:w="926"/>
        <w:gridCol w:w="926"/>
        <w:gridCol w:w="926"/>
        <w:gridCol w:w="926"/>
        <w:gridCol w:w="1069"/>
      </w:tblGrid>
      <w:tr w:rsidR="007C2D6E" w:rsidRPr="009F14D0" w14:paraId="52292EA8" w14:textId="254DDC81" w:rsidTr="00EE045F">
        <w:trPr>
          <w:trHeight w:val="900"/>
          <w:tblHeader/>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C985C17" w14:textId="33959440" w:rsidR="004D2156" w:rsidRPr="009F14D0" w:rsidRDefault="004D2156" w:rsidP="004D2156">
            <w:pPr>
              <w:spacing w:after="0" w:line="240" w:lineRule="auto"/>
              <w:rPr>
                <w:rFonts w:cs="Arial"/>
                <w:b/>
                <w:bCs/>
                <w:color w:val="53565A"/>
                <w:sz w:val="16"/>
                <w:szCs w:val="16"/>
                <w:lang w:eastAsia="en-AU"/>
              </w:rPr>
            </w:pPr>
            <w:r w:rsidRPr="00A2223A">
              <w:rPr>
                <w:rFonts w:cs="Arial"/>
                <w:b/>
                <w:bCs/>
                <w:color w:val="53565A"/>
                <w:sz w:val="16"/>
                <w:szCs w:val="16"/>
                <w:lang w:eastAsia="en-AU"/>
              </w:rPr>
              <w:t>Health Service</w:t>
            </w:r>
          </w:p>
        </w:tc>
        <w:tc>
          <w:tcPr>
            <w:tcW w:w="926" w:type="dxa"/>
            <w:tcBorders>
              <w:top w:val="single" w:sz="4" w:space="0" w:color="auto"/>
              <w:left w:val="nil"/>
              <w:bottom w:val="single" w:sz="4" w:space="0" w:color="auto"/>
              <w:right w:val="single" w:sz="4" w:space="0" w:color="auto"/>
            </w:tcBorders>
            <w:shd w:val="clear" w:color="auto" w:fill="auto"/>
            <w:hideMark/>
          </w:tcPr>
          <w:p w14:paraId="2B1861BE" w14:textId="77777777" w:rsidR="004D2156" w:rsidRDefault="004D2156" w:rsidP="004D2156">
            <w:pPr>
              <w:spacing w:after="0" w:line="240" w:lineRule="auto"/>
              <w:jc w:val="right"/>
              <w:rPr>
                <w:rFonts w:cs="Arial"/>
                <w:b/>
                <w:bCs/>
                <w:color w:val="53565A"/>
                <w:sz w:val="16"/>
                <w:szCs w:val="16"/>
              </w:rPr>
            </w:pPr>
            <w:r w:rsidRPr="0028383D">
              <w:rPr>
                <w:rFonts w:cs="Arial"/>
                <w:b/>
                <w:color w:val="53565A"/>
                <w:sz w:val="16"/>
                <w:szCs w:val="16"/>
                <w:lang w:eastAsia="en-AU"/>
              </w:rPr>
              <w:t>2024-25</w:t>
            </w:r>
          </w:p>
          <w:p w14:paraId="3C11B8A5" w14:textId="616A7530" w:rsidR="004D2156" w:rsidRPr="009F14D0" w:rsidRDefault="004D2156" w:rsidP="004D2156">
            <w:pPr>
              <w:spacing w:after="0" w:line="240" w:lineRule="auto"/>
              <w:jc w:val="right"/>
              <w:rPr>
                <w:rFonts w:cs="Arial"/>
                <w:b/>
                <w:bCs/>
                <w:color w:val="53565A"/>
                <w:sz w:val="16"/>
                <w:szCs w:val="16"/>
                <w:lang w:eastAsia="en-AU"/>
              </w:rPr>
            </w:pPr>
            <w:r w:rsidRPr="0028383D">
              <w:rPr>
                <w:rFonts w:cs="Arial"/>
                <w:b/>
                <w:color w:val="53565A"/>
                <w:sz w:val="16"/>
                <w:szCs w:val="16"/>
                <w:lang w:eastAsia="en-AU"/>
              </w:rPr>
              <w:t xml:space="preserve">Consolidated </w:t>
            </w:r>
            <w:r>
              <w:rPr>
                <w:rFonts w:cs="Arial"/>
                <w:b/>
                <w:bCs/>
                <w:color w:val="53565A"/>
                <w:sz w:val="16"/>
                <w:szCs w:val="16"/>
              </w:rPr>
              <w:t>ABF</w:t>
            </w:r>
          </w:p>
        </w:tc>
        <w:tc>
          <w:tcPr>
            <w:tcW w:w="926" w:type="dxa"/>
            <w:tcBorders>
              <w:top w:val="single" w:sz="4" w:space="0" w:color="auto"/>
              <w:left w:val="nil"/>
              <w:bottom w:val="single" w:sz="4" w:space="0" w:color="auto"/>
              <w:right w:val="single" w:sz="4" w:space="0" w:color="auto"/>
            </w:tcBorders>
            <w:shd w:val="clear" w:color="auto" w:fill="auto"/>
            <w:hideMark/>
          </w:tcPr>
          <w:p w14:paraId="4BAD6951"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0EE56710" w14:textId="56AE2ABB" w:rsidR="004D2156" w:rsidRPr="009F14D0"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Highly Specialised Therapies</w:t>
            </w:r>
          </w:p>
        </w:tc>
        <w:tc>
          <w:tcPr>
            <w:tcW w:w="926" w:type="dxa"/>
            <w:tcBorders>
              <w:top w:val="single" w:sz="4" w:space="0" w:color="auto"/>
              <w:left w:val="nil"/>
              <w:bottom w:val="single" w:sz="4" w:space="0" w:color="auto"/>
              <w:right w:val="single" w:sz="4" w:space="0" w:color="auto"/>
            </w:tcBorders>
            <w:shd w:val="clear" w:color="auto" w:fill="auto"/>
            <w:hideMark/>
          </w:tcPr>
          <w:p w14:paraId="05AA65EA"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11AF917B" w14:textId="75146DFD" w:rsidR="004D2156" w:rsidRPr="0028383D"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Mental Health Admitted</w:t>
            </w:r>
          </w:p>
        </w:tc>
        <w:tc>
          <w:tcPr>
            <w:tcW w:w="926" w:type="dxa"/>
            <w:tcBorders>
              <w:top w:val="single" w:sz="4" w:space="0" w:color="auto"/>
              <w:left w:val="nil"/>
              <w:bottom w:val="single" w:sz="4" w:space="0" w:color="auto"/>
              <w:right w:val="single" w:sz="4" w:space="0" w:color="auto"/>
            </w:tcBorders>
            <w:shd w:val="clear" w:color="auto" w:fill="auto"/>
            <w:hideMark/>
          </w:tcPr>
          <w:p w14:paraId="5DA3FA51" w14:textId="77777777" w:rsidR="004D2156" w:rsidRDefault="004D2156" w:rsidP="004D2156">
            <w:pPr>
              <w:spacing w:after="0" w:line="240" w:lineRule="auto"/>
              <w:jc w:val="right"/>
              <w:rPr>
                <w:rFonts w:cs="Arial"/>
                <w:b/>
                <w:bCs/>
                <w:color w:val="53565A"/>
                <w:sz w:val="16"/>
                <w:szCs w:val="16"/>
              </w:rPr>
            </w:pPr>
            <w:r w:rsidRPr="0028383D">
              <w:rPr>
                <w:rFonts w:cs="Arial"/>
                <w:b/>
                <w:color w:val="53565A"/>
                <w:sz w:val="16"/>
                <w:szCs w:val="16"/>
                <w:lang w:eastAsia="en-AU"/>
              </w:rPr>
              <w:t>2024-25</w:t>
            </w:r>
          </w:p>
          <w:p w14:paraId="176CC5CC" w14:textId="76C6D27C" w:rsidR="004D2156" w:rsidRPr="0028383D" w:rsidRDefault="004D2156" w:rsidP="004D2156">
            <w:pPr>
              <w:spacing w:after="0" w:line="240" w:lineRule="auto"/>
              <w:jc w:val="right"/>
              <w:rPr>
                <w:rFonts w:cs="Arial"/>
                <w:b/>
                <w:bCs/>
                <w:color w:val="53565A"/>
                <w:sz w:val="16"/>
                <w:szCs w:val="16"/>
                <w:lang w:eastAsia="en-AU"/>
              </w:rPr>
            </w:pPr>
            <w:r w:rsidRPr="0028383D">
              <w:rPr>
                <w:rFonts w:cs="Arial"/>
                <w:b/>
                <w:color w:val="53565A"/>
                <w:sz w:val="16"/>
                <w:szCs w:val="16"/>
                <w:lang w:eastAsia="en-AU"/>
              </w:rPr>
              <w:t xml:space="preserve">Other </w:t>
            </w:r>
            <w:r>
              <w:rPr>
                <w:rFonts w:cs="Arial"/>
                <w:b/>
                <w:bCs/>
                <w:color w:val="53565A"/>
                <w:sz w:val="16"/>
                <w:szCs w:val="16"/>
              </w:rPr>
              <w:t>Mental Health</w:t>
            </w:r>
          </w:p>
        </w:tc>
        <w:tc>
          <w:tcPr>
            <w:tcW w:w="926" w:type="dxa"/>
            <w:tcBorders>
              <w:top w:val="single" w:sz="4" w:space="0" w:color="auto"/>
              <w:left w:val="nil"/>
              <w:bottom w:val="single" w:sz="4" w:space="0" w:color="auto"/>
              <w:right w:val="single" w:sz="4" w:space="0" w:color="auto"/>
            </w:tcBorders>
            <w:shd w:val="clear" w:color="auto" w:fill="auto"/>
            <w:hideMark/>
          </w:tcPr>
          <w:p w14:paraId="5C8246A3"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42ECD9BB" w14:textId="0CDCC085" w:rsidR="004D2156" w:rsidRPr="0028383D"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Other Public Hospital Programs</w:t>
            </w:r>
          </w:p>
        </w:tc>
        <w:tc>
          <w:tcPr>
            <w:tcW w:w="926" w:type="dxa"/>
            <w:tcBorders>
              <w:top w:val="single" w:sz="4" w:space="0" w:color="auto"/>
              <w:left w:val="nil"/>
              <w:bottom w:val="single" w:sz="4" w:space="0" w:color="auto"/>
              <w:right w:val="single" w:sz="4" w:space="0" w:color="auto"/>
            </w:tcBorders>
            <w:shd w:val="clear" w:color="auto" w:fill="auto"/>
            <w:hideMark/>
          </w:tcPr>
          <w:p w14:paraId="24515424" w14:textId="77777777" w:rsidR="004D2156" w:rsidRDefault="004D2156" w:rsidP="004D2156">
            <w:pPr>
              <w:spacing w:after="0" w:line="240" w:lineRule="auto"/>
              <w:jc w:val="right"/>
              <w:rPr>
                <w:rFonts w:cs="Arial"/>
                <w:b/>
                <w:bCs/>
                <w:color w:val="53565A"/>
                <w:sz w:val="16"/>
                <w:szCs w:val="16"/>
              </w:rPr>
            </w:pPr>
            <w:r w:rsidRPr="001B1818">
              <w:rPr>
                <w:rFonts w:cs="Arial"/>
                <w:b/>
                <w:color w:val="53565A"/>
                <w:sz w:val="16"/>
                <w:szCs w:val="16"/>
                <w:lang w:eastAsia="en-AU"/>
              </w:rPr>
              <w:t>2024</w:t>
            </w:r>
            <w:r>
              <w:rPr>
                <w:rFonts w:cs="Arial"/>
                <w:b/>
                <w:color w:val="53565A"/>
                <w:sz w:val="16"/>
                <w:szCs w:val="16"/>
                <w:lang w:eastAsia="en-AU"/>
              </w:rPr>
              <w:t>-25</w:t>
            </w:r>
          </w:p>
          <w:p w14:paraId="1369C4BC" w14:textId="5F15A3E5" w:rsidR="004D2156" w:rsidRPr="009F14D0"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Out of Scope of Agreement</w:t>
            </w:r>
          </w:p>
        </w:tc>
        <w:tc>
          <w:tcPr>
            <w:tcW w:w="926" w:type="dxa"/>
            <w:tcBorders>
              <w:top w:val="single" w:sz="4" w:space="0" w:color="auto"/>
              <w:left w:val="nil"/>
              <w:bottom w:val="single" w:sz="4" w:space="0" w:color="auto"/>
              <w:right w:val="single" w:sz="4" w:space="0" w:color="auto"/>
            </w:tcBorders>
            <w:shd w:val="clear" w:color="000000" w:fill="FFFFFF"/>
            <w:hideMark/>
          </w:tcPr>
          <w:p w14:paraId="3D47D7A7"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5BAD260E" w14:textId="0828EE40" w:rsidR="004D2156" w:rsidRPr="009F14D0"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Small Rural Hospitals</w:t>
            </w:r>
          </w:p>
        </w:tc>
        <w:tc>
          <w:tcPr>
            <w:tcW w:w="926" w:type="dxa"/>
            <w:tcBorders>
              <w:top w:val="single" w:sz="4" w:space="0" w:color="auto"/>
              <w:left w:val="nil"/>
              <w:bottom w:val="single" w:sz="4" w:space="0" w:color="auto"/>
              <w:right w:val="single" w:sz="4" w:space="0" w:color="auto"/>
            </w:tcBorders>
            <w:shd w:val="clear" w:color="auto" w:fill="auto"/>
            <w:hideMark/>
          </w:tcPr>
          <w:p w14:paraId="70FFC94B"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1C99C50C" w14:textId="1FDA4140" w:rsidR="004D2156" w:rsidRPr="009F14D0"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Teaching, Training and Research</w:t>
            </w:r>
          </w:p>
        </w:tc>
        <w:tc>
          <w:tcPr>
            <w:tcW w:w="1069" w:type="dxa"/>
            <w:tcBorders>
              <w:top w:val="single" w:sz="4" w:space="0" w:color="auto"/>
              <w:left w:val="nil"/>
              <w:bottom w:val="single" w:sz="4" w:space="0" w:color="auto"/>
              <w:right w:val="single" w:sz="4" w:space="0" w:color="auto"/>
            </w:tcBorders>
          </w:tcPr>
          <w:p w14:paraId="371115E8" w14:textId="13060999" w:rsidR="004D2156" w:rsidRPr="00A2223A"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Total</w:t>
            </w:r>
          </w:p>
        </w:tc>
      </w:tr>
      <w:tr w:rsidR="00BF59EF" w:rsidRPr="009F14D0" w14:paraId="78A70541" w14:textId="65A75423"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0EFBFF2" w14:textId="45D20481"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Bairnsdale Regional Health Service</w:t>
            </w:r>
          </w:p>
        </w:tc>
        <w:tc>
          <w:tcPr>
            <w:tcW w:w="926" w:type="dxa"/>
            <w:tcBorders>
              <w:top w:val="nil"/>
              <w:left w:val="nil"/>
              <w:bottom w:val="single" w:sz="4" w:space="0" w:color="auto"/>
              <w:right w:val="single" w:sz="4" w:space="0" w:color="auto"/>
            </w:tcBorders>
            <w:shd w:val="clear" w:color="auto" w:fill="auto"/>
            <w:noWrap/>
            <w:vAlign w:val="center"/>
          </w:tcPr>
          <w:p w14:paraId="58A36361" w14:textId="1896B8C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116,741</w:t>
            </w:r>
          </w:p>
        </w:tc>
        <w:tc>
          <w:tcPr>
            <w:tcW w:w="926" w:type="dxa"/>
            <w:tcBorders>
              <w:top w:val="nil"/>
              <w:left w:val="nil"/>
              <w:bottom w:val="single" w:sz="4" w:space="0" w:color="auto"/>
              <w:right w:val="single" w:sz="4" w:space="0" w:color="auto"/>
            </w:tcBorders>
            <w:shd w:val="clear" w:color="auto" w:fill="auto"/>
            <w:noWrap/>
            <w:vAlign w:val="center"/>
          </w:tcPr>
          <w:p w14:paraId="0F28707C" w14:textId="2A09CC6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D6FFC45" w14:textId="758099C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C2DB7E2" w14:textId="0B433DD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636</w:t>
            </w:r>
          </w:p>
        </w:tc>
        <w:tc>
          <w:tcPr>
            <w:tcW w:w="926" w:type="dxa"/>
            <w:tcBorders>
              <w:top w:val="nil"/>
              <w:left w:val="nil"/>
              <w:bottom w:val="single" w:sz="4" w:space="0" w:color="auto"/>
              <w:right w:val="single" w:sz="4" w:space="0" w:color="auto"/>
            </w:tcBorders>
            <w:shd w:val="clear" w:color="auto" w:fill="auto"/>
            <w:noWrap/>
            <w:vAlign w:val="center"/>
          </w:tcPr>
          <w:p w14:paraId="30F44A9F" w14:textId="50CC87B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6DF706F" w14:textId="40B40077"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3,034</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64E90E6A" w14:textId="0F33500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BDAEC45" w14:textId="1EF9E1F7"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2,455</w:t>
            </w:r>
          </w:p>
        </w:tc>
        <w:tc>
          <w:tcPr>
            <w:tcW w:w="1069" w:type="dxa"/>
            <w:tcBorders>
              <w:top w:val="nil"/>
              <w:left w:val="nil"/>
              <w:bottom w:val="single" w:sz="4" w:space="0" w:color="auto"/>
              <w:right w:val="single" w:sz="4" w:space="0" w:color="auto"/>
            </w:tcBorders>
            <w:vAlign w:val="center"/>
          </w:tcPr>
          <w:p w14:paraId="5F53B009" w14:textId="0E73CF31"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116,798</w:t>
            </w:r>
          </w:p>
        </w:tc>
      </w:tr>
      <w:tr w:rsidR="00BF59EF" w:rsidRPr="009F14D0" w14:paraId="6163F668" w14:textId="0FA9AF19"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3A8187EC" w14:textId="32FBCFE6"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Bass Coast Health</w:t>
            </w:r>
          </w:p>
        </w:tc>
        <w:tc>
          <w:tcPr>
            <w:tcW w:w="926" w:type="dxa"/>
            <w:tcBorders>
              <w:top w:val="nil"/>
              <w:left w:val="nil"/>
              <w:bottom w:val="single" w:sz="4" w:space="0" w:color="auto"/>
              <w:right w:val="single" w:sz="4" w:space="0" w:color="auto"/>
            </w:tcBorders>
            <w:shd w:val="clear" w:color="auto" w:fill="auto"/>
            <w:noWrap/>
            <w:vAlign w:val="center"/>
          </w:tcPr>
          <w:p w14:paraId="16484593" w14:textId="61A16AF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123,359</w:t>
            </w:r>
          </w:p>
        </w:tc>
        <w:tc>
          <w:tcPr>
            <w:tcW w:w="926" w:type="dxa"/>
            <w:tcBorders>
              <w:top w:val="nil"/>
              <w:left w:val="nil"/>
              <w:bottom w:val="single" w:sz="4" w:space="0" w:color="auto"/>
              <w:right w:val="single" w:sz="4" w:space="0" w:color="auto"/>
            </w:tcBorders>
            <w:shd w:val="clear" w:color="auto" w:fill="auto"/>
            <w:noWrap/>
            <w:vAlign w:val="center"/>
          </w:tcPr>
          <w:p w14:paraId="6DA1CDE6" w14:textId="35D680F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364E4EA" w14:textId="1D75C1A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0AEE8A9" w14:textId="255C7530"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120546A" w14:textId="4CDDBE4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053491D" w14:textId="32F16CE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4,130</w:t>
            </w:r>
          </w:p>
        </w:tc>
        <w:tc>
          <w:tcPr>
            <w:tcW w:w="926" w:type="dxa"/>
            <w:tcBorders>
              <w:top w:val="nil"/>
              <w:left w:val="nil"/>
              <w:bottom w:val="single" w:sz="4" w:space="0" w:color="auto"/>
              <w:right w:val="single" w:sz="4" w:space="0" w:color="auto"/>
            </w:tcBorders>
            <w:shd w:val="clear" w:color="auto" w:fill="auto"/>
            <w:noWrap/>
            <w:vAlign w:val="center"/>
          </w:tcPr>
          <w:p w14:paraId="7628C455" w14:textId="6702F6D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500F92D" w14:textId="6FAA090B"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2,005</w:t>
            </w:r>
          </w:p>
        </w:tc>
        <w:tc>
          <w:tcPr>
            <w:tcW w:w="1069" w:type="dxa"/>
            <w:tcBorders>
              <w:top w:val="nil"/>
              <w:left w:val="nil"/>
              <w:bottom w:val="single" w:sz="4" w:space="0" w:color="auto"/>
              <w:right w:val="single" w:sz="4" w:space="0" w:color="auto"/>
            </w:tcBorders>
            <w:vAlign w:val="center"/>
          </w:tcPr>
          <w:p w14:paraId="7BAEFC90" w14:textId="064DEB01"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129,495</w:t>
            </w:r>
          </w:p>
        </w:tc>
      </w:tr>
      <w:tr w:rsidR="00BF59EF" w:rsidRPr="009F14D0" w14:paraId="5EB791A8" w14:textId="3A0D36CE"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52F0E36C" w14:textId="26F9736D"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Benalla Health</w:t>
            </w:r>
          </w:p>
        </w:tc>
        <w:tc>
          <w:tcPr>
            <w:tcW w:w="926" w:type="dxa"/>
            <w:tcBorders>
              <w:top w:val="nil"/>
              <w:left w:val="nil"/>
              <w:bottom w:val="single" w:sz="4" w:space="0" w:color="auto"/>
              <w:right w:val="single" w:sz="4" w:space="0" w:color="auto"/>
            </w:tcBorders>
            <w:shd w:val="clear" w:color="auto" w:fill="auto"/>
            <w:noWrap/>
            <w:vAlign w:val="center"/>
          </w:tcPr>
          <w:p w14:paraId="7E5198CC" w14:textId="5515F62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26,751</w:t>
            </w:r>
          </w:p>
        </w:tc>
        <w:tc>
          <w:tcPr>
            <w:tcW w:w="926" w:type="dxa"/>
            <w:tcBorders>
              <w:top w:val="nil"/>
              <w:left w:val="nil"/>
              <w:bottom w:val="single" w:sz="4" w:space="0" w:color="auto"/>
              <w:right w:val="single" w:sz="4" w:space="0" w:color="auto"/>
            </w:tcBorders>
            <w:shd w:val="clear" w:color="auto" w:fill="auto"/>
            <w:noWrap/>
            <w:vAlign w:val="center"/>
          </w:tcPr>
          <w:p w14:paraId="1B5FBFE6" w14:textId="6A8CCAD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351A2B6" w14:textId="20326D6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DDBF6E3" w14:textId="0C9D135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A9B22FA" w14:textId="656A5E1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C99B9B8" w14:textId="4D4D775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1,033</w:t>
            </w:r>
          </w:p>
        </w:tc>
        <w:tc>
          <w:tcPr>
            <w:tcW w:w="926" w:type="dxa"/>
            <w:tcBorders>
              <w:top w:val="nil"/>
              <w:left w:val="nil"/>
              <w:bottom w:val="single" w:sz="4" w:space="0" w:color="auto"/>
              <w:right w:val="single" w:sz="4" w:space="0" w:color="auto"/>
            </w:tcBorders>
            <w:shd w:val="clear" w:color="auto" w:fill="auto"/>
            <w:noWrap/>
            <w:vAlign w:val="center"/>
          </w:tcPr>
          <w:p w14:paraId="1076AD13" w14:textId="02C8E42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3DA7497" w14:textId="3224AA8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429</w:t>
            </w:r>
          </w:p>
        </w:tc>
        <w:tc>
          <w:tcPr>
            <w:tcW w:w="1069" w:type="dxa"/>
            <w:tcBorders>
              <w:top w:val="nil"/>
              <w:left w:val="nil"/>
              <w:bottom w:val="single" w:sz="4" w:space="0" w:color="auto"/>
              <w:right w:val="single" w:sz="4" w:space="0" w:color="auto"/>
            </w:tcBorders>
            <w:vAlign w:val="center"/>
          </w:tcPr>
          <w:p w14:paraId="27FC57F3" w14:textId="53911AC3"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28,213</w:t>
            </w:r>
          </w:p>
        </w:tc>
      </w:tr>
      <w:tr w:rsidR="00BF59EF" w:rsidRPr="009F14D0" w14:paraId="545FD8C6" w14:textId="067A686E"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435BBAD7" w14:textId="5ABC5E92"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Central Gippsland Health Service</w:t>
            </w:r>
          </w:p>
        </w:tc>
        <w:tc>
          <w:tcPr>
            <w:tcW w:w="926" w:type="dxa"/>
            <w:tcBorders>
              <w:top w:val="nil"/>
              <w:left w:val="nil"/>
              <w:bottom w:val="single" w:sz="4" w:space="0" w:color="auto"/>
              <w:right w:val="single" w:sz="4" w:space="0" w:color="auto"/>
            </w:tcBorders>
            <w:shd w:val="clear" w:color="auto" w:fill="auto"/>
            <w:noWrap/>
            <w:vAlign w:val="center"/>
          </w:tcPr>
          <w:p w14:paraId="311B97A8" w14:textId="13D0058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84,527</w:t>
            </w:r>
          </w:p>
        </w:tc>
        <w:tc>
          <w:tcPr>
            <w:tcW w:w="926" w:type="dxa"/>
            <w:tcBorders>
              <w:top w:val="nil"/>
              <w:left w:val="nil"/>
              <w:bottom w:val="single" w:sz="4" w:space="0" w:color="auto"/>
              <w:right w:val="single" w:sz="4" w:space="0" w:color="auto"/>
            </w:tcBorders>
            <w:shd w:val="clear" w:color="auto" w:fill="auto"/>
            <w:noWrap/>
            <w:vAlign w:val="center"/>
          </w:tcPr>
          <w:p w14:paraId="0A95E1CD" w14:textId="50185B7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30419D0" w14:textId="5AC7C08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F5F1E13" w14:textId="528C205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629</w:t>
            </w:r>
          </w:p>
        </w:tc>
        <w:tc>
          <w:tcPr>
            <w:tcW w:w="926" w:type="dxa"/>
            <w:tcBorders>
              <w:top w:val="nil"/>
              <w:left w:val="nil"/>
              <w:bottom w:val="single" w:sz="4" w:space="0" w:color="auto"/>
              <w:right w:val="single" w:sz="4" w:space="0" w:color="auto"/>
            </w:tcBorders>
            <w:shd w:val="clear" w:color="auto" w:fill="auto"/>
            <w:noWrap/>
            <w:vAlign w:val="center"/>
          </w:tcPr>
          <w:p w14:paraId="3F118CC1" w14:textId="7EB4679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F519764" w14:textId="5939EAE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-819</w:t>
            </w:r>
          </w:p>
        </w:tc>
        <w:tc>
          <w:tcPr>
            <w:tcW w:w="926" w:type="dxa"/>
            <w:tcBorders>
              <w:top w:val="nil"/>
              <w:left w:val="nil"/>
              <w:bottom w:val="single" w:sz="4" w:space="0" w:color="auto"/>
              <w:right w:val="single" w:sz="4" w:space="0" w:color="auto"/>
            </w:tcBorders>
            <w:shd w:val="clear" w:color="auto" w:fill="auto"/>
            <w:noWrap/>
            <w:vAlign w:val="center"/>
          </w:tcPr>
          <w:p w14:paraId="1829918D" w14:textId="1629228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DC186DF" w14:textId="07C63E43"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1,961</w:t>
            </w:r>
          </w:p>
        </w:tc>
        <w:tc>
          <w:tcPr>
            <w:tcW w:w="1069" w:type="dxa"/>
            <w:tcBorders>
              <w:top w:val="nil"/>
              <w:left w:val="nil"/>
              <w:bottom w:val="single" w:sz="4" w:space="0" w:color="auto"/>
              <w:right w:val="single" w:sz="4" w:space="0" w:color="auto"/>
            </w:tcBorders>
            <w:vAlign w:val="center"/>
          </w:tcPr>
          <w:p w14:paraId="2104FA36" w14:textId="08853626"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86,298</w:t>
            </w:r>
          </w:p>
        </w:tc>
      </w:tr>
      <w:tr w:rsidR="00BF59EF" w:rsidRPr="009F14D0" w14:paraId="0F4A4332" w14:textId="07ED284B"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7C0C13DF" w14:textId="7E791B7D"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Colac Area Health</w:t>
            </w:r>
          </w:p>
        </w:tc>
        <w:tc>
          <w:tcPr>
            <w:tcW w:w="926" w:type="dxa"/>
            <w:tcBorders>
              <w:top w:val="nil"/>
              <w:left w:val="nil"/>
              <w:bottom w:val="single" w:sz="4" w:space="0" w:color="auto"/>
              <w:right w:val="single" w:sz="4" w:space="0" w:color="auto"/>
            </w:tcBorders>
            <w:shd w:val="clear" w:color="auto" w:fill="auto"/>
            <w:noWrap/>
            <w:vAlign w:val="center"/>
          </w:tcPr>
          <w:p w14:paraId="76633A16" w14:textId="07866E5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43,753</w:t>
            </w:r>
          </w:p>
        </w:tc>
        <w:tc>
          <w:tcPr>
            <w:tcW w:w="926" w:type="dxa"/>
            <w:tcBorders>
              <w:top w:val="nil"/>
              <w:left w:val="nil"/>
              <w:bottom w:val="single" w:sz="4" w:space="0" w:color="auto"/>
              <w:right w:val="single" w:sz="4" w:space="0" w:color="auto"/>
            </w:tcBorders>
            <w:shd w:val="clear" w:color="auto" w:fill="auto"/>
            <w:noWrap/>
            <w:vAlign w:val="center"/>
          </w:tcPr>
          <w:p w14:paraId="57B8435E" w14:textId="2C66160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2FD6435" w14:textId="1CF782B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DFA3725" w14:textId="0ED7980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32263E0" w14:textId="6597CEC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95E759F" w14:textId="52456A60"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540</w:t>
            </w:r>
          </w:p>
        </w:tc>
        <w:tc>
          <w:tcPr>
            <w:tcW w:w="926" w:type="dxa"/>
            <w:tcBorders>
              <w:top w:val="nil"/>
              <w:left w:val="nil"/>
              <w:bottom w:val="single" w:sz="4" w:space="0" w:color="auto"/>
              <w:right w:val="single" w:sz="4" w:space="0" w:color="auto"/>
            </w:tcBorders>
            <w:shd w:val="clear" w:color="auto" w:fill="auto"/>
            <w:noWrap/>
            <w:vAlign w:val="center"/>
          </w:tcPr>
          <w:p w14:paraId="77D32827" w14:textId="6F29E7F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AB866BC" w14:textId="6B473973"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336</w:t>
            </w:r>
          </w:p>
        </w:tc>
        <w:tc>
          <w:tcPr>
            <w:tcW w:w="1069" w:type="dxa"/>
            <w:tcBorders>
              <w:top w:val="nil"/>
              <w:left w:val="nil"/>
              <w:bottom w:val="single" w:sz="4" w:space="0" w:color="auto"/>
              <w:right w:val="single" w:sz="4" w:space="0" w:color="auto"/>
            </w:tcBorders>
            <w:vAlign w:val="center"/>
          </w:tcPr>
          <w:p w14:paraId="302F81CA" w14:textId="47CE4C11"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44,629</w:t>
            </w:r>
          </w:p>
        </w:tc>
      </w:tr>
      <w:tr w:rsidR="00BF59EF" w:rsidRPr="009F14D0" w14:paraId="2903546B" w14:textId="18F807C0" w:rsidTr="00EE045F">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F00833F" w14:textId="1D0737CF"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Dhelkaya Health</w:t>
            </w:r>
          </w:p>
        </w:tc>
        <w:tc>
          <w:tcPr>
            <w:tcW w:w="926" w:type="dxa"/>
            <w:tcBorders>
              <w:top w:val="nil"/>
              <w:left w:val="nil"/>
              <w:bottom w:val="single" w:sz="4" w:space="0" w:color="auto"/>
              <w:right w:val="single" w:sz="4" w:space="0" w:color="auto"/>
            </w:tcBorders>
            <w:shd w:val="clear" w:color="auto" w:fill="auto"/>
            <w:noWrap/>
            <w:vAlign w:val="center"/>
          </w:tcPr>
          <w:p w14:paraId="41B7D690" w14:textId="1E2DAA9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38,829</w:t>
            </w:r>
          </w:p>
        </w:tc>
        <w:tc>
          <w:tcPr>
            <w:tcW w:w="926" w:type="dxa"/>
            <w:tcBorders>
              <w:top w:val="nil"/>
              <w:left w:val="nil"/>
              <w:bottom w:val="single" w:sz="4" w:space="0" w:color="auto"/>
              <w:right w:val="single" w:sz="4" w:space="0" w:color="auto"/>
            </w:tcBorders>
            <w:shd w:val="clear" w:color="auto" w:fill="auto"/>
            <w:noWrap/>
            <w:vAlign w:val="center"/>
          </w:tcPr>
          <w:p w14:paraId="44AF2183" w14:textId="524AAE1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DA57835" w14:textId="50DB26D0"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0014606" w14:textId="2591F59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BE81391" w14:textId="50FBB89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1439524" w14:textId="0DF36B2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12,717</w:t>
            </w:r>
          </w:p>
        </w:tc>
        <w:tc>
          <w:tcPr>
            <w:tcW w:w="926" w:type="dxa"/>
            <w:tcBorders>
              <w:top w:val="nil"/>
              <w:left w:val="nil"/>
              <w:bottom w:val="single" w:sz="4" w:space="0" w:color="auto"/>
              <w:right w:val="single" w:sz="4" w:space="0" w:color="auto"/>
            </w:tcBorders>
            <w:shd w:val="clear" w:color="auto" w:fill="auto"/>
            <w:noWrap/>
            <w:vAlign w:val="center"/>
          </w:tcPr>
          <w:p w14:paraId="58BD5C78" w14:textId="3BD6CC8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2,779</w:t>
            </w:r>
          </w:p>
        </w:tc>
        <w:tc>
          <w:tcPr>
            <w:tcW w:w="926" w:type="dxa"/>
            <w:tcBorders>
              <w:top w:val="nil"/>
              <w:left w:val="nil"/>
              <w:bottom w:val="single" w:sz="4" w:space="0" w:color="auto"/>
              <w:right w:val="single" w:sz="4" w:space="0" w:color="auto"/>
            </w:tcBorders>
            <w:shd w:val="clear" w:color="auto" w:fill="auto"/>
            <w:noWrap/>
            <w:vAlign w:val="center"/>
          </w:tcPr>
          <w:p w14:paraId="739151FD" w14:textId="3EE9E32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461</w:t>
            </w:r>
          </w:p>
        </w:tc>
        <w:tc>
          <w:tcPr>
            <w:tcW w:w="1069" w:type="dxa"/>
            <w:tcBorders>
              <w:top w:val="nil"/>
              <w:left w:val="nil"/>
              <w:bottom w:val="single" w:sz="4" w:space="0" w:color="auto"/>
              <w:right w:val="single" w:sz="4" w:space="0" w:color="auto"/>
            </w:tcBorders>
            <w:vAlign w:val="center"/>
          </w:tcPr>
          <w:p w14:paraId="7E4E1861" w14:textId="5498B063"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54,786</w:t>
            </w:r>
          </w:p>
        </w:tc>
      </w:tr>
      <w:tr w:rsidR="00BF59EF" w:rsidRPr="009F14D0" w14:paraId="05B2EE94" w14:textId="6C01C725"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7FCA49EF" w14:textId="0587F934"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East Grampians Health Service</w:t>
            </w:r>
          </w:p>
        </w:tc>
        <w:tc>
          <w:tcPr>
            <w:tcW w:w="926" w:type="dxa"/>
            <w:tcBorders>
              <w:top w:val="nil"/>
              <w:left w:val="nil"/>
              <w:bottom w:val="single" w:sz="4" w:space="0" w:color="auto"/>
              <w:right w:val="single" w:sz="4" w:space="0" w:color="auto"/>
            </w:tcBorders>
            <w:shd w:val="clear" w:color="auto" w:fill="auto"/>
            <w:noWrap/>
            <w:vAlign w:val="center"/>
          </w:tcPr>
          <w:p w14:paraId="0E835774" w14:textId="7C348D3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36,709</w:t>
            </w:r>
          </w:p>
        </w:tc>
        <w:tc>
          <w:tcPr>
            <w:tcW w:w="926" w:type="dxa"/>
            <w:tcBorders>
              <w:top w:val="nil"/>
              <w:left w:val="nil"/>
              <w:bottom w:val="single" w:sz="4" w:space="0" w:color="auto"/>
              <w:right w:val="single" w:sz="4" w:space="0" w:color="auto"/>
            </w:tcBorders>
            <w:shd w:val="clear" w:color="auto" w:fill="auto"/>
            <w:noWrap/>
            <w:vAlign w:val="center"/>
          </w:tcPr>
          <w:p w14:paraId="5FBEB9E8" w14:textId="7FC7AC7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2EEDF09" w14:textId="15A07B5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0EF2960" w14:textId="6BC93F5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212F7D4" w14:textId="642EFDF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CBA6371" w14:textId="7AEA7830"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5,989</w:t>
            </w:r>
          </w:p>
        </w:tc>
        <w:tc>
          <w:tcPr>
            <w:tcW w:w="926" w:type="dxa"/>
            <w:tcBorders>
              <w:top w:val="nil"/>
              <w:left w:val="nil"/>
              <w:bottom w:val="single" w:sz="4" w:space="0" w:color="auto"/>
              <w:right w:val="single" w:sz="4" w:space="0" w:color="auto"/>
            </w:tcBorders>
            <w:shd w:val="clear" w:color="auto" w:fill="auto"/>
            <w:noWrap/>
            <w:vAlign w:val="center"/>
          </w:tcPr>
          <w:p w14:paraId="4585E7AD" w14:textId="15DEA56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D15BAFA" w14:textId="59D49D66"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1,250</w:t>
            </w:r>
          </w:p>
        </w:tc>
        <w:tc>
          <w:tcPr>
            <w:tcW w:w="1069" w:type="dxa"/>
            <w:tcBorders>
              <w:top w:val="nil"/>
              <w:left w:val="nil"/>
              <w:bottom w:val="single" w:sz="4" w:space="0" w:color="auto"/>
              <w:right w:val="single" w:sz="4" w:space="0" w:color="auto"/>
            </w:tcBorders>
            <w:vAlign w:val="center"/>
          </w:tcPr>
          <w:p w14:paraId="1B41D034" w14:textId="452ED7A6"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43,948</w:t>
            </w:r>
          </w:p>
        </w:tc>
      </w:tr>
      <w:tr w:rsidR="00BF59EF" w:rsidRPr="009F14D0" w14:paraId="4210853D" w14:textId="46C9CD47"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3C774A81" w14:textId="5E07BF17"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Echuca Regional Health</w:t>
            </w:r>
          </w:p>
        </w:tc>
        <w:tc>
          <w:tcPr>
            <w:tcW w:w="926" w:type="dxa"/>
            <w:tcBorders>
              <w:top w:val="nil"/>
              <w:left w:val="nil"/>
              <w:bottom w:val="single" w:sz="4" w:space="0" w:color="auto"/>
              <w:right w:val="single" w:sz="4" w:space="0" w:color="auto"/>
            </w:tcBorders>
            <w:shd w:val="clear" w:color="auto" w:fill="auto"/>
            <w:noWrap/>
            <w:vAlign w:val="center"/>
          </w:tcPr>
          <w:p w14:paraId="47720D2E" w14:textId="6A90699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123,711</w:t>
            </w:r>
          </w:p>
        </w:tc>
        <w:tc>
          <w:tcPr>
            <w:tcW w:w="926" w:type="dxa"/>
            <w:tcBorders>
              <w:top w:val="nil"/>
              <w:left w:val="nil"/>
              <w:bottom w:val="single" w:sz="4" w:space="0" w:color="auto"/>
              <w:right w:val="single" w:sz="4" w:space="0" w:color="auto"/>
            </w:tcBorders>
            <w:shd w:val="clear" w:color="auto" w:fill="auto"/>
            <w:noWrap/>
            <w:vAlign w:val="center"/>
          </w:tcPr>
          <w:p w14:paraId="7D708123" w14:textId="0388CF1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0171D57" w14:textId="3A39D50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1CD75BC" w14:textId="74C1B28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22A930C" w14:textId="43DE50F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65826F9" w14:textId="0AE842C1"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17,289</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5EDC02C9" w14:textId="3961099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963BB2D" w14:textId="0268F884"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2,476</w:t>
            </w:r>
          </w:p>
        </w:tc>
        <w:tc>
          <w:tcPr>
            <w:tcW w:w="1069" w:type="dxa"/>
            <w:tcBorders>
              <w:top w:val="nil"/>
              <w:left w:val="nil"/>
              <w:bottom w:val="single" w:sz="4" w:space="0" w:color="auto"/>
              <w:right w:val="single" w:sz="4" w:space="0" w:color="auto"/>
            </w:tcBorders>
            <w:vAlign w:val="center"/>
          </w:tcPr>
          <w:p w14:paraId="46D4E4E0" w14:textId="317E2DDB"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108,897</w:t>
            </w:r>
          </w:p>
        </w:tc>
      </w:tr>
      <w:tr w:rsidR="00BF59EF" w:rsidRPr="009F14D0" w14:paraId="11A87FA5" w14:textId="6AE45CB5"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0ED4517A" w14:textId="55B36D81"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Gippsland Southern Health Service</w:t>
            </w:r>
          </w:p>
        </w:tc>
        <w:tc>
          <w:tcPr>
            <w:tcW w:w="926" w:type="dxa"/>
            <w:tcBorders>
              <w:top w:val="nil"/>
              <w:left w:val="nil"/>
              <w:bottom w:val="single" w:sz="4" w:space="0" w:color="auto"/>
              <w:right w:val="single" w:sz="4" w:space="0" w:color="auto"/>
            </w:tcBorders>
            <w:shd w:val="clear" w:color="auto" w:fill="auto"/>
            <w:noWrap/>
            <w:vAlign w:val="center"/>
          </w:tcPr>
          <w:p w14:paraId="02466068" w14:textId="5436715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28,346</w:t>
            </w:r>
          </w:p>
        </w:tc>
        <w:tc>
          <w:tcPr>
            <w:tcW w:w="926" w:type="dxa"/>
            <w:tcBorders>
              <w:top w:val="nil"/>
              <w:left w:val="nil"/>
              <w:bottom w:val="single" w:sz="4" w:space="0" w:color="auto"/>
              <w:right w:val="single" w:sz="4" w:space="0" w:color="auto"/>
            </w:tcBorders>
            <w:shd w:val="clear" w:color="auto" w:fill="auto"/>
            <w:noWrap/>
            <w:vAlign w:val="center"/>
          </w:tcPr>
          <w:p w14:paraId="60ED3A44" w14:textId="61A6BBB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7E11D4C" w14:textId="28534014"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22DA7E0" w14:textId="2430F15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235</w:t>
            </w:r>
          </w:p>
        </w:tc>
        <w:tc>
          <w:tcPr>
            <w:tcW w:w="926" w:type="dxa"/>
            <w:tcBorders>
              <w:top w:val="nil"/>
              <w:left w:val="nil"/>
              <w:bottom w:val="single" w:sz="4" w:space="0" w:color="auto"/>
              <w:right w:val="single" w:sz="4" w:space="0" w:color="auto"/>
            </w:tcBorders>
            <w:shd w:val="clear" w:color="auto" w:fill="auto"/>
            <w:noWrap/>
            <w:vAlign w:val="center"/>
          </w:tcPr>
          <w:p w14:paraId="0C8E3038" w14:textId="1C318E9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5DC80C7" w14:textId="5BD00278"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1,885</w:t>
            </w:r>
          </w:p>
        </w:tc>
        <w:tc>
          <w:tcPr>
            <w:tcW w:w="926" w:type="dxa"/>
            <w:tcBorders>
              <w:top w:val="nil"/>
              <w:left w:val="nil"/>
              <w:bottom w:val="single" w:sz="4" w:space="0" w:color="auto"/>
              <w:right w:val="single" w:sz="4" w:space="0" w:color="auto"/>
            </w:tcBorders>
            <w:shd w:val="clear" w:color="auto" w:fill="auto"/>
            <w:noWrap/>
            <w:vAlign w:val="center"/>
          </w:tcPr>
          <w:p w14:paraId="3745211E" w14:textId="315548F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53</w:t>
            </w:r>
          </w:p>
        </w:tc>
        <w:tc>
          <w:tcPr>
            <w:tcW w:w="926" w:type="dxa"/>
            <w:tcBorders>
              <w:top w:val="nil"/>
              <w:left w:val="nil"/>
              <w:bottom w:val="single" w:sz="4" w:space="0" w:color="auto"/>
              <w:right w:val="single" w:sz="4" w:space="0" w:color="auto"/>
            </w:tcBorders>
            <w:shd w:val="clear" w:color="auto" w:fill="auto"/>
            <w:noWrap/>
            <w:vAlign w:val="center"/>
          </w:tcPr>
          <w:p w14:paraId="72145908" w14:textId="75CB6FC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182</w:t>
            </w:r>
          </w:p>
        </w:tc>
        <w:tc>
          <w:tcPr>
            <w:tcW w:w="1069" w:type="dxa"/>
            <w:tcBorders>
              <w:top w:val="nil"/>
              <w:left w:val="nil"/>
              <w:bottom w:val="single" w:sz="4" w:space="0" w:color="auto"/>
              <w:right w:val="single" w:sz="4" w:space="0" w:color="auto"/>
            </w:tcBorders>
            <w:vAlign w:val="center"/>
          </w:tcPr>
          <w:p w14:paraId="55C57481" w14:textId="7DB3E522"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30,701</w:t>
            </w:r>
          </w:p>
        </w:tc>
      </w:tr>
      <w:tr w:rsidR="00BF59EF" w:rsidRPr="009F14D0" w14:paraId="62A30193" w14:textId="038E23B4"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08359A9C" w14:textId="7BD152B5"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Kyabram District Health Service</w:t>
            </w:r>
          </w:p>
        </w:tc>
        <w:tc>
          <w:tcPr>
            <w:tcW w:w="926" w:type="dxa"/>
            <w:tcBorders>
              <w:top w:val="nil"/>
              <w:left w:val="nil"/>
              <w:bottom w:val="single" w:sz="4" w:space="0" w:color="auto"/>
              <w:right w:val="single" w:sz="4" w:space="0" w:color="auto"/>
            </w:tcBorders>
            <w:shd w:val="clear" w:color="auto" w:fill="auto"/>
            <w:noWrap/>
            <w:vAlign w:val="center"/>
          </w:tcPr>
          <w:p w14:paraId="0B7918F5" w14:textId="5D841F44"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21,410</w:t>
            </w:r>
          </w:p>
        </w:tc>
        <w:tc>
          <w:tcPr>
            <w:tcW w:w="926" w:type="dxa"/>
            <w:tcBorders>
              <w:top w:val="nil"/>
              <w:left w:val="nil"/>
              <w:bottom w:val="single" w:sz="4" w:space="0" w:color="auto"/>
              <w:right w:val="single" w:sz="4" w:space="0" w:color="auto"/>
            </w:tcBorders>
            <w:shd w:val="clear" w:color="auto" w:fill="auto"/>
            <w:noWrap/>
            <w:vAlign w:val="center"/>
          </w:tcPr>
          <w:p w14:paraId="3FBF3104" w14:textId="7767B5F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4C84145" w14:textId="5DEE95B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17CAD3D" w14:textId="7D5C610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70EC758" w14:textId="1A2D645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D0227B4" w14:textId="046D6F4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1,887</w:t>
            </w:r>
          </w:p>
        </w:tc>
        <w:tc>
          <w:tcPr>
            <w:tcW w:w="926" w:type="dxa"/>
            <w:tcBorders>
              <w:top w:val="nil"/>
              <w:left w:val="nil"/>
              <w:bottom w:val="single" w:sz="4" w:space="0" w:color="auto"/>
              <w:right w:val="single" w:sz="4" w:space="0" w:color="auto"/>
            </w:tcBorders>
            <w:shd w:val="clear" w:color="auto" w:fill="auto"/>
            <w:noWrap/>
            <w:vAlign w:val="center"/>
          </w:tcPr>
          <w:p w14:paraId="46B9E8BA" w14:textId="27F7F6F8"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521F438" w14:textId="61EB8439"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235</w:t>
            </w:r>
          </w:p>
        </w:tc>
        <w:tc>
          <w:tcPr>
            <w:tcW w:w="1069" w:type="dxa"/>
            <w:tcBorders>
              <w:top w:val="nil"/>
              <w:left w:val="nil"/>
              <w:bottom w:val="single" w:sz="4" w:space="0" w:color="auto"/>
              <w:right w:val="single" w:sz="4" w:space="0" w:color="auto"/>
            </w:tcBorders>
            <w:vAlign w:val="center"/>
          </w:tcPr>
          <w:p w14:paraId="7EFC72A0" w14:textId="5FFDA36C"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23,532</w:t>
            </w:r>
          </w:p>
        </w:tc>
      </w:tr>
      <w:tr w:rsidR="00BF59EF" w:rsidRPr="009F14D0" w14:paraId="7C175AAF" w14:textId="40D736C1"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2806090" w14:textId="033C8A3F"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Maryborough District Health Service</w:t>
            </w:r>
          </w:p>
        </w:tc>
        <w:tc>
          <w:tcPr>
            <w:tcW w:w="926" w:type="dxa"/>
            <w:tcBorders>
              <w:top w:val="nil"/>
              <w:left w:val="nil"/>
              <w:bottom w:val="single" w:sz="4" w:space="0" w:color="auto"/>
              <w:right w:val="single" w:sz="4" w:space="0" w:color="auto"/>
            </w:tcBorders>
            <w:shd w:val="clear" w:color="auto" w:fill="auto"/>
            <w:noWrap/>
            <w:vAlign w:val="center"/>
          </w:tcPr>
          <w:p w14:paraId="320526F7" w14:textId="6EABA6A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30,907</w:t>
            </w:r>
          </w:p>
        </w:tc>
        <w:tc>
          <w:tcPr>
            <w:tcW w:w="926" w:type="dxa"/>
            <w:tcBorders>
              <w:top w:val="nil"/>
              <w:left w:val="nil"/>
              <w:bottom w:val="single" w:sz="4" w:space="0" w:color="auto"/>
              <w:right w:val="single" w:sz="4" w:space="0" w:color="auto"/>
            </w:tcBorders>
            <w:shd w:val="clear" w:color="auto" w:fill="auto"/>
            <w:noWrap/>
            <w:vAlign w:val="center"/>
          </w:tcPr>
          <w:p w14:paraId="0AB4A37B" w14:textId="2256098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EF05FAD" w14:textId="6A7D58FD"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6936050" w14:textId="55C8D11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EE2CF8E" w14:textId="5D4597C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E41430B" w14:textId="500EE421"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593</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18B5C947" w14:textId="13B1487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0F758D3" w14:textId="17FDCBD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509</w:t>
            </w:r>
          </w:p>
        </w:tc>
        <w:tc>
          <w:tcPr>
            <w:tcW w:w="1069" w:type="dxa"/>
            <w:tcBorders>
              <w:top w:val="nil"/>
              <w:left w:val="nil"/>
              <w:bottom w:val="single" w:sz="4" w:space="0" w:color="auto"/>
              <w:right w:val="single" w:sz="4" w:space="0" w:color="auto"/>
            </w:tcBorders>
            <w:vAlign w:val="center"/>
          </w:tcPr>
          <w:p w14:paraId="1B5C4E86" w14:textId="7F6EDF72"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30,824</w:t>
            </w:r>
          </w:p>
        </w:tc>
      </w:tr>
      <w:tr w:rsidR="00BF59EF" w:rsidRPr="009F14D0" w14:paraId="303D046F" w14:textId="2FEC3560"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6FEE915" w14:textId="36F9EA79"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Mildura Base Public Hospital</w:t>
            </w:r>
          </w:p>
        </w:tc>
        <w:tc>
          <w:tcPr>
            <w:tcW w:w="926" w:type="dxa"/>
            <w:tcBorders>
              <w:top w:val="nil"/>
              <w:left w:val="nil"/>
              <w:bottom w:val="single" w:sz="4" w:space="0" w:color="auto"/>
              <w:right w:val="single" w:sz="4" w:space="0" w:color="auto"/>
            </w:tcBorders>
            <w:shd w:val="clear" w:color="auto" w:fill="auto"/>
            <w:noWrap/>
            <w:vAlign w:val="center"/>
          </w:tcPr>
          <w:p w14:paraId="1C4087B3" w14:textId="4E9B447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184,684</w:t>
            </w:r>
          </w:p>
        </w:tc>
        <w:tc>
          <w:tcPr>
            <w:tcW w:w="926" w:type="dxa"/>
            <w:tcBorders>
              <w:top w:val="nil"/>
              <w:left w:val="nil"/>
              <w:bottom w:val="single" w:sz="4" w:space="0" w:color="auto"/>
              <w:right w:val="single" w:sz="4" w:space="0" w:color="auto"/>
            </w:tcBorders>
            <w:shd w:val="clear" w:color="auto" w:fill="auto"/>
            <w:noWrap/>
            <w:vAlign w:val="center"/>
          </w:tcPr>
          <w:p w14:paraId="72A292ED" w14:textId="7F443B7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1EB7114" w14:textId="680AE6F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299</w:t>
            </w:r>
          </w:p>
        </w:tc>
        <w:tc>
          <w:tcPr>
            <w:tcW w:w="926" w:type="dxa"/>
            <w:tcBorders>
              <w:top w:val="nil"/>
              <w:left w:val="nil"/>
              <w:bottom w:val="single" w:sz="4" w:space="0" w:color="auto"/>
              <w:right w:val="single" w:sz="4" w:space="0" w:color="auto"/>
            </w:tcBorders>
            <w:shd w:val="clear" w:color="auto" w:fill="auto"/>
            <w:noWrap/>
            <w:vAlign w:val="center"/>
          </w:tcPr>
          <w:p w14:paraId="205DE429" w14:textId="5799361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20,286</w:t>
            </w:r>
          </w:p>
        </w:tc>
        <w:tc>
          <w:tcPr>
            <w:tcW w:w="926" w:type="dxa"/>
            <w:tcBorders>
              <w:top w:val="nil"/>
              <w:left w:val="nil"/>
              <w:bottom w:val="single" w:sz="4" w:space="0" w:color="auto"/>
              <w:right w:val="single" w:sz="4" w:space="0" w:color="auto"/>
            </w:tcBorders>
            <w:shd w:val="clear" w:color="auto" w:fill="auto"/>
            <w:noWrap/>
            <w:vAlign w:val="center"/>
          </w:tcPr>
          <w:p w14:paraId="4D06AED8" w14:textId="7F50867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46E65EB" w14:textId="74462C93"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7,077</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6A48ACDA" w14:textId="4D30299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11C2827" w14:textId="651A603C"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6,877</w:t>
            </w:r>
          </w:p>
        </w:tc>
        <w:tc>
          <w:tcPr>
            <w:tcW w:w="1069" w:type="dxa"/>
            <w:tcBorders>
              <w:top w:val="nil"/>
              <w:left w:val="nil"/>
              <w:bottom w:val="single" w:sz="4" w:space="0" w:color="auto"/>
              <w:right w:val="single" w:sz="4" w:space="0" w:color="auto"/>
            </w:tcBorders>
            <w:vAlign w:val="center"/>
          </w:tcPr>
          <w:p w14:paraId="13C8795F" w14:textId="2EB2AA6D"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205,068</w:t>
            </w:r>
          </w:p>
        </w:tc>
      </w:tr>
      <w:tr w:rsidR="00BF59EF" w:rsidRPr="009F14D0" w14:paraId="7FD48E4E" w14:textId="4DD97C6A"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FDFECDE" w14:textId="2EFA2433"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Northeast Health Wangaratta</w:t>
            </w:r>
          </w:p>
        </w:tc>
        <w:tc>
          <w:tcPr>
            <w:tcW w:w="926" w:type="dxa"/>
            <w:tcBorders>
              <w:top w:val="nil"/>
              <w:left w:val="nil"/>
              <w:bottom w:val="single" w:sz="4" w:space="0" w:color="auto"/>
              <w:right w:val="single" w:sz="4" w:space="0" w:color="auto"/>
            </w:tcBorders>
            <w:shd w:val="clear" w:color="auto" w:fill="auto"/>
            <w:noWrap/>
            <w:vAlign w:val="center"/>
          </w:tcPr>
          <w:p w14:paraId="3C8EDE1F" w14:textId="66E7959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193,424</w:t>
            </w:r>
          </w:p>
        </w:tc>
        <w:tc>
          <w:tcPr>
            <w:tcW w:w="926" w:type="dxa"/>
            <w:tcBorders>
              <w:top w:val="nil"/>
              <w:left w:val="nil"/>
              <w:bottom w:val="single" w:sz="4" w:space="0" w:color="auto"/>
              <w:right w:val="single" w:sz="4" w:space="0" w:color="auto"/>
            </w:tcBorders>
            <w:shd w:val="clear" w:color="auto" w:fill="auto"/>
            <w:noWrap/>
            <w:vAlign w:val="center"/>
          </w:tcPr>
          <w:p w14:paraId="4FEC28CF" w14:textId="0ED5718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1E671C1" w14:textId="121DE9B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14</w:t>
            </w:r>
          </w:p>
        </w:tc>
        <w:tc>
          <w:tcPr>
            <w:tcW w:w="926" w:type="dxa"/>
            <w:tcBorders>
              <w:top w:val="nil"/>
              <w:left w:val="nil"/>
              <w:bottom w:val="single" w:sz="4" w:space="0" w:color="auto"/>
              <w:right w:val="single" w:sz="4" w:space="0" w:color="auto"/>
            </w:tcBorders>
            <w:shd w:val="clear" w:color="auto" w:fill="auto"/>
            <w:noWrap/>
            <w:vAlign w:val="center"/>
          </w:tcPr>
          <w:p w14:paraId="70A6C9CF" w14:textId="3F879A59"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393</w:t>
            </w:r>
          </w:p>
        </w:tc>
        <w:tc>
          <w:tcPr>
            <w:tcW w:w="926" w:type="dxa"/>
            <w:tcBorders>
              <w:top w:val="nil"/>
              <w:left w:val="nil"/>
              <w:bottom w:val="single" w:sz="4" w:space="0" w:color="auto"/>
              <w:right w:val="single" w:sz="4" w:space="0" w:color="auto"/>
            </w:tcBorders>
            <w:shd w:val="clear" w:color="auto" w:fill="auto"/>
            <w:noWrap/>
            <w:vAlign w:val="center"/>
          </w:tcPr>
          <w:p w14:paraId="4998FC17" w14:textId="399072C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D0BDBCB" w14:textId="42609EB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18,091</w:t>
            </w:r>
          </w:p>
        </w:tc>
        <w:tc>
          <w:tcPr>
            <w:tcW w:w="926" w:type="dxa"/>
            <w:tcBorders>
              <w:top w:val="nil"/>
              <w:left w:val="nil"/>
              <w:bottom w:val="single" w:sz="4" w:space="0" w:color="auto"/>
              <w:right w:val="single" w:sz="4" w:space="0" w:color="auto"/>
            </w:tcBorders>
            <w:shd w:val="clear" w:color="auto" w:fill="auto"/>
            <w:noWrap/>
            <w:vAlign w:val="center"/>
          </w:tcPr>
          <w:p w14:paraId="1AFBC1A1" w14:textId="6687338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74010E2" w14:textId="674DD736"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3,806</w:t>
            </w:r>
          </w:p>
        </w:tc>
        <w:tc>
          <w:tcPr>
            <w:tcW w:w="1069" w:type="dxa"/>
            <w:tcBorders>
              <w:top w:val="nil"/>
              <w:left w:val="nil"/>
              <w:bottom w:val="single" w:sz="4" w:space="0" w:color="auto"/>
              <w:right w:val="single" w:sz="4" w:space="0" w:color="auto"/>
            </w:tcBorders>
            <w:vAlign w:val="center"/>
          </w:tcPr>
          <w:p w14:paraId="2B86C6B3" w14:textId="1023F372"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215,729</w:t>
            </w:r>
          </w:p>
        </w:tc>
      </w:tr>
      <w:tr w:rsidR="00BF59EF" w:rsidRPr="009F14D0" w14:paraId="25A69335" w14:textId="0120C8F5"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8644F3C" w14:textId="67878A83"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Portland District Health</w:t>
            </w:r>
          </w:p>
        </w:tc>
        <w:tc>
          <w:tcPr>
            <w:tcW w:w="926" w:type="dxa"/>
            <w:tcBorders>
              <w:top w:val="nil"/>
              <w:left w:val="nil"/>
              <w:bottom w:val="single" w:sz="4" w:space="0" w:color="auto"/>
              <w:right w:val="single" w:sz="4" w:space="0" w:color="auto"/>
            </w:tcBorders>
            <w:shd w:val="clear" w:color="auto" w:fill="auto"/>
            <w:noWrap/>
            <w:vAlign w:val="center"/>
          </w:tcPr>
          <w:p w14:paraId="5B405EE0" w14:textId="1A00450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44,165</w:t>
            </w:r>
          </w:p>
        </w:tc>
        <w:tc>
          <w:tcPr>
            <w:tcW w:w="926" w:type="dxa"/>
            <w:tcBorders>
              <w:top w:val="nil"/>
              <w:left w:val="nil"/>
              <w:bottom w:val="single" w:sz="4" w:space="0" w:color="auto"/>
              <w:right w:val="single" w:sz="4" w:space="0" w:color="auto"/>
            </w:tcBorders>
            <w:shd w:val="clear" w:color="auto" w:fill="auto"/>
            <w:noWrap/>
            <w:vAlign w:val="center"/>
          </w:tcPr>
          <w:p w14:paraId="4F84AC6A" w14:textId="309FDA5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FD72DB5" w14:textId="0C87071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D01525E" w14:textId="41B8A6B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6C1C347" w14:textId="3670C47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w:t>
            </w:r>
          </w:p>
        </w:tc>
        <w:tc>
          <w:tcPr>
            <w:tcW w:w="926" w:type="dxa"/>
            <w:tcBorders>
              <w:top w:val="nil"/>
              <w:left w:val="nil"/>
              <w:bottom w:val="single" w:sz="4" w:space="0" w:color="auto"/>
              <w:right w:val="single" w:sz="4" w:space="0" w:color="auto"/>
            </w:tcBorders>
            <w:shd w:val="clear" w:color="auto" w:fill="auto"/>
            <w:noWrap/>
            <w:vAlign w:val="center"/>
          </w:tcPr>
          <w:p w14:paraId="326D609F" w14:textId="25C4973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6,604</w:t>
            </w:r>
          </w:p>
        </w:tc>
        <w:tc>
          <w:tcPr>
            <w:tcW w:w="926" w:type="dxa"/>
            <w:tcBorders>
              <w:top w:val="nil"/>
              <w:left w:val="nil"/>
              <w:bottom w:val="single" w:sz="4" w:space="0" w:color="auto"/>
              <w:right w:val="single" w:sz="4" w:space="0" w:color="auto"/>
            </w:tcBorders>
            <w:shd w:val="clear" w:color="auto" w:fill="auto"/>
            <w:noWrap/>
            <w:vAlign w:val="center"/>
          </w:tcPr>
          <w:p w14:paraId="292087D5" w14:textId="00AEBDA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007C893" w14:textId="489E8D1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606</w:t>
            </w:r>
          </w:p>
        </w:tc>
        <w:tc>
          <w:tcPr>
            <w:tcW w:w="1069" w:type="dxa"/>
            <w:tcBorders>
              <w:top w:val="nil"/>
              <w:left w:val="nil"/>
              <w:bottom w:val="single" w:sz="4" w:space="0" w:color="auto"/>
              <w:right w:val="single" w:sz="4" w:space="0" w:color="auto"/>
            </w:tcBorders>
            <w:vAlign w:val="center"/>
          </w:tcPr>
          <w:p w14:paraId="61CA0C1C" w14:textId="50234060"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51,377</w:t>
            </w:r>
          </w:p>
        </w:tc>
      </w:tr>
      <w:tr w:rsidR="00BF59EF" w:rsidRPr="009F14D0" w14:paraId="28971CA7" w14:textId="0651DAFC"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026A3000" w14:textId="2F66DB3A"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South West Healthcare</w:t>
            </w:r>
          </w:p>
        </w:tc>
        <w:tc>
          <w:tcPr>
            <w:tcW w:w="926" w:type="dxa"/>
            <w:tcBorders>
              <w:top w:val="nil"/>
              <w:left w:val="nil"/>
              <w:bottom w:val="single" w:sz="4" w:space="0" w:color="auto"/>
              <w:right w:val="single" w:sz="4" w:space="0" w:color="auto"/>
            </w:tcBorders>
            <w:shd w:val="clear" w:color="auto" w:fill="auto"/>
            <w:noWrap/>
            <w:vAlign w:val="center"/>
          </w:tcPr>
          <w:p w14:paraId="3EC01803" w14:textId="2C2D082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204,601</w:t>
            </w:r>
          </w:p>
        </w:tc>
        <w:tc>
          <w:tcPr>
            <w:tcW w:w="926" w:type="dxa"/>
            <w:tcBorders>
              <w:top w:val="nil"/>
              <w:left w:val="nil"/>
              <w:bottom w:val="single" w:sz="4" w:space="0" w:color="auto"/>
              <w:right w:val="single" w:sz="4" w:space="0" w:color="auto"/>
            </w:tcBorders>
            <w:shd w:val="clear" w:color="auto" w:fill="auto"/>
            <w:noWrap/>
            <w:vAlign w:val="center"/>
          </w:tcPr>
          <w:p w14:paraId="6A6604C7" w14:textId="1ADAEF2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66D24764" w14:textId="664B3D6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287</w:t>
            </w:r>
          </w:p>
        </w:tc>
        <w:tc>
          <w:tcPr>
            <w:tcW w:w="926" w:type="dxa"/>
            <w:tcBorders>
              <w:top w:val="nil"/>
              <w:left w:val="nil"/>
              <w:bottom w:val="single" w:sz="4" w:space="0" w:color="auto"/>
              <w:right w:val="single" w:sz="4" w:space="0" w:color="auto"/>
            </w:tcBorders>
            <w:shd w:val="clear" w:color="auto" w:fill="auto"/>
            <w:noWrap/>
            <w:vAlign w:val="center"/>
          </w:tcPr>
          <w:p w14:paraId="2C09C642" w14:textId="6793CD1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26,074</w:t>
            </w:r>
          </w:p>
        </w:tc>
        <w:tc>
          <w:tcPr>
            <w:tcW w:w="926" w:type="dxa"/>
            <w:tcBorders>
              <w:top w:val="nil"/>
              <w:left w:val="nil"/>
              <w:bottom w:val="single" w:sz="4" w:space="0" w:color="auto"/>
              <w:right w:val="single" w:sz="4" w:space="0" w:color="auto"/>
            </w:tcBorders>
            <w:shd w:val="clear" w:color="auto" w:fill="auto"/>
            <w:noWrap/>
            <w:vAlign w:val="center"/>
          </w:tcPr>
          <w:p w14:paraId="0E07A048" w14:textId="70E6A9D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5</w:t>
            </w:r>
          </w:p>
        </w:tc>
        <w:tc>
          <w:tcPr>
            <w:tcW w:w="926" w:type="dxa"/>
            <w:tcBorders>
              <w:top w:val="nil"/>
              <w:left w:val="nil"/>
              <w:bottom w:val="single" w:sz="4" w:space="0" w:color="auto"/>
              <w:right w:val="single" w:sz="4" w:space="0" w:color="auto"/>
            </w:tcBorders>
            <w:shd w:val="clear" w:color="auto" w:fill="auto"/>
            <w:noWrap/>
            <w:vAlign w:val="center"/>
          </w:tcPr>
          <w:p w14:paraId="559C9683" w14:textId="603E9E94"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2,723</w:t>
            </w:r>
          </w:p>
        </w:tc>
        <w:tc>
          <w:tcPr>
            <w:tcW w:w="926" w:type="dxa"/>
            <w:tcBorders>
              <w:top w:val="nil"/>
              <w:left w:val="nil"/>
              <w:bottom w:val="single" w:sz="4" w:space="0" w:color="auto"/>
              <w:right w:val="single" w:sz="4" w:space="0" w:color="auto"/>
            </w:tcBorders>
            <w:shd w:val="clear" w:color="auto" w:fill="auto"/>
            <w:noWrap/>
            <w:vAlign w:val="center"/>
          </w:tcPr>
          <w:p w14:paraId="73470DCE" w14:textId="59E26C0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07E99F76" w14:textId="45C7EEC3"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9,216</w:t>
            </w:r>
          </w:p>
        </w:tc>
        <w:tc>
          <w:tcPr>
            <w:tcW w:w="1069" w:type="dxa"/>
            <w:tcBorders>
              <w:top w:val="nil"/>
              <w:left w:val="nil"/>
              <w:bottom w:val="single" w:sz="4" w:space="0" w:color="auto"/>
              <w:right w:val="single" w:sz="4" w:space="0" w:color="auto"/>
            </w:tcBorders>
            <w:vAlign w:val="center"/>
          </w:tcPr>
          <w:p w14:paraId="0D4AA907" w14:textId="2E4FB272"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242,906</w:t>
            </w:r>
          </w:p>
        </w:tc>
      </w:tr>
      <w:tr w:rsidR="00BF59EF" w:rsidRPr="009F14D0" w14:paraId="4C0FCF38" w14:textId="04A138B9"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483301A4" w14:textId="652B5E47"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Swan Hill District Health</w:t>
            </w:r>
          </w:p>
        </w:tc>
        <w:tc>
          <w:tcPr>
            <w:tcW w:w="926" w:type="dxa"/>
            <w:tcBorders>
              <w:top w:val="nil"/>
              <w:left w:val="nil"/>
              <w:bottom w:val="single" w:sz="4" w:space="0" w:color="auto"/>
              <w:right w:val="single" w:sz="4" w:space="0" w:color="auto"/>
            </w:tcBorders>
            <w:shd w:val="clear" w:color="auto" w:fill="auto"/>
            <w:noWrap/>
            <w:vAlign w:val="center"/>
          </w:tcPr>
          <w:p w14:paraId="67D2DBA6" w14:textId="0804091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62,367</w:t>
            </w:r>
          </w:p>
        </w:tc>
        <w:tc>
          <w:tcPr>
            <w:tcW w:w="926" w:type="dxa"/>
            <w:tcBorders>
              <w:top w:val="nil"/>
              <w:left w:val="nil"/>
              <w:bottom w:val="single" w:sz="4" w:space="0" w:color="auto"/>
              <w:right w:val="single" w:sz="4" w:space="0" w:color="auto"/>
            </w:tcBorders>
            <w:shd w:val="clear" w:color="auto" w:fill="auto"/>
            <w:noWrap/>
            <w:vAlign w:val="center"/>
          </w:tcPr>
          <w:p w14:paraId="1F415ECD" w14:textId="7B1209F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9DE9CBD" w14:textId="2ABA093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5C2FD653" w14:textId="106B15B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23E1BEC" w14:textId="22F4F42E"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3C20A8C" w14:textId="321139E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8,657</w:t>
            </w:r>
          </w:p>
        </w:tc>
        <w:tc>
          <w:tcPr>
            <w:tcW w:w="926" w:type="dxa"/>
            <w:tcBorders>
              <w:top w:val="nil"/>
              <w:left w:val="nil"/>
              <w:bottom w:val="single" w:sz="4" w:space="0" w:color="auto"/>
              <w:right w:val="single" w:sz="4" w:space="0" w:color="auto"/>
            </w:tcBorders>
            <w:shd w:val="clear" w:color="auto" w:fill="auto"/>
            <w:noWrap/>
            <w:vAlign w:val="center"/>
          </w:tcPr>
          <w:p w14:paraId="161B6039" w14:textId="110F49CB"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347297F" w14:textId="0891CA1A"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928</w:t>
            </w:r>
          </w:p>
        </w:tc>
        <w:tc>
          <w:tcPr>
            <w:tcW w:w="1069" w:type="dxa"/>
            <w:tcBorders>
              <w:top w:val="nil"/>
              <w:left w:val="nil"/>
              <w:bottom w:val="single" w:sz="4" w:space="0" w:color="auto"/>
              <w:right w:val="single" w:sz="4" w:space="0" w:color="auto"/>
            </w:tcBorders>
            <w:vAlign w:val="center"/>
          </w:tcPr>
          <w:p w14:paraId="3809B699" w14:textId="7A7AB4BB"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71,952</w:t>
            </w:r>
          </w:p>
        </w:tc>
      </w:tr>
      <w:tr w:rsidR="00BF59EF" w:rsidRPr="009F14D0" w14:paraId="31A4F45C" w14:textId="7438E4E5" w:rsidTr="00EE045F">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158D6845" w14:textId="19FF3628"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West Gippsland Healthcare Group</w:t>
            </w:r>
          </w:p>
        </w:tc>
        <w:tc>
          <w:tcPr>
            <w:tcW w:w="926" w:type="dxa"/>
            <w:tcBorders>
              <w:top w:val="nil"/>
              <w:left w:val="nil"/>
              <w:bottom w:val="single" w:sz="4" w:space="0" w:color="auto"/>
              <w:right w:val="single" w:sz="4" w:space="0" w:color="auto"/>
            </w:tcBorders>
            <w:shd w:val="clear" w:color="auto" w:fill="auto"/>
            <w:noWrap/>
            <w:vAlign w:val="center"/>
          </w:tcPr>
          <w:p w14:paraId="6CE5D922" w14:textId="5A379836"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130,821</w:t>
            </w:r>
          </w:p>
        </w:tc>
        <w:tc>
          <w:tcPr>
            <w:tcW w:w="926" w:type="dxa"/>
            <w:tcBorders>
              <w:top w:val="nil"/>
              <w:left w:val="nil"/>
              <w:bottom w:val="single" w:sz="4" w:space="0" w:color="auto"/>
              <w:right w:val="single" w:sz="4" w:space="0" w:color="auto"/>
            </w:tcBorders>
            <w:shd w:val="clear" w:color="auto" w:fill="auto"/>
            <w:noWrap/>
            <w:vAlign w:val="center"/>
          </w:tcPr>
          <w:p w14:paraId="48C7E4C9" w14:textId="56418078"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7A0E18A" w14:textId="1E3850DC"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1F941E7" w14:textId="4286A542"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261FB6E" w14:textId="0F44EDC7"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43F793DC" w14:textId="41B5CAC6"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10,856</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0BF04427" w14:textId="39C2832A"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1B734EDB" w14:textId="78800D6F"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2,388</w:t>
            </w:r>
          </w:p>
        </w:tc>
        <w:tc>
          <w:tcPr>
            <w:tcW w:w="1069" w:type="dxa"/>
            <w:tcBorders>
              <w:top w:val="nil"/>
              <w:left w:val="nil"/>
              <w:bottom w:val="single" w:sz="4" w:space="0" w:color="auto"/>
              <w:right w:val="single" w:sz="4" w:space="0" w:color="auto"/>
            </w:tcBorders>
            <w:vAlign w:val="center"/>
          </w:tcPr>
          <w:p w14:paraId="45B22133" w14:textId="3333E5E1"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122,352</w:t>
            </w:r>
          </w:p>
        </w:tc>
      </w:tr>
      <w:tr w:rsidR="00BF59EF" w:rsidRPr="009F14D0" w14:paraId="4FDB0462" w14:textId="23B2BD1C" w:rsidTr="00EE045F">
        <w:trPr>
          <w:trHeight w:val="30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03F4E3B" w14:textId="40CB7750" w:rsidR="00BF59EF" w:rsidRPr="009F14D0" w:rsidRDefault="00BF59EF" w:rsidP="00BF59EF">
            <w:pPr>
              <w:spacing w:after="0" w:line="240" w:lineRule="auto"/>
              <w:rPr>
                <w:rFonts w:cs="Arial"/>
                <w:color w:val="000000"/>
                <w:sz w:val="15"/>
                <w:szCs w:val="15"/>
                <w:lang w:eastAsia="en-AU"/>
              </w:rPr>
            </w:pPr>
            <w:r>
              <w:rPr>
                <w:rFonts w:cs="Arial"/>
                <w:color w:val="000000"/>
                <w:sz w:val="16"/>
                <w:szCs w:val="16"/>
              </w:rPr>
              <w:t>Western District Health Service</w:t>
            </w:r>
          </w:p>
        </w:tc>
        <w:tc>
          <w:tcPr>
            <w:tcW w:w="926" w:type="dxa"/>
            <w:tcBorders>
              <w:top w:val="nil"/>
              <w:left w:val="nil"/>
              <w:bottom w:val="single" w:sz="4" w:space="0" w:color="auto"/>
              <w:right w:val="single" w:sz="4" w:space="0" w:color="auto"/>
            </w:tcBorders>
            <w:shd w:val="clear" w:color="auto" w:fill="auto"/>
            <w:noWrap/>
            <w:vAlign w:val="center"/>
          </w:tcPr>
          <w:p w14:paraId="37A8FAFC" w14:textId="017249A8"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67,157</w:t>
            </w:r>
          </w:p>
        </w:tc>
        <w:tc>
          <w:tcPr>
            <w:tcW w:w="926" w:type="dxa"/>
            <w:tcBorders>
              <w:top w:val="nil"/>
              <w:left w:val="nil"/>
              <w:bottom w:val="single" w:sz="4" w:space="0" w:color="auto"/>
              <w:right w:val="single" w:sz="4" w:space="0" w:color="auto"/>
            </w:tcBorders>
            <w:shd w:val="clear" w:color="auto" w:fill="auto"/>
            <w:noWrap/>
            <w:vAlign w:val="center"/>
          </w:tcPr>
          <w:p w14:paraId="68B16F4F" w14:textId="0FD468A3"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7A081AC3" w14:textId="521E0275"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23F7AEB7" w14:textId="183D3C2F"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125</w:t>
            </w:r>
          </w:p>
        </w:tc>
        <w:tc>
          <w:tcPr>
            <w:tcW w:w="926" w:type="dxa"/>
            <w:tcBorders>
              <w:top w:val="nil"/>
              <w:left w:val="nil"/>
              <w:bottom w:val="single" w:sz="4" w:space="0" w:color="auto"/>
              <w:right w:val="single" w:sz="4" w:space="0" w:color="auto"/>
            </w:tcBorders>
            <w:shd w:val="clear" w:color="auto" w:fill="auto"/>
            <w:noWrap/>
            <w:vAlign w:val="center"/>
          </w:tcPr>
          <w:p w14:paraId="6FF67054" w14:textId="63ADD4B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2</w:t>
            </w:r>
          </w:p>
        </w:tc>
        <w:tc>
          <w:tcPr>
            <w:tcW w:w="926" w:type="dxa"/>
            <w:tcBorders>
              <w:top w:val="nil"/>
              <w:left w:val="nil"/>
              <w:bottom w:val="single" w:sz="4" w:space="0" w:color="auto"/>
              <w:right w:val="single" w:sz="4" w:space="0" w:color="auto"/>
            </w:tcBorders>
            <w:shd w:val="clear" w:color="auto" w:fill="auto"/>
            <w:noWrap/>
            <w:vAlign w:val="center"/>
          </w:tcPr>
          <w:p w14:paraId="5C403C27" w14:textId="415E8585" w:rsidR="00BF59EF" w:rsidRPr="009F14D0" w:rsidRDefault="00EE045F" w:rsidP="00BF59EF">
            <w:pPr>
              <w:spacing w:after="0" w:line="240" w:lineRule="auto"/>
              <w:jc w:val="right"/>
              <w:rPr>
                <w:rFonts w:cs="Arial"/>
                <w:color w:val="000000"/>
                <w:sz w:val="15"/>
                <w:szCs w:val="15"/>
                <w:lang w:eastAsia="en-AU"/>
              </w:rPr>
            </w:pPr>
            <w:r>
              <w:rPr>
                <w:rFonts w:cs="Arial"/>
                <w:color w:val="000000"/>
                <w:sz w:val="16"/>
                <w:szCs w:val="16"/>
              </w:rPr>
              <w:t>(</w:t>
            </w:r>
            <w:r w:rsidR="00BF59EF">
              <w:rPr>
                <w:rFonts w:cs="Arial"/>
                <w:color w:val="000000"/>
                <w:sz w:val="16"/>
                <w:szCs w:val="16"/>
              </w:rPr>
              <w:t>1,446</w:t>
            </w:r>
            <w:r>
              <w:rPr>
                <w:rFonts w:cs="Arial"/>
                <w:color w:val="000000"/>
                <w:sz w:val="16"/>
                <w:szCs w:val="16"/>
              </w:rPr>
              <w:t>)</w:t>
            </w:r>
          </w:p>
        </w:tc>
        <w:tc>
          <w:tcPr>
            <w:tcW w:w="926" w:type="dxa"/>
            <w:tcBorders>
              <w:top w:val="nil"/>
              <w:left w:val="nil"/>
              <w:bottom w:val="single" w:sz="4" w:space="0" w:color="auto"/>
              <w:right w:val="single" w:sz="4" w:space="0" w:color="auto"/>
            </w:tcBorders>
            <w:shd w:val="clear" w:color="auto" w:fill="auto"/>
            <w:noWrap/>
            <w:vAlign w:val="center"/>
          </w:tcPr>
          <w:p w14:paraId="275084E7" w14:textId="2A6A4441" w:rsidR="00BF59EF" w:rsidRPr="009F14D0" w:rsidRDefault="00BF59EF" w:rsidP="00BF59EF">
            <w:pPr>
              <w:spacing w:after="0" w:line="240" w:lineRule="auto"/>
              <w:jc w:val="right"/>
              <w:rPr>
                <w:rFonts w:cs="Arial"/>
                <w:color w:val="000000"/>
                <w:sz w:val="15"/>
                <w:szCs w:val="15"/>
                <w:lang w:eastAsia="en-AU"/>
              </w:rPr>
            </w:pPr>
            <w:r>
              <w:rPr>
                <w:rFonts w:cs="Arial"/>
                <w:color w:val="000000"/>
                <w:sz w:val="16"/>
                <w:szCs w:val="16"/>
              </w:rPr>
              <w:t>3,067</w:t>
            </w:r>
          </w:p>
        </w:tc>
        <w:tc>
          <w:tcPr>
            <w:tcW w:w="926" w:type="dxa"/>
            <w:tcBorders>
              <w:top w:val="nil"/>
              <w:left w:val="nil"/>
              <w:bottom w:val="single" w:sz="4" w:space="0" w:color="auto"/>
              <w:right w:val="single" w:sz="4" w:space="0" w:color="auto"/>
            </w:tcBorders>
            <w:shd w:val="clear" w:color="auto" w:fill="auto"/>
            <w:noWrap/>
            <w:vAlign w:val="center"/>
          </w:tcPr>
          <w:p w14:paraId="57075880" w14:textId="45DFC6AC"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815</w:t>
            </w:r>
          </w:p>
        </w:tc>
        <w:tc>
          <w:tcPr>
            <w:tcW w:w="1069" w:type="dxa"/>
            <w:tcBorders>
              <w:top w:val="nil"/>
              <w:left w:val="nil"/>
              <w:bottom w:val="single" w:sz="4" w:space="0" w:color="auto"/>
              <w:right w:val="single" w:sz="4" w:space="0" w:color="auto"/>
            </w:tcBorders>
            <w:vAlign w:val="center"/>
          </w:tcPr>
          <w:p w14:paraId="1B0DACB2" w14:textId="0020B390" w:rsidR="00BF59EF" w:rsidRPr="009F14D0" w:rsidRDefault="00BF59EF" w:rsidP="00BF59EF">
            <w:pPr>
              <w:spacing w:after="0" w:line="240" w:lineRule="auto"/>
              <w:jc w:val="right"/>
              <w:rPr>
                <w:rFonts w:cs="Arial"/>
                <w:b/>
                <w:bCs/>
                <w:color w:val="000000"/>
                <w:sz w:val="15"/>
                <w:szCs w:val="15"/>
                <w:lang w:eastAsia="en-AU"/>
              </w:rPr>
            </w:pPr>
            <w:r>
              <w:rPr>
                <w:rFonts w:cs="Arial"/>
                <w:color w:val="000000"/>
                <w:sz w:val="16"/>
                <w:szCs w:val="16"/>
              </w:rPr>
              <w:t>69,721</w:t>
            </w:r>
          </w:p>
        </w:tc>
      </w:tr>
      <w:tr w:rsidR="00BF59EF" w:rsidRPr="009F14D0" w14:paraId="1E722A09" w14:textId="7A3E564C" w:rsidTr="00EE045F">
        <w:trPr>
          <w:trHeight w:val="390"/>
        </w:trPr>
        <w:tc>
          <w:tcPr>
            <w:tcW w:w="1588" w:type="dxa"/>
            <w:tcBorders>
              <w:top w:val="nil"/>
              <w:left w:val="single" w:sz="4" w:space="0" w:color="auto"/>
              <w:bottom w:val="single" w:sz="4" w:space="0" w:color="auto"/>
              <w:right w:val="single" w:sz="4" w:space="0" w:color="auto"/>
            </w:tcBorders>
            <w:shd w:val="clear" w:color="auto" w:fill="auto"/>
            <w:vAlign w:val="center"/>
            <w:hideMark/>
          </w:tcPr>
          <w:p w14:paraId="2044144C" w14:textId="54C931EA" w:rsidR="00BF59EF" w:rsidRPr="009F14D0" w:rsidRDefault="00BF59EF" w:rsidP="00BF59EF">
            <w:pPr>
              <w:spacing w:after="0" w:line="240" w:lineRule="auto"/>
              <w:rPr>
                <w:rFonts w:cs="Arial"/>
                <w:color w:val="000000"/>
                <w:sz w:val="15"/>
                <w:szCs w:val="15"/>
                <w:lang w:eastAsia="en-AU"/>
              </w:rPr>
            </w:pPr>
            <w:r>
              <w:rPr>
                <w:rFonts w:cs="Arial"/>
                <w:b/>
                <w:bCs/>
                <w:color w:val="000000"/>
                <w:sz w:val="16"/>
                <w:szCs w:val="16"/>
              </w:rPr>
              <w:t>Total</w:t>
            </w:r>
          </w:p>
        </w:tc>
        <w:tc>
          <w:tcPr>
            <w:tcW w:w="926" w:type="dxa"/>
            <w:tcBorders>
              <w:top w:val="nil"/>
              <w:left w:val="nil"/>
              <w:bottom w:val="single" w:sz="4" w:space="0" w:color="auto"/>
              <w:right w:val="single" w:sz="4" w:space="0" w:color="auto"/>
            </w:tcBorders>
            <w:shd w:val="clear" w:color="auto" w:fill="auto"/>
            <w:noWrap/>
            <w:vAlign w:val="center"/>
          </w:tcPr>
          <w:p w14:paraId="6ECB6247" w14:textId="4255B473"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1,562,261</w:t>
            </w:r>
          </w:p>
        </w:tc>
        <w:tc>
          <w:tcPr>
            <w:tcW w:w="926" w:type="dxa"/>
            <w:tcBorders>
              <w:top w:val="nil"/>
              <w:left w:val="nil"/>
              <w:bottom w:val="single" w:sz="4" w:space="0" w:color="auto"/>
              <w:right w:val="single" w:sz="4" w:space="0" w:color="auto"/>
            </w:tcBorders>
            <w:shd w:val="clear" w:color="auto" w:fill="auto"/>
            <w:noWrap/>
            <w:vAlign w:val="center"/>
          </w:tcPr>
          <w:p w14:paraId="0B862041" w14:textId="10D7B12C"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 </w:t>
            </w:r>
          </w:p>
        </w:tc>
        <w:tc>
          <w:tcPr>
            <w:tcW w:w="926" w:type="dxa"/>
            <w:tcBorders>
              <w:top w:val="nil"/>
              <w:left w:val="nil"/>
              <w:bottom w:val="single" w:sz="4" w:space="0" w:color="auto"/>
              <w:right w:val="single" w:sz="4" w:space="0" w:color="auto"/>
            </w:tcBorders>
            <w:shd w:val="clear" w:color="auto" w:fill="auto"/>
            <w:noWrap/>
            <w:vAlign w:val="center"/>
          </w:tcPr>
          <w:p w14:paraId="339004CD" w14:textId="55356DEF"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600</w:t>
            </w:r>
          </w:p>
        </w:tc>
        <w:tc>
          <w:tcPr>
            <w:tcW w:w="926" w:type="dxa"/>
            <w:tcBorders>
              <w:top w:val="nil"/>
              <w:left w:val="nil"/>
              <w:bottom w:val="single" w:sz="4" w:space="0" w:color="auto"/>
              <w:right w:val="single" w:sz="4" w:space="0" w:color="auto"/>
            </w:tcBorders>
            <w:shd w:val="clear" w:color="auto" w:fill="auto"/>
            <w:noWrap/>
            <w:vAlign w:val="center"/>
          </w:tcPr>
          <w:p w14:paraId="3715063D" w14:textId="61841688"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48,378</w:t>
            </w:r>
          </w:p>
        </w:tc>
        <w:tc>
          <w:tcPr>
            <w:tcW w:w="926" w:type="dxa"/>
            <w:tcBorders>
              <w:top w:val="nil"/>
              <w:left w:val="nil"/>
              <w:bottom w:val="single" w:sz="4" w:space="0" w:color="auto"/>
              <w:right w:val="single" w:sz="4" w:space="0" w:color="auto"/>
            </w:tcBorders>
            <w:shd w:val="clear" w:color="auto" w:fill="auto"/>
            <w:noWrap/>
            <w:vAlign w:val="center"/>
          </w:tcPr>
          <w:p w14:paraId="3C9D1CDD" w14:textId="647EF050"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10</w:t>
            </w:r>
          </w:p>
        </w:tc>
        <w:tc>
          <w:tcPr>
            <w:tcW w:w="926" w:type="dxa"/>
            <w:tcBorders>
              <w:top w:val="nil"/>
              <w:left w:val="nil"/>
              <w:bottom w:val="single" w:sz="4" w:space="0" w:color="auto"/>
              <w:right w:val="single" w:sz="4" w:space="0" w:color="auto"/>
            </w:tcBorders>
            <w:shd w:val="clear" w:color="auto" w:fill="auto"/>
            <w:noWrap/>
            <w:vAlign w:val="center"/>
          </w:tcPr>
          <w:p w14:paraId="726927CB" w14:textId="576B1D2F"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23,144</w:t>
            </w:r>
          </w:p>
        </w:tc>
        <w:tc>
          <w:tcPr>
            <w:tcW w:w="926" w:type="dxa"/>
            <w:tcBorders>
              <w:top w:val="nil"/>
              <w:left w:val="nil"/>
              <w:bottom w:val="single" w:sz="4" w:space="0" w:color="auto"/>
              <w:right w:val="single" w:sz="4" w:space="0" w:color="auto"/>
            </w:tcBorders>
            <w:shd w:val="clear" w:color="auto" w:fill="auto"/>
            <w:noWrap/>
            <w:vAlign w:val="center"/>
          </w:tcPr>
          <w:p w14:paraId="47288AF6" w14:textId="4298DB17"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5,899</w:t>
            </w:r>
          </w:p>
        </w:tc>
        <w:tc>
          <w:tcPr>
            <w:tcW w:w="926" w:type="dxa"/>
            <w:tcBorders>
              <w:top w:val="nil"/>
              <w:left w:val="nil"/>
              <w:bottom w:val="single" w:sz="4" w:space="0" w:color="auto"/>
              <w:right w:val="single" w:sz="4" w:space="0" w:color="auto"/>
            </w:tcBorders>
            <w:shd w:val="clear" w:color="auto" w:fill="auto"/>
            <w:noWrap/>
            <w:vAlign w:val="center"/>
          </w:tcPr>
          <w:p w14:paraId="7967CEB7" w14:textId="63822444"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36,933</w:t>
            </w:r>
          </w:p>
        </w:tc>
        <w:tc>
          <w:tcPr>
            <w:tcW w:w="1069" w:type="dxa"/>
            <w:tcBorders>
              <w:top w:val="nil"/>
              <w:left w:val="nil"/>
              <w:bottom w:val="single" w:sz="4" w:space="0" w:color="auto"/>
              <w:right w:val="single" w:sz="4" w:space="0" w:color="auto"/>
            </w:tcBorders>
            <w:vAlign w:val="center"/>
          </w:tcPr>
          <w:p w14:paraId="4481A901" w14:textId="729E6B0F" w:rsidR="00BF59EF" w:rsidRPr="00F9684D" w:rsidRDefault="00BF59EF" w:rsidP="00BF59EF">
            <w:pPr>
              <w:spacing w:after="0" w:line="240" w:lineRule="auto"/>
              <w:jc w:val="right"/>
              <w:rPr>
                <w:rFonts w:cs="Arial"/>
                <w:b/>
                <w:bCs/>
                <w:color w:val="000000"/>
                <w:sz w:val="15"/>
                <w:szCs w:val="15"/>
                <w:lang w:eastAsia="en-AU"/>
              </w:rPr>
            </w:pPr>
            <w:r w:rsidRPr="00F9684D">
              <w:rPr>
                <w:rFonts w:cs="Arial"/>
                <w:b/>
                <w:bCs/>
                <w:color w:val="000000"/>
                <w:sz w:val="16"/>
                <w:szCs w:val="16"/>
              </w:rPr>
              <w:t>1,677,226</w:t>
            </w:r>
          </w:p>
        </w:tc>
      </w:tr>
    </w:tbl>
    <w:p w14:paraId="1A2E9F06" w14:textId="77777777" w:rsidR="005B699B" w:rsidRPr="009F14D0" w:rsidRDefault="005B699B" w:rsidP="005B699B">
      <w:pPr>
        <w:pStyle w:val="Body"/>
        <w:keepNext/>
        <w:keepLines/>
        <w:spacing w:line="240" w:lineRule="auto"/>
      </w:pPr>
    </w:p>
    <w:p w14:paraId="099770BD" w14:textId="77777777" w:rsidR="005B699B" w:rsidRPr="009F14D0" w:rsidRDefault="005B699B" w:rsidP="005B699B">
      <w:pPr>
        <w:pStyle w:val="Body"/>
        <w:keepNext/>
        <w:keepLines/>
        <w:spacing w:line="240" w:lineRule="auto"/>
      </w:pPr>
      <w:r w:rsidRPr="009F14D0">
        <w:t xml:space="preserve">Combined total – $’000s </w:t>
      </w:r>
    </w:p>
    <w:tbl>
      <w:tblPr>
        <w:tblW w:w="10060" w:type="dxa"/>
        <w:tblInd w:w="-284" w:type="dxa"/>
        <w:tblLayout w:type="fixed"/>
        <w:tblLook w:val="04A0" w:firstRow="1" w:lastRow="0" w:firstColumn="1" w:lastColumn="0" w:noHBand="0" w:noVBand="1"/>
      </w:tblPr>
      <w:tblGrid>
        <w:gridCol w:w="846"/>
        <w:gridCol w:w="1023"/>
        <w:gridCol w:w="1024"/>
        <w:gridCol w:w="1024"/>
        <w:gridCol w:w="1024"/>
        <w:gridCol w:w="1023"/>
        <w:gridCol w:w="1024"/>
        <w:gridCol w:w="1024"/>
        <w:gridCol w:w="1024"/>
        <w:gridCol w:w="1024"/>
      </w:tblGrid>
      <w:tr w:rsidR="007C2D6E" w:rsidRPr="007C336C" w14:paraId="44EA57A2" w14:textId="3ACF33AF" w:rsidTr="00EE045F">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0345EBD" w14:textId="778695CC" w:rsidR="004D2156" w:rsidRPr="009F14D0" w:rsidRDefault="004D2156" w:rsidP="004D2156">
            <w:pPr>
              <w:spacing w:after="0" w:line="240" w:lineRule="auto"/>
              <w:jc w:val="right"/>
              <w:rPr>
                <w:rFonts w:cs="Arial"/>
                <w:b/>
                <w:bCs/>
                <w:color w:val="53565A"/>
                <w:sz w:val="16"/>
                <w:szCs w:val="16"/>
                <w:lang w:eastAsia="en-AU"/>
              </w:rPr>
            </w:pPr>
            <w:r w:rsidRPr="00A2223A">
              <w:rPr>
                <w:rFonts w:cs="Arial"/>
                <w:b/>
                <w:bCs/>
                <w:color w:val="53565A"/>
                <w:sz w:val="16"/>
                <w:szCs w:val="16"/>
                <w:lang w:eastAsia="en-AU"/>
              </w:rPr>
              <w:t>Health Service</w:t>
            </w:r>
          </w:p>
        </w:tc>
        <w:tc>
          <w:tcPr>
            <w:tcW w:w="1023" w:type="dxa"/>
            <w:tcBorders>
              <w:top w:val="single" w:sz="4" w:space="0" w:color="auto"/>
              <w:left w:val="nil"/>
              <w:bottom w:val="single" w:sz="4" w:space="0" w:color="auto"/>
              <w:right w:val="single" w:sz="4" w:space="0" w:color="auto"/>
            </w:tcBorders>
            <w:shd w:val="clear" w:color="auto" w:fill="auto"/>
            <w:hideMark/>
          </w:tcPr>
          <w:p w14:paraId="14232CF7" w14:textId="0DAB4638" w:rsidR="004D2156" w:rsidRPr="00AC52D2" w:rsidRDefault="004D2156" w:rsidP="004D2156">
            <w:pPr>
              <w:spacing w:after="0" w:line="240" w:lineRule="auto"/>
              <w:jc w:val="right"/>
              <w:rPr>
                <w:rFonts w:cs="Arial"/>
                <w:b/>
                <w:bCs/>
                <w:color w:val="53565A"/>
                <w:sz w:val="16"/>
                <w:szCs w:val="16"/>
                <w:lang w:eastAsia="en-AU"/>
              </w:rPr>
            </w:pPr>
            <w:r w:rsidRPr="00AC52D2">
              <w:rPr>
                <w:rFonts w:cs="Arial"/>
                <w:b/>
                <w:bCs/>
                <w:color w:val="53565A"/>
                <w:sz w:val="16"/>
                <w:szCs w:val="16"/>
                <w:lang w:eastAsia="en-AU"/>
              </w:rPr>
              <w:t>2024-25</w:t>
            </w:r>
            <w:r w:rsidRPr="00AC52D2">
              <w:rPr>
                <w:rFonts w:cs="Arial"/>
                <w:b/>
                <w:bCs/>
                <w:color w:val="53565A"/>
                <w:sz w:val="16"/>
                <w:szCs w:val="16"/>
                <w:lang w:eastAsia="en-AU"/>
              </w:rPr>
              <w:br/>
              <w:t>Consolidated NWAU</w:t>
            </w:r>
          </w:p>
        </w:tc>
        <w:tc>
          <w:tcPr>
            <w:tcW w:w="1024" w:type="dxa"/>
            <w:tcBorders>
              <w:top w:val="single" w:sz="4" w:space="0" w:color="auto"/>
              <w:left w:val="nil"/>
              <w:bottom w:val="single" w:sz="4" w:space="0" w:color="auto"/>
              <w:right w:val="single" w:sz="4" w:space="0" w:color="auto"/>
            </w:tcBorders>
            <w:shd w:val="clear" w:color="auto" w:fill="auto"/>
            <w:hideMark/>
          </w:tcPr>
          <w:p w14:paraId="514A3A62"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2480AAF7" w14:textId="27AEAE06"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Highly Specialised Therapies</w:t>
            </w:r>
          </w:p>
        </w:tc>
        <w:tc>
          <w:tcPr>
            <w:tcW w:w="1024" w:type="dxa"/>
            <w:tcBorders>
              <w:top w:val="single" w:sz="4" w:space="0" w:color="auto"/>
              <w:left w:val="nil"/>
              <w:bottom w:val="single" w:sz="4" w:space="0" w:color="auto"/>
              <w:right w:val="single" w:sz="4" w:space="0" w:color="auto"/>
            </w:tcBorders>
            <w:shd w:val="clear" w:color="auto" w:fill="auto"/>
            <w:hideMark/>
          </w:tcPr>
          <w:p w14:paraId="69349A7B"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772B9826" w14:textId="22173F2C"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Mental Health Admitted</w:t>
            </w:r>
          </w:p>
        </w:tc>
        <w:tc>
          <w:tcPr>
            <w:tcW w:w="1024" w:type="dxa"/>
            <w:tcBorders>
              <w:top w:val="single" w:sz="4" w:space="0" w:color="auto"/>
              <w:left w:val="nil"/>
              <w:bottom w:val="single" w:sz="4" w:space="0" w:color="auto"/>
              <w:right w:val="single" w:sz="4" w:space="0" w:color="auto"/>
            </w:tcBorders>
            <w:shd w:val="clear" w:color="auto" w:fill="auto"/>
            <w:hideMark/>
          </w:tcPr>
          <w:p w14:paraId="3D4E134E" w14:textId="77777777" w:rsidR="004D2156" w:rsidRDefault="004D2156" w:rsidP="004D2156">
            <w:pPr>
              <w:spacing w:after="0" w:line="240" w:lineRule="auto"/>
              <w:jc w:val="right"/>
              <w:rPr>
                <w:rFonts w:cs="Arial"/>
                <w:b/>
                <w:bCs/>
                <w:color w:val="53565A"/>
                <w:sz w:val="16"/>
                <w:szCs w:val="16"/>
              </w:rPr>
            </w:pPr>
            <w:r w:rsidRPr="00AC52D2">
              <w:rPr>
                <w:rFonts w:cs="Arial"/>
                <w:b/>
                <w:color w:val="53565A"/>
                <w:sz w:val="16"/>
                <w:szCs w:val="16"/>
                <w:lang w:eastAsia="en-AU"/>
              </w:rPr>
              <w:t>2024-25</w:t>
            </w:r>
          </w:p>
          <w:p w14:paraId="5E78E283" w14:textId="77477CDC" w:rsidR="004D2156" w:rsidRPr="00AC52D2" w:rsidRDefault="004D2156" w:rsidP="004D2156">
            <w:pPr>
              <w:spacing w:after="0" w:line="240" w:lineRule="auto"/>
              <w:jc w:val="right"/>
              <w:rPr>
                <w:rFonts w:cs="Arial"/>
                <w:b/>
                <w:bCs/>
                <w:color w:val="53565A"/>
                <w:sz w:val="16"/>
                <w:szCs w:val="16"/>
                <w:lang w:eastAsia="en-AU"/>
              </w:rPr>
            </w:pPr>
            <w:r w:rsidRPr="00AC52D2">
              <w:rPr>
                <w:rFonts w:cs="Arial"/>
                <w:b/>
                <w:color w:val="53565A"/>
                <w:sz w:val="16"/>
                <w:szCs w:val="16"/>
                <w:lang w:eastAsia="en-AU"/>
              </w:rPr>
              <w:t xml:space="preserve">Other </w:t>
            </w:r>
            <w:r>
              <w:rPr>
                <w:rFonts w:cs="Arial"/>
                <w:b/>
                <w:bCs/>
                <w:color w:val="53565A"/>
                <w:sz w:val="16"/>
                <w:szCs w:val="16"/>
              </w:rPr>
              <w:t>Mental Health</w:t>
            </w:r>
          </w:p>
        </w:tc>
        <w:tc>
          <w:tcPr>
            <w:tcW w:w="1023" w:type="dxa"/>
            <w:tcBorders>
              <w:top w:val="single" w:sz="4" w:space="0" w:color="auto"/>
              <w:left w:val="nil"/>
              <w:bottom w:val="single" w:sz="4" w:space="0" w:color="auto"/>
              <w:right w:val="single" w:sz="4" w:space="0" w:color="auto"/>
            </w:tcBorders>
            <w:shd w:val="clear" w:color="auto" w:fill="auto"/>
            <w:hideMark/>
          </w:tcPr>
          <w:p w14:paraId="3FF6294D"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5E96AD68" w14:textId="619B38DA"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Other Public Hospital Programs</w:t>
            </w:r>
          </w:p>
        </w:tc>
        <w:tc>
          <w:tcPr>
            <w:tcW w:w="1024" w:type="dxa"/>
            <w:tcBorders>
              <w:top w:val="single" w:sz="4" w:space="0" w:color="auto"/>
              <w:left w:val="nil"/>
              <w:bottom w:val="single" w:sz="4" w:space="0" w:color="auto"/>
              <w:right w:val="single" w:sz="4" w:space="0" w:color="auto"/>
            </w:tcBorders>
            <w:shd w:val="clear" w:color="000000" w:fill="FFFFFF"/>
            <w:hideMark/>
          </w:tcPr>
          <w:p w14:paraId="401C2D7A" w14:textId="77777777" w:rsidR="004D2156" w:rsidRDefault="004D2156" w:rsidP="004D2156">
            <w:pPr>
              <w:spacing w:after="0" w:line="240" w:lineRule="auto"/>
              <w:jc w:val="right"/>
              <w:rPr>
                <w:rFonts w:cs="Arial"/>
                <w:b/>
                <w:bCs/>
                <w:color w:val="53565A"/>
                <w:sz w:val="16"/>
                <w:szCs w:val="16"/>
              </w:rPr>
            </w:pPr>
            <w:r w:rsidRPr="00AC52D2">
              <w:rPr>
                <w:rFonts w:cs="Arial"/>
                <w:b/>
                <w:color w:val="53565A"/>
                <w:sz w:val="16"/>
                <w:szCs w:val="16"/>
                <w:lang w:eastAsia="en-AU"/>
              </w:rPr>
              <w:t>2024-25</w:t>
            </w:r>
          </w:p>
          <w:p w14:paraId="5587453F" w14:textId="14096C7A"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Out of Scope of Agreement</w:t>
            </w:r>
          </w:p>
        </w:tc>
        <w:tc>
          <w:tcPr>
            <w:tcW w:w="1024" w:type="dxa"/>
            <w:tcBorders>
              <w:top w:val="single" w:sz="4" w:space="0" w:color="auto"/>
              <w:left w:val="nil"/>
              <w:bottom w:val="single" w:sz="4" w:space="0" w:color="auto"/>
              <w:right w:val="single" w:sz="4" w:space="0" w:color="auto"/>
            </w:tcBorders>
            <w:shd w:val="clear" w:color="auto" w:fill="auto"/>
            <w:hideMark/>
          </w:tcPr>
          <w:p w14:paraId="53E1727F"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41787341" w14:textId="0AF243AA"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Small Rural Hospitals</w:t>
            </w:r>
          </w:p>
        </w:tc>
        <w:tc>
          <w:tcPr>
            <w:tcW w:w="1024" w:type="dxa"/>
            <w:tcBorders>
              <w:top w:val="single" w:sz="4" w:space="0" w:color="auto"/>
              <w:left w:val="nil"/>
              <w:bottom w:val="single" w:sz="4" w:space="0" w:color="auto"/>
              <w:right w:val="single" w:sz="4" w:space="0" w:color="auto"/>
            </w:tcBorders>
          </w:tcPr>
          <w:p w14:paraId="0B1A75DA" w14:textId="77777777" w:rsidR="004D2156" w:rsidRDefault="004D2156" w:rsidP="004D2156">
            <w:pPr>
              <w:spacing w:after="0" w:line="240" w:lineRule="auto"/>
              <w:jc w:val="right"/>
              <w:rPr>
                <w:rFonts w:cs="Arial"/>
                <w:b/>
                <w:bCs/>
                <w:color w:val="53565A"/>
                <w:sz w:val="16"/>
                <w:szCs w:val="16"/>
              </w:rPr>
            </w:pPr>
            <w:r>
              <w:rPr>
                <w:rFonts w:cs="Arial"/>
                <w:b/>
                <w:bCs/>
                <w:color w:val="53565A"/>
                <w:sz w:val="16"/>
                <w:szCs w:val="16"/>
              </w:rPr>
              <w:t>2024-25</w:t>
            </w:r>
          </w:p>
          <w:p w14:paraId="2D09CE83" w14:textId="1127DC4D"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Teaching, Training and Research</w:t>
            </w:r>
          </w:p>
        </w:tc>
        <w:tc>
          <w:tcPr>
            <w:tcW w:w="1024" w:type="dxa"/>
            <w:tcBorders>
              <w:top w:val="single" w:sz="4" w:space="0" w:color="auto"/>
              <w:left w:val="nil"/>
              <w:bottom w:val="single" w:sz="4" w:space="0" w:color="auto"/>
              <w:right w:val="single" w:sz="4" w:space="0" w:color="auto"/>
            </w:tcBorders>
          </w:tcPr>
          <w:p w14:paraId="39FE91B9" w14:textId="413B40FA" w:rsidR="004D2156" w:rsidRPr="00AC52D2" w:rsidRDefault="004D2156" w:rsidP="004D2156">
            <w:pPr>
              <w:spacing w:after="0" w:line="240" w:lineRule="auto"/>
              <w:jc w:val="right"/>
              <w:rPr>
                <w:rFonts w:cs="Arial"/>
                <w:b/>
                <w:bCs/>
                <w:color w:val="53565A"/>
                <w:sz w:val="16"/>
                <w:szCs w:val="16"/>
                <w:lang w:eastAsia="en-AU"/>
              </w:rPr>
            </w:pPr>
            <w:r>
              <w:rPr>
                <w:rFonts w:cs="Arial"/>
                <w:b/>
                <w:bCs/>
                <w:color w:val="53565A"/>
                <w:sz w:val="16"/>
                <w:szCs w:val="16"/>
              </w:rPr>
              <w:t>Total</w:t>
            </w:r>
          </w:p>
        </w:tc>
      </w:tr>
      <w:tr w:rsidR="00BF59EF" w:rsidRPr="00A2223A" w14:paraId="12CD16FB" w14:textId="1F92B83A" w:rsidTr="00EE045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8B5E8" w14:textId="40E46C0B" w:rsidR="00BF59EF" w:rsidRPr="00DC20E2" w:rsidRDefault="00BF59EF" w:rsidP="00BF59EF">
            <w:pPr>
              <w:spacing w:after="0" w:line="240" w:lineRule="auto"/>
              <w:rPr>
                <w:rFonts w:cs="Arial"/>
                <w:b/>
                <w:bCs/>
                <w:color w:val="000000"/>
                <w:sz w:val="16"/>
                <w:szCs w:val="16"/>
                <w:lang w:eastAsia="en-AU"/>
              </w:rPr>
            </w:pPr>
            <w:r w:rsidRPr="00DC20E2">
              <w:rPr>
                <w:rFonts w:cs="Arial"/>
                <w:b/>
                <w:bCs/>
                <w:color w:val="000000"/>
                <w:sz w:val="16"/>
                <w:szCs w:val="16"/>
                <w:lang w:eastAsia="en-AU"/>
              </w:rPr>
              <w:t>Total</w:t>
            </w:r>
          </w:p>
        </w:tc>
        <w:tc>
          <w:tcPr>
            <w:tcW w:w="1023" w:type="dxa"/>
            <w:tcBorders>
              <w:top w:val="nil"/>
              <w:left w:val="nil"/>
              <w:bottom w:val="single" w:sz="4" w:space="0" w:color="auto"/>
              <w:right w:val="single" w:sz="4" w:space="0" w:color="auto"/>
            </w:tcBorders>
            <w:shd w:val="clear" w:color="auto" w:fill="auto"/>
            <w:noWrap/>
            <w:vAlign w:val="center"/>
          </w:tcPr>
          <w:p w14:paraId="66073190" w14:textId="156E57F0"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16,245,925</w:t>
            </w:r>
          </w:p>
        </w:tc>
        <w:tc>
          <w:tcPr>
            <w:tcW w:w="1024" w:type="dxa"/>
            <w:tcBorders>
              <w:top w:val="nil"/>
              <w:left w:val="nil"/>
              <w:bottom w:val="single" w:sz="4" w:space="0" w:color="auto"/>
              <w:right w:val="single" w:sz="4" w:space="0" w:color="auto"/>
            </w:tcBorders>
            <w:shd w:val="clear" w:color="auto" w:fill="auto"/>
            <w:noWrap/>
            <w:vAlign w:val="center"/>
          </w:tcPr>
          <w:p w14:paraId="3D054891" w14:textId="69ED0568"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71,647</w:t>
            </w:r>
          </w:p>
        </w:tc>
        <w:tc>
          <w:tcPr>
            <w:tcW w:w="1024" w:type="dxa"/>
            <w:tcBorders>
              <w:top w:val="nil"/>
              <w:left w:val="nil"/>
              <w:bottom w:val="single" w:sz="4" w:space="0" w:color="auto"/>
              <w:right w:val="single" w:sz="4" w:space="0" w:color="auto"/>
            </w:tcBorders>
            <w:shd w:val="clear" w:color="auto" w:fill="auto"/>
            <w:noWrap/>
            <w:vAlign w:val="center"/>
          </w:tcPr>
          <w:p w14:paraId="0EBDB8B2" w14:textId="14B92C04"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18,919</w:t>
            </w:r>
          </w:p>
        </w:tc>
        <w:tc>
          <w:tcPr>
            <w:tcW w:w="1024" w:type="dxa"/>
            <w:tcBorders>
              <w:top w:val="nil"/>
              <w:left w:val="nil"/>
              <w:bottom w:val="single" w:sz="4" w:space="0" w:color="auto"/>
              <w:right w:val="single" w:sz="4" w:space="0" w:color="auto"/>
            </w:tcBorders>
            <w:shd w:val="clear" w:color="auto" w:fill="auto"/>
            <w:noWrap/>
            <w:vAlign w:val="center"/>
          </w:tcPr>
          <w:p w14:paraId="1F634C39" w14:textId="38DBD0BC"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1,239,431</w:t>
            </w:r>
          </w:p>
        </w:tc>
        <w:tc>
          <w:tcPr>
            <w:tcW w:w="1023" w:type="dxa"/>
            <w:tcBorders>
              <w:top w:val="nil"/>
              <w:left w:val="nil"/>
              <w:bottom w:val="single" w:sz="4" w:space="0" w:color="auto"/>
              <w:right w:val="single" w:sz="4" w:space="0" w:color="auto"/>
            </w:tcBorders>
            <w:shd w:val="clear" w:color="auto" w:fill="auto"/>
            <w:noWrap/>
            <w:vAlign w:val="center"/>
          </w:tcPr>
          <w:p w14:paraId="3F6FEC17" w14:textId="2C4B96AA"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68,509</w:t>
            </w:r>
          </w:p>
        </w:tc>
        <w:tc>
          <w:tcPr>
            <w:tcW w:w="1024" w:type="dxa"/>
            <w:tcBorders>
              <w:top w:val="nil"/>
              <w:left w:val="nil"/>
              <w:bottom w:val="single" w:sz="4" w:space="0" w:color="auto"/>
              <w:right w:val="single" w:sz="4" w:space="0" w:color="auto"/>
            </w:tcBorders>
            <w:shd w:val="clear" w:color="auto" w:fill="auto"/>
            <w:noWrap/>
            <w:vAlign w:val="center"/>
          </w:tcPr>
          <w:p w14:paraId="43C10FD6" w14:textId="26AF754F" w:rsidR="00BF59EF" w:rsidRPr="00A2223A" w:rsidRDefault="00BF59EF" w:rsidP="00BF59EF">
            <w:pPr>
              <w:spacing w:after="0" w:line="240" w:lineRule="auto"/>
              <w:jc w:val="right"/>
              <w:rPr>
                <w:rFonts w:cs="Arial"/>
                <w:color w:val="000000"/>
                <w:sz w:val="15"/>
                <w:szCs w:val="15"/>
                <w:lang w:eastAsia="en-AU"/>
              </w:rPr>
            </w:pPr>
            <w:r>
              <w:rPr>
                <w:rFonts w:cs="Arial"/>
                <w:b/>
                <w:bCs/>
                <w:color w:val="000000"/>
                <w:sz w:val="16"/>
                <w:szCs w:val="16"/>
              </w:rPr>
              <w:t>975,813</w:t>
            </w:r>
          </w:p>
        </w:tc>
        <w:tc>
          <w:tcPr>
            <w:tcW w:w="1024" w:type="dxa"/>
            <w:tcBorders>
              <w:top w:val="nil"/>
              <w:left w:val="nil"/>
              <w:bottom w:val="single" w:sz="4" w:space="0" w:color="auto"/>
              <w:right w:val="single" w:sz="4" w:space="0" w:color="auto"/>
            </w:tcBorders>
            <w:shd w:val="clear" w:color="auto" w:fill="auto"/>
            <w:noWrap/>
            <w:vAlign w:val="center"/>
          </w:tcPr>
          <w:p w14:paraId="60896AA5" w14:textId="4E88ED65" w:rsidR="00BF59EF" w:rsidRPr="00A2223A" w:rsidRDefault="00BF59EF" w:rsidP="00BF59EF">
            <w:pPr>
              <w:spacing w:after="0" w:line="240" w:lineRule="auto"/>
              <w:jc w:val="right"/>
              <w:rPr>
                <w:rFonts w:cs="Arial"/>
                <w:b/>
                <w:bCs/>
                <w:color w:val="000000"/>
                <w:sz w:val="15"/>
                <w:szCs w:val="15"/>
                <w:lang w:eastAsia="en-AU"/>
              </w:rPr>
            </w:pPr>
            <w:r>
              <w:rPr>
                <w:rFonts w:cs="Arial"/>
                <w:b/>
                <w:bCs/>
                <w:color w:val="000000"/>
                <w:sz w:val="16"/>
                <w:szCs w:val="16"/>
              </w:rPr>
              <w:t>31,104</w:t>
            </w:r>
          </w:p>
        </w:tc>
        <w:tc>
          <w:tcPr>
            <w:tcW w:w="1024" w:type="dxa"/>
            <w:tcBorders>
              <w:top w:val="nil"/>
              <w:left w:val="nil"/>
              <w:bottom w:val="single" w:sz="4" w:space="0" w:color="auto"/>
              <w:right w:val="single" w:sz="4" w:space="0" w:color="auto"/>
            </w:tcBorders>
            <w:vAlign w:val="center"/>
          </w:tcPr>
          <w:p w14:paraId="0A591220" w14:textId="2F851033" w:rsidR="00BF59EF" w:rsidRPr="00A2223A" w:rsidRDefault="00BF59EF" w:rsidP="00BF59EF">
            <w:pPr>
              <w:spacing w:after="0" w:line="240" w:lineRule="auto"/>
              <w:jc w:val="right"/>
              <w:rPr>
                <w:rFonts w:cs="Arial"/>
                <w:b/>
                <w:bCs/>
                <w:color w:val="000000"/>
                <w:sz w:val="15"/>
                <w:szCs w:val="15"/>
                <w:lang w:eastAsia="en-AU"/>
              </w:rPr>
            </w:pPr>
            <w:r>
              <w:rPr>
                <w:rFonts w:cs="Arial"/>
                <w:b/>
                <w:bCs/>
                <w:color w:val="000000"/>
                <w:sz w:val="16"/>
                <w:szCs w:val="16"/>
              </w:rPr>
              <w:t>396,783</w:t>
            </w:r>
          </w:p>
        </w:tc>
        <w:tc>
          <w:tcPr>
            <w:tcW w:w="1024" w:type="dxa"/>
            <w:tcBorders>
              <w:top w:val="nil"/>
              <w:left w:val="nil"/>
              <w:bottom w:val="single" w:sz="4" w:space="0" w:color="auto"/>
              <w:right w:val="single" w:sz="4" w:space="0" w:color="auto"/>
            </w:tcBorders>
            <w:vAlign w:val="center"/>
          </w:tcPr>
          <w:p w14:paraId="5AB24E4E" w14:textId="77314D56" w:rsidR="00BF59EF" w:rsidRPr="00A2223A" w:rsidRDefault="00BF59EF" w:rsidP="00BF59EF">
            <w:pPr>
              <w:spacing w:after="0" w:line="240" w:lineRule="auto"/>
              <w:jc w:val="right"/>
              <w:rPr>
                <w:rFonts w:cs="Arial"/>
                <w:b/>
                <w:bCs/>
                <w:color w:val="000000"/>
                <w:sz w:val="15"/>
                <w:szCs w:val="15"/>
                <w:lang w:eastAsia="en-AU"/>
              </w:rPr>
            </w:pPr>
            <w:r>
              <w:rPr>
                <w:rFonts w:cs="Arial"/>
                <w:b/>
                <w:bCs/>
                <w:color w:val="000000"/>
                <w:sz w:val="16"/>
                <w:szCs w:val="16"/>
              </w:rPr>
              <w:t>19,048,131</w:t>
            </w:r>
          </w:p>
        </w:tc>
      </w:tr>
    </w:tbl>
    <w:p w14:paraId="11CCC80C" w14:textId="77777777" w:rsidR="005B699B" w:rsidRDefault="005B699B" w:rsidP="005B699B">
      <w:pPr>
        <w:pStyle w:val="Body"/>
        <w:keepNext/>
        <w:keepLines/>
        <w:spacing w:line="240" w:lineRule="auto"/>
      </w:pPr>
    </w:p>
    <w:p w14:paraId="78232F7A" w14:textId="77777777" w:rsidR="005B699B" w:rsidRPr="00E00C4E" w:rsidRDefault="005B699B" w:rsidP="00E00C4E">
      <w:pPr>
        <w:pStyle w:val="Body"/>
      </w:pPr>
    </w:p>
    <w:bookmarkEnd w:id="2468"/>
    <w:p w14:paraId="26BA7845" w14:textId="77777777" w:rsidR="00AC52D2" w:rsidRDefault="005B699B" w:rsidP="00705DCA">
      <w:pPr>
        <w:pStyle w:val="Body"/>
        <w:sectPr w:rsidR="00AC52D2" w:rsidSect="00AC52D2">
          <w:headerReference w:type="even" r:id="rId76"/>
          <w:footerReference w:type="even" r:id="rId77"/>
          <w:headerReference w:type="first" r:id="rId78"/>
          <w:pgSz w:w="11906" w:h="16838" w:code="9"/>
          <w:pgMar w:top="1418" w:right="1304" w:bottom="1134" w:left="1304" w:header="680" w:footer="567" w:gutter="0"/>
          <w:cols w:space="340"/>
          <w:docGrid w:linePitch="360"/>
        </w:sectPr>
      </w:pPr>
      <w:r w:rsidRPr="00E00C4E">
        <w:br w:type="page"/>
      </w:r>
    </w:p>
    <w:p w14:paraId="749002BE" w14:textId="5DA0790D" w:rsidR="005B699B" w:rsidRPr="005827F1" w:rsidRDefault="005B699B" w:rsidP="001E4292">
      <w:pPr>
        <w:pStyle w:val="Heading2"/>
        <w:numPr>
          <w:ilvl w:val="1"/>
          <w:numId w:val="13"/>
        </w:numPr>
        <w:ind w:left="1134" w:hanging="1134"/>
      </w:pPr>
      <w:bookmarkStart w:id="2469" w:name="_Toc144905670"/>
      <w:bookmarkStart w:id="2470" w:name="_Toc165961864"/>
      <w:bookmarkStart w:id="2471" w:name="_Toc178963650"/>
      <w:bookmarkStart w:id="2472" w:name="_Hlk170302411"/>
      <w:bookmarkEnd w:id="2469"/>
      <w:r>
        <w:lastRenderedPageBreak/>
        <w:t xml:space="preserve">Mental health expenditure </w:t>
      </w:r>
      <w:r w:rsidRPr="00295CB9">
        <w:t>budgets</w:t>
      </w:r>
      <w:r>
        <w:t xml:space="preserve"> </w:t>
      </w:r>
      <w:r w:rsidRPr="00FE0F24">
        <w:t>202</w:t>
      </w:r>
      <w:r>
        <w:t>4</w:t>
      </w:r>
      <w:r w:rsidRPr="00FE0F24">
        <w:t>–2</w:t>
      </w:r>
      <w:r>
        <w:t>5 by service type</w:t>
      </w:r>
      <w:bookmarkEnd w:id="2463"/>
      <w:bookmarkEnd w:id="2464"/>
      <w:bookmarkEnd w:id="2465"/>
      <w:bookmarkEnd w:id="2466"/>
      <w:bookmarkEnd w:id="2467"/>
      <w:bookmarkEnd w:id="2470"/>
      <w:bookmarkEnd w:id="2471"/>
      <w:r w:rsidR="00465852">
        <w:t xml:space="preserve"> </w:t>
      </w:r>
    </w:p>
    <w:p w14:paraId="2DD87E46" w14:textId="77777777" w:rsidR="00541C64" w:rsidRPr="00541C64" w:rsidRDefault="00541C64" w:rsidP="00541C64">
      <w:pPr>
        <w:pStyle w:val="Tablenoteroman"/>
        <w:tabs>
          <w:tab w:val="clear" w:pos="397"/>
          <w:tab w:val="clear" w:pos="720"/>
        </w:tabs>
        <w:ind w:left="29" w:firstLine="0"/>
        <w:rPr>
          <w:b/>
          <w:lang w:eastAsia="en-AU"/>
        </w:rPr>
      </w:pPr>
      <w:bookmarkStart w:id="2473" w:name="_Ref452894778"/>
      <w:bookmarkStart w:id="2474" w:name="_Ref423037518"/>
      <w:bookmarkStart w:id="2475" w:name="_Toc12780563"/>
      <w:bookmarkStart w:id="2476" w:name="_Toc14194819"/>
      <w:bookmarkStart w:id="2477" w:name="_Toc33704000"/>
      <w:bookmarkStart w:id="2478" w:name="_Toc109894130"/>
      <w:bookmarkEnd w:id="2472"/>
      <w:r>
        <w:rPr>
          <w:b/>
          <w:lang w:eastAsia="en-AU"/>
        </w:rPr>
        <w:t>Notes</w:t>
      </w:r>
    </w:p>
    <w:p w14:paraId="657112DA" w14:textId="77777777" w:rsidR="00541C64" w:rsidRPr="00A67ABC" w:rsidRDefault="00541C64" w:rsidP="008E4F36">
      <w:pPr>
        <w:pStyle w:val="Tablenoteroman"/>
        <w:numPr>
          <w:ilvl w:val="0"/>
          <w:numId w:val="54"/>
        </w:numPr>
        <w:tabs>
          <w:tab w:val="clear" w:pos="720"/>
        </w:tabs>
        <w:rPr>
          <w:b/>
          <w:lang w:eastAsia="en-AU"/>
        </w:rPr>
      </w:pPr>
      <w:r w:rsidRPr="00A67ABC">
        <w:rPr>
          <w:lang w:eastAsia="en-AU"/>
        </w:rPr>
        <w:t>Subtotals and totals may not add up due to rounding.</w:t>
      </w:r>
    </w:p>
    <w:p w14:paraId="131633C9" w14:textId="48539EE4" w:rsidR="00501F32" w:rsidRDefault="00541C64" w:rsidP="00873A0F">
      <w:pPr>
        <w:pStyle w:val="Tablenoteroman"/>
        <w:numPr>
          <w:ilvl w:val="0"/>
          <w:numId w:val="54"/>
        </w:numPr>
        <w:tabs>
          <w:tab w:val="clear" w:pos="720"/>
        </w:tabs>
        <w:rPr>
          <w:lang w:eastAsia="en-AU"/>
        </w:rPr>
      </w:pPr>
      <w:r w:rsidRPr="00A67ABC">
        <w:rPr>
          <w:lang w:eastAsia="en-AU"/>
        </w:rPr>
        <w:t>When published, Statement of Priorities Part C supersede these tables.</w:t>
      </w:r>
    </w:p>
    <w:p w14:paraId="72698895" w14:textId="34688977" w:rsidR="004F7559" w:rsidRPr="00A67ABC" w:rsidRDefault="004F7559" w:rsidP="004F7559">
      <w:pPr>
        <w:pStyle w:val="Tablenoteroman"/>
        <w:numPr>
          <w:ilvl w:val="0"/>
          <w:numId w:val="54"/>
        </w:numPr>
        <w:tabs>
          <w:tab w:val="clear" w:pos="720"/>
        </w:tabs>
        <w:rPr>
          <w:lang w:eastAsia="en-AU"/>
        </w:rPr>
      </w:pPr>
      <w:r>
        <w:rPr>
          <w:lang w:eastAsia="en-AU"/>
        </w:rPr>
        <w:t>Excludes NSW contribution.</w:t>
      </w:r>
    </w:p>
    <w:p w14:paraId="17A4F058" w14:textId="3A05C5C4" w:rsidR="00D8107F" w:rsidRPr="00D8107F" w:rsidRDefault="00462DC7" w:rsidP="00D8107F">
      <w:pPr>
        <w:pStyle w:val="Tablecaption"/>
      </w:pPr>
      <w:bookmarkStart w:id="2479" w:name="_Toc176510416"/>
      <w:bookmarkStart w:id="2480" w:name="_Hlk170295279"/>
      <w:bookmarkEnd w:id="2473"/>
      <w:r>
        <w:t>Table</w:t>
      </w:r>
      <w:r w:rsidR="00D72666">
        <w:t xml:space="preserve"> 2</w:t>
      </w:r>
      <w:r w:rsidR="000E0ED2">
        <w:t>.</w:t>
      </w:r>
      <w:r>
        <w:fldChar w:fldCharType="begin"/>
      </w:r>
      <w:r>
        <w:instrText>SEQ Table \* ARABIC \s 1</w:instrText>
      </w:r>
      <w:r>
        <w:fldChar w:fldCharType="separate"/>
      </w:r>
      <w:r w:rsidR="00F30C16">
        <w:rPr>
          <w:noProof/>
        </w:rPr>
        <w:t>4</w:t>
      </w:r>
      <w:r>
        <w:fldChar w:fldCharType="end"/>
      </w:r>
      <w:r>
        <w:t xml:space="preserve">: </w:t>
      </w:r>
      <w:r w:rsidR="005B699B">
        <w:t xml:space="preserve">Mental health </w:t>
      </w:r>
      <w:r w:rsidR="005B699B" w:rsidRPr="00B06738">
        <w:t>expenditure budgets 202</w:t>
      </w:r>
      <w:r w:rsidR="005B699B">
        <w:t>4–</w:t>
      </w:r>
      <w:r w:rsidR="005B699B" w:rsidRPr="00B06738">
        <w:t>2</w:t>
      </w:r>
      <w:r w:rsidR="005B699B">
        <w:t>5</w:t>
      </w:r>
      <w:r w:rsidR="005B699B" w:rsidRPr="00B06738">
        <w:t xml:space="preserve"> by service type</w:t>
      </w:r>
      <w:bookmarkEnd w:id="2474"/>
      <w:bookmarkEnd w:id="2475"/>
      <w:bookmarkEnd w:id="2476"/>
      <w:bookmarkEnd w:id="2477"/>
      <w:bookmarkEnd w:id="2478"/>
      <w:bookmarkEnd w:id="2479"/>
    </w:p>
    <w:p w14:paraId="2DA515FE" w14:textId="77777777" w:rsidR="005B699B" w:rsidRPr="00E00C4E" w:rsidRDefault="005B699B" w:rsidP="00705DCA">
      <w:pPr>
        <w:pStyle w:val="Body"/>
      </w:pPr>
      <w:bookmarkStart w:id="2481" w:name="_Hlk170295312"/>
      <w:bookmarkStart w:id="2482" w:name="_Toc12780660"/>
      <w:bookmarkStart w:id="2483" w:name="_Toc14172301"/>
      <w:bookmarkStart w:id="2484" w:name="_Toc33703975"/>
      <w:bookmarkStart w:id="2485" w:name="_Toc55381163"/>
      <w:bookmarkStart w:id="2486" w:name="_Toc100263369"/>
      <w:bookmarkEnd w:id="2480"/>
      <w:r w:rsidRPr="00E00C4E">
        <w:t>Metropolitan and regional – $’000s</w:t>
      </w:r>
    </w:p>
    <w:tbl>
      <w:tblPr>
        <w:tblW w:w="15026" w:type="dxa"/>
        <w:tblInd w:w="-147" w:type="dxa"/>
        <w:tblLayout w:type="fixed"/>
        <w:tblLook w:val="04A0" w:firstRow="1" w:lastRow="0" w:firstColumn="1" w:lastColumn="0" w:noHBand="0" w:noVBand="1"/>
      </w:tblPr>
      <w:tblGrid>
        <w:gridCol w:w="1838"/>
        <w:gridCol w:w="1318"/>
        <w:gridCol w:w="1319"/>
        <w:gridCol w:w="1319"/>
        <w:gridCol w:w="1319"/>
        <w:gridCol w:w="1319"/>
        <w:gridCol w:w="1318"/>
        <w:gridCol w:w="1319"/>
        <w:gridCol w:w="1319"/>
        <w:gridCol w:w="1319"/>
        <w:gridCol w:w="1319"/>
      </w:tblGrid>
      <w:tr w:rsidR="00324402" w:rsidRPr="000C4609" w14:paraId="5BF9ABBD" w14:textId="77777777" w:rsidTr="00244292">
        <w:trPr>
          <w:trHeight w:val="799"/>
          <w:tblHead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3B04A4D3" w14:textId="77777777" w:rsidR="003C3A57" w:rsidRPr="000C4609" w:rsidRDefault="003C3A57">
            <w:pPr>
              <w:spacing w:after="0" w:line="240" w:lineRule="auto"/>
              <w:rPr>
                <w:rFonts w:cs="Arial"/>
                <w:b/>
                <w:bCs/>
                <w:color w:val="53565A"/>
                <w:sz w:val="16"/>
                <w:szCs w:val="16"/>
                <w:lang w:eastAsia="en-AU"/>
              </w:rPr>
            </w:pPr>
            <w:r w:rsidRPr="000C4609">
              <w:rPr>
                <w:rFonts w:cs="Arial"/>
                <w:b/>
                <w:bCs/>
                <w:color w:val="53565A"/>
                <w:sz w:val="16"/>
                <w:szCs w:val="16"/>
                <w:lang w:eastAsia="en-AU"/>
              </w:rPr>
              <w:t xml:space="preserve">Health service </w:t>
            </w:r>
          </w:p>
        </w:tc>
        <w:tc>
          <w:tcPr>
            <w:tcW w:w="1318" w:type="dxa"/>
            <w:tcBorders>
              <w:top w:val="single" w:sz="4" w:space="0" w:color="auto"/>
              <w:left w:val="nil"/>
              <w:bottom w:val="single" w:sz="4" w:space="0" w:color="auto"/>
              <w:right w:val="single" w:sz="4" w:space="0" w:color="auto"/>
            </w:tcBorders>
            <w:shd w:val="clear" w:color="auto" w:fill="auto"/>
            <w:hideMark/>
          </w:tcPr>
          <w:p w14:paraId="3C340AD8" w14:textId="6E8F18E5" w:rsidR="003C3A57" w:rsidRPr="00325387" w:rsidRDefault="003C3A57">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r>
            <w:r w:rsidR="0019025A">
              <w:rPr>
                <w:rFonts w:cs="Arial"/>
                <w:b/>
                <w:bCs/>
                <w:color w:val="53565A"/>
                <w:sz w:val="16"/>
                <w:szCs w:val="16"/>
                <w:lang w:eastAsia="en-AU"/>
              </w:rPr>
              <w:t>Ac</w:t>
            </w:r>
            <w:r w:rsidR="0019025A" w:rsidRPr="0019025A">
              <w:rPr>
                <w:rFonts w:cs="Arial"/>
                <w:b/>
                <w:bCs/>
                <w:color w:val="53565A"/>
                <w:sz w:val="16"/>
                <w:szCs w:val="16"/>
                <w:lang w:eastAsia="en-AU"/>
              </w:rPr>
              <w:t>ute Admitted Mental Health NWAU</w:t>
            </w:r>
          </w:p>
        </w:tc>
        <w:tc>
          <w:tcPr>
            <w:tcW w:w="1319" w:type="dxa"/>
            <w:tcBorders>
              <w:top w:val="single" w:sz="4" w:space="0" w:color="auto"/>
              <w:left w:val="nil"/>
              <w:bottom w:val="single" w:sz="4" w:space="0" w:color="auto"/>
              <w:right w:val="single" w:sz="4" w:space="0" w:color="auto"/>
            </w:tcBorders>
          </w:tcPr>
          <w:p w14:paraId="26B98652" w14:textId="77777777" w:rsidR="003C3A57" w:rsidRPr="004D2156" w:rsidRDefault="003C3A57" w:rsidP="004D2156">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413AF1C3" w14:textId="26A563D9" w:rsidR="003C3A57" w:rsidRPr="00325387" w:rsidRDefault="00873A0F" w:rsidP="004D2156">
            <w:pPr>
              <w:spacing w:after="0" w:line="240" w:lineRule="auto"/>
              <w:jc w:val="right"/>
              <w:rPr>
                <w:rFonts w:cs="Arial"/>
                <w:b/>
                <w:bCs/>
                <w:color w:val="53565A"/>
                <w:sz w:val="16"/>
                <w:szCs w:val="16"/>
                <w:lang w:eastAsia="en-AU"/>
              </w:rPr>
            </w:pPr>
            <w:r>
              <w:rPr>
                <w:rFonts w:cs="Arial"/>
                <w:b/>
                <w:bCs/>
                <w:color w:val="53565A"/>
                <w:sz w:val="16"/>
                <w:szCs w:val="16"/>
                <w:lang w:eastAsia="en-AU"/>
              </w:rPr>
              <w:t>A</w:t>
            </w:r>
            <w:r w:rsidR="003C3A57" w:rsidRPr="004D2156">
              <w:rPr>
                <w:rFonts w:cs="Arial"/>
                <w:b/>
                <w:bCs/>
                <w:color w:val="53565A"/>
                <w:sz w:val="16"/>
                <w:szCs w:val="16"/>
                <w:lang w:eastAsia="en-AU"/>
              </w:rPr>
              <w:t>dmitted Inpatient Services</w:t>
            </w:r>
            <w:r w:rsidR="00AA7481">
              <w:rPr>
                <w:rFonts w:cs="Arial"/>
                <w:b/>
                <w:bCs/>
                <w:color w:val="53565A"/>
                <w:sz w:val="16"/>
                <w:szCs w:val="16"/>
                <w:lang w:eastAsia="en-AU"/>
              </w:rPr>
              <w:t xml:space="preserve"> - </w:t>
            </w:r>
            <w:r w:rsidR="003142AC">
              <w:rPr>
                <w:rFonts w:cs="Arial"/>
                <w:b/>
                <w:bCs/>
                <w:color w:val="53565A"/>
                <w:sz w:val="16"/>
                <w:szCs w:val="16"/>
                <w:lang w:eastAsia="en-AU"/>
              </w:rPr>
              <w:t>O</w:t>
            </w:r>
            <w:r w:rsidR="00AA7481">
              <w:rPr>
                <w:rFonts w:cs="Arial"/>
                <w:b/>
                <w:bCs/>
                <w:color w:val="53565A"/>
                <w:sz w:val="16"/>
                <w:szCs w:val="16"/>
                <w:lang w:eastAsia="en-AU"/>
              </w:rPr>
              <w:t>ther</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390D24B" w14:textId="77777777" w:rsidR="003C3A57" w:rsidRPr="00325387" w:rsidRDefault="003C3A57">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t>Non Acute</w:t>
            </w:r>
          </w:p>
        </w:tc>
        <w:tc>
          <w:tcPr>
            <w:tcW w:w="1319" w:type="dxa"/>
            <w:tcBorders>
              <w:top w:val="single" w:sz="4" w:space="0" w:color="auto"/>
              <w:left w:val="nil"/>
              <w:bottom w:val="single" w:sz="4" w:space="0" w:color="auto"/>
              <w:right w:val="single" w:sz="4" w:space="0" w:color="auto"/>
            </w:tcBorders>
            <w:shd w:val="clear" w:color="auto" w:fill="auto"/>
            <w:hideMark/>
          </w:tcPr>
          <w:p w14:paraId="55E04835" w14:textId="77777777" w:rsidR="003C3A57" w:rsidRPr="00325387" w:rsidRDefault="003C3A57">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t>Ambulatory</w:t>
            </w:r>
          </w:p>
        </w:tc>
        <w:tc>
          <w:tcPr>
            <w:tcW w:w="1319" w:type="dxa"/>
            <w:tcBorders>
              <w:top w:val="single" w:sz="4" w:space="0" w:color="auto"/>
              <w:left w:val="nil"/>
              <w:bottom w:val="single" w:sz="4" w:space="0" w:color="auto"/>
              <w:right w:val="single" w:sz="4" w:space="0" w:color="auto"/>
            </w:tcBorders>
            <w:shd w:val="clear" w:color="auto" w:fill="auto"/>
          </w:tcPr>
          <w:p w14:paraId="46B7BA32" w14:textId="77777777" w:rsidR="00FA7243" w:rsidRPr="00FA7243" w:rsidRDefault="00FA7243" w:rsidP="00FA7243">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71B18518" w14:textId="116EF5FF" w:rsidR="003C3A57" w:rsidRPr="001B1818" w:rsidRDefault="00FA7243" w:rsidP="00FA7243">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183F059A" w14:textId="542384FB" w:rsidR="003C3A57" w:rsidRPr="000C4609" w:rsidRDefault="003C3A57">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 xml:space="preserve">-25 </w:t>
            </w:r>
            <w:r w:rsidRPr="000C4609">
              <w:rPr>
                <w:rFonts w:cs="Arial"/>
                <w:b/>
                <w:bCs/>
                <w:color w:val="53565A"/>
                <w:sz w:val="16"/>
                <w:szCs w:val="16"/>
                <w:lang w:eastAsia="en-AU"/>
              </w:rPr>
              <w:t>Psychosocial Rehabilitation &amp; Support</w:t>
            </w:r>
          </w:p>
        </w:tc>
        <w:tc>
          <w:tcPr>
            <w:tcW w:w="1319" w:type="dxa"/>
            <w:tcBorders>
              <w:top w:val="single" w:sz="4" w:space="0" w:color="auto"/>
              <w:left w:val="nil"/>
              <w:bottom w:val="single" w:sz="4" w:space="0" w:color="auto"/>
              <w:right w:val="single" w:sz="4" w:space="0" w:color="auto"/>
            </w:tcBorders>
            <w:shd w:val="clear" w:color="auto" w:fill="auto"/>
            <w:hideMark/>
          </w:tcPr>
          <w:p w14:paraId="44C6B172" w14:textId="77777777" w:rsidR="003C3A57" w:rsidRPr="000C4609" w:rsidRDefault="003C3A57">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19" w:type="dxa"/>
            <w:tcBorders>
              <w:top w:val="single" w:sz="4" w:space="0" w:color="auto"/>
              <w:left w:val="nil"/>
              <w:bottom w:val="single" w:sz="4" w:space="0" w:color="auto"/>
              <w:right w:val="single" w:sz="4" w:space="0" w:color="auto"/>
            </w:tcBorders>
            <w:shd w:val="clear" w:color="auto" w:fill="auto"/>
            <w:hideMark/>
          </w:tcPr>
          <w:p w14:paraId="15924DB7" w14:textId="77777777" w:rsidR="003C3A57" w:rsidRDefault="003C3A57">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28BC1D27" w14:textId="77777777" w:rsidR="003C3A57" w:rsidRPr="000C4609" w:rsidRDefault="003C3A57">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19" w:type="dxa"/>
            <w:tcBorders>
              <w:top w:val="single" w:sz="4" w:space="0" w:color="auto"/>
              <w:left w:val="nil"/>
              <w:bottom w:val="single" w:sz="4" w:space="0" w:color="auto"/>
              <w:right w:val="single" w:sz="4" w:space="0" w:color="auto"/>
            </w:tcBorders>
            <w:shd w:val="clear" w:color="auto" w:fill="auto"/>
            <w:hideMark/>
          </w:tcPr>
          <w:p w14:paraId="53B7396F" w14:textId="77777777" w:rsidR="003C3A57" w:rsidRPr="000C4609" w:rsidRDefault="003C3A57">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319" w:type="dxa"/>
            <w:tcBorders>
              <w:top w:val="single" w:sz="4" w:space="0" w:color="auto"/>
              <w:left w:val="nil"/>
              <w:bottom w:val="single" w:sz="4" w:space="0" w:color="auto"/>
              <w:right w:val="single" w:sz="4" w:space="0" w:color="auto"/>
            </w:tcBorders>
            <w:hideMark/>
          </w:tcPr>
          <w:p w14:paraId="3723301D" w14:textId="77777777" w:rsidR="003C3A57" w:rsidRPr="000C4609" w:rsidRDefault="003C3A57">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324402" w:rsidRPr="000C4609" w14:paraId="2D198447"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43E5E62" w14:textId="2CF021F5"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Albury Wodonga Health</w:t>
            </w:r>
          </w:p>
        </w:tc>
        <w:tc>
          <w:tcPr>
            <w:tcW w:w="1318" w:type="dxa"/>
            <w:tcBorders>
              <w:top w:val="nil"/>
              <w:left w:val="nil"/>
              <w:bottom w:val="single" w:sz="4" w:space="0" w:color="auto"/>
              <w:right w:val="single" w:sz="4" w:space="0" w:color="auto"/>
            </w:tcBorders>
            <w:shd w:val="clear" w:color="auto" w:fill="auto"/>
            <w:noWrap/>
            <w:vAlign w:val="center"/>
          </w:tcPr>
          <w:p w14:paraId="37B79E95" w14:textId="07BD45E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9,476</w:t>
            </w:r>
          </w:p>
        </w:tc>
        <w:tc>
          <w:tcPr>
            <w:tcW w:w="1319" w:type="dxa"/>
            <w:tcBorders>
              <w:top w:val="single" w:sz="4" w:space="0" w:color="auto"/>
              <w:left w:val="nil"/>
              <w:bottom w:val="single" w:sz="4" w:space="0" w:color="auto"/>
              <w:right w:val="single" w:sz="4" w:space="0" w:color="auto"/>
            </w:tcBorders>
            <w:vAlign w:val="center"/>
          </w:tcPr>
          <w:p w14:paraId="32AA7758" w14:textId="591B95E3"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B90D3" w14:textId="70AD85A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FFFA832" w14:textId="4F8957B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18,917</w:t>
            </w:r>
          </w:p>
        </w:tc>
        <w:tc>
          <w:tcPr>
            <w:tcW w:w="1319" w:type="dxa"/>
            <w:tcBorders>
              <w:top w:val="single" w:sz="4" w:space="0" w:color="auto"/>
              <w:left w:val="nil"/>
              <w:bottom w:val="single" w:sz="4" w:space="0" w:color="auto"/>
              <w:right w:val="single" w:sz="4" w:space="0" w:color="auto"/>
            </w:tcBorders>
            <w:shd w:val="clear" w:color="auto" w:fill="auto"/>
            <w:vAlign w:val="center"/>
          </w:tcPr>
          <w:p w14:paraId="272DB0F1" w14:textId="62F6B855"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4732F" w14:textId="63BEBE1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102</w:t>
            </w:r>
          </w:p>
        </w:tc>
        <w:tc>
          <w:tcPr>
            <w:tcW w:w="1319" w:type="dxa"/>
            <w:tcBorders>
              <w:top w:val="nil"/>
              <w:left w:val="nil"/>
              <w:bottom w:val="single" w:sz="4" w:space="0" w:color="auto"/>
              <w:right w:val="single" w:sz="4" w:space="0" w:color="auto"/>
            </w:tcBorders>
            <w:shd w:val="clear" w:color="auto" w:fill="auto"/>
            <w:noWrap/>
            <w:vAlign w:val="center"/>
          </w:tcPr>
          <w:p w14:paraId="7023B6ED" w14:textId="1A1E11C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1,595</w:t>
            </w:r>
          </w:p>
        </w:tc>
        <w:tc>
          <w:tcPr>
            <w:tcW w:w="1319" w:type="dxa"/>
            <w:tcBorders>
              <w:top w:val="nil"/>
              <w:left w:val="nil"/>
              <w:bottom w:val="single" w:sz="4" w:space="0" w:color="auto"/>
              <w:right w:val="single" w:sz="4" w:space="0" w:color="auto"/>
            </w:tcBorders>
            <w:shd w:val="clear" w:color="auto" w:fill="auto"/>
            <w:noWrap/>
            <w:vAlign w:val="center"/>
          </w:tcPr>
          <w:p w14:paraId="252D8ED2" w14:textId="574514C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5,368</w:t>
            </w:r>
          </w:p>
        </w:tc>
        <w:tc>
          <w:tcPr>
            <w:tcW w:w="1319" w:type="dxa"/>
            <w:tcBorders>
              <w:top w:val="nil"/>
              <w:left w:val="nil"/>
              <w:bottom w:val="single" w:sz="4" w:space="0" w:color="auto"/>
              <w:right w:val="single" w:sz="4" w:space="0" w:color="auto"/>
            </w:tcBorders>
            <w:shd w:val="clear" w:color="auto" w:fill="auto"/>
            <w:noWrap/>
            <w:vAlign w:val="center"/>
          </w:tcPr>
          <w:p w14:paraId="5FCCD758" w14:textId="2E6EA59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6,550</w:t>
            </w:r>
          </w:p>
        </w:tc>
        <w:tc>
          <w:tcPr>
            <w:tcW w:w="1319" w:type="dxa"/>
            <w:tcBorders>
              <w:top w:val="nil"/>
              <w:left w:val="nil"/>
              <w:bottom w:val="single" w:sz="4" w:space="0" w:color="auto"/>
              <w:right w:val="single" w:sz="4" w:space="0" w:color="auto"/>
            </w:tcBorders>
            <w:noWrap/>
            <w:vAlign w:val="center"/>
          </w:tcPr>
          <w:p w14:paraId="506E28A1" w14:textId="6FBF5D1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42,223</w:t>
            </w:r>
          </w:p>
        </w:tc>
      </w:tr>
      <w:tr w:rsidR="00324402" w:rsidRPr="000C4609" w14:paraId="5873593B"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6F45ED3" w14:textId="60A1DDD1"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Alfred Health</w:t>
            </w:r>
          </w:p>
        </w:tc>
        <w:tc>
          <w:tcPr>
            <w:tcW w:w="1318" w:type="dxa"/>
            <w:tcBorders>
              <w:top w:val="nil"/>
              <w:left w:val="nil"/>
              <w:bottom w:val="single" w:sz="4" w:space="0" w:color="auto"/>
              <w:right w:val="single" w:sz="4" w:space="0" w:color="auto"/>
            </w:tcBorders>
            <w:shd w:val="clear" w:color="auto" w:fill="auto"/>
            <w:noWrap/>
            <w:vAlign w:val="center"/>
          </w:tcPr>
          <w:p w14:paraId="27E6A5FC" w14:textId="4DC5931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53,864</w:t>
            </w:r>
          </w:p>
        </w:tc>
        <w:tc>
          <w:tcPr>
            <w:tcW w:w="1319" w:type="dxa"/>
            <w:tcBorders>
              <w:top w:val="single" w:sz="4" w:space="0" w:color="auto"/>
              <w:left w:val="nil"/>
              <w:bottom w:val="single" w:sz="4" w:space="0" w:color="auto"/>
              <w:right w:val="single" w:sz="4" w:space="0" w:color="auto"/>
            </w:tcBorders>
            <w:vAlign w:val="center"/>
          </w:tcPr>
          <w:p w14:paraId="55EED3C1" w14:textId="23A5685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A8C83" w14:textId="0D3D350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366D60DF" w14:textId="30508A6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49,738</w:t>
            </w:r>
          </w:p>
        </w:tc>
        <w:tc>
          <w:tcPr>
            <w:tcW w:w="1319" w:type="dxa"/>
            <w:tcBorders>
              <w:top w:val="single" w:sz="4" w:space="0" w:color="auto"/>
              <w:left w:val="nil"/>
              <w:bottom w:val="single" w:sz="4" w:space="0" w:color="auto"/>
              <w:right w:val="single" w:sz="4" w:space="0" w:color="auto"/>
            </w:tcBorders>
            <w:shd w:val="clear" w:color="auto" w:fill="auto"/>
            <w:vAlign w:val="center"/>
          </w:tcPr>
          <w:p w14:paraId="31B5B3E4" w14:textId="1CDADCED" w:rsidR="003D3E79" w:rsidRDefault="003D3E79" w:rsidP="003D3E79">
            <w:pPr>
              <w:spacing w:after="0" w:line="240" w:lineRule="auto"/>
              <w:jc w:val="right"/>
              <w:rPr>
                <w:rFonts w:cs="Arial"/>
                <w:color w:val="000000"/>
                <w:sz w:val="16"/>
                <w:szCs w:val="16"/>
              </w:rPr>
            </w:pPr>
            <w:r>
              <w:rPr>
                <w:rFonts w:cs="Arial"/>
                <w:color w:val="000000"/>
                <w:sz w:val="16"/>
                <w:szCs w:val="16"/>
              </w:rPr>
              <w:t>1,434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1857" w14:textId="0829E10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315</w:t>
            </w:r>
          </w:p>
        </w:tc>
        <w:tc>
          <w:tcPr>
            <w:tcW w:w="1319" w:type="dxa"/>
            <w:tcBorders>
              <w:top w:val="nil"/>
              <w:left w:val="nil"/>
              <w:bottom w:val="single" w:sz="4" w:space="0" w:color="auto"/>
              <w:right w:val="single" w:sz="4" w:space="0" w:color="auto"/>
            </w:tcBorders>
            <w:shd w:val="clear" w:color="auto" w:fill="auto"/>
            <w:noWrap/>
            <w:vAlign w:val="center"/>
          </w:tcPr>
          <w:p w14:paraId="72F48676" w14:textId="0965CF4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9D75A4D" w14:textId="6C3FFA0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7,884</w:t>
            </w:r>
          </w:p>
        </w:tc>
        <w:tc>
          <w:tcPr>
            <w:tcW w:w="1319" w:type="dxa"/>
            <w:tcBorders>
              <w:top w:val="nil"/>
              <w:left w:val="nil"/>
              <w:bottom w:val="single" w:sz="4" w:space="0" w:color="auto"/>
              <w:right w:val="single" w:sz="4" w:space="0" w:color="auto"/>
            </w:tcBorders>
            <w:shd w:val="clear" w:color="auto" w:fill="auto"/>
            <w:noWrap/>
            <w:vAlign w:val="center"/>
          </w:tcPr>
          <w:p w14:paraId="45AFF225" w14:textId="5019558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6,846</w:t>
            </w:r>
          </w:p>
        </w:tc>
        <w:tc>
          <w:tcPr>
            <w:tcW w:w="1319" w:type="dxa"/>
            <w:tcBorders>
              <w:top w:val="nil"/>
              <w:left w:val="nil"/>
              <w:bottom w:val="single" w:sz="4" w:space="0" w:color="auto"/>
              <w:right w:val="single" w:sz="4" w:space="0" w:color="auto"/>
            </w:tcBorders>
            <w:noWrap/>
            <w:vAlign w:val="center"/>
          </w:tcPr>
          <w:p w14:paraId="09E95BCC" w14:textId="01A2024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120,080</w:t>
            </w:r>
          </w:p>
        </w:tc>
      </w:tr>
      <w:tr w:rsidR="00324402" w:rsidRPr="000C4609" w14:paraId="0EBAECBE"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C330825" w14:textId="3D1A77A8"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Austin Health</w:t>
            </w:r>
          </w:p>
        </w:tc>
        <w:tc>
          <w:tcPr>
            <w:tcW w:w="1318" w:type="dxa"/>
            <w:tcBorders>
              <w:top w:val="nil"/>
              <w:left w:val="nil"/>
              <w:bottom w:val="single" w:sz="4" w:space="0" w:color="auto"/>
              <w:right w:val="single" w:sz="4" w:space="0" w:color="auto"/>
            </w:tcBorders>
            <w:shd w:val="clear" w:color="auto" w:fill="auto"/>
            <w:noWrap/>
            <w:vAlign w:val="center"/>
          </w:tcPr>
          <w:p w14:paraId="2CCC59DF" w14:textId="6840084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42,256</w:t>
            </w:r>
          </w:p>
        </w:tc>
        <w:tc>
          <w:tcPr>
            <w:tcW w:w="1319" w:type="dxa"/>
            <w:tcBorders>
              <w:top w:val="single" w:sz="4" w:space="0" w:color="auto"/>
              <w:left w:val="nil"/>
              <w:bottom w:val="single" w:sz="4" w:space="0" w:color="auto"/>
              <w:right w:val="single" w:sz="4" w:space="0" w:color="auto"/>
            </w:tcBorders>
            <w:vAlign w:val="center"/>
          </w:tcPr>
          <w:p w14:paraId="75A9B84F" w14:textId="24E3560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1,559</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07F1A" w14:textId="0D530BE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638E009" w14:textId="791B619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24,441</w:t>
            </w:r>
          </w:p>
        </w:tc>
        <w:tc>
          <w:tcPr>
            <w:tcW w:w="1319" w:type="dxa"/>
            <w:tcBorders>
              <w:top w:val="single" w:sz="4" w:space="0" w:color="auto"/>
              <w:left w:val="nil"/>
              <w:bottom w:val="single" w:sz="4" w:space="0" w:color="auto"/>
              <w:right w:val="single" w:sz="4" w:space="0" w:color="auto"/>
            </w:tcBorders>
            <w:shd w:val="clear" w:color="auto" w:fill="auto"/>
            <w:vAlign w:val="center"/>
          </w:tcPr>
          <w:p w14:paraId="488C52C0" w14:textId="2A7BC1E3" w:rsidR="003D3E79" w:rsidRDefault="003D3E79" w:rsidP="003D3E79">
            <w:pPr>
              <w:spacing w:after="0" w:line="240" w:lineRule="auto"/>
              <w:jc w:val="right"/>
              <w:rPr>
                <w:rFonts w:cs="Arial"/>
                <w:color w:val="000000"/>
                <w:sz w:val="16"/>
                <w:szCs w:val="16"/>
              </w:rPr>
            </w:pPr>
            <w:r>
              <w:rPr>
                <w:rFonts w:cs="Arial"/>
                <w:color w:val="000000"/>
                <w:sz w:val="16"/>
                <w:szCs w:val="16"/>
              </w:rPr>
              <w:t>1,090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7A013" w14:textId="24CF52A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195</w:t>
            </w:r>
          </w:p>
        </w:tc>
        <w:tc>
          <w:tcPr>
            <w:tcW w:w="1319" w:type="dxa"/>
            <w:tcBorders>
              <w:top w:val="nil"/>
              <w:left w:val="nil"/>
              <w:bottom w:val="single" w:sz="4" w:space="0" w:color="auto"/>
              <w:right w:val="single" w:sz="4" w:space="0" w:color="auto"/>
            </w:tcBorders>
            <w:shd w:val="clear" w:color="auto" w:fill="auto"/>
            <w:noWrap/>
            <w:vAlign w:val="center"/>
          </w:tcPr>
          <w:p w14:paraId="4CC4B478" w14:textId="1E3C9F6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314C48F2" w14:textId="4A0EF08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8,454</w:t>
            </w:r>
          </w:p>
        </w:tc>
        <w:tc>
          <w:tcPr>
            <w:tcW w:w="1319" w:type="dxa"/>
            <w:tcBorders>
              <w:top w:val="nil"/>
              <w:left w:val="nil"/>
              <w:bottom w:val="single" w:sz="4" w:space="0" w:color="auto"/>
              <w:right w:val="single" w:sz="4" w:space="0" w:color="auto"/>
            </w:tcBorders>
            <w:shd w:val="clear" w:color="auto" w:fill="auto"/>
            <w:noWrap/>
            <w:vAlign w:val="center"/>
          </w:tcPr>
          <w:p w14:paraId="56972E39" w14:textId="30233CC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11,071</w:t>
            </w:r>
          </w:p>
        </w:tc>
        <w:tc>
          <w:tcPr>
            <w:tcW w:w="1319" w:type="dxa"/>
            <w:tcBorders>
              <w:top w:val="nil"/>
              <w:left w:val="nil"/>
              <w:bottom w:val="single" w:sz="4" w:space="0" w:color="auto"/>
              <w:right w:val="single" w:sz="4" w:space="0" w:color="auto"/>
            </w:tcBorders>
            <w:noWrap/>
            <w:vAlign w:val="center"/>
          </w:tcPr>
          <w:p w14:paraId="00D53766" w14:textId="7F92AE2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89,065</w:t>
            </w:r>
          </w:p>
        </w:tc>
      </w:tr>
      <w:tr w:rsidR="00324402" w:rsidRPr="000C4609" w14:paraId="6250429F"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41900B4" w14:textId="01D27937"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Barwon Health</w:t>
            </w:r>
          </w:p>
        </w:tc>
        <w:tc>
          <w:tcPr>
            <w:tcW w:w="1318" w:type="dxa"/>
            <w:tcBorders>
              <w:top w:val="nil"/>
              <w:left w:val="nil"/>
              <w:bottom w:val="single" w:sz="4" w:space="0" w:color="auto"/>
              <w:right w:val="single" w:sz="4" w:space="0" w:color="auto"/>
            </w:tcBorders>
            <w:shd w:val="clear" w:color="auto" w:fill="auto"/>
            <w:noWrap/>
            <w:vAlign w:val="center"/>
          </w:tcPr>
          <w:p w14:paraId="3E3CC9E7" w14:textId="23A0648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37,070</w:t>
            </w:r>
          </w:p>
        </w:tc>
        <w:tc>
          <w:tcPr>
            <w:tcW w:w="1319" w:type="dxa"/>
            <w:tcBorders>
              <w:top w:val="single" w:sz="4" w:space="0" w:color="auto"/>
              <w:left w:val="nil"/>
              <w:bottom w:val="single" w:sz="4" w:space="0" w:color="auto"/>
              <w:right w:val="single" w:sz="4" w:space="0" w:color="auto"/>
            </w:tcBorders>
            <w:vAlign w:val="center"/>
          </w:tcPr>
          <w:p w14:paraId="7FBB50D9" w14:textId="3655D1C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156</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A7035" w14:textId="389C343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3A4F75C6" w14:textId="0395F19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58,376</w:t>
            </w:r>
          </w:p>
        </w:tc>
        <w:tc>
          <w:tcPr>
            <w:tcW w:w="1319" w:type="dxa"/>
            <w:tcBorders>
              <w:top w:val="single" w:sz="4" w:space="0" w:color="auto"/>
              <w:left w:val="nil"/>
              <w:bottom w:val="single" w:sz="4" w:space="0" w:color="auto"/>
              <w:right w:val="single" w:sz="4" w:space="0" w:color="auto"/>
            </w:tcBorders>
            <w:shd w:val="clear" w:color="auto" w:fill="auto"/>
            <w:vAlign w:val="center"/>
          </w:tcPr>
          <w:p w14:paraId="2C4B5704" w14:textId="2A60CD26" w:rsidR="003D3E79" w:rsidRDefault="003D3E79" w:rsidP="003D3E79">
            <w:pPr>
              <w:spacing w:after="0" w:line="240" w:lineRule="auto"/>
              <w:jc w:val="right"/>
              <w:rPr>
                <w:rFonts w:cs="Arial"/>
                <w:color w:val="000000"/>
                <w:sz w:val="16"/>
                <w:szCs w:val="16"/>
              </w:rPr>
            </w:pPr>
            <w:r>
              <w:rPr>
                <w:rFonts w:cs="Arial"/>
                <w:color w:val="000000"/>
                <w:sz w:val="16"/>
                <w:szCs w:val="16"/>
              </w:rPr>
              <w:t>1,545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60293" w14:textId="5D9C90A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102</w:t>
            </w:r>
          </w:p>
        </w:tc>
        <w:tc>
          <w:tcPr>
            <w:tcW w:w="1319" w:type="dxa"/>
            <w:tcBorders>
              <w:top w:val="nil"/>
              <w:left w:val="nil"/>
              <w:bottom w:val="single" w:sz="4" w:space="0" w:color="auto"/>
              <w:right w:val="single" w:sz="4" w:space="0" w:color="auto"/>
            </w:tcBorders>
            <w:shd w:val="clear" w:color="auto" w:fill="auto"/>
            <w:noWrap/>
            <w:vAlign w:val="center"/>
          </w:tcPr>
          <w:p w14:paraId="057D8C7C" w14:textId="79297DF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1,866</w:t>
            </w:r>
          </w:p>
        </w:tc>
        <w:tc>
          <w:tcPr>
            <w:tcW w:w="1319" w:type="dxa"/>
            <w:tcBorders>
              <w:top w:val="nil"/>
              <w:left w:val="nil"/>
              <w:bottom w:val="single" w:sz="4" w:space="0" w:color="auto"/>
              <w:right w:val="single" w:sz="4" w:space="0" w:color="auto"/>
            </w:tcBorders>
            <w:shd w:val="clear" w:color="auto" w:fill="auto"/>
            <w:noWrap/>
            <w:vAlign w:val="center"/>
          </w:tcPr>
          <w:p w14:paraId="3C8324AC" w14:textId="76D9603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6,761</w:t>
            </w:r>
          </w:p>
        </w:tc>
        <w:tc>
          <w:tcPr>
            <w:tcW w:w="1319" w:type="dxa"/>
            <w:tcBorders>
              <w:top w:val="nil"/>
              <w:left w:val="nil"/>
              <w:bottom w:val="single" w:sz="4" w:space="0" w:color="auto"/>
              <w:right w:val="single" w:sz="4" w:space="0" w:color="auto"/>
            </w:tcBorders>
            <w:shd w:val="clear" w:color="auto" w:fill="auto"/>
            <w:noWrap/>
            <w:vAlign w:val="center"/>
          </w:tcPr>
          <w:p w14:paraId="0E22BA19" w14:textId="03B1783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4,495</w:t>
            </w:r>
          </w:p>
        </w:tc>
        <w:tc>
          <w:tcPr>
            <w:tcW w:w="1319" w:type="dxa"/>
            <w:tcBorders>
              <w:top w:val="nil"/>
              <w:left w:val="nil"/>
              <w:bottom w:val="single" w:sz="4" w:space="0" w:color="auto"/>
              <w:right w:val="single" w:sz="4" w:space="0" w:color="auto"/>
            </w:tcBorders>
            <w:noWrap/>
            <w:vAlign w:val="center"/>
          </w:tcPr>
          <w:p w14:paraId="6549FBDD" w14:textId="245DACD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110,370</w:t>
            </w:r>
          </w:p>
        </w:tc>
      </w:tr>
      <w:tr w:rsidR="00324402" w:rsidRPr="000C4609" w14:paraId="12490FF6"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C18B8D6" w14:textId="3935F9B1"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Bendigo Health</w:t>
            </w:r>
          </w:p>
        </w:tc>
        <w:tc>
          <w:tcPr>
            <w:tcW w:w="1318" w:type="dxa"/>
            <w:tcBorders>
              <w:top w:val="nil"/>
              <w:left w:val="nil"/>
              <w:bottom w:val="single" w:sz="4" w:space="0" w:color="auto"/>
              <w:right w:val="single" w:sz="4" w:space="0" w:color="auto"/>
            </w:tcBorders>
            <w:shd w:val="clear" w:color="auto" w:fill="auto"/>
            <w:noWrap/>
            <w:vAlign w:val="center"/>
          </w:tcPr>
          <w:p w14:paraId="1B77B2E0" w14:textId="5C23344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28,664</w:t>
            </w:r>
          </w:p>
        </w:tc>
        <w:tc>
          <w:tcPr>
            <w:tcW w:w="1319" w:type="dxa"/>
            <w:tcBorders>
              <w:top w:val="single" w:sz="4" w:space="0" w:color="auto"/>
              <w:left w:val="nil"/>
              <w:bottom w:val="single" w:sz="4" w:space="0" w:color="auto"/>
              <w:right w:val="single" w:sz="4" w:space="0" w:color="auto"/>
            </w:tcBorders>
            <w:vAlign w:val="center"/>
          </w:tcPr>
          <w:p w14:paraId="1534D494" w14:textId="7405FAC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156</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5F9A4" w14:textId="5840C5F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1816E03F" w14:textId="6E13D61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38,686</w:t>
            </w:r>
          </w:p>
        </w:tc>
        <w:tc>
          <w:tcPr>
            <w:tcW w:w="1319" w:type="dxa"/>
            <w:tcBorders>
              <w:top w:val="single" w:sz="4" w:space="0" w:color="auto"/>
              <w:left w:val="nil"/>
              <w:bottom w:val="single" w:sz="4" w:space="0" w:color="auto"/>
              <w:right w:val="single" w:sz="4" w:space="0" w:color="auto"/>
            </w:tcBorders>
            <w:shd w:val="clear" w:color="auto" w:fill="auto"/>
            <w:vAlign w:val="center"/>
          </w:tcPr>
          <w:p w14:paraId="146A486A" w14:textId="0A080D04"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5984B" w14:textId="6D5ACB9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232</w:t>
            </w:r>
          </w:p>
        </w:tc>
        <w:tc>
          <w:tcPr>
            <w:tcW w:w="1319" w:type="dxa"/>
            <w:tcBorders>
              <w:top w:val="nil"/>
              <w:left w:val="nil"/>
              <w:bottom w:val="single" w:sz="4" w:space="0" w:color="auto"/>
              <w:right w:val="single" w:sz="4" w:space="0" w:color="auto"/>
            </w:tcBorders>
            <w:shd w:val="clear" w:color="auto" w:fill="auto"/>
            <w:noWrap/>
            <w:vAlign w:val="center"/>
          </w:tcPr>
          <w:p w14:paraId="2BD0530F" w14:textId="071ACB8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1,439</w:t>
            </w:r>
          </w:p>
        </w:tc>
        <w:tc>
          <w:tcPr>
            <w:tcW w:w="1319" w:type="dxa"/>
            <w:tcBorders>
              <w:top w:val="nil"/>
              <w:left w:val="nil"/>
              <w:bottom w:val="single" w:sz="4" w:space="0" w:color="auto"/>
              <w:right w:val="single" w:sz="4" w:space="0" w:color="auto"/>
            </w:tcBorders>
            <w:shd w:val="clear" w:color="auto" w:fill="auto"/>
            <w:noWrap/>
            <w:vAlign w:val="center"/>
          </w:tcPr>
          <w:p w14:paraId="720F29CF" w14:textId="04F2678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6,830</w:t>
            </w:r>
          </w:p>
        </w:tc>
        <w:tc>
          <w:tcPr>
            <w:tcW w:w="1319" w:type="dxa"/>
            <w:tcBorders>
              <w:top w:val="nil"/>
              <w:left w:val="nil"/>
              <w:bottom w:val="single" w:sz="4" w:space="0" w:color="auto"/>
              <w:right w:val="single" w:sz="4" w:space="0" w:color="auto"/>
            </w:tcBorders>
            <w:shd w:val="clear" w:color="auto" w:fill="auto"/>
            <w:noWrap/>
            <w:vAlign w:val="center"/>
          </w:tcPr>
          <w:p w14:paraId="4AC3CF5A" w14:textId="7CF6942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6,610</w:t>
            </w:r>
          </w:p>
        </w:tc>
        <w:tc>
          <w:tcPr>
            <w:tcW w:w="1319" w:type="dxa"/>
            <w:tcBorders>
              <w:top w:val="nil"/>
              <w:left w:val="nil"/>
              <w:bottom w:val="single" w:sz="4" w:space="0" w:color="auto"/>
              <w:right w:val="single" w:sz="4" w:space="0" w:color="auto"/>
            </w:tcBorders>
            <w:noWrap/>
            <w:vAlign w:val="center"/>
          </w:tcPr>
          <w:p w14:paraId="54F691ED" w14:textId="012A39B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82,832</w:t>
            </w:r>
          </w:p>
        </w:tc>
      </w:tr>
      <w:tr w:rsidR="00324402" w:rsidRPr="000C4609" w14:paraId="71342C72"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7F60233" w14:textId="38959B17"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Eastern Health</w:t>
            </w:r>
          </w:p>
        </w:tc>
        <w:tc>
          <w:tcPr>
            <w:tcW w:w="1318" w:type="dxa"/>
            <w:tcBorders>
              <w:top w:val="nil"/>
              <w:left w:val="nil"/>
              <w:bottom w:val="single" w:sz="4" w:space="0" w:color="auto"/>
              <w:right w:val="single" w:sz="4" w:space="0" w:color="auto"/>
            </w:tcBorders>
            <w:shd w:val="clear" w:color="auto" w:fill="auto"/>
            <w:noWrap/>
            <w:vAlign w:val="center"/>
          </w:tcPr>
          <w:p w14:paraId="53BF09FC" w14:textId="5DB286E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59,641</w:t>
            </w:r>
          </w:p>
        </w:tc>
        <w:tc>
          <w:tcPr>
            <w:tcW w:w="1319" w:type="dxa"/>
            <w:tcBorders>
              <w:top w:val="single" w:sz="4" w:space="0" w:color="auto"/>
              <w:left w:val="nil"/>
              <w:bottom w:val="single" w:sz="4" w:space="0" w:color="auto"/>
              <w:right w:val="single" w:sz="4" w:space="0" w:color="auto"/>
            </w:tcBorders>
            <w:vAlign w:val="center"/>
          </w:tcPr>
          <w:p w14:paraId="7A99712E" w14:textId="035334B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317</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EEFDF" w14:textId="4F1A554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03752A5D" w14:textId="071F68A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91,974</w:t>
            </w:r>
          </w:p>
        </w:tc>
        <w:tc>
          <w:tcPr>
            <w:tcW w:w="1319" w:type="dxa"/>
            <w:tcBorders>
              <w:top w:val="single" w:sz="4" w:space="0" w:color="auto"/>
              <w:left w:val="nil"/>
              <w:bottom w:val="single" w:sz="4" w:space="0" w:color="auto"/>
              <w:right w:val="single" w:sz="4" w:space="0" w:color="auto"/>
            </w:tcBorders>
            <w:shd w:val="clear" w:color="auto" w:fill="auto"/>
            <w:vAlign w:val="center"/>
          </w:tcPr>
          <w:p w14:paraId="134659A3" w14:textId="5AFE45FA"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6D7ED" w14:textId="197AE6B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195</w:t>
            </w:r>
          </w:p>
        </w:tc>
        <w:tc>
          <w:tcPr>
            <w:tcW w:w="1319" w:type="dxa"/>
            <w:tcBorders>
              <w:top w:val="nil"/>
              <w:left w:val="nil"/>
              <w:bottom w:val="single" w:sz="4" w:space="0" w:color="auto"/>
              <w:right w:val="single" w:sz="4" w:space="0" w:color="auto"/>
            </w:tcBorders>
            <w:shd w:val="clear" w:color="auto" w:fill="auto"/>
            <w:noWrap/>
            <w:vAlign w:val="center"/>
          </w:tcPr>
          <w:p w14:paraId="72F66407" w14:textId="5515E49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2,839</w:t>
            </w:r>
          </w:p>
        </w:tc>
        <w:tc>
          <w:tcPr>
            <w:tcW w:w="1319" w:type="dxa"/>
            <w:tcBorders>
              <w:top w:val="nil"/>
              <w:left w:val="nil"/>
              <w:bottom w:val="single" w:sz="4" w:space="0" w:color="auto"/>
              <w:right w:val="single" w:sz="4" w:space="0" w:color="auto"/>
            </w:tcBorders>
            <w:shd w:val="clear" w:color="auto" w:fill="auto"/>
            <w:noWrap/>
            <w:vAlign w:val="center"/>
          </w:tcPr>
          <w:p w14:paraId="716864F0" w14:textId="5F8E11D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10,343</w:t>
            </w:r>
          </w:p>
        </w:tc>
        <w:tc>
          <w:tcPr>
            <w:tcW w:w="1319" w:type="dxa"/>
            <w:tcBorders>
              <w:top w:val="nil"/>
              <w:left w:val="nil"/>
              <w:bottom w:val="single" w:sz="4" w:space="0" w:color="auto"/>
              <w:right w:val="single" w:sz="4" w:space="0" w:color="auto"/>
            </w:tcBorders>
            <w:shd w:val="clear" w:color="auto" w:fill="auto"/>
            <w:noWrap/>
            <w:vAlign w:val="center"/>
          </w:tcPr>
          <w:p w14:paraId="4CF549E4" w14:textId="3462060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12,209</w:t>
            </w:r>
          </w:p>
        </w:tc>
        <w:tc>
          <w:tcPr>
            <w:tcW w:w="1319" w:type="dxa"/>
            <w:tcBorders>
              <w:top w:val="nil"/>
              <w:left w:val="nil"/>
              <w:bottom w:val="single" w:sz="4" w:space="0" w:color="auto"/>
              <w:right w:val="single" w:sz="4" w:space="0" w:color="auto"/>
            </w:tcBorders>
            <w:noWrap/>
            <w:vAlign w:val="center"/>
          </w:tcPr>
          <w:p w14:paraId="79208FA9" w14:textId="07779B1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177,732</w:t>
            </w:r>
          </w:p>
        </w:tc>
      </w:tr>
      <w:tr w:rsidR="00324402" w:rsidRPr="000C4609" w14:paraId="74B4267C"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999FA89" w14:textId="1CF27C5B"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Goulburn Valley Health</w:t>
            </w:r>
          </w:p>
        </w:tc>
        <w:tc>
          <w:tcPr>
            <w:tcW w:w="1318" w:type="dxa"/>
            <w:tcBorders>
              <w:top w:val="nil"/>
              <w:left w:val="nil"/>
              <w:bottom w:val="single" w:sz="4" w:space="0" w:color="auto"/>
              <w:right w:val="single" w:sz="4" w:space="0" w:color="auto"/>
            </w:tcBorders>
            <w:shd w:val="clear" w:color="auto" w:fill="auto"/>
            <w:noWrap/>
            <w:vAlign w:val="center"/>
          </w:tcPr>
          <w:p w14:paraId="232D53FB" w14:textId="2528BC9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8,708</w:t>
            </w:r>
          </w:p>
        </w:tc>
        <w:tc>
          <w:tcPr>
            <w:tcW w:w="1319" w:type="dxa"/>
            <w:tcBorders>
              <w:top w:val="single" w:sz="4" w:space="0" w:color="auto"/>
              <w:left w:val="nil"/>
              <w:bottom w:val="single" w:sz="4" w:space="0" w:color="auto"/>
              <w:right w:val="single" w:sz="4" w:space="0" w:color="auto"/>
            </w:tcBorders>
            <w:vAlign w:val="center"/>
          </w:tcPr>
          <w:p w14:paraId="733C01C3" w14:textId="5877063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156</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B818D" w14:textId="14359A2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77A5CEFE" w14:textId="2463F10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22,369</w:t>
            </w:r>
          </w:p>
        </w:tc>
        <w:tc>
          <w:tcPr>
            <w:tcW w:w="1319" w:type="dxa"/>
            <w:tcBorders>
              <w:top w:val="single" w:sz="4" w:space="0" w:color="auto"/>
              <w:left w:val="nil"/>
              <w:bottom w:val="single" w:sz="4" w:space="0" w:color="auto"/>
              <w:right w:val="single" w:sz="4" w:space="0" w:color="auto"/>
            </w:tcBorders>
            <w:shd w:val="clear" w:color="auto" w:fill="auto"/>
            <w:vAlign w:val="center"/>
          </w:tcPr>
          <w:p w14:paraId="059B8C15" w14:textId="2922EEDE"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2DF22" w14:textId="76782AA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93</w:t>
            </w:r>
          </w:p>
        </w:tc>
        <w:tc>
          <w:tcPr>
            <w:tcW w:w="1319" w:type="dxa"/>
            <w:tcBorders>
              <w:top w:val="nil"/>
              <w:left w:val="nil"/>
              <w:bottom w:val="single" w:sz="4" w:space="0" w:color="auto"/>
              <w:right w:val="single" w:sz="4" w:space="0" w:color="auto"/>
            </w:tcBorders>
            <w:shd w:val="clear" w:color="auto" w:fill="auto"/>
            <w:noWrap/>
            <w:vAlign w:val="center"/>
          </w:tcPr>
          <w:p w14:paraId="1C36F4BE" w14:textId="0A8B5FD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829</w:t>
            </w:r>
          </w:p>
        </w:tc>
        <w:tc>
          <w:tcPr>
            <w:tcW w:w="1319" w:type="dxa"/>
            <w:tcBorders>
              <w:top w:val="nil"/>
              <w:left w:val="nil"/>
              <w:bottom w:val="single" w:sz="4" w:space="0" w:color="auto"/>
              <w:right w:val="single" w:sz="4" w:space="0" w:color="auto"/>
            </w:tcBorders>
            <w:shd w:val="clear" w:color="auto" w:fill="auto"/>
            <w:noWrap/>
            <w:vAlign w:val="center"/>
          </w:tcPr>
          <w:p w14:paraId="0357EB41" w14:textId="0D71CB3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5,218</w:t>
            </w:r>
          </w:p>
        </w:tc>
        <w:tc>
          <w:tcPr>
            <w:tcW w:w="1319" w:type="dxa"/>
            <w:tcBorders>
              <w:top w:val="nil"/>
              <w:left w:val="nil"/>
              <w:bottom w:val="single" w:sz="4" w:space="0" w:color="auto"/>
              <w:right w:val="single" w:sz="4" w:space="0" w:color="auto"/>
            </w:tcBorders>
            <w:shd w:val="clear" w:color="auto" w:fill="auto"/>
            <w:noWrap/>
            <w:vAlign w:val="center"/>
          </w:tcPr>
          <w:p w14:paraId="5EE8C200" w14:textId="3275A81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3,746</w:t>
            </w:r>
          </w:p>
        </w:tc>
        <w:tc>
          <w:tcPr>
            <w:tcW w:w="1319" w:type="dxa"/>
            <w:tcBorders>
              <w:top w:val="nil"/>
              <w:left w:val="nil"/>
              <w:bottom w:val="single" w:sz="4" w:space="0" w:color="auto"/>
              <w:right w:val="single" w:sz="4" w:space="0" w:color="auto"/>
            </w:tcBorders>
            <w:noWrap/>
            <w:vAlign w:val="center"/>
          </w:tcPr>
          <w:p w14:paraId="22676C58" w14:textId="226DE11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41,118</w:t>
            </w:r>
          </w:p>
        </w:tc>
      </w:tr>
      <w:tr w:rsidR="00324402" w:rsidRPr="000C4609" w14:paraId="42E8152C"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E355DEE" w14:textId="355BD328"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Grampians Health</w:t>
            </w:r>
          </w:p>
        </w:tc>
        <w:tc>
          <w:tcPr>
            <w:tcW w:w="1318" w:type="dxa"/>
            <w:tcBorders>
              <w:top w:val="nil"/>
              <w:left w:val="nil"/>
              <w:bottom w:val="single" w:sz="4" w:space="0" w:color="auto"/>
              <w:right w:val="single" w:sz="4" w:space="0" w:color="auto"/>
            </w:tcBorders>
            <w:shd w:val="clear" w:color="auto" w:fill="auto"/>
            <w:noWrap/>
            <w:vAlign w:val="center"/>
          </w:tcPr>
          <w:p w14:paraId="2061491B" w14:textId="592B397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19,667</w:t>
            </w:r>
          </w:p>
        </w:tc>
        <w:tc>
          <w:tcPr>
            <w:tcW w:w="1319" w:type="dxa"/>
            <w:tcBorders>
              <w:top w:val="single" w:sz="4" w:space="0" w:color="auto"/>
              <w:left w:val="nil"/>
              <w:bottom w:val="single" w:sz="4" w:space="0" w:color="auto"/>
              <w:right w:val="single" w:sz="4" w:space="0" w:color="auto"/>
            </w:tcBorders>
            <w:vAlign w:val="center"/>
          </w:tcPr>
          <w:p w14:paraId="3D6C7E40" w14:textId="6FAAE37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156</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E5BE3" w14:textId="4B1CEA0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657ED75" w14:textId="57E4200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31,058</w:t>
            </w:r>
          </w:p>
        </w:tc>
        <w:tc>
          <w:tcPr>
            <w:tcW w:w="1319" w:type="dxa"/>
            <w:tcBorders>
              <w:top w:val="single" w:sz="4" w:space="0" w:color="auto"/>
              <w:left w:val="nil"/>
              <w:bottom w:val="single" w:sz="4" w:space="0" w:color="auto"/>
              <w:right w:val="single" w:sz="4" w:space="0" w:color="auto"/>
            </w:tcBorders>
            <w:shd w:val="clear" w:color="auto" w:fill="auto"/>
            <w:vAlign w:val="center"/>
          </w:tcPr>
          <w:p w14:paraId="529C191C" w14:textId="65ACE44F"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D5AC1" w14:textId="3776B85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169</w:t>
            </w:r>
          </w:p>
        </w:tc>
        <w:tc>
          <w:tcPr>
            <w:tcW w:w="1319" w:type="dxa"/>
            <w:tcBorders>
              <w:top w:val="nil"/>
              <w:left w:val="nil"/>
              <w:bottom w:val="single" w:sz="4" w:space="0" w:color="auto"/>
              <w:right w:val="single" w:sz="4" w:space="0" w:color="auto"/>
            </w:tcBorders>
            <w:shd w:val="clear" w:color="auto" w:fill="auto"/>
            <w:noWrap/>
            <w:vAlign w:val="center"/>
          </w:tcPr>
          <w:p w14:paraId="4ACF48E6" w14:textId="2054BF9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1,099</w:t>
            </w:r>
          </w:p>
        </w:tc>
        <w:tc>
          <w:tcPr>
            <w:tcW w:w="1319" w:type="dxa"/>
            <w:tcBorders>
              <w:top w:val="nil"/>
              <w:left w:val="nil"/>
              <w:bottom w:val="single" w:sz="4" w:space="0" w:color="auto"/>
              <w:right w:val="single" w:sz="4" w:space="0" w:color="auto"/>
            </w:tcBorders>
            <w:shd w:val="clear" w:color="auto" w:fill="auto"/>
            <w:noWrap/>
            <w:vAlign w:val="center"/>
          </w:tcPr>
          <w:p w14:paraId="0D2C6E88" w14:textId="0F8B39B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5,868</w:t>
            </w:r>
          </w:p>
        </w:tc>
        <w:tc>
          <w:tcPr>
            <w:tcW w:w="1319" w:type="dxa"/>
            <w:tcBorders>
              <w:top w:val="nil"/>
              <w:left w:val="nil"/>
              <w:bottom w:val="single" w:sz="4" w:space="0" w:color="auto"/>
              <w:right w:val="single" w:sz="4" w:space="0" w:color="auto"/>
            </w:tcBorders>
            <w:shd w:val="clear" w:color="auto" w:fill="auto"/>
            <w:noWrap/>
            <w:vAlign w:val="center"/>
          </w:tcPr>
          <w:p w14:paraId="7C991C1D" w14:textId="06BD1B1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3,963</w:t>
            </w:r>
          </w:p>
        </w:tc>
        <w:tc>
          <w:tcPr>
            <w:tcW w:w="1319" w:type="dxa"/>
            <w:tcBorders>
              <w:top w:val="nil"/>
              <w:left w:val="nil"/>
              <w:bottom w:val="single" w:sz="4" w:space="0" w:color="auto"/>
              <w:right w:val="single" w:sz="4" w:space="0" w:color="auto"/>
            </w:tcBorders>
            <w:noWrap/>
            <w:vAlign w:val="center"/>
          </w:tcPr>
          <w:p w14:paraId="18D87408" w14:textId="6F53C6E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62,194</w:t>
            </w:r>
          </w:p>
        </w:tc>
      </w:tr>
      <w:tr w:rsidR="00324402" w:rsidRPr="000C4609" w14:paraId="0B6C30AA"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C8110A6" w14:textId="7730DD88"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Latrobe Regional Health</w:t>
            </w:r>
          </w:p>
        </w:tc>
        <w:tc>
          <w:tcPr>
            <w:tcW w:w="1318" w:type="dxa"/>
            <w:tcBorders>
              <w:top w:val="nil"/>
              <w:left w:val="nil"/>
              <w:bottom w:val="single" w:sz="4" w:space="0" w:color="auto"/>
              <w:right w:val="single" w:sz="4" w:space="0" w:color="auto"/>
            </w:tcBorders>
            <w:shd w:val="clear" w:color="auto" w:fill="auto"/>
            <w:noWrap/>
            <w:vAlign w:val="center"/>
          </w:tcPr>
          <w:p w14:paraId="5E689E13" w14:textId="72B5DC8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20,272</w:t>
            </w:r>
          </w:p>
        </w:tc>
        <w:tc>
          <w:tcPr>
            <w:tcW w:w="1319" w:type="dxa"/>
            <w:tcBorders>
              <w:top w:val="single" w:sz="4" w:space="0" w:color="auto"/>
              <w:left w:val="nil"/>
              <w:bottom w:val="single" w:sz="4" w:space="0" w:color="auto"/>
              <w:right w:val="single" w:sz="4" w:space="0" w:color="auto"/>
            </w:tcBorders>
            <w:vAlign w:val="center"/>
          </w:tcPr>
          <w:p w14:paraId="0F379546" w14:textId="3D56BBA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51CB6" w14:textId="761B49C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03AB5BD8" w14:textId="4618AA3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37,024</w:t>
            </w:r>
          </w:p>
        </w:tc>
        <w:tc>
          <w:tcPr>
            <w:tcW w:w="1319" w:type="dxa"/>
            <w:tcBorders>
              <w:top w:val="single" w:sz="4" w:space="0" w:color="auto"/>
              <w:left w:val="nil"/>
              <w:bottom w:val="single" w:sz="4" w:space="0" w:color="auto"/>
              <w:right w:val="single" w:sz="4" w:space="0" w:color="auto"/>
            </w:tcBorders>
            <w:shd w:val="clear" w:color="auto" w:fill="auto"/>
            <w:vAlign w:val="center"/>
          </w:tcPr>
          <w:p w14:paraId="1D69F8AE" w14:textId="3B461821"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F2C55" w14:textId="47F05D6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93</w:t>
            </w:r>
          </w:p>
        </w:tc>
        <w:tc>
          <w:tcPr>
            <w:tcW w:w="1319" w:type="dxa"/>
            <w:tcBorders>
              <w:top w:val="nil"/>
              <w:left w:val="nil"/>
              <w:bottom w:val="single" w:sz="4" w:space="0" w:color="auto"/>
              <w:right w:val="single" w:sz="4" w:space="0" w:color="auto"/>
            </w:tcBorders>
            <w:shd w:val="clear" w:color="auto" w:fill="auto"/>
            <w:noWrap/>
            <w:vAlign w:val="center"/>
          </w:tcPr>
          <w:p w14:paraId="7584A1ED" w14:textId="6BF0E84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415</w:t>
            </w:r>
          </w:p>
        </w:tc>
        <w:tc>
          <w:tcPr>
            <w:tcW w:w="1319" w:type="dxa"/>
            <w:tcBorders>
              <w:top w:val="nil"/>
              <w:left w:val="nil"/>
              <w:bottom w:val="single" w:sz="4" w:space="0" w:color="auto"/>
              <w:right w:val="single" w:sz="4" w:space="0" w:color="auto"/>
            </w:tcBorders>
            <w:shd w:val="clear" w:color="auto" w:fill="auto"/>
            <w:noWrap/>
            <w:vAlign w:val="center"/>
          </w:tcPr>
          <w:p w14:paraId="7C44F442" w14:textId="34505E4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4,645</w:t>
            </w:r>
          </w:p>
        </w:tc>
        <w:tc>
          <w:tcPr>
            <w:tcW w:w="1319" w:type="dxa"/>
            <w:tcBorders>
              <w:top w:val="nil"/>
              <w:left w:val="nil"/>
              <w:bottom w:val="single" w:sz="4" w:space="0" w:color="auto"/>
              <w:right w:val="single" w:sz="4" w:space="0" w:color="auto"/>
            </w:tcBorders>
            <w:shd w:val="clear" w:color="auto" w:fill="auto"/>
            <w:noWrap/>
            <w:vAlign w:val="center"/>
          </w:tcPr>
          <w:p w14:paraId="7C5B8F38" w14:textId="1837906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4,393</w:t>
            </w:r>
          </w:p>
        </w:tc>
        <w:tc>
          <w:tcPr>
            <w:tcW w:w="1319" w:type="dxa"/>
            <w:tcBorders>
              <w:top w:val="nil"/>
              <w:left w:val="nil"/>
              <w:bottom w:val="single" w:sz="4" w:space="0" w:color="auto"/>
              <w:right w:val="single" w:sz="4" w:space="0" w:color="auto"/>
            </w:tcBorders>
            <w:noWrap/>
            <w:vAlign w:val="center"/>
          </w:tcPr>
          <w:p w14:paraId="5F92524D" w14:textId="2214944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67,056</w:t>
            </w:r>
          </w:p>
        </w:tc>
      </w:tr>
      <w:tr w:rsidR="00324402" w:rsidRPr="000C4609" w14:paraId="7256F787"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0939152" w14:textId="4B3AFCF8"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Melbourne Health</w:t>
            </w:r>
          </w:p>
        </w:tc>
        <w:tc>
          <w:tcPr>
            <w:tcW w:w="1318" w:type="dxa"/>
            <w:tcBorders>
              <w:top w:val="nil"/>
              <w:left w:val="nil"/>
              <w:bottom w:val="single" w:sz="4" w:space="0" w:color="auto"/>
              <w:right w:val="single" w:sz="4" w:space="0" w:color="auto"/>
            </w:tcBorders>
            <w:shd w:val="clear" w:color="auto" w:fill="auto"/>
            <w:noWrap/>
            <w:vAlign w:val="center"/>
          </w:tcPr>
          <w:p w14:paraId="483ACD08" w14:textId="08BC85E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58,476</w:t>
            </w:r>
          </w:p>
        </w:tc>
        <w:tc>
          <w:tcPr>
            <w:tcW w:w="1319" w:type="dxa"/>
            <w:tcBorders>
              <w:top w:val="single" w:sz="4" w:space="0" w:color="auto"/>
              <w:left w:val="nil"/>
              <w:bottom w:val="single" w:sz="4" w:space="0" w:color="auto"/>
              <w:right w:val="single" w:sz="4" w:space="0" w:color="auto"/>
            </w:tcBorders>
            <w:vAlign w:val="center"/>
          </w:tcPr>
          <w:p w14:paraId="1D7B952C" w14:textId="66E6F98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1,764</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8885F" w14:textId="67C6882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17F45D89" w14:textId="36B2F3C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70,093</w:t>
            </w:r>
          </w:p>
        </w:tc>
        <w:tc>
          <w:tcPr>
            <w:tcW w:w="1319" w:type="dxa"/>
            <w:tcBorders>
              <w:top w:val="single" w:sz="4" w:space="0" w:color="auto"/>
              <w:left w:val="nil"/>
              <w:bottom w:val="single" w:sz="4" w:space="0" w:color="auto"/>
              <w:right w:val="single" w:sz="4" w:space="0" w:color="auto"/>
            </w:tcBorders>
            <w:shd w:val="clear" w:color="auto" w:fill="auto"/>
            <w:vAlign w:val="center"/>
          </w:tcPr>
          <w:p w14:paraId="55A52C93" w14:textId="0A3EF16A" w:rsidR="003D3E79" w:rsidRDefault="003D3E79" w:rsidP="003D3E79">
            <w:pPr>
              <w:spacing w:after="0" w:line="240" w:lineRule="auto"/>
              <w:jc w:val="right"/>
              <w:rPr>
                <w:rFonts w:cs="Arial"/>
                <w:color w:val="000000"/>
                <w:sz w:val="16"/>
                <w:szCs w:val="16"/>
              </w:rPr>
            </w:pPr>
            <w:r>
              <w:rPr>
                <w:rFonts w:cs="Arial"/>
                <w:color w:val="000000"/>
                <w:sz w:val="16"/>
                <w:szCs w:val="16"/>
              </w:rPr>
              <w:t>1,008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0D04" w14:textId="02CC091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51</w:t>
            </w:r>
          </w:p>
        </w:tc>
        <w:tc>
          <w:tcPr>
            <w:tcW w:w="1319" w:type="dxa"/>
            <w:tcBorders>
              <w:top w:val="nil"/>
              <w:left w:val="nil"/>
              <w:bottom w:val="single" w:sz="4" w:space="0" w:color="auto"/>
              <w:right w:val="single" w:sz="4" w:space="0" w:color="auto"/>
            </w:tcBorders>
            <w:shd w:val="clear" w:color="auto" w:fill="auto"/>
            <w:noWrap/>
            <w:vAlign w:val="center"/>
          </w:tcPr>
          <w:p w14:paraId="00C1076E" w14:textId="5E5821F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0846CA8D" w14:textId="2EC39B5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14,857</w:t>
            </w:r>
          </w:p>
        </w:tc>
        <w:tc>
          <w:tcPr>
            <w:tcW w:w="1319" w:type="dxa"/>
            <w:tcBorders>
              <w:top w:val="nil"/>
              <w:left w:val="nil"/>
              <w:bottom w:val="single" w:sz="4" w:space="0" w:color="auto"/>
              <w:right w:val="single" w:sz="4" w:space="0" w:color="auto"/>
            </w:tcBorders>
            <w:shd w:val="clear" w:color="auto" w:fill="auto"/>
            <w:noWrap/>
            <w:vAlign w:val="center"/>
          </w:tcPr>
          <w:p w14:paraId="1ED5308F" w14:textId="65C6C593"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5,386</w:t>
            </w:r>
          </w:p>
        </w:tc>
        <w:tc>
          <w:tcPr>
            <w:tcW w:w="1319" w:type="dxa"/>
            <w:tcBorders>
              <w:top w:val="nil"/>
              <w:left w:val="nil"/>
              <w:bottom w:val="single" w:sz="4" w:space="0" w:color="auto"/>
              <w:right w:val="single" w:sz="4" w:space="0" w:color="auto"/>
            </w:tcBorders>
            <w:noWrap/>
            <w:vAlign w:val="center"/>
          </w:tcPr>
          <w:p w14:paraId="73B498CD" w14:textId="4BBFD71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151,634</w:t>
            </w:r>
          </w:p>
        </w:tc>
      </w:tr>
      <w:tr w:rsidR="00324402" w:rsidRPr="000C4609" w14:paraId="538E6AA3"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D62F2CD" w14:textId="0CF9F09F"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Mercy Hospitals Victoria Limited</w:t>
            </w:r>
          </w:p>
        </w:tc>
        <w:tc>
          <w:tcPr>
            <w:tcW w:w="1318" w:type="dxa"/>
            <w:tcBorders>
              <w:top w:val="nil"/>
              <w:left w:val="nil"/>
              <w:bottom w:val="single" w:sz="4" w:space="0" w:color="auto"/>
              <w:right w:val="single" w:sz="4" w:space="0" w:color="auto"/>
            </w:tcBorders>
            <w:shd w:val="clear" w:color="auto" w:fill="auto"/>
            <w:noWrap/>
            <w:vAlign w:val="center"/>
          </w:tcPr>
          <w:p w14:paraId="28096696" w14:textId="2B14625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26,953</w:t>
            </w:r>
          </w:p>
        </w:tc>
        <w:tc>
          <w:tcPr>
            <w:tcW w:w="1319" w:type="dxa"/>
            <w:tcBorders>
              <w:top w:val="single" w:sz="4" w:space="0" w:color="auto"/>
              <w:left w:val="nil"/>
              <w:bottom w:val="single" w:sz="4" w:space="0" w:color="auto"/>
              <w:right w:val="single" w:sz="4" w:space="0" w:color="auto"/>
            </w:tcBorders>
            <w:vAlign w:val="center"/>
          </w:tcPr>
          <w:p w14:paraId="6F483749" w14:textId="53D84E3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1403E" w14:textId="74B24A6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9FA4365" w14:textId="208335B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43,449</w:t>
            </w:r>
          </w:p>
        </w:tc>
        <w:tc>
          <w:tcPr>
            <w:tcW w:w="1319" w:type="dxa"/>
            <w:tcBorders>
              <w:top w:val="single" w:sz="4" w:space="0" w:color="auto"/>
              <w:left w:val="nil"/>
              <w:bottom w:val="single" w:sz="4" w:space="0" w:color="auto"/>
              <w:right w:val="single" w:sz="4" w:space="0" w:color="auto"/>
            </w:tcBorders>
            <w:shd w:val="clear" w:color="auto" w:fill="auto"/>
            <w:vAlign w:val="center"/>
          </w:tcPr>
          <w:p w14:paraId="614479D9" w14:textId="64AF6366"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84E5D" w14:textId="08E8D03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119</w:t>
            </w:r>
          </w:p>
        </w:tc>
        <w:tc>
          <w:tcPr>
            <w:tcW w:w="1319" w:type="dxa"/>
            <w:tcBorders>
              <w:top w:val="nil"/>
              <w:left w:val="nil"/>
              <w:bottom w:val="single" w:sz="4" w:space="0" w:color="auto"/>
              <w:right w:val="single" w:sz="4" w:space="0" w:color="auto"/>
            </w:tcBorders>
            <w:shd w:val="clear" w:color="auto" w:fill="auto"/>
            <w:noWrap/>
            <w:vAlign w:val="center"/>
          </w:tcPr>
          <w:p w14:paraId="50E30300" w14:textId="3E57210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FF70034" w14:textId="70D0857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7,043</w:t>
            </w:r>
          </w:p>
        </w:tc>
        <w:tc>
          <w:tcPr>
            <w:tcW w:w="1319" w:type="dxa"/>
            <w:tcBorders>
              <w:top w:val="nil"/>
              <w:left w:val="nil"/>
              <w:bottom w:val="single" w:sz="4" w:space="0" w:color="auto"/>
              <w:right w:val="single" w:sz="4" w:space="0" w:color="auto"/>
            </w:tcBorders>
            <w:shd w:val="clear" w:color="auto" w:fill="auto"/>
            <w:noWrap/>
            <w:vAlign w:val="center"/>
          </w:tcPr>
          <w:p w14:paraId="31CF8ABB" w14:textId="66F5D2A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6,846</w:t>
            </w:r>
          </w:p>
        </w:tc>
        <w:tc>
          <w:tcPr>
            <w:tcW w:w="1319" w:type="dxa"/>
            <w:tcBorders>
              <w:top w:val="nil"/>
              <w:left w:val="nil"/>
              <w:bottom w:val="single" w:sz="4" w:space="0" w:color="auto"/>
              <w:right w:val="single" w:sz="4" w:space="0" w:color="auto"/>
            </w:tcBorders>
            <w:noWrap/>
            <w:vAlign w:val="center"/>
          </w:tcPr>
          <w:p w14:paraId="0209F87C" w14:textId="1ABB118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84,410</w:t>
            </w:r>
          </w:p>
        </w:tc>
      </w:tr>
      <w:tr w:rsidR="00324402" w:rsidRPr="000C4609" w14:paraId="44B3978F"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99DD4E6" w14:textId="3B529E0A"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Monash Health</w:t>
            </w:r>
          </w:p>
        </w:tc>
        <w:tc>
          <w:tcPr>
            <w:tcW w:w="1318" w:type="dxa"/>
            <w:tcBorders>
              <w:top w:val="nil"/>
              <w:left w:val="nil"/>
              <w:bottom w:val="single" w:sz="4" w:space="0" w:color="auto"/>
              <w:right w:val="single" w:sz="4" w:space="0" w:color="auto"/>
            </w:tcBorders>
            <w:shd w:val="clear" w:color="auto" w:fill="auto"/>
            <w:noWrap/>
            <w:vAlign w:val="center"/>
          </w:tcPr>
          <w:p w14:paraId="56FD3254" w14:textId="03436B53"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100,596</w:t>
            </w:r>
          </w:p>
        </w:tc>
        <w:tc>
          <w:tcPr>
            <w:tcW w:w="1319" w:type="dxa"/>
            <w:tcBorders>
              <w:top w:val="single" w:sz="4" w:space="0" w:color="auto"/>
              <w:left w:val="nil"/>
              <w:bottom w:val="single" w:sz="4" w:space="0" w:color="auto"/>
              <w:right w:val="single" w:sz="4" w:space="0" w:color="auto"/>
            </w:tcBorders>
            <w:vAlign w:val="center"/>
          </w:tcPr>
          <w:p w14:paraId="0D907BE8" w14:textId="5A6F2043"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317</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091E3" w14:textId="482A5BB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1699558" w14:textId="2B06B99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121,168</w:t>
            </w:r>
          </w:p>
        </w:tc>
        <w:tc>
          <w:tcPr>
            <w:tcW w:w="1319" w:type="dxa"/>
            <w:tcBorders>
              <w:top w:val="single" w:sz="4" w:space="0" w:color="auto"/>
              <w:left w:val="nil"/>
              <w:bottom w:val="single" w:sz="4" w:space="0" w:color="auto"/>
              <w:right w:val="single" w:sz="4" w:space="0" w:color="auto"/>
            </w:tcBorders>
            <w:shd w:val="clear" w:color="auto" w:fill="auto"/>
            <w:vAlign w:val="center"/>
          </w:tcPr>
          <w:p w14:paraId="5E45C3A7" w14:textId="3C09D85A" w:rsidR="003D3E79" w:rsidRDefault="003D3E79" w:rsidP="003D3E79">
            <w:pPr>
              <w:spacing w:after="0" w:line="240" w:lineRule="auto"/>
              <w:jc w:val="right"/>
              <w:rPr>
                <w:rFonts w:cs="Arial"/>
                <w:color w:val="000000"/>
                <w:sz w:val="16"/>
                <w:szCs w:val="16"/>
              </w:rPr>
            </w:pPr>
            <w:r>
              <w:rPr>
                <w:rFonts w:cs="Arial"/>
                <w:color w:val="000000"/>
                <w:sz w:val="16"/>
                <w:szCs w:val="16"/>
              </w:rPr>
              <w:t>613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32FAF" w14:textId="6B3C1FD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177</w:t>
            </w:r>
          </w:p>
        </w:tc>
        <w:tc>
          <w:tcPr>
            <w:tcW w:w="1319" w:type="dxa"/>
            <w:tcBorders>
              <w:top w:val="nil"/>
              <w:left w:val="nil"/>
              <w:bottom w:val="single" w:sz="4" w:space="0" w:color="auto"/>
              <w:right w:val="single" w:sz="4" w:space="0" w:color="auto"/>
            </w:tcBorders>
            <w:shd w:val="clear" w:color="auto" w:fill="auto"/>
            <w:noWrap/>
            <w:vAlign w:val="center"/>
          </w:tcPr>
          <w:p w14:paraId="4B98F077" w14:textId="074C82A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3,941</w:t>
            </w:r>
          </w:p>
        </w:tc>
        <w:tc>
          <w:tcPr>
            <w:tcW w:w="1319" w:type="dxa"/>
            <w:tcBorders>
              <w:top w:val="nil"/>
              <w:left w:val="nil"/>
              <w:bottom w:val="single" w:sz="4" w:space="0" w:color="auto"/>
              <w:right w:val="single" w:sz="4" w:space="0" w:color="auto"/>
            </w:tcBorders>
            <w:shd w:val="clear" w:color="auto" w:fill="auto"/>
            <w:noWrap/>
            <w:vAlign w:val="center"/>
          </w:tcPr>
          <w:p w14:paraId="454DDF4B" w14:textId="6CB3485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11,740</w:t>
            </w:r>
          </w:p>
        </w:tc>
        <w:tc>
          <w:tcPr>
            <w:tcW w:w="1319" w:type="dxa"/>
            <w:tcBorders>
              <w:top w:val="nil"/>
              <w:left w:val="nil"/>
              <w:bottom w:val="single" w:sz="4" w:space="0" w:color="auto"/>
              <w:right w:val="single" w:sz="4" w:space="0" w:color="auto"/>
            </w:tcBorders>
            <w:shd w:val="clear" w:color="auto" w:fill="auto"/>
            <w:noWrap/>
            <w:vAlign w:val="center"/>
          </w:tcPr>
          <w:p w14:paraId="577C26D2" w14:textId="65859B6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22,668</w:t>
            </w:r>
          </w:p>
        </w:tc>
        <w:tc>
          <w:tcPr>
            <w:tcW w:w="1319" w:type="dxa"/>
            <w:tcBorders>
              <w:top w:val="nil"/>
              <w:left w:val="nil"/>
              <w:bottom w:val="single" w:sz="4" w:space="0" w:color="auto"/>
              <w:right w:val="single" w:sz="4" w:space="0" w:color="auto"/>
            </w:tcBorders>
            <w:noWrap/>
            <w:vAlign w:val="center"/>
          </w:tcPr>
          <w:p w14:paraId="50EA39AE" w14:textId="47DC424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261,219</w:t>
            </w:r>
          </w:p>
        </w:tc>
      </w:tr>
      <w:tr w:rsidR="00324402" w:rsidRPr="000C4609" w14:paraId="1FC94C2F"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8CA3080" w14:textId="561680BF"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Northern Health</w:t>
            </w:r>
          </w:p>
        </w:tc>
        <w:tc>
          <w:tcPr>
            <w:tcW w:w="1318" w:type="dxa"/>
            <w:tcBorders>
              <w:top w:val="nil"/>
              <w:left w:val="nil"/>
              <w:bottom w:val="single" w:sz="4" w:space="0" w:color="auto"/>
              <w:right w:val="single" w:sz="4" w:space="0" w:color="auto"/>
            </w:tcBorders>
            <w:shd w:val="clear" w:color="auto" w:fill="auto"/>
            <w:noWrap/>
            <w:vAlign w:val="center"/>
          </w:tcPr>
          <w:p w14:paraId="3FB37963" w14:textId="5555571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69,614</w:t>
            </w:r>
          </w:p>
        </w:tc>
        <w:tc>
          <w:tcPr>
            <w:tcW w:w="1319" w:type="dxa"/>
            <w:tcBorders>
              <w:top w:val="single" w:sz="4" w:space="0" w:color="auto"/>
              <w:left w:val="nil"/>
              <w:bottom w:val="single" w:sz="4" w:space="0" w:color="auto"/>
              <w:right w:val="single" w:sz="4" w:space="0" w:color="auto"/>
            </w:tcBorders>
            <w:vAlign w:val="center"/>
          </w:tcPr>
          <w:p w14:paraId="0D40F960" w14:textId="4DDBFAB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440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B177" w14:textId="3165963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D590EA6" w14:textId="5F34E5C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90,225</w:t>
            </w:r>
          </w:p>
        </w:tc>
        <w:tc>
          <w:tcPr>
            <w:tcW w:w="1319" w:type="dxa"/>
            <w:tcBorders>
              <w:top w:val="single" w:sz="4" w:space="0" w:color="auto"/>
              <w:left w:val="nil"/>
              <w:bottom w:val="single" w:sz="4" w:space="0" w:color="auto"/>
              <w:right w:val="single" w:sz="4" w:space="0" w:color="auto"/>
            </w:tcBorders>
            <w:shd w:val="clear" w:color="auto" w:fill="auto"/>
            <w:vAlign w:val="center"/>
          </w:tcPr>
          <w:p w14:paraId="59956549" w14:textId="0B5FEEE5"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3F023" w14:textId="47E94EA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103</w:t>
            </w:r>
          </w:p>
        </w:tc>
        <w:tc>
          <w:tcPr>
            <w:tcW w:w="1319" w:type="dxa"/>
            <w:tcBorders>
              <w:top w:val="nil"/>
              <w:left w:val="nil"/>
              <w:bottom w:val="single" w:sz="4" w:space="0" w:color="auto"/>
              <w:right w:val="single" w:sz="4" w:space="0" w:color="auto"/>
            </w:tcBorders>
            <w:shd w:val="clear" w:color="auto" w:fill="auto"/>
            <w:noWrap/>
            <w:vAlign w:val="center"/>
          </w:tcPr>
          <w:p w14:paraId="127055E5" w14:textId="03BDA7A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2,423</w:t>
            </w:r>
          </w:p>
        </w:tc>
        <w:tc>
          <w:tcPr>
            <w:tcW w:w="1319" w:type="dxa"/>
            <w:tcBorders>
              <w:top w:val="nil"/>
              <w:left w:val="nil"/>
              <w:bottom w:val="single" w:sz="4" w:space="0" w:color="auto"/>
              <w:right w:val="single" w:sz="4" w:space="0" w:color="auto"/>
            </w:tcBorders>
            <w:shd w:val="clear" w:color="auto" w:fill="auto"/>
            <w:noWrap/>
            <w:vAlign w:val="center"/>
          </w:tcPr>
          <w:p w14:paraId="7A9BEA3C" w14:textId="1F53C59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10,628</w:t>
            </w:r>
          </w:p>
        </w:tc>
        <w:tc>
          <w:tcPr>
            <w:tcW w:w="1319" w:type="dxa"/>
            <w:tcBorders>
              <w:top w:val="nil"/>
              <w:left w:val="nil"/>
              <w:bottom w:val="single" w:sz="4" w:space="0" w:color="auto"/>
              <w:right w:val="single" w:sz="4" w:space="0" w:color="auto"/>
            </w:tcBorders>
            <w:shd w:val="clear" w:color="auto" w:fill="auto"/>
            <w:noWrap/>
            <w:vAlign w:val="center"/>
          </w:tcPr>
          <w:p w14:paraId="4A75FAE7" w14:textId="1588CAB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12,155</w:t>
            </w:r>
          </w:p>
        </w:tc>
        <w:tc>
          <w:tcPr>
            <w:tcW w:w="1319" w:type="dxa"/>
            <w:tcBorders>
              <w:top w:val="nil"/>
              <w:left w:val="nil"/>
              <w:bottom w:val="single" w:sz="4" w:space="0" w:color="auto"/>
              <w:right w:val="single" w:sz="4" w:space="0" w:color="auto"/>
            </w:tcBorders>
            <w:noWrap/>
            <w:vAlign w:val="center"/>
          </w:tcPr>
          <w:p w14:paraId="2B275A8B" w14:textId="00BAC3D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185,588</w:t>
            </w:r>
          </w:p>
        </w:tc>
      </w:tr>
      <w:tr w:rsidR="00324402" w:rsidRPr="000C4609" w14:paraId="08C8E976"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87C57B5" w14:textId="06CB19C7"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Peninsula Health</w:t>
            </w:r>
          </w:p>
        </w:tc>
        <w:tc>
          <w:tcPr>
            <w:tcW w:w="1318" w:type="dxa"/>
            <w:tcBorders>
              <w:top w:val="nil"/>
              <w:left w:val="nil"/>
              <w:bottom w:val="single" w:sz="4" w:space="0" w:color="auto"/>
              <w:right w:val="single" w:sz="4" w:space="0" w:color="auto"/>
            </w:tcBorders>
            <w:shd w:val="clear" w:color="auto" w:fill="auto"/>
            <w:noWrap/>
            <w:vAlign w:val="center"/>
          </w:tcPr>
          <w:p w14:paraId="253D69D0" w14:textId="35E6291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19,932</w:t>
            </w:r>
          </w:p>
        </w:tc>
        <w:tc>
          <w:tcPr>
            <w:tcW w:w="1319" w:type="dxa"/>
            <w:tcBorders>
              <w:top w:val="single" w:sz="4" w:space="0" w:color="auto"/>
              <w:left w:val="nil"/>
              <w:bottom w:val="single" w:sz="4" w:space="0" w:color="auto"/>
              <w:right w:val="single" w:sz="4" w:space="0" w:color="auto"/>
            </w:tcBorders>
            <w:vAlign w:val="center"/>
          </w:tcPr>
          <w:p w14:paraId="42FEECD6" w14:textId="22BB58A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156</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06BC" w14:textId="736CBD3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683C40A6" w14:textId="27D44A2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48,033</w:t>
            </w:r>
          </w:p>
        </w:tc>
        <w:tc>
          <w:tcPr>
            <w:tcW w:w="1319" w:type="dxa"/>
            <w:tcBorders>
              <w:top w:val="single" w:sz="4" w:space="0" w:color="auto"/>
              <w:left w:val="nil"/>
              <w:bottom w:val="single" w:sz="4" w:space="0" w:color="auto"/>
              <w:right w:val="single" w:sz="4" w:space="0" w:color="auto"/>
            </w:tcBorders>
            <w:shd w:val="clear" w:color="auto" w:fill="auto"/>
            <w:vAlign w:val="center"/>
          </w:tcPr>
          <w:p w14:paraId="7A70FC6F" w14:textId="162EBBC0"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8FEC9" w14:textId="1503DAE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88</w:t>
            </w:r>
          </w:p>
        </w:tc>
        <w:tc>
          <w:tcPr>
            <w:tcW w:w="1319" w:type="dxa"/>
            <w:tcBorders>
              <w:top w:val="nil"/>
              <w:left w:val="nil"/>
              <w:bottom w:val="single" w:sz="4" w:space="0" w:color="auto"/>
              <w:right w:val="single" w:sz="4" w:space="0" w:color="auto"/>
            </w:tcBorders>
            <w:shd w:val="clear" w:color="auto" w:fill="auto"/>
            <w:noWrap/>
            <w:vAlign w:val="center"/>
          </w:tcPr>
          <w:p w14:paraId="24A36719" w14:textId="752F7FC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1,422</w:t>
            </w:r>
          </w:p>
        </w:tc>
        <w:tc>
          <w:tcPr>
            <w:tcW w:w="1319" w:type="dxa"/>
            <w:tcBorders>
              <w:top w:val="nil"/>
              <w:left w:val="nil"/>
              <w:bottom w:val="single" w:sz="4" w:space="0" w:color="auto"/>
              <w:right w:val="single" w:sz="4" w:space="0" w:color="auto"/>
            </w:tcBorders>
            <w:shd w:val="clear" w:color="auto" w:fill="auto"/>
            <w:noWrap/>
            <w:vAlign w:val="center"/>
          </w:tcPr>
          <w:p w14:paraId="2BB6EA26" w14:textId="0480BE2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6,934</w:t>
            </w:r>
          </w:p>
        </w:tc>
        <w:tc>
          <w:tcPr>
            <w:tcW w:w="1319" w:type="dxa"/>
            <w:tcBorders>
              <w:top w:val="nil"/>
              <w:left w:val="nil"/>
              <w:bottom w:val="single" w:sz="4" w:space="0" w:color="auto"/>
              <w:right w:val="single" w:sz="4" w:space="0" w:color="auto"/>
            </w:tcBorders>
            <w:shd w:val="clear" w:color="auto" w:fill="auto"/>
            <w:noWrap/>
            <w:vAlign w:val="center"/>
          </w:tcPr>
          <w:p w14:paraId="234172E5" w14:textId="16D9F79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9,387</w:t>
            </w:r>
          </w:p>
        </w:tc>
        <w:tc>
          <w:tcPr>
            <w:tcW w:w="1319" w:type="dxa"/>
            <w:tcBorders>
              <w:top w:val="nil"/>
              <w:left w:val="nil"/>
              <w:bottom w:val="single" w:sz="4" w:space="0" w:color="auto"/>
              <w:right w:val="single" w:sz="4" w:space="0" w:color="auto"/>
            </w:tcBorders>
            <w:noWrap/>
            <w:vAlign w:val="center"/>
          </w:tcPr>
          <w:p w14:paraId="20E192C9" w14:textId="7351084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85,951</w:t>
            </w:r>
          </w:p>
        </w:tc>
      </w:tr>
      <w:tr w:rsidR="00324402" w:rsidRPr="000C4609" w14:paraId="526D6E10"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EB10F70" w14:textId="35805947"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Peter Maccallum Cancer Institute</w:t>
            </w:r>
          </w:p>
        </w:tc>
        <w:tc>
          <w:tcPr>
            <w:tcW w:w="1318" w:type="dxa"/>
            <w:tcBorders>
              <w:top w:val="nil"/>
              <w:left w:val="nil"/>
              <w:bottom w:val="single" w:sz="4" w:space="0" w:color="auto"/>
              <w:right w:val="single" w:sz="4" w:space="0" w:color="auto"/>
            </w:tcBorders>
            <w:shd w:val="clear" w:color="auto" w:fill="auto"/>
            <w:noWrap/>
            <w:vAlign w:val="center"/>
          </w:tcPr>
          <w:p w14:paraId="09A9FEAD" w14:textId="1991043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vAlign w:val="center"/>
          </w:tcPr>
          <w:p w14:paraId="3BE906B6" w14:textId="2306D62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BF528" w14:textId="4A24671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F18F638" w14:textId="2AF2FAE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shd w:val="clear" w:color="auto" w:fill="auto"/>
            <w:vAlign w:val="center"/>
          </w:tcPr>
          <w:p w14:paraId="4909F619" w14:textId="4690184E"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9166" w14:textId="47C7B05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9989B5F" w14:textId="7C62548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E8D5085" w14:textId="6422766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854</w:t>
            </w:r>
          </w:p>
        </w:tc>
        <w:tc>
          <w:tcPr>
            <w:tcW w:w="1319" w:type="dxa"/>
            <w:tcBorders>
              <w:top w:val="nil"/>
              <w:left w:val="nil"/>
              <w:bottom w:val="single" w:sz="4" w:space="0" w:color="auto"/>
              <w:right w:val="single" w:sz="4" w:space="0" w:color="auto"/>
            </w:tcBorders>
            <w:shd w:val="clear" w:color="auto" w:fill="auto"/>
            <w:noWrap/>
            <w:vAlign w:val="center"/>
          </w:tcPr>
          <w:p w14:paraId="6E56E351" w14:textId="3C8338A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165B94F0" w14:textId="39E4E818"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854</w:t>
            </w:r>
          </w:p>
        </w:tc>
      </w:tr>
      <w:tr w:rsidR="00324402" w:rsidRPr="000C4609" w14:paraId="0CE64484"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B244277" w14:textId="697A9A9D"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lastRenderedPageBreak/>
              <w:t>St Vincents Hospital Melbourne Limited</w:t>
            </w:r>
          </w:p>
        </w:tc>
        <w:tc>
          <w:tcPr>
            <w:tcW w:w="1318" w:type="dxa"/>
            <w:tcBorders>
              <w:top w:val="nil"/>
              <w:left w:val="nil"/>
              <w:bottom w:val="single" w:sz="4" w:space="0" w:color="auto"/>
              <w:right w:val="single" w:sz="4" w:space="0" w:color="auto"/>
            </w:tcBorders>
            <w:shd w:val="clear" w:color="auto" w:fill="auto"/>
            <w:noWrap/>
            <w:vAlign w:val="center"/>
          </w:tcPr>
          <w:p w14:paraId="4916A33A" w14:textId="1E96481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29,442</w:t>
            </w:r>
          </w:p>
        </w:tc>
        <w:tc>
          <w:tcPr>
            <w:tcW w:w="1319" w:type="dxa"/>
            <w:tcBorders>
              <w:top w:val="single" w:sz="4" w:space="0" w:color="auto"/>
              <w:left w:val="nil"/>
              <w:bottom w:val="single" w:sz="4" w:space="0" w:color="auto"/>
              <w:right w:val="single" w:sz="4" w:space="0" w:color="auto"/>
            </w:tcBorders>
            <w:vAlign w:val="center"/>
          </w:tcPr>
          <w:p w14:paraId="171BEC60" w14:textId="3122D60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0B34D" w14:textId="16707B84"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86B5289" w14:textId="377F21C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43,523</w:t>
            </w:r>
          </w:p>
        </w:tc>
        <w:tc>
          <w:tcPr>
            <w:tcW w:w="1319" w:type="dxa"/>
            <w:tcBorders>
              <w:top w:val="single" w:sz="4" w:space="0" w:color="auto"/>
              <w:left w:val="nil"/>
              <w:bottom w:val="single" w:sz="4" w:space="0" w:color="auto"/>
              <w:right w:val="single" w:sz="4" w:space="0" w:color="auto"/>
            </w:tcBorders>
            <w:shd w:val="clear" w:color="auto" w:fill="auto"/>
            <w:vAlign w:val="center"/>
          </w:tcPr>
          <w:p w14:paraId="435B4D03" w14:textId="2340559E"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A2923" w14:textId="7A38A2D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137</w:t>
            </w:r>
          </w:p>
        </w:tc>
        <w:tc>
          <w:tcPr>
            <w:tcW w:w="1319" w:type="dxa"/>
            <w:tcBorders>
              <w:top w:val="nil"/>
              <w:left w:val="nil"/>
              <w:bottom w:val="single" w:sz="4" w:space="0" w:color="auto"/>
              <w:right w:val="single" w:sz="4" w:space="0" w:color="auto"/>
            </w:tcBorders>
            <w:shd w:val="clear" w:color="auto" w:fill="auto"/>
            <w:noWrap/>
            <w:vAlign w:val="center"/>
          </w:tcPr>
          <w:p w14:paraId="4018F59D" w14:textId="03ED94D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3,008</w:t>
            </w:r>
          </w:p>
        </w:tc>
        <w:tc>
          <w:tcPr>
            <w:tcW w:w="1319" w:type="dxa"/>
            <w:tcBorders>
              <w:top w:val="nil"/>
              <w:left w:val="nil"/>
              <w:bottom w:val="single" w:sz="4" w:space="0" w:color="auto"/>
              <w:right w:val="single" w:sz="4" w:space="0" w:color="auto"/>
            </w:tcBorders>
            <w:shd w:val="clear" w:color="auto" w:fill="auto"/>
            <w:noWrap/>
            <w:vAlign w:val="center"/>
          </w:tcPr>
          <w:p w14:paraId="18934FF8" w14:textId="034ACA3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9,335</w:t>
            </w:r>
          </w:p>
        </w:tc>
        <w:tc>
          <w:tcPr>
            <w:tcW w:w="1319" w:type="dxa"/>
            <w:tcBorders>
              <w:top w:val="nil"/>
              <w:left w:val="nil"/>
              <w:bottom w:val="single" w:sz="4" w:space="0" w:color="auto"/>
              <w:right w:val="single" w:sz="4" w:space="0" w:color="auto"/>
            </w:tcBorders>
            <w:shd w:val="clear" w:color="auto" w:fill="auto"/>
            <w:noWrap/>
            <w:vAlign w:val="center"/>
          </w:tcPr>
          <w:p w14:paraId="666F9EF4" w14:textId="1CFC4FB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6,846</w:t>
            </w:r>
          </w:p>
        </w:tc>
        <w:tc>
          <w:tcPr>
            <w:tcW w:w="1319" w:type="dxa"/>
            <w:tcBorders>
              <w:top w:val="nil"/>
              <w:left w:val="nil"/>
              <w:bottom w:val="single" w:sz="4" w:space="0" w:color="auto"/>
              <w:right w:val="single" w:sz="4" w:space="0" w:color="auto"/>
            </w:tcBorders>
            <w:noWrap/>
            <w:vAlign w:val="center"/>
          </w:tcPr>
          <w:p w14:paraId="6331E9E1" w14:textId="42CC314B"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92,291</w:t>
            </w:r>
          </w:p>
        </w:tc>
      </w:tr>
      <w:tr w:rsidR="00324402" w:rsidRPr="000C4609" w14:paraId="271C989C"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8DF4561" w14:textId="4CF3C699"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The Royal Children</w:t>
            </w:r>
            <w:r w:rsidR="00544284">
              <w:rPr>
                <w:rFonts w:cs="Arial"/>
                <w:color w:val="000000"/>
                <w:sz w:val="16"/>
                <w:szCs w:val="16"/>
              </w:rPr>
              <w:t>’</w:t>
            </w:r>
            <w:r>
              <w:rPr>
                <w:rFonts w:cs="Arial"/>
                <w:color w:val="000000"/>
                <w:sz w:val="16"/>
                <w:szCs w:val="16"/>
              </w:rPr>
              <w:t>s Hospital</w:t>
            </w:r>
          </w:p>
        </w:tc>
        <w:tc>
          <w:tcPr>
            <w:tcW w:w="1318" w:type="dxa"/>
            <w:tcBorders>
              <w:top w:val="nil"/>
              <w:left w:val="nil"/>
              <w:bottom w:val="single" w:sz="4" w:space="0" w:color="auto"/>
              <w:right w:val="single" w:sz="4" w:space="0" w:color="auto"/>
            </w:tcBorders>
            <w:shd w:val="clear" w:color="auto" w:fill="auto"/>
            <w:noWrap/>
            <w:vAlign w:val="center"/>
          </w:tcPr>
          <w:p w14:paraId="28759ABE" w14:textId="15A947C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6,561</w:t>
            </w:r>
          </w:p>
        </w:tc>
        <w:tc>
          <w:tcPr>
            <w:tcW w:w="1319" w:type="dxa"/>
            <w:tcBorders>
              <w:top w:val="single" w:sz="4" w:space="0" w:color="auto"/>
              <w:left w:val="nil"/>
              <w:bottom w:val="single" w:sz="4" w:space="0" w:color="auto"/>
              <w:right w:val="single" w:sz="4" w:space="0" w:color="auto"/>
            </w:tcBorders>
            <w:vAlign w:val="center"/>
          </w:tcPr>
          <w:p w14:paraId="2F42E5C1" w14:textId="3B9D7F0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161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E3248" w14:textId="5FCD1223"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159BC408" w14:textId="2F94509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4,076</w:t>
            </w:r>
          </w:p>
        </w:tc>
        <w:tc>
          <w:tcPr>
            <w:tcW w:w="1319" w:type="dxa"/>
            <w:tcBorders>
              <w:top w:val="single" w:sz="4" w:space="0" w:color="auto"/>
              <w:left w:val="nil"/>
              <w:bottom w:val="single" w:sz="4" w:space="0" w:color="auto"/>
              <w:right w:val="single" w:sz="4" w:space="0" w:color="auto"/>
            </w:tcBorders>
            <w:shd w:val="clear" w:color="auto" w:fill="auto"/>
            <w:vAlign w:val="center"/>
          </w:tcPr>
          <w:p w14:paraId="3B15E25B" w14:textId="67E4DF10" w:rsidR="003D3E79" w:rsidRDefault="003D3E79" w:rsidP="003D3E79">
            <w:pPr>
              <w:spacing w:after="0" w:line="240" w:lineRule="auto"/>
              <w:jc w:val="right"/>
              <w:rPr>
                <w:rFonts w:cs="Arial"/>
                <w:color w:val="000000"/>
                <w:sz w:val="16"/>
                <w:szCs w:val="16"/>
              </w:rPr>
            </w:pPr>
            <w:r>
              <w:rPr>
                <w:rFonts w:cs="Arial"/>
                <w:color w:val="000000"/>
                <w:sz w:val="16"/>
                <w:szCs w:val="16"/>
              </w:rPr>
              <w:t>459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C3283" w14:textId="212E9D85"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221</w:t>
            </w:r>
          </w:p>
        </w:tc>
        <w:tc>
          <w:tcPr>
            <w:tcW w:w="1319" w:type="dxa"/>
            <w:tcBorders>
              <w:top w:val="nil"/>
              <w:left w:val="nil"/>
              <w:bottom w:val="single" w:sz="4" w:space="0" w:color="auto"/>
              <w:right w:val="single" w:sz="4" w:space="0" w:color="auto"/>
            </w:tcBorders>
            <w:shd w:val="clear" w:color="auto" w:fill="auto"/>
            <w:noWrap/>
            <w:vAlign w:val="center"/>
          </w:tcPr>
          <w:p w14:paraId="35EA89A2" w14:textId="6C6A718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01AECE9E" w14:textId="4594618C"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3,420</w:t>
            </w:r>
          </w:p>
        </w:tc>
        <w:tc>
          <w:tcPr>
            <w:tcW w:w="1319" w:type="dxa"/>
            <w:tcBorders>
              <w:top w:val="nil"/>
              <w:left w:val="nil"/>
              <w:bottom w:val="single" w:sz="4" w:space="0" w:color="auto"/>
              <w:right w:val="single" w:sz="4" w:space="0" w:color="auto"/>
            </w:tcBorders>
            <w:shd w:val="clear" w:color="auto" w:fill="auto"/>
            <w:noWrap/>
            <w:vAlign w:val="center"/>
          </w:tcPr>
          <w:p w14:paraId="2A3930CF" w14:textId="0848EEB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6F122B86" w14:textId="6C90A0C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14,898</w:t>
            </w:r>
          </w:p>
        </w:tc>
      </w:tr>
      <w:tr w:rsidR="00324402" w:rsidRPr="000C4609" w14:paraId="6931D6C5"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F1765ED" w14:textId="53859C72"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The Royal Women</w:t>
            </w:r>
            <w:r w:rsidR="00544284">
              <w:rPr>
                <w:rFonts w:cs="Arial"/>
                <w:color w:val="000000"/>
                <w:sz w:val="16"/>
                <w:szCs w:val="16"/>
              </w:rPr>
              <w:t>’</w:t>
            </w:r>
            <w:r>
              <w:rPr>
                <w:rFonts w:cs="Arial"/>
                <w:color w:val="000000"/>
                <w:sz w:val="16"/>
                <w:szCs w:val="16"/>
              </w:rPr>
              <w:t>s Hospital</w:t>
            </w:r>
          </w:p>
        </w:tc>
        <w:tc>
          <w:tcPr>
            <w:tcW w:w="1318" w:type="dxa"/>
            <w:tcBorders>
              <w:top w:val="nil"/>
              <w:left w:val="nil"/>
              <w:bottom w:val="single" w:sz="4" w:space="0" w:color="auto"/>
              <w:right w:val="single" w:sz="4" w:space="0" w:color="auto"/>
            </w:tcBorders>
            <w:shd w:val="clear" w:color="auto" w:fill="auto"/>
            <w:noWrap/>
            <w:vAlign w:val="center"/>
          </w:tcPr>
          <w:p w14:paraId="0FADF2FE" w14:textId="65FE216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w:t>
            </w:r>
          </w:p>
        </w:tc>
        <w:tc>
          <w:tcPr>
            <w:tcW w:w="1319" w:type="dxa"/>
            <w:tcBorders>
              <w:top w:val="single" w:sz="4" w:space="0" w:color="auto"/>
              <w:left w:val="nil"/>
              <w:bottom w:val="single" w:sz="4" w:space="0" w:color="auto"/>
              <w:right w:val="single" w:sz="4" w:space="0" w:color="auto"/>
            </w:tcBorders>
            <w:vAlign w:val="center"/>
          </w:tcPr>
          <w:p w14:paraId="7B172A53" w14:textId="0A969A2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FAF1A" w14:textId="268C46C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EFD2E18" w14:textId="7D30A856"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507</w:t>
            </w:r>
          </w:p>
        </w:tc>
        <w:tc>
          <w:tcPr>
            <w:tcW w:w="1319" w:type="dxa"/>
            <w:tcBorders>
              <w:top w:val="single" w:sz="4" w:space="0" w:color="auto"/>
              <w:left w:val="nil"/>
              <w:bottom w:val="single" w:sz="4" w:space="0" w:color="auto"/>
              <w:right w:val="single" w:sz="4" w:space="0" w:color="auto"/>
            </w:tcBorders>
            <w:shd w:val="clear" w:color="auto" w:fill="auto"/>
            <w:vAlign w:val="center"/>
          </w:tcPr>
          <w:p w14:paraId="7413648A" w14:textId="4EB6F556" w:rsidR="003D3E79" w:rsidRDefault="003D3E79" w:rsidP="003D3E79">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E2AA7" w14:textId="6FA60CD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3174401" w14:textId="41E0C1C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E988D17" w14:textId="52966790"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506</w:t>
            </w:r>
          </w:p>
        </w:tc>
        <w:tc>
          <w:tcPr>
            <w:tcW w:w="1319" w:type="dxa"/>
            <w:tcBorders>
              <w:top w:val="nil"/>
              <w:left w:val="nil"/>
              <w:bottom w:val="single" w:sz="4" w:space="0" w:color="auto"/>
              <w:right w:val="single" w:sz="4" w:space="0" w:color="auto"/>
            </w:tcBorders>
            <w:shd w:val="clear" w:color="auto" w:fill="auto"/>
            <w:noWrap/>
            <w:vAlign w:val="center"/>
          </w:tcPr>
          <w:p w14:paraId="4D698412" w14:textId="4FF608B9"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63FC82C6" w14:textId="664463E7"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1,016</w:t>
            </w:r>
          </w:p>
        </w:tc>
      </w:tr>
      <w:tr w:rsidR="00324402" w:rsidRPr="000C4609" w14:paraId="63CD4501" w14:textId="77777777" w:rsidTr="00244292">
        <w:trPr>
          <w:trHeight w:val="34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8093289" w14:textId="319DA351" w:rsidR="003D3E79" w:rsidRPr="00977693" w:rsidRDefault="003D3E79" w:rsidP="003D3E79">
            <w:pPr>
              <w:spacing w:after="0" w:line="240" w:lineRule="auto"/>
              <w:rPr>
                <w:rFonts w:cs="Arial"/>
                <w:color w:val="000000"/>
                <w:sz w:val="16"/>
                <w:szCs w:val="16"/>
                <w:lang w:eastAsia="en-AU"/>
              </w:rPr>
            </w:pPr>
            <w:r>
              <w:rPr>
                <w:rFonts w:cs="Arial"/>
                <w:color w:val="000000"/>
                <w:sz w:val="16"/>
                <w:szCs w:val="16"/>
              </w:rPr>
              <w:t>Western Health</w:t>
            </w:r>
          </w:p>
        </w:tc>
        <w:tc>
          <w:tcPr>
            <w:tcW w:w="1318" w:type="dxa"/>
            <w:tcBorders>
              <w:top w:val="nil"/>
              <w:left w:val="nil"/>
              <w:bottom w:val="single" w:sz="4" w:space="0" w:color="auto"/>
              <w:right w:val="single" w:sz="4" w:space="0" w:color="auto"/>
            </w:tcBorders>
            <w:shd w:val="clear" w:color="auto" w:fill="auto"/>
            <w:noWrap/>
            <w:vAlign w:val="center"/>
          </w:tcPr>
          <w:p w14:paraId="53E48BFB" w14:textId="189ECB5D"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73,090</w:t>
            </w:r>
          </w:p>
        </w:tc>
        <w:tc>
          <w:tcPr>
            <w:tcW w:w="1319" w:type="dxa"/>
            <w:tcBorders>
              <w:top w:val="single" w:sz="4" w:space="0" w:color="auto"/>
              <w:left w:val="nil"/>
              <w:bottom w:val="single" w:sz="4" w:space="0" w:color="auto"/>
              <w:right w:val="single" w:sz="4" w:space="0" w:color="auto"/>
            </w:tcBorders>
            <w:vAlign w:val="center"/>
          </w:tcPr>
          <w:p w14:paraId="76E769AA" w14:textId="7198C6EF"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147</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B10B4" w14:textId="6F4A88C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C1C67D0" w14:textId="4293ACDE"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39,554</w:t>
            </w:r>
          </w:p>
        </w:tc>
        <w:tc>
          <w:tcPr>
            <w:tcW w:w="1319" w:type="dxa"/>
            <w:tcBorders>
              <w:top w:val="single" w:sz="4" w:space="0" w:color="auto"/>
              <w:left w:val="nil"/>
              <w:bottom w:val="single" w:sz="4" w:space="0" w:color="auto"/>
              <w:right w:val="single" w:sz="4" w:space="0" w:color="auto"/>
            </w:tcBorders>
            <w:shd w:val="clear" w:color="auto" w:fill="auto"/>
            <w:vAlign w:val="center"/>
          </w:tcPr>
          <w:p w14:paraId="36A9D5DB" w14:textId="365B9937" w:rsidR="003D3E79" w:rsidRDefault="003D3E79" w:rsidP="003D3E79">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766A9" w14:textId="066519E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51</w:t>
            </w:r>
          </w:p>
        </w:tc>
        <w:tc>
          <w:tcPr>
            <w:tcW w:w="1319" w:type="dxa"/>
            <w:tcBorders>
              <w:top w:val="nil"/>
              <w:left w:val="nil"/>
              <w:bottom w:val="single" w:sz="4" w:space="0" w:color="auto"/>
              <w:right w:val="single" w:sz="4" w:space="0" w:color="auto"/>
            </w:tcBorders>
            <w:shd w:val="clear" w:color="auto" w:fill="auto"/>
            <w:noWrap/>
            <w:vAlign w:val="center"/>
          </w:tcPr>
          <w:p w14:paraId="14BA58E8" w14:textId="31B76C7A"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4BF18B55" w14:textId="1AE0AB9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6,201</w:t>
            </w:r>
          </w:p>
        </w:tc>
        <w:tc>
          <w:tcPr>
            <w:tcW w:w="1319" w:type="dxa"/>
            <w:tcBorders>
              <w:top w:val="nil"/>
              <w:left w:val="nil"/>
              <w:bottom w:val="single" w:sz="4" w:space="0" w:color="auto"/>
              <w:right w:val="single" w:sz="4" w:space="0" w:color="auto"/>
            </w:tcBorders>
            <w:shd w:val="clear" w:color="auto" w:fill="auto"/>
            <w:noWrap/>
            <w:vAlign w:val="center"/>
          </w:tcPr>
          <w:p w14:paraId="0C7B078F" w14:textId="28E2C2E2"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11,890</w:t>
            </w:r>
          </w:p>
        </w:tc>
        <w:tc>
          <w:tcPr>
            <w:tcW w:w="1319" w:type="dxa"/>
            <w:tcBorders>
              <w:top w:val="nil"/>
              <w:left w:val="nil"/>
              <w:bottom w:val="single" w:sz="4" w:space="0" w:color="auto"/>
              <w:right w:val="single" w:sz="4" w:space="0" w:color="auto"/>
            </w:tcBorders>
            <w:noWrap/>
            <w:vAlign w:val="center"/>
          </w:tcPr>
          <w:p w14:paraId="66DDBDF5" w14:textId="2775EBD1" w:rsidR="003D3E79" w:rsidRPr="00977693" w:rsidRDefault="003D3E79" w:rsidP="003D3E79">
            <w:pPr>
              <w:spacing w:after="0" w:line="240" w:lineRule="auto"/>
              <w:jc w:val="right"/>
              <w:rPr>
                <w:rFonts w:cs="Arial"/>
                <w:color w:val="000000"/>
                <w:sz w:val="16"/>
                <w:szCs w:val="16"/>
                <w:lang w:eastAsia="en-AU"/>
              </w:rPr>
            </w:pPr>
            <w:r>
              <w:rPr>
                <w:rFonts w:cs="Arial"/>
                <w:color w:val="000000"/>
                <w:sz w:val="16"/>
                <w:szCs w:val="16"/>
              </w:rPr>
              <w:t>131,149</w:t>
            </w:r>
          </w:p>
        </w:tc>
      </w:tr>
      <w:tr w:rsidR="00324402" w:rsidRPr="000C4609" w14:paraId="0E088580" w14:textId="77777777" w:rsidTr="00244292">
        <w:trPr>
          <w:trHeight w:val="41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4DD31DF" w14:textId="64E932B0" w:rsidR="003D3E79" w:rsidRPr="00977693" w:rsidRDefault="003D3E79" w:rsidP="003D3E79">
            <w:pPr>
              <w:spacing w:after="0" w:line="240" w:lineRule="auto"/>
              <w:rPr>
                <w:rFonts w:cs="Arial"/>
                <w:color w:val="000000"/>
                <w:sz w:val="16"/>
                <w:szCs w:val="16"/>
                <w:lang w:eastAsia="en-AU"/>
              </w:rPr>
            </w:pPr>
            <w:r>
              <w:rPr>
                <w:rFonts w:cs="Arial"/>
                <w:b/>
                <w:bCs/>
                <w:color w:val="000000"/>
                <w:sz w:val="16"/>
                <w:szCs w:val="16"/>
              </w:rPr>
              <w:t>Total</w:t>
            </w:r>
          </w:p>
        </w:tc>
        <w:tc>
          <w:tcPr>
            <w:tcW w:w="1318" w:type="dxa"/>
            <w:tcBorders>
              <w:top w:val="nil"/>
              <w:left w:val="nil"/>
              <w:bottom w:val="single" w:sz="4" w:space="0" w:color="auto"/>
              <w:right w:val="single" w:sz="4" w:space="0" w:color="auto"/>
            </w:tcBorders>
            <w:shd w:val="clear" w:color="auto" w:fill="auto"/>
            <w:noWrap/>
            <w:vAlign w:val="center"/>
          </w:tcPr>
          <w:p w14:paraId="44CF112D" w14:textId="0043FF8D"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664,285</w:t>
            </w:r>
          </w:p>
        </w:tc>
        <w:tc>
          <w:tcPr>
            <w:tcW w:w="1319" w:type="dxa"/>
            <w:tcBorders>
              <w:top w:val="single" w:sz="4" w:space="0" w:color="auto"/>
              <w:left w:val="nil"/>
              <w:bottom w:val="single" w:sz="4" w:space="0" w:color="auto"/>
              <w:right w:val="single" w:sz="4" w:space="0" w:color="auto"/>
            </w:tcBorders>
            <w:vAlign w:val="center"/>
          </w:tcPr>
          <w:p w14:paraId="2FBC18BD" w14:textId="26CC117A"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5,483</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2CB08" w14:textId="5F99C792"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6FC3CA05" w14:textId="2E91E01A"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833,210</w:t>
            </w:r>
          </w:p>
        </w:tc>
        <w:tc>
          <w:tcPr>
            <w:tcW w:w="1319" w:type="dxa"/>
            <w:tcBorders>
              <w:top w:val="single" w:sz="4" w:space="0" w:color="auto"/>
              <w:left w:val="nil"/>
              <w:bottom w:val="single" w:sz="4" w:space="0" w:color="auto"/>
              <w:right w:val="single" w:sz="4" w:space="0" w:color="auto"/>
            </w:tcBorders>
            <w:shd w:val="clear" w:color="auto" w:fill="auto"/>
            <w:vAlign w:val="center"/>
          </w:tcPr>
          <w:p w14:paraId="6D658EC5" w14:textId="2D4F1459" w:rsidR="003D3E79" w:rsidRDefault="003D3E79" w:rsidP="003D3E79">
            <w:pPr>
              <w:spacing w:after="0" w:line="240" w:lineRule="auto"/>
              <w:jc w:val="right"/>
              <w:rPr>
                <w:rFonts w:cs="Arial"/>
                <w:b/>
                <w:bCs/>
                <w:color w:val="000000"/>
                <w:sz w:val="16"/>
                <w:szCs w:val="16"/>
              </w:rPr>
            </w:pPr>
            <w:r>
              <w:rPr>
                <w:rFonts w:cs="Arial"/>
                <w:b/>
                <w:bCs/>
                <w:color w:val="000000"/>
                <w:sz w:val="16"/>
                <w:szCs w:val="16"/>
              </w:rPr>
              <w:t>7,439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A1308" w14:textId="335B9E28"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2,444</w:t>
            </w:r>
          </w:p>
        </w:tc>
        <w:tc>
          <w:tcPr>
            <w:tcW w:w="1319" w:type="dxa"/>
            <w:tcBorders>
              <w:top w:val="nil"/>
              <w:left w:val="nil"/>
              <w:bottom w:val="single" w:sz="4" w:space="0" w:color="auto"/>
              <w:right w:val="single" w:sz="4" w:space="0" w:color="auto"/>
            </w:tcBorders>
            <w:shd w:val="clear" w:color="auto" w:fill="auto"/>
            <w:noWrap/>
            <w:vAlign w:val="center"/>
          </w:tcPr>
          <w:p w14:paraId="7A29056D" w14:textId="1168646D"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20,875</w:t>
            </w:r>
          </w:p>
        </w:tc>
        <w:tc>
          <w:tcPr>
            <w:tcW w:w="1319" w:type="dxa"/>
            <w:tcBorders>
              <w:top w:val="nil"/>
              <w:left w:val="nil"/>
              <w:bottom w:val="single" w:sz="4" w:space="0" w:color="auto"/>
              <w:right w:val="single" w:sz="4" w:space="0" w:color="auto"/>
            </w:tcBorders>
            <w:shd w:val="clear" w:color="auto" w:fill="auto"/>
            <w:noWrap/>
            <w:vAlign w:val="center"/>
          </w:tcPr>
          <w:p w14:paraId="12C2198A" w14:textId="1D0FCFD4"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132,887</w:t>
            </w:r>
          </w:p>
        </w:tc>
        <w:tc>
          <w:tcPr>
            <w:tcW w:w="1319" w:type="dxa"/>
            <w:tcBorders>
              <w:top w:val="nil"/>
              <w:left w:val="nil"/>
              <w:bottom w:val="single" w:sz="4" w:space="0" w:color="auto"/>
              <w:right w:val="single" w:sz="4" w:space="0" w:color="auto"/>
            </w:tcBorders>
            <w:shd w:val="clear" w:color="auto" w:fill="auto"/>
            <w:noWrap/>
            <w:vAlign w:val="center"/>
          </w:tcPr>
          <w:p w14:paraId="3B5A8F30" w14:textId="019BDABA"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135,059</w:t>
            </w:r>
          </w:p>
        </w:tc>
        <w:tc>
          <w:tcPr>
            <w:tcW w:w="1319" w:type="dxa"/>
            <w:tcBorders>
              <w:top w:val="nil"/>
              <w:left w:val="nil"/>
              <w:bottom w:val="single" w:sz="4" w:space="0" w:color="auto"/>
              <w:right w:val="single" w:sz="4" w:space="0" w:color="auto"/>
            </w:tcBorders>
            <w:noWrap/>
            <w:vAlign w:val="center"/>
          </w:tcPr>
          <w:p w14:paraId="1C33E5ED" w14:textId="77250F14" w:rsidR="003D3E79" w:rsidRPr="00977693" w:rsidRDefault="003D3E79" w:rsidP="003D3E79">
            <w:pPr>
              <w:spacing w:after="0" w:line="240" w:lineRule="auto"/>
              <w:jc w:val="right"/>
              <w:rPr>
                <w:rFonts w:cs="Arial"/>
                <w:color w:val="000000"/>
                <w:sz w:val="16"/>
                <w:szCs w:val="16"/>
                <w:lang w:eastAsia="en-AU"/>
              </w:rPr>
            </w:pPr>
            <w:r>
              <w:rPr>
                <w:rFonts w:cs="Arial"/>
                <w:b/>
                <w:bCs/>
                <w:color w:val="000000"/>
                <w:sz w:val="16"/>
                <w:szCs w:val="16"/>
              </w:rPr>
              <w:t>1,801,683</w:t>
            </w:r>
          </w:p>
        </w:tc>
      </w:tr>
    </w:tbl>
    <w:p w14:paraId="314989B1" w14:textId="77777777" w:rsidR="005B699B" w:rsidRPr="00E00C4E" w:rsidRDefault="005B699B" w:rsidP="00E00C4E">
      <w:pPr>
        <w:pStyle w:val="Body"/>
      </w:pPr>
    </w:p>
    <w:p w14:paraId="6D340BA9" w14:textId="77777777" w:rsidR="005B699B" w:rsidRPr="00E00C4E" w:rsidRDefault="005B699B" w:rsidP="00705DCA">
      <w:pPr>
        <w:pStyle w:val="Body"/>
      </w:pPr>
      <w:r w:rsidRPr="00E00C4E">
        <w:t>Subregional and local – $’000s</w:t>
      </w:r>
    </w:p>
    <w:tbl>
      <w:tblPr>
        <w:tblW w:w="15026" w:type="dxa"/>
        <w:tblInd w:w="-147" w:type="dxa"/>
        <w:tblLayout w:type="fixed"/>
        <w:tblLook w:val="04A0" w:firstRow="1" w:lastRow="0" w:firstColumn="1" w:lastColumn="0" w:noHBand="0" w:noVBand="1"/>
      </w:tblPr>
      <w:tblGrid>
        <w:gridCol w:w="1843"/>
        <w:gridCol w:w="1318"/>
        <w:gridCol w:w="1318"/>
        <w:gridCol w:w="1318"/>
        <w:gridCol w:w="1319"/>
        <w:gridCol w:w="1318"/>
        <w:gridCol w:w="1318"/>
        <w:gridCol w:w="1319"/>
        <w:gridCol w:w="1318"/>
        <w:gridCol w:w="1318"/>
        <w:gridCol w:w="1319"/>
      </w:tblGrid>
      <w:tr w:rsidR="00324402" w:rsidRPr="00AF3EDE" w14:paraId="603D38D1" w14:textId="77777777" w:rsidTr="00244292">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CB937F" w14:textId="77777777" w:rsidR="00244292" w:rsidRPr="00AF3EDE" w:rsidRDefault="00244292" w:rsidP="00970F2D">
            <w:pPr>
              <w:spacing w:after="0" w:line="240" w:lineRule="auto"/>
              <w:rPr>
                <w:rFonts w:cs="Arial"/>
                <w:b/>
                <w:bCs/>
                <w:color w:val="53565A"/>
                <w:sz w:val="16"/>
                <w:szCs w:val="16"/>
                <w:lang w:eastAsia="en-AU"/>
              </w:rPr>
            </w:pPr>
            <w:r w:rsidRPr="00AF3EDE">
              <w:rPr>
                <w:rFonts w:cs="Arial"/>
                <w:b/>
                <w:bCs/>
                <w:color w:val="53565A"/>
                <w:sz w:val="16"/>
                <w:szCs w:val="16"/>
                <w:lang w:eastAsia="en-AU"/>
              </w:rPr>
              <w:t xml:space="preserve">Health service </w:t>
            </w:r>
          </w:p>
        </w:tc>
        <w:tc>
          <w:tcPr>
            <w:tcW w:w="1318" w:type="dxa"/>
            <w:tcBorders>
              <w:top w:val="single" w:sz="4" w:space="0" w:color="auto"/>
              <w:left w:val="nil"/>
              <w:bottom w:val="single" w:sz="4" w:space="0" w:color="auto"/>
              <w:right w:val="single" w:sz="4" w:space="0" w:color="auto"/>
            </w:tcBorders>
            <w:shd w:val="clear" w:color="auto" w:fill="auto"/>
            <w:hideMark/>
          </w:tcPr>
          <w:p w14:paraId="10E62D2F" w14:textId="14154BD6"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r>
            <w:r w:rsidR="00C6605F">
              <w:rPr>
                <w:rFonts w:cs="Arial"/>
                <w:b/>
                <w:bCs/>
                <w:color w:val="53565A"/>
                <w:sz w:val="16"/>
                <w:szCs w:val="16"/>
                <w:lang w:eastAsia="en-AU"/>
              </w:rPr>
              <w:t>Ac</w:t>
            </w:r>
            <w:r w:rsidR="00C6605F" w:rsidRPr="0019025A">
              <w:rPr>
                <w:rFonts w:cs="Arial"/>
                <w:b/>
                <w:bCs/>
                <w:color w:val="53565A"/>
                <w:sz w:val="16"/>
                <w:szCs w:val="16"/>
                <w:lang w:eastAsia="en-AU"/>
              </w:rPr>
              <w:t>ute Admitted Mental Health NWAU</w:t>
            </w:r>
          </w:p>
        </w:tc>
        <w:tc>
          <w:tcPr>
            <w:tcW w:w="1318" w:type="dxa"/>
            <w:tcBorders>
              <w:top w:val="single" w:sz="4" w:space="0" w:color="auto"/>
              <w:left w:val="nil"/>
              <w:bottom w:val="single" w:sz="4" w:space="0" w:color="auto"/>
              <w:right w:val="single" w:sz="4" w:space="0" w:color="auto"/>
            </w:tcBorders>
          </w:tcPr>
          <w:p w14:paraId="7A6D4C81" w14:textId="77777777" w:rsidR="00244292" w:rsidRPr="004D2156" w:rsidRDefault="00244292" w:rsidP="00970F2D">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36785B92" w14:textId="2C0EAD95" w:rsidR="00244292" w:rsidRPr="001B1818" w:rsidRDefault="003142AC" w:rsidP="00970F2D">
            <w:pPr>
              <w:spacing w:after="0" w:line="240" w:lineRule="auto"/>
              <w:jc w:val="right"/>
              <w:rPr>
                <w:rFonts w:cs="Arial"/>
                <w:b/>
                <w:bCs/>
                <w:color w:val="53565A"/>
                <w:sz w:val="16"/>
                <w:szCs w:val="16"/>
                <w:lang w:eastAsia="en-AU"/>
              </w:rPr>
            </w:pPr>
            <w:r>
              <w:rPr>
                <w:rFonts w:cs="Arial"/>
                <w:b/>
                <w:bCs/>
                <w:color w:val="53565A"/>
                <w:sz w:val="16"/>
                <w:szCs w:val="16"/>
                <w:lang w:eastAsia="en-AU"/>
              </w:rPr>
              <w:t>A</w:t>
            </w:r>
            <w:r w:rsidRPr="004D2156">
              <w:rPr>
                <w:rFonts w:cs="Arial"/>
                <w:b/>
                <w:bCs/>
                <w:color w:val="53565A"/>
                <w:sz w:val="16"/>
                <w:szCs w:val="16"/>
                <w:lang w:eastAsia="en-AU"/>
              </w:rPr>
              <w:t>dmitted Inpatient Services</w:t>
            </w:r>
            <w:r>
              <w:rPr>
                <w:rFonts w:cs="Arial"/>
                <w:b/>
                <w:bCs/>
                <w:color w:val="53565A"/>
                <w:sz w:val="16"/>
                <w:szCs w:val="16"/>
                <w:lang w:eastAsia="en-AU"/>
              </w:rPr>
              <w:t xml:space="preserve"> - Other</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69600BF7"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Non Acute</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B803E4"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Ambulatory</w:t>
            </w:r>
          </w:p>
        </w:tc>
        <w:tc>
          <w:tcPr>
            <w:tcW w:w="1318" w:type="dxa"/>
            <w:tcBorders>
              <w:top w:val="single" w:sz="4" w:space="0" w:color="auto"/>
              <w:left w:val="nil"/>
              <w:bottom w:val="single" w:sz="4" w:space="0" w:color="auto"/>
              <w:right w:val="single" w:sz="4" w:space="0" w:color="auto"/>
            </w:tcBorders>
            <w:shd w:val="clear" w:color="auto" w:fill="auto"/>
          </w:tcPr>
          <w:p w14:paraId="3C1AC77F" w14:textId="77777777" w:rsidR="00244292" w:rsidRPr="00FA7243"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0DAA67C4" w14:textId="6A6417B2" w:rsidR="00244292" w:rsidRPr="001B1818"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0CA57340" w14:textId="51498CC6" w:rsidR="00244292"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427A02DE" w14:textId="5CA04C8C" w:rsidR="00244292" w:rsidRPr="00AF3EDE" w:rsidRDefault="00244292" w:rsidP="00970F2D">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Psychosocial Rehabilitation &amp; Support</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CCB99"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18" w:type="dxa"/>
            <w:tcBorders>
              <w:top w:val="single" w:sz="4" w:space="0" w:color="auto"/>
              <w:left w:val="nil"/>
              <w:bottom w:val="single" w:sz="4" w:space="0" w:color="auto"/>
              <w:right w:val="single" w:sz="4" w:space="0" w:color="auto"/>
            </w:tcBorders>
            <w:shd w:val="clear" w:color="auto" w:fill="auto"/>
            <w:hideMark/>
          </w:tcPr>
          <w:p w14:paraId="14AB9B54" w14:textId="77777777" w:rsidR="00244292"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1672AAD4" w14:textId="77777777" w:rsidR="00244292" w:rsidRPr="00AF3EDE" w:rsidRDefault="00244292" w:rsidP="00970F2D">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18" w:type="dxa"/>
            <w:tcBorders>
              <w:top w:val="single" w:sz="4" w:space="0" w:color="auto"/>
              <w:left w:val="nil"/>
              <w:bottom w:val="single" w:sz="4" w:space="0" w:color="auto"/>
              <w:right w:val="single" w:sz="4" w:space="0" w:color="auto"/>
            </w:tcBorders>
            <w:shd w:val="clear" w:color="auto" w:fill="auto"/>
            <w:hideMark/>
          </w:tcPr>
          <w:p w14:paraId="48103B2A"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319" w:type="dxa"/>
            <w:tcBorders>
              <w:top w:val="single" w:sz="4" w:space="0" w:color="auto"/>
              <w:left w:val="nil"/>
              <w:bottom w:val="single" w:sz="4" w:space="0" w:color="auto"/>
              <w:right w:val="single" w:sz="4" w:space="0" w:color="auto"/>
            </w:tcBorders>
            <w:hideMark/>
          </w:tcPr>
          <w:p w14:paraId="31BAA448"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324402" w:rsidRPr="00AF3EDE" w14:paraId="2983227F" w14:textId="77777777" w:rsidTr="00244292">
        <w:trPr>
          <w:trHeight w:val="42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27B9A1E3" w14:textId="4E7347D2" w:rsidR="00937D15" w:rsidRPr="00977693" w:rsidRDefault="00937D15" w:rsidP="00937D15">
            <w:pPr>
              <w:spacing w:after="0" w:line="240" w:lineRule="auto"/>
              <w:rPr>
                <w:rFonts w:cs="Arial"/>
                <w:color w:val="000000"/>
                <w:sz w:val="16"/>
                <w:szCs w:val="16"/>
                <w:lang w:eastAsia="en-AU"/>
              </w:rPr>
            </w:pPr>
            <w:r>
              <w:rPr>
                <w:rFonts w:cs="Arial"/>
                <w:color w:val="000000"/>
                <w:sz w:val="16"/>
                <w:szCs w:val="16"/>
              </w:rPr>
              <w:t>Mildura Base Public Hospital</w:t>
            </w:r>
          </w:p>
        </w:tc>
        <w:tc>
          <w:tcPr>
            <w:tcW w:w="1318" w:type="dxa"/>
            <w:tcBorders>
              <w:top w:val="nil"/>
              <w:left w:val="nil"/>
              <w:bottom w:val="single" w:sz="4" w:space="0" w:color="auto"/>
              <w:right w:val="single" w:sz="4" w:space="0" w:color="auto"/>
            </w:tcBorders>
            <w:shd w:val="clear" w:color="auto" w:fill="auto"/>
            <w:noWrap/>
            <w:vAlign w:val="center"/>
          </w:tcPr>
          <w:p w14:paraId="178453E4" w14:textId="3A6236E1"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5,520</w:t>
            </w:r>
          </w:p>
        </w:tc>
        <w:tc>
          <w:tcPr>
            <w:tcW w:w="1318" w:type="dxa"/>
            <w:tcBorders>
              <w:top w:val="single" w:sz="4" w:space="0" w:color="auto"/>
              <w:left w:val="nil"/>
              <w:bottom w:val="single" w:sz="4" w:space="0" w:color="auto"/>
              <w:right w:val="single" w:sz="4" w:space="0" w:color="auto"/>
            </w:tcBorders>
            <w:vAlign w:val="center"/>
          </w:tcPr>
          <w:p w14:paraId="2E1852EE" w14:textId="0488D53B"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2FDD0" w14:textId="238582F3"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041FDFF2" w14:textId="3AFC6330"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14,924</w:t>
            </w:r>
          </w:p>
        </w:tc>
        <w:tc>
          <w:tcPr>
            <w:tcW w:w="1318" w:type="dxa"/>
            <w:tcBorders>
              <w:top w:val="single" w:sz="4" w:space="0" w:color="auto"/>
              <w:left w:val="nil"/>
              <w:bottom w:val="single" w:sz="4" w:space="0" w:color="auto"/>
              <w:right w:val="single" w:sz="4" w:space="0" w:color="auto"/>
            </w:tcBorders>
            <w:shd w:val="clear" w:color="auto" w:fill="auto"/>
            <w:vAlign w:val="center"/>
          </w:tcPr>
          <w:p w14:paraId="7B27B10C" w14:textId="7F760425" w:rsidR="00937D15" w:rsidRDefault="00937D15" w:rsidP="00937D15">
            <w:pPr>
              <w:spacing w:after="0" w:line="240" w:lineRule="auto"/>
              <w:jc w:val="right"/>
              <w:rPr>
                <w:rFonts w:cs="Arial"/>
                <w:color w:val="000000"/>
                <w:sz w:val="16"/>
                <w:szCs w:val="16"/>
              </w:rPr>
            </w:pPr>
            <w:r>
              <w:rPr>
                <w:rFonts w:cs="Arial"/>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EF00C" w14:textId="640418F6"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93</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BF1D8" w14:textId="52F50DA6"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3369E47B" w14:textId="5209DC9D"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4,193</w:t>
            </w:r>
          </w:p>
        </w:tc>
        <w:tc>
          <w:tcPr>
            <w:tcW w:w="1318" w:type="dxa"/>
            <w:tcBorders>
              <w:top w:val="nil"/>
              <w:left w:val="nil"/>
              <w:bottom w:val="single" w:sz="4" w:space="0" w:color="auto"/>
              <w:right w:val="single" w:sz="4" w:space="0" w:color="auto"/>
            </w:tcBorders>
            <w:shd w:val="clear" w:color="auto" w:fill="auto"/>
            <w:noWrap/>
            <w:vAlign w:val="center"/>
          </w:tcPr>
          <w:p w14:paraId="006F0393" w14:textId="316A8F16"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2,129</w:t>
            </w:r>
          </w:p>
        </w:tc>
        <w:tc>
          <w:tcPr>
            <w:tcW w:w="1319" w:type="dxa"/>
            <w:tcBorders>
              <w:top w:val="nil"/>
              <w:left w:val="nil"/>
              <w:bottom w:val="single" w:sz="4" w:space="0" w:color="auto"/>
              <w:right w:val="single" w:sz="4" w:space="0" w:color="auto"/>
            </w:tcBorders>
            <w:noWrap/>
            <w:vAlign w:val="center"/>
          </w:tcPr>
          <w:p w14:paraId="3DE8DD6B" w14:textId="7ACBE2D4"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27,074</w:t>
            </w:r>
          </w:p>
        </w:tc>
      </w:tr>
      <w:tr w:rsidR="00324402" w:rsidRPr="00AF3EDE" w14:paraId="7F9A7A99" w14:textId="77777777" w:rsidTr="00244292">
        <w:trPr>
          <w:trHeight w:val="42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26CF3229" w14:textId="2D9C380F" w:rsidR="00937D15" w:rsidRPr="00977693" w:rsidRDefault="00937D15" w:rsidP="00937D15">
            <w:pPr>
              <w:spacing w:after="0" w:line="240" w:lineRule="auto"/>
              <w:rPr>
                <w:rFonts w:cs="Arial"/>
                <w:color w:val="000000"/>
                <w:sz w:val="16"/>
                <w:szCs w:val="16"/>
                <w:lang w:eastAsia="en-AU"/>
              </w:rPr>
            </w:pPr>
            <w:r>
              <w:rPr>
                <w:rFonts w:cs="Arial"/>
                <w:color w:val="000000"/>
                <w:sz w:val="16"/>
                <w:szCs w:val="16"/>
              </w:rPr>
              <w:t>South West Healthcare</w:t>
            </w:r>
          </w:p>
        </w:tc>
        <w:tc>
          <w:tcPr>
            <w:tcW w:w="1318" w:type="dxa"/>
            <w:tcBorders>
              <w:top w:val="nil"/>
              <w:left w:val="nil"/>
              <w:bottom w:val="single" w:sz="4" w:space="0" w:color="auto"/>
              <w:right w:val="single" w:sz="4" w:space="0" w:color="auto"/>
            </w:tcBorders>
            <w:shd w:val="clear" w:color="auto" w:fill="auto"/>
            <w:noWrap/>
            <w:vAlign w:val="center"/>
          </w:tcPr>
          <w:p w14:paraId="75C4286E" w14:textId="16562315"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8,197</w:t>
            </w:r>
          </w:p>
        </w:tc>
        <w:tc>
          <w:tcPr>
            <w:tcW w:w="1318" w:type="dxa"/>
            <w:tcBorders>
              <w:top w:val="single" w:sz="4" w:space="0" w:color="auto"/>
              <w:left w:val="nil"/>
              <w:bottom w:val="single" w:sz="4" w:space="0" w:color="auto"/>
              <w:right w:val="single" w:sz="4" w:space="0" w:color="auto"/>
            </w:tcBorders>
            <w:vAlign w:val="center"/>
          </w:tcPr>
          <w:p w14:paraId="742A7086" w14:textId="075BFAAD"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0067D" w14:textId="685A3AF2"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7615AD11" w14:textId="1A2677B3"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18,867</w:t>
            </w:r>
          </w:p>
        </w:tc>
        <w:tc>
          <w:tcPr>
            <w:tcW w:w="1318" w:type="dxa"/>
            <w:tcBorders>
              <w:top w:val="single" w:sz="4" w:space="0" w:color="auto"/>
              <w:left w:val="nil"/>
              <w:bottom w:val="single" w:sz="4" w:space="0" w:color="auto"/>
              <w:right w:val="single" w:sz="4" w:space="0" w:color="auto"/>
            </w:tcBorders>
            <w:shd w:val="clear" w:color="auto" w:fill="auto"/>
            <w:vAlign w:val="center"/>
          </w:tcPr>
          <w:p w14:paraId="1AC21CEE" w14:textId="50CAC732" w:rsidR="00937D15" w:rsidRDefault="00937D15" w:rsidP="00937D15">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D6634" w14:textId="170927DA"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102</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B608" w14:textId="2A17200F"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4461FBEA" w14:textId="2B06C995"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5,155</w:t>
            </w:r>
          </w:p>
        </w:tc>
        <w:tc>
          <w:tcPr>
            <w:tcW w:w="1318" w:type="dxa"/>
            <w:tcBorders>
              <w:top w:val="nil"/>
              <w:left w:val="nil"/>
              <w:bottom w:val="single" w:sz="4" w:space="0" w:color="auto"/>
              <w:right w:val="single" w:sz="4" w:space="0" w:color="auto"/>
            </w:tcBorders>
            <w:shd w:val="clear" w:color="auto" w:fill="auto"/>
            <w:noWrap/>
            <w:vAlign w:val="center"/>
          </w:tcPr>
          <w:p w14:paraId="7E0A23E2" w14:textId="7140872F"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3,193</w:t>
            </w:r>
          </w:p>
        </w:tc>
        <w:tc>
          <w:tcPr>
            <w:tcW w:w="1319" w:type="dxa"/>
            <w:tcBorders>
              <w:top w:val="nil"/>
              <w:left w:val="nil"/>
              <w:bottom w:val="single" w:sz="4" w:space="0" w:color="auto"/>
              <w:right w:val="single" w:sz="4" w:space="0" w:color="auto"/>
            </w:tcBorders>
            <w:noWrap/>
            <w:vAlign w:val="center"/>
          </w:tcPr>
          <w:p w14:paraId="660F9A2C" w14:textId="3450885D"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35,515</w:t>
            </w:r>
          </w:p>
        </w:tc>
      </w:tr>
      <w:tr w:rsidR="00324402" w:rsidRPr="00AF3EDE" w14:paraId="17B302D8" w14:textId="77777777" w:rsidTr="00244292">
        <w:trPr>
          <w:trHeight w:val="42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45E4002" w14:textId="6D613868" w:rsidR="00937D15" w:rsidRPr="00977693" w:rsidRDefault="00937D15" w:rsidP="00937D15">
            <w:pPr>
              <w:spacing w:after="0" w:line="240" w:lineRule="auto"/>
              <w:rPr>
                <w:rFonts w:cs="Arial"/>
                <w:color w:val="000000"/>
                <w:sz w:val="16"/>
                <w:szCs w:val="16"/>
                <w:lang w:eastAsia="en-AU"/>
              </w:rPr>
            </w:pPr>
            <w:r>
              <w:rPr>
                <w:rFonts w:cs="Arial"/>
                <w:color w:val="000000"/>
                <w:sz w:val="16"/>
                <w:szCs w:val="16"/>
              </w:rPr>
              <w:t>Western District Health Service</w:t>
            </w:r>
          </w:p>
        </w:tc>
        <w:tc>
          <w:tcPr>
            <w:tcW w:w="1318" w:type="dxa"/>
            <w:tcBorders>
              <w:top w:val="nil"/>
              <w:left w:val="nil"/>
              <w:bottom w:val="single" w:sz="4" w:space="0" w:color="auto"/>
              <w:right w:val="single" w:sz="4" w:space="0" w:color="auto"/>
            </w:tcBorders>
            <w:shd w:val="clear" w:color="auto" w:fill="auto"/>
            <w:noWrap/>
            <w:vAlign w:val="center"/>
          </w:tcPr>
          <w:p w14:paraId="0ECA7375" w14:textId="20742456"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vAlign w:val="center"/>
          </w:tcPr>
          <w:p w14:paraId="48C1FAC8" w14:textId="578A2ED9"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C041B" w14:textId="49EFA64D"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2F646EA" w14:textId="657FD519"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61B25EB9" w14:textId="741EFA5E" w:rsidR="00937D15" w:rsidRDefault="00937D15" w:rsidP="00937D15">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B674F" w14:textId="09647E85"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7158B" w14:textId="5F715895"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124</w:t>
            </w:r>
          </w:p>
        </w:tc>
        <w:tc>
          <w:tcPr>
            <w:tcW w:w="1318" w:type="dxa"/>
            <w:tcBorders>
              <w:top w:val="nil"/>
              <w:left w:val="nil"/>
              <w:bottom w:val="single" w:sz="4" w:space="0" w:color="auto"/>
              <w:right w:val="single" w:sz="4" w:space="0" w:color="auto"/>
            </w:tcBorders>
            <w:shd w:val="clear" w:color="auto" w:fill="auto"/>
            <w:noWrap/>
            <w:vAlign w:val="center"/>
          </w:tcPr>
          <w:p w14:paraId="5E525926" w14:textId="78049116"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1832F6FA" w14:textId="24EAC4EA"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76398512" w14:textId="1E939378" w:rsidR="00937D15" w:rsidRPr="00977693" w:rsidRDefault="00937D15" w:rsidP="00937D15">
            <w:pPr>
              <w:spacing w:after="0" w:line="240" w:lineRule="auto"/>
              <w:jc w:val="right"/>
              <w:rPr>
                <w:rFonts w:cs="Arial"/>
                <w:color w:val="000000"/>
                <w:sz w:val="16"/>
                <w:szCs w:val="16"/>
                <w:lang w:eastAsia="en-AU"/>
              </w:rPr>
            </w:pPr>
            <w:r>
              <w:rPr>
                <w:rFonts w:cs="Arial"/>
                <w:color w:val="000000"/>
                <w:sz w:val="16"/>
                <w:szCs w:val="16"/>
              </w:rPr>
              <w:t>124</w:t>
            </w:r>
          </w:p>
        </w:tc>
      </w:tr>
      <w:tr w:rsidR="00324402" w:rsidRPr="00AF3EDE" w14:paraId="1D5BD13B" w14:textId="77777777">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980E352" w14:textId="294637AA" w:rsidR="00937D15" w:rsidRPr="00977693" w:rsidRDefault="00937D15" w:rsidP="00937D15">
            <w:pPr>
              <w:spacing w:after="0" w:line="240" w:lineRule="auto"/>
              <w:rPr>
                <w:rFonts w:cs="Arial"/>
                <w:b/>
                <w:bCs/>
                <w:color w:val="000000"/>
                <w:sz w:val="16"/>
                <w:szCs w:val="16"/>
                <w:lang w:eastAsia="en-AU"/>
              </w:rPr>
            </w:pPr>
            <w:r>
              <w:rPr>
                <w:rFonts w:cs="Arial"/>
                <w:b/>
                <w:bCs/>
                <w:color w:val="000000"/>
                <w:sz w:val="16"/>
                <w:szCs w:val="16"/>
              </w:rPr>
              <w:t>Total</w:t>
            </w:r>
          </w:p>
        </w:tc>
        <w:tc>
          <w:tcPr>
            <w:tcW w:w="1318" w:type="dxa"/>
            <w:tcBorders>
              <w:top w:val="nil"/>
              <w:left w:val="nil"/>
              <w:bottom w:val="single" w:sz="4" w:space="0" w:color="auto"/>
              <w:right w:val="single" w:sz="4" w:space="0" w:color="auto"/>
            </w:tcBorders>
            <w:shd w:val="clear" w:color="auto" w:fill="auto"/>
            <w:noWrap/>
            <w:vAlign w:val="center"/>
          </w:tcPr>
          <w:p w14:paraId="709DAC3C" w14:textId="6E15CCA9"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13,717</w:t>
            </w:r>
          </w:p>
        </w:tc>
        <w:tc>
          <w:tcPr>
            <w:tcW w:w="1318" w:type="dxa"/>
            <w:tcBorders>
              <w:top w:val="single" w:sz="4" w:space="0" w:color="auto"/>
              <w:left w:val="nil"/>
              <w:bottom w:val="single" w:sz="4" w:space="0" w:color="auto"/>
              <w:right w:val="single" w:sz="4" w:space="0" w:color="auto"/>
            </w:tcBorders>
            <w:vAlign w:val="center"/>
          </w:tcPr>
          <w:p w14:paraId="4C369772" w14:textId="5FD697E3"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565C4" w14:textId="4777C695"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A7E06AA" w14:textId="75DC93DF"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33,792</w:t>
            </w:r>
          </w:p>
        </w:tc>
        <w:tc>
          <w:tcPr>
            <w:tcW w:w="1318" w:type="dxa"/>
            <w:tcBorders>
              <w:top w:val="single" w:sz="4" w:space="0" w:color="auto"/>
              <w:left w:val="nil"/>
              <w:bottom w:val="single" w:sz="4" w:space="0" w:color="auto"/>
              <w:right w:val="single" w:sz="4" w:space="0" w:color="auto"/>
            </w:tcBorders>
            <w:shd w:val="clear" w:color="auto" w:fill="auto"/>
            <w:vAlign w:val="center"/>
          </w:tcPr>
          <w:p w14:paraId="7F7545E2" w14:textId="2A21D13E" w:rsidR="00937D15" w:rsidRDefault="00937D15" w:rsidP="00937D15">
            <w:pPr>
              <w:spacing w:after="0" w:line="240" w:lineRule="auto"/>
              <w:jc w:val="right"/>
              <w:rPr>
                <w:rFonts w:cs="Arial"/>
                <w:b/>
                <w:bCs/>
                <w:color w:val="000000"/>
                <w:sz w:val="16"/>
                <w:szCs w:val="16"/>
              </w:rPr>
            </w:pPr>
            <w:r>
              <w:rPr>
                <w:rFonts w:cs="Arial"/>
                <w:b/>
                <w:bCs/>
                <w:color w:val="000000"/>
                <w:sz w:val="16"/>
                <w:szCs w:val="16"/>
              </w:rPr>
              <w:t>215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28857" w14:textId="33109439"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195</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509D" w14:textId="5C587EF3"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124</w:t>
            </w:r>
          </w:p>
        </w:tc>
        <w:tc>
          <w:tcPr>
            <w:tcW w:w="1318" w:type="dxa"/>
            <w:tcBorders>
              <w:top w:val="nil"/>
              <w:left w:val="nil"/>
              <w:bottom w:val="single" w:sz="4" w:space="0" w:color="auto"/>
              <w:right w:val="single" w:sz="4" w:space="0" w:color="auto"/>
            </w:tcBorders>
            <w:shd w:val="clear" w:color="auto" w:fill="auto"/>
            <w:noWrap/>
            <w:vAlign w:val="center"/>
          </w:tcPr>
          <w:p w14:paraId="3EB27D2A" w14:textId="25D7A3D4"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9,348</w:t>
            </w:r>
          </w:p>
        </w:tc>
        <w:tc>
          <w:tcPr>
            <w:tcW w:w="1318" w:type="dxa"/>
            <w:tcBorders>
              <w:top w:val="nil"/>
              <w:left w:val="nil"/>
              <w:bottom w:val="single" w:sz="4" w:space="0" w:color="auto"/>
              <w:right w:val="single" w:sz="4" w:space="0" w:color="auto"/>
            </w:tcBorders>
            <w:shd w:val="clear" w:color="auto" w:fill="auto"/>
            <w:noWrap/>
            <w:vAlign w:val="center"/>
          </w:tcPr>
          <w:p w14:paraId="60787DD6" w14:textId="1F01954E"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5,322</w:t>
            </w:r>
          </w:p>
        </w:tc>
        <w:tc>
          <w:tcPr>
            <w:tcW w:w="1319" w:type="dxa"/>
            <w:tcBorders>
              <w:top w:val="nil"/>
              <w:left w:val="nil"/>
              <w:bottom w:val="single" w:sz="4" w:space="0" w:color="auto"/>
              <w:right w:val="single" w:sz="4" w:space="0" w:color="auto"/>
            </w:tcBorders>
            <w:noWrap/>
            <w:vAlign w:val="center"/>
          </w:tcPr>
          <w:p w14:paraId="098062D2" w14:textId="40F0261D" w:rsidR="00937D15" w:rsidRPr="00977693" w:rsidRDefault="00937D15" w:rsidP="00937D15">
            <w:pPr>
              <w:spacing w:after="0" w:line="240" w:lineRule="auto"/>
              <w:jc w:val="right"/>
              <w:rPr>
                <w:rFonts w:cs="Arial"/>
                <w:b/>
                <w:bCs/>
                <w:color w:val="000000"/>
                <w:sz w:val="16"/>
                <w:szCs w:val="16"/>
                <w:lang w:eastAsia="en-AU"/>
              </w:rPr>
            </w:pPr>
            <w:r>
              <w:rPr>
                <w:rFonts w:cs="Arial"/>
                <w:b/>
                <w:bCs/>
                <w:color w:val="000000"/>
                <w:sz w:val="16"/>
                <w:szCs w:val="16"/>
              </w:rPr>
              <w:t>62,714</w:t>
            </w:r>
          </w:p>
        </w:tc>
      </w:tr>
    </w:tbl>
    <w:p w14:paraId="00B053BA" w14:textId="77777777" w:rsidR="005B699B" w:rsidRPr="00E00C4E" w:rsidRDefault="005B699B" w:rsidP="00E00C4E">
      <w:pPr>
        <w:pStyle w:val="Body"/>
      </w:pPr>
    </w:p>
    <w:p w14:paraId="0788A751" w14:textId="77777777" w:rsidR="005B699B" w:rsidRPr="00E00C4E" w:rsidRDefault="005B699B" w:rsidP="00705DCA">
      <w:pPr>
        <w:pStyle w:val="Body"/>
      </w:pPr>
      <w:r w:rsidRPr="00E00C4E">
        <w:t>Small rural health – $’000s</w:t>
      </w:r>
    </w:p>
    <w:tbl>
      <w:tblPr>
        <w:tblW w:w="15026" w:type="dxa"/>
        <w:tblInd w:w="-147" w:type="dxa"/>
        <w:tblLayout w:type="fixed"/>
        <w:tblLook w:val="04A0" w:firstRow="1" w:lastRow="0" w:firstColumn="1" w:lastColumn="0" w:noHBand="0" w:noVBand="1"/>
      </w:tblPr>
      <w:tblGrid>
        <w:gridCol w:w="1843"/>
        <w:gridCol w:w="1318"/>
        <w:gridCol w:w="1318"/>
        <w:gridCol w:w="1318"/>
        <w:gridCol w:w="1319"/>
        <w:gridCol w:w="1318"/>
        <w:gridCol w:w="1318"/>
        <w:gridCol w:w="1319"/>
        <w:gridCol w:w="1318"/>
        <w:gridCol w:w="1318"/>
        <w:gridCol w:w="1319"/>
      </w:tblGrid>
      <w:tr w:rsidR="00244292" w:rsidRPr="00AF3EDE" w14:paraId="4CC9E346" w14:textId="77777777" w:rsidTr="00244292">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6668CEA" w14:textId="77777777" w:rsidR="00244292" w:rsidRPr="00AF3EDE" w:rsidRDefault="00244292" w:rsidP="00970F2D">
            <w:pPr>
              <w:spacing w:after="0" w:line="240" w:lineRule="auto"/>
              <w:rPr>
                <w:rFonts w:cs="Arial"/>
                <w:b/>
                <w:bCs/>
                <w:color w:val="53565A"/>
                <w:sz w:val="16"/>
                <w:szCs w:val="16"/>
                <w:lang w:eastAsia="en-AU"/>
              </w:rPr>
            </w:pPr>
            <w:r w:rsidRPr="00AF3EDE">
              <w:rPr>
                <w:rFonts w:cs="Arial"/>
                <w:b/>
                <w:bCs/>
                <w:color w:val="53565A"/>
                <w:sz w:val="16"/>
                <w:szCs w:val="16"/>
                <w:lang w:eastAsia="en-AU"/>
              </w:rPr>
              <w:t xml:space="preserve">Health service </w:t>
            </w:r>
          </w:p>
        </w:tc>
        <w:tc>
          <w:tcPr>
            <w:tcW w:w="1318" w:type="dxa"/>
            <w:tcBorders>
              <w:top w:val="single" w:sz="4" w:space="0" w:color="auto"/>
              <w:left w:val="nil"/>
              <w:bottom w:val="single" w:sz="4" w:space="0" w:color="auto"/>
              <w:right w:val="single" w:sz="4" w:space="0" w:color="auto"/>
            </w:tcBorders>
            <w:shd w:val="clear" w:color="auto" w:fill="auto"/>
            <w:hideMark/>
          </w:tcPr>
          <w:p w14:paraId="4738AE0C" w14:textId="156DD5D4"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r>
            <w:r w:rsidR="00C6605F">
              <w:rPr>
                <w:rFonts w:cs="Arial"/>
                <w:b/>
                <w:bCs/>
                <w:color w:val="53565A"/>
                <w:sz w:val="16"/>
                <w:szCs w:val="16"/>
                <w:lang w:eastAsia="en-AU"/>
              </w:rPr>
              <w:t>Ac</w:t>
            </w:r>
            <w:r w:rsidR="00C6605F" w:rsidRPr="0019025A">
              <w:rPr>
                <w:rFonts w:cs="Arial"/>
                <w:b/>
                <w:bCs/>
                <w:color w:val="53565A"/>
                <w:sz w:val="16"/>
                <w:szCs w:val="16"/>
                <w:lang w:eastAsia="en-AU"/>
              </w:rPr>
              <w:t>ute Admitted Mental Health NWAU</w:t>
            </w:r>
          </w:p>
        </w:tc>
        <w:tc>
          <w:tcPr>
            <w:tcW w:w="1318" w:type="dxa"/>
            <w:tcBorders>
              <w:top w:val="single" w:sz="4" w:space="0" w:color="auto"/>
              <w:left w:val="nil"/>
              <w:bottom w:val="single" w:sz="4" w:space="0" w:color="auto"/>
              <w:right w:val="single" w:sz="4" w:space="0" w:color="auto"/>
            </w:tcBorders>
          </w:tcPr>
          <w:p w14:paraId="332477DC" w14:textId="77777777" w:rsidR="00244292" w:rsidRPr="004D2156" w:rsidRDefault="00244292" w:rsidP="00970F2D">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66F723D3" w14:textId="2D9BDB27" w:rsidR="00244292" w:rsidRPr="001B1818" w:rsidRDefault="003142AC" w:rsidP="00970F2D">
            <w:pPr>
              <w:spacing w:after="0" w:line="240" w:lineRule="auto"/>
              <w:jc w:val="right"/>
              <w:rPr>
                <w:rFonts w:cs="Arial"/>
                <w:b/>
                <w:bCs/>
                <w:color w:val="53565A"/>
                <w:sz w:val="16"/>
                <w:szCs w:val="16"/>
                <w:lang w:eastAsia="en-AU"/>
              </w:rPr>
            </w:pPr>
            <w:r>
              <w:rPr>
                <w:rFonts w:cs="Arial"/>
                <w:b/>
                <w:bCs/>
                <w:color w:val="53565A"/>
                <w:sz w:val="16"/>
                <w:szCs w:val="16"/>
                <w:lang w:eastAsia="en-AU"/>
              </w:rPr>
              <w:t>A</w:t>
            </w:r>
            <w:r w:rsidRPr="004D2156">
              <w:rPr>
                <w:rFonts w:cs="Arial"/>
                <w:b/>
                <w:bCs/>
                <w:color w:val="53565A"/>
                <w:sz w:val="16"/>
                <w:szCs w:val="16"/>
                <w:lang w:eastAsia="en-AU"/>
              </w:rPr>
              <w:t>dmitted Inpatient Services</w:t>
            </w:r>
            <w:r>
              <w:rPr>
                <w:rFonts w:cs="Arial"/>
                <w:b/>
                <w:bCs/>
                <w:color w:val="53565A"/>
                <w:sz w:val="16"/>
                <w:szCs w:val="16"/>
                <w:lang w:eastAsia="en-AU"/>
              </w:rPr>
              <w:t xml:space="preserve"> - Other</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6479CF4F"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Non Acute</w:t>
            </w:r>
          </w:p>
        </w:tc>
        <w:tc>
          <w:tcPr>
            <w:tcW w:w="1319" w:type="dxa"/>
            <w:tcBorders>
              <w:top w:val="single" w:sz="4" w:space="0" w:color="auto"/>
              <w:left w:val="nil"/>
              <w:bottom w:val="single" w:sz="4" w:space="0" w:color="auto"/>
              <w:right w:val="single" w:sz="4" w:space="0" w:color="auto"/>
            </w:tcBorders>
            <w:shd w:val="clear" w:color="auto" w:fill="auto"/>
          </w:tcPr>
          <w:p w14:paraId="09C394B9" w14:textId="1DA38274" w:rsidR="00244292" w:rsidRPr="001B1818"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Ambulatory</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2A120595" w14:textId="77777777" w:rsidR="00244292" w:rsidRPr="00FA7243"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3012F872" w14:textId="106CDDB4" w:rsidR="00244292" w:rsidRPr="00AF3EDE"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18" w:type="dxa"/>
            <w:tcBorders>
              <w:top w:val="single" w:sz="4" w:space="0" w:color="auto"/>
              <w:left w:val="nil"/>
              <w:bottom w:val="single" w:sz="4" w:space="0" w:color="auto"/>
              <w:right w:val="single" w:sz="4" w:space="0" w:color="auto"/>
            </w:tcBorders>
            <w:shd w:val="clear" w:color="auto" w:fill="auto"/>
            <w:hideMark/>
          </w:tcPr>
          <w:p w14:paraId="43FE1D40" w14:textId="77777777" w:rsidR="00244292"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62D1F2B9" w14:textId="2FA765EE" w:rsidR="00244292" w:rsidRPr="00AF3EDE" w:rsidRDefault="00244292" w:rsidP="00970F2D">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Psychosocial Rehabilitation &amp; Support</w:t>
            </w:r>
          </w:p>
        </w:tc>
        <w:tc>
          <w:tcPr>
            <w:tcW w:w="1319" w:type="dxa"/>
            <w:tcBorders>
              <w:top w:val="single" w:sz="4" w:space="0" w:color="auto"/>
              <w:left w:val="nil"/>
              <w:bottom w:val="single" w:sz="4" w:space="0" w:color="auto"/>
              <w:right w:val="single" w:sz="4" w:space="0" w:color="auto"/>
            </w:tcBorders>
            <w:shd w:val="clear" w:color="auto" w:fill="auto"/>
            <w:hideMark/>
          </w:tcPr>
          <w:p w14:paraId="2B597DB9"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18" w:type="dxa"/>
            <w:tcBorders>
              <w:top w:val="single" w:sz="4" w:space="0" w:color="auto"/>
              <w:left w:val="nil"/>
              <w:bottom w:val="single" w:sz="4" w:space="0" w:color="auto"/>
              <w:right w:val="single" w:sz="4" w:space="0" w:color="auto"/>
            </w:tcBorders>
            <w:shd w:val="clear" w:color="auto" w:fill="auto"/>
            <w:hideMark/>
          </w:tcPr>
          <w:p w14:paraId="2338E5DF" w14:textId="77777777" w:rsidR="00244292"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58D7504F" w14:textId="77777777" w:rsidR="00244292" w:rsidRPr="00AF3EDE" w:rsidRDefault="00244292" w:rsidP="00970F2D">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18" w:type="dxa"/>
            <w:tcBorders>
              <w:top w:val="single" w:sz="4" w:space="0" w:color="auto"/>
              <w:left w:val="nil"/>
              <w:bottom w:val="single" w:sz="4" w:space="0" w:color="auto"/>
              <w:right w:val="single" w:sz="4" w:space="0" w:color="auto"/>
            </w:tcBorders>
            <w:shd w:val="clear" w:color="auto" w:fill="auto"/>
            <w:hideMark/>
          </w:tcPr>
          <w:p w14:paraId="5730DEA9"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319" w:type="dxa"/>
            <w:tcBorders>
              <w:top w:val="single" w:sz="4" w:space="0" w:color="auto"/>
              <w:left w:val="nil"/>
              <w:bottom w:val="single" w:sz="4" w:space="0" w:color="auto"/>
              <w:right w:val="single" w:sz="4" w:space="0" w:color="auto"/>
            </w:tcBorders>
            <w:hideMark/>
          </w:tcPr>
          <w:p w14:paraId="08DACBD2" w14:textId="77777777" w:rsidR="00244292" w:rsidRPr="00AF3EDE" w:rsidRDefault="00244292" w:rsidP="00970F2D">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324402" w:rsidRPr="00AF3EDE" w14:paraId="00AD898A" w14:textId="7777777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820BFCE" w14:textId="53DD8A72" w:rsidR="002E00AA" w:rsidRPr="00977693" w:rsidRDefault="002E00AA" w:rsidP="002E00AA">
            <w:pPr>
              <w:spacing w:after="0" w:line="240" w:lineRule="auto"/>
              <w:rPr>
                <w:rFonts w:cs="Arial"/>
                <w:color w:val="000000"/>
                <w:sz w:val="16"/>
                <w:szCs w:val="16"/>
                <w:lang w:eastAsia="en-AU"/>
              </w:rPr>
            </w:pPr>
            <w:r>
              <w:rPr>
                <w:rFonts w:cs="Arial"/>
                <w:color w:val="000000"/>
                <w:sz w:val="16"/>
                <w:szCs w:val="16"/>
              </w:rPr>
              <w:t>West Wimmera Health Service</w:t>
            </w:r>
          </w:p>
        </w:tc>
        <w:tc>
          <w:tcPr>
            <w:tcW w:w="1318" w:type="dxa"/>
            <w:tcBorders>
              <w:top w:val="nil"/>
              <w:left w:val="nil"/>
              <w:bottom w:val="single" w:sz="4" w:space="0" w:color="auto"/>
              <w:right w:val="single" w:sz="4" w:space="0" w:color="auto"/>
            </w:tcBorders>
            <w:shd w:val="clear" w:color="auto" w:fill="auto"/>
            <w:noWrap/>
            <w:vAlign w:val="center"/>
          </w:tcPr>
          <w:p w14:paraId="1B6B37B3" w14:textId="46F59D3F"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vAlign w:val="center"/>
          </w:tcPr>
          <w:p w14:paraId="40B211C8" w14:textId="71354A46"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9D39" w14:textId="5C2E0435"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shd w:val="clear" w:color="auto" w:fill="auto"/>
            <w:vAlign w:val="center"/>
          </w:tcPr>
          <w:p w14:paraId="4B079C9F" w14:textId="6C643B45" w:rsidR="002E00AA" w:rsidRDefault="002E00AA" w:rsidP="002E00AA">
            <w:pPr>
              <w:spacing w:after="0" w:line="240" w:lineRule="auto"/>
              <w:jc w:val="right"/>
              <w:rPr>
                <w:rFonts w:cs="Arial"/>
                <w:color w:val="000000"/>
                <w:sz w:val="16"/>
                <w:szCs w:val="16"/>
              </w:rPr>
            </w:pPr>
            <w:r>
              <w:rPr>
                <w:rFonts w:cs="Arial"/>
                <w:color w:val="000000"/>
                <w:sz w:val="16"/>
                <w:szCs w:val="16"/>
              </w:rPr>
              <w:t> </w:t>
            </w:r>
          </w:p>
        </w:tc>
        <w:tc>
          <w:tcPr>
            <w:tcW w:w="1318" w:type="dxa"/>
            <w:tcBorders>
              <w:top w:val="nil"/>
              <w:left w:val="single" w:sz="4" w:space="0" w:color="auto"/>
              <w:bottom w:val="single" w:sz="4" w:space="0" w:color="auto"/>
              <w:right w:val="single" w:sz="4" w:space="0" w:color="auto"/>
            </w:tcBorders>
            <w:shd w:val="clear" w:color="auto" w:fill="auto"/>
            <w:noWrap/>
            <w:vAlign w:val="center"/>
          </w:tcPr>
          <w:p w14:paraId="125093B0" w14:textId="05FFB65F"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383E83B5" w14:textId="3EC9FB5D"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514F7624" w14:textId="1DD74115"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291</w:t>
            </w:r>
          </w:p>
        </w:tc>
        <w:tc>
          <w:tcPr>
            <w:tcW w:w="1318" w:type="dxa"/>
            <w:tcBorders>
              <w:top w:val="nil"/>
              <w:left w:val="nil"/>
              <w:bottom w:val="single" w:sz="4" w:space="0" w:color="auto"/>
              <w:right w:val="single" w:sz="4" w:space="0" w:color="auto"/>
            </w:tcBorders>
            <w:shd w:val="clear" w:color="auto" w:fill="auto"/>
            <w:noWrap/>
            <w:vAlign w:val="center"/>
          </w:tcPr>
          <w:p w14:paraId="7074368A" w14:textId="263DAAFC"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355D48D1" w14:textId="61071E2A"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56BF36FE" w14:textId="1B7321EB" w:rsidR="002E00AA" w:rsidRPr="00977693" w:rsidRDefault="002E00AA" w:rsidP="002E00AA">
            <w:pPr>
              <w:spacing w:after="0" w:line="240" w:lineRule="auto"/>
              <w:jc w:val="right"/>
              <w:rPr>
                <w:rFonts w:cs="Arial"/>
                <w:color w:val="000000"/>
                <w:sz w:val="16"/>
                <w:szCs w:val="16"/>
                <w:lang w:eastAsia="en-AU"/>
              </w:rPr>
            </w:pPr>
            <w:r>
              <w:rPr>
                <w:rFonts w:cs="Arial"/>
                <w:color w:val="000000"/>
                <w:sz w:val="16"/>
                <w:szCs w:val="16"/>
              </w:rPr>
              <w:t>291</w:t>
            </w:r>
          </w:p>
        </w:tc>
      </w:tr>
      <w:tr w:rsidR="00324402" w:rsidRPr="00AF3EDE" w14:paraId="5081905D" w14:textId="77777777">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C822FC1" w14:textId="46EA80C9" w:rsidR="002E00AA" w:rsidRPr="00977693" w:rsidRDefault="002E00AA" w:rsidP="002E00AA">
            <w:pPr>
              <w:spacing w:after="0" w:line="240" w:lineRule="auto"/>
              <w:rPr>
                <w:rFonts w:cs="Arial"/>
                <w:b/>
                <w:bCs/>
                <w:color w:val="000000"/>
                <w:sz w:val="16"/>
                <w:szCs w:val="16"/>
                <w:lang w:eastAsia="en-AU"/>
              </w:rPr>
            </w:pPr>
            <w:r>
              <w:rPr>
                <w:rFonts w:cs="Arial"/>
                <w:b/>
                <w:bCs/>
                <w:color w:val="000000"/>
                <w:sz w:val="16"/>
                <w:szCs w:val="16"/>
              </w:rPr>
              <w:t>Total</w:t>
            </w:r>
          </w:p>
        </w:tc>
        <w:tc>
          <w:tcPr>
            <w:tcW w:w="1318" w:type="dxa"/>
            <w:tcBorders>
              <w:top w:val="nil"/>
              <w:left w:val="nil"/>
              <w:bottom w:val="single" w:sz="4" w:space="0" w:color="auto"/>
              <w:right w:val="single" w:sz="4" w:space="0" w:color="auto"/>
            </w:tcBorders>
            <w:shd w:val="clear" w:color="auto" w:fill="auto"/>
            <w:noWrap/>
            <w:vAlign w:val="center"/>
          </w:tcPr>
          <w:p w14:paraId="496EB091" w14:textId="28218E24"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vAlign w:val="center"/>
          </w:tcPr>
          <w:p w14:paraId="485C006F" w14:textId="5CCC143A"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88B86" w14:textId="1A950EC1"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nil"/>
              <w:bottom w:val="single" w:sz="4" w:space="0" w:color="auto"/>
              <w:right w:val="single" w:sz="4" w:space="0" w:color="auto"/>
            </w:tcBorders>
            <w:shd w:val="clear" w:color="auto" w:fill="auto"/>
            <w:vAlign w:val="center"/>
          </w:tcPr>
          <w:p w14:paraId="77F937B2" w14:textId="6363C6BF" w:rsidR="002E00AA" w:rsidRDefault="002E00AA" w:rsidP="002E00AA">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nil"/>
              <w:left w:val="single" w:sz="4" w:space="0" w:color="auto"/>
              <w:bottom w:val="single" w:sz="4" w:space="0" w:color="auto"/>
              <w:right w:val="single" w:sz="4" w:space="0" w:color="auto"/>
            </w:tcBorders>
            <w:shd w:val="clear" w:color="auto" w:fill="auto"/>
            <w:noWrap/>
            <w:vAlign w:val="center"/>
          </w:tcPr>
          <w:p w14:paraId="498D5192" w14:textId="0FD45466"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4D7F293A" w14:textId="770BF779"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25D7216" w14:textId="291D5770"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291</w:t>
            </w:r>
          </w:p>
        </w:tc>
        <w:tc>
          <w:tcPr>
            <w:tcW w:w="1318" w:type="dxa"/>
            <w:tcBorders>
              <w:top w:val="nil"/>
              <w:left w:val="nil"/>
              <w:bottom w:val="single" w:sz="4" w:space="0" w:color="auto"/>
              <w:right w:val="single" w:sz="4" w:space="0" w:color="auto"/>
            </w:tcBorders>
            <w:shd w:val="clear" w:color="auto" w:fill="auto"/>
            <w:noWrap/>
            <w:vAlign w:val="center"/>
          </w:tcPr>
          <w:p w14:paraId="75EE6B90" w14:textId="34D659FC"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56A16EA5" w14:textId="201E908C"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nil"/>
              <w:left w:val="nil"/>
              <w:bottom w:val="single" w:sz="4" w:space="0" w:color="auto"/>
              <w:right w:val="single" w:sz="4" w:space="0" w:color="auto"/>
            </w:tcBorders>
            <w:noWrap/>
            <w:vAlign w:val="center"/>
          </w:tcPr>
          <w:p w14:paraId="0A1E892F" w14:textId="32476F13" w:rsidR="002E00AA" w:rsidRPr="00977693" w:rsidRDefault="002E00AA" w:rsidP="002E00AA">
            <w:pPr>
              <w:spacing w:after="0" w:line="240" w:lineRule="auto"/>
              <w:jc w:val="right"/>
              <w:rPr>
                <w:rFonts w:cs="Arial"/>
                <w:b/>
                <w:bCs/>
                <w:color w:val="000000"/>
                <w:sz w:val="16"/>
                <w:szCs w:val="16"/>
                <w:lang w:eastAsia="en-AU"/>
              </w:rPr>
            </w:pPr>
            <w:r>
              <w:rPr>
                <w:rFonts w:cs="Arial"/>
                <w:b/>
                <w:bCs/>
                <w:color w:val="000000"/>
                <w:sz w:val="16"/>
                <w:szCs w:val="16"/>
              </w:rPr>
              <w:t>291</w:t>
            </w:r>
          </w:p>
        </w:tc>
      </w:tr>
    </w:tbl>
    <w:p w14:paraId="12668193" w14:textId="77777777" w:rsidR="00CF7195" w:rsidRDefault="00CF7195" w:rsidP="00705DCA">
      <w:pPr>
        <w:pStyle w:val="Body"/>
      </w:pPr>
    </w:p>
    <w:p w14:paraId="5B69F996" w14:textId="77777777" w:rsidR="00F8537C" w:rsidRDefault="00F8537C" w:rsidP="00D8107F">
      <w:pPr>
        <w:pStyle w:val="Body"/>
      </w:pPr>
    </w:p>
    <w:p w14:paraId="04056F49" w14:textId="77777777" w:rsidR="00D8107F" w:rsidRPr="00D8107F" w:rsidRDefault="00D8107F" w:rsidP="00D8107F">
      <w:pPr>
        <w:pStyle w:val="Body"/>
      </w:pPr>
      <w:r>
        <w:t xml:space="preserve">Community Health Centres </w:t>
      </w:r>
      <w:r w:rsidRPr="00E00C4E">
        <w:t>– $’000s</w:t>
      </w:r>
    </w:p>
    <w:tbl>
      <w:tblPr>
        <w:tblW w:w="15026" w:type="dxa"/>
        <w:tblInd w:w="-147" w:type="dxa"/>
        <w:tblLayout w:type="fixed"/>
        <w:tblLook w:val="04A0" w:firstRow="1" w:lastRow="0" w:firstColumn="1" w:lastColumn="0" w:noHBand="0" w:noVBand="1"/>
      </w:tblPr>
      <w:tblGrid>
        <w:gridCol w:w="1838"/>
        <w:gridCol w:w="1347"/>
        <w:gridCol w:w="1347"/>
        <w:gridCol w:w="1347"/>
        <w:gridCol w:w="1347"/>
        <w:gridCol w:w="1348"/>
        <w:gridCol w:w="1347"/>
        <w:gridCol w:w="1347"/>
        <w:gridCol w:w="1347"/>
        <w:gridCol w:w="1347"/>
        <w:gridCol w:w="1064"/>
      </w:tblGrid>
      <w:tr w:rsidR="00244292" w:rsidRPr="000C4609" w14:paraId="45C004B9" w14:textId="77777777" w:rsidTr="00244292">
        <w:trPr>
          <w:trHeight w:val="799"/>
          <w:tblHead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F8B0142" w14:textId="77777777" w:rsidR="00244292" w:rsidRPr="000C4609" w:rsidRDefault="00244292" w:rsidP="00A21959">
            <w:pPr>
              <w:spacing w:after="0" w:line="240" w:lineRule="auto"/>
              <w:rPr>
                <w:rFonts w:cs="Arial"/>
                <w:b/>
                <w:bCs/>
                <w:color w:val="53565A"/>
                <w:sz w:val="16"/>
                <w:szCs w:val="16"/>
                <w:lang w:eastAsia="en-AU"/>
              </w:rPr>
            </w:pPr>
            <w:r w:rsidRPr="000C4609">
              <w:rPr>
                <w:rFonts w:cs="Arial"/>
                <w:b/>
                <w:bCs/>
                <w:color w:val="53565A"/>
                <w:sz w:val="16"/>
                <w:szCs w:val="16"/>
                <w:lang w:eastAsia="en-AU"/>
              </w:rPr>
              <w:t xml:space="preserve">Health service </w:t>
            </w:r>
          </w:p>
        </w:tc>
        <w:tc>
          <w:tcPr>
            <w:tcW w:w="1347" w:type="dxa"/>
            <w:tcBorders>
              <w:top w:val="single" w:sz="4" w:space="0" w:color="auto"/>
              <w:left w:val="nil"/>
              <w:bottom w:val="single" w:sz="4" w:space="0" w:color="auto"/>
              <w:right w:val="single" w:sz="4" w:space="0" w:color="auto"/>
            </w:tcBorders>
            <w:shd w:val="clear" w:color="auto" w:fill="auto"/>
            <w:hideMark/>
          </w:tcPr>
          <w:p w14:paraId="72BC3497" w14:textId="67D9B0D9" w:rsidR="00244292" w:rsidRPr="00325387" w:rsidRDefault="00244292" w:rsidP="00A21959">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r>
            <w:r w:rsidR="00C6605F">
              <w:rPr>
                <w:rFonts w:cs="Arial"/>
                <w:b/>
                <w:bCs/>
                <w:color w:val="53565A"/>
                <w:sz w:val="16"/>
                <w:szCs w:val="16"/>
                <w:lang w:eastAsia="en-AU"/>
              </w:rPr>
              <w:t>Ac</w:t>
            </w:r>
            <w:r w:rsidR="00C6605F" w:rsidRPr="0019025A">
              <w:rPr>
                <w:rFonts w:cs="Arial"/>
                <w:b/>
                <w:bCs/>
                <w:color w:val="53565A"/>
                <w:sz w:val="16"/>
                <w:szCs w:val="16"/>
                <w:lang w:eastAsia="en-AU"/>
              </w:rPr>
              <w:t>ute Admitted Mental Health NWAU</w:t>
            </w:r>
          </w:p>
        </w:tc>
        <w:tc>
          <w:tcPr>
            <w:tcW w:w="1347" w:type="dxa"/>
            <w:tcBorders>
              <w:top w:val="single" w:sz="4" w:space="0" w:color="auto"/>
              <w:left w:val="nil"/>
              <w:bottom w:val="single" w:sz="4" w:space="0" w:color="auto"/>
              <w:right w:val="single" w:sz="4" w:space="0" w:color="auto"/>
            </w:tcBorders>
          </w:tcPr>
          <w:p w14:paraId="393A691C" w14:textId="77777777" w:rsidR="00244292" w:rsidRPr="004D2156" w:rsidRDefault="00244292" w:rsidP="00A21959">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10DF3283" w14:textId="77777777" w:rsidR="00244292" w:rsidRPr="00325387" w:rsidRDefault="00244292" w:rsidP="00A21959">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Admitted Inpatient Services - Acute</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5DA18F2C" w14:textId="77777777" w:rsidR="00244292" w:rsidRPr="00325387" w:rsidRDefault="00244292" w:rsidP="00A21959">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t>Non Acute</w:t>
            </w:r>
          </w:p>
        </w:tc>
        <w:tc>
          <w:tcPr>
            <w:tcW w:w="1347" w:type="dxa"/>
            <w:tcBorders>
              <w:top w:val="single" w:sz="4" w:space="0" w:color="auto"/>
              <w:left w:val="nil"/>
              <w:bottom w:val="single" w:sz="4" w:space="0" w:color="auto"/>
              <w:right w:val="single" w:sz="4" w:space="0" w:color="auto"/>
            </w:tcBorders>
            <w:shd w:val="clear" w:color="auto" w:fill="auto"/>
            <w:hideMark/>
          </w:tcPr>
          <w:p w14:paraId="19FE850C" w14:textId="77777777" w:rsidR="00244292" w:rsidRPr="00325387" w:rsidRDefault="00244292" w:rsidP="00A21959">
            <w:pPr>
              <w:spacing w:after="0" w:line="240" w:lineRule="auto"/>
              <w:jc w:val="right"/>
              <w:rPr>
                <w:rFonts w:cs="Arial"/>
                <w:b/>
                <w:bCs/>
                <w:color w:val="53565A"/>
                <w:sz w:val="16"/>
                <w:szCs w:val="16"/>
                <w:lang w:eastAsia="en-AU"/>
              </w:rPr>
            </w:pPr>
            <w:r w:rsidRPr="00325387">
              <w:rPr>
                <w:rFonts w:cs="Arial"/>
                <w:b/>
                <w:bCs/>
                <w:color w:val="53565A"/>
                <w:sz w:val="16"/>
                <w:szCs w:val="16"/>
                <w:lang w:eastAsia="en-AU"/>
              </w:rPr>
              <w:t>2024-25</w:t>
            </w:r>
            <w:r w:rsidRPr="00325387">
              <w:rPr>
                <w:rFonts w:cs="Arial"/>
                <w:b/>
                <w:bCs/>
                <w:color w:val="53565A"/>
                <w:sz w:val="16"/>
                <w:szCs w:val="16"/>
                <w:lang w:eastAsia="en-AU"/>
              </w:rPr>
              <w:br/>
              <w:t>Ambulatory</w:t>
            </w:r>
          </w:p>
        </w:tc>
        <w:tc>
          <w:tcPr>
            <w:tcW w:w="1348" w:type="dxa"/>
            <w:tcBorders>
              <w:top w:val="single" w:sz="4" w:space="0" w:color="auto"/>
              <w:left w:val="nil"/>
              <w:bottom w:val="single" w:sz="4" w:space="0" w:color="auto"/>
              <w:right w:val="single" w:sz="4" w:space="0" w:color="auto"/>
            </w:tcBorders>
            <w:shd w:val="clear" w:color="auto" w:fill="auto"/>
          </w:tcPr>
          <w:p w14:paraId="25B11F8A" w14:textId="77777777" w:rsidR="00244292" w:rsidRPr="00FA7243"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26C9D0D6" w14:textId="1713B8B1" w:rsidR="00244292" w:rsidRPr="001B1818"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5442CCB7" w14:textId="015EA418" w:rsidR="00244292" w:rsidRPr="000C4609" w:rsidRDefault="00244292" w:rsidP="00A21959">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 xml:space="preserve">-25 </w:t>
            </w:r>
            <w:r w:rsidRPr="000C4609">
              <w:rPr>
                <w:rFonts w:cs="Arial"/>
                <w:b/>
                <w:bCs/>
                <w:color w:val="53565A"/>
                <w:sz w:val="16"/>
                <w:szCs w:val="16"/>
                <w:lang w:eastAsia="en-AU"/>
              </w:rPr>
              <w:t>Psychosocial Rehabilitation &amp; Support</w:t>
            </w:r>
          </w:p>
        </w:tc>
        <w:tc>
          <w:tcPr>
            <w:tcW w:w="1347" w:type="dxa"/>
            <w:tcBorders>
              <w:top w:val="single" w:sz="4" w:space="0" w:color="auto"/>
              <w:left w:val="nil"/>
              <w:bottom w:val="single" w:sz="4" w:space="0" w:color="auto"/>
              <w:right w:val="single" w:sz="4" w:space="0" w:color="auto"/>
            </w:tcBorders>
            <w:shd w:val="clear" w:color="auto" w:fill="auto"/>
            <w:hideMark/>
          </w:tcPr>
          <w:p w14:paraId="21B45A87" w14:textId="77777777" w:rsidR="00244292" w:rsidRPr="000C4609" w:rsidRDefault="00244292" w:rsidP="00A21959">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47" w:type="dxa"/>
            <w:tcBorders>
              <w:top w:val="single" w:sz="4" w:space="0" w:color="auto"/>
              <w:left w:val="nil"/>
              <w:bottom w:val="single" w:sz="4" w:space="0" w:color="auto"/>
              <w:right w:val="single" w:sz="4" w:space="0" w:color="auto"/>
            </w:tcBorders>
            <w:shd w:val="clear" w:color="auto" w:fill="auto"/>
            <w:hideMark/>
          </w:tcPr>
          <w:p w14:paraId="1F01C2EA" w14:textId="77777777" w:rsidR="00244292" w:rsidRDefault="00244292" w:rsidP="00A21959">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219F44A1" w14:textId="77777777" w:rsidR="00244292" w:rsidRPr="000C4609" w:rsidRDefault="00244292" w:rsidP="00A21959">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47" w:type="dxa"/>
            <w:tcBorders>
              <w:top w:val="single" w:sz="4" w:space="0" w:color="auto"/>
              <w:left w:val="nil"/>
              <w:bottom w:val="single" w:sz="4" w:space="0" w:color="auto"/>
              <w:right w:val="single" w:sz="4" w:space="0" w:color="auto"/>
            </w:tcBorders>
            <w:shd w:val="clear" w:color="auto" w:fill="auto"/>
            <w:hideMark/>
          </w:tcPr>
          <w:p w14:paraId="7618A21C" w14:textId="77777777" w:rsidR="00244292" w:rsidRPr="000C4609" w:rsidRDefault="00244292" w:rsidP="00A21959">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064" w:type="dxa"/>
            <w:tcBorders>
              <w:top w:val="single" w:sz="4" w:space="0" w:color="auto"/>
              <w:left w:val="nil"/>
              <w:bottom w:val="single" w:sz="4" w:space="0" w:color="auto"/>
              <w:right w:val="single" w:sz="4" w:space="0" w:color="auto"/>
            </w:tcBorders>
            <w:hideMark/>
          </w:tcPr>
          <w:p w14:paraId="2A101345" w14:textId="77777777" w:rsidR="00244292" w:rsidRPr="000C4609" w:rsidRDefault="00244292" w:rsidP="00A21959">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244292" w:rsidRPr="00977693" w14:paraId="495089B1" w14:textId="77777777" w:rsidTr="00244292">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282120F" w14:textId="77777777" w:rsidR="00244292" w:rsidRPr="00D8107F" w:rsidRDefault="00244292" w:rsidP="00A21959">
            <w:pPr>
              <w:spacing w:after="0" w:line="240" w:lineRule="auto"/>
              <w:rPr>
                <w:rFonts w:cs="Arial"/>
                <w:color w:val="000000"/>
                <w:sz w:val="16"/>
                <w:szCs w:val="16"/>
                <w:lang w:eastAsia="en-AU"/>
              </w:rPr>
            </w:pPr>
            <w:r w:rsidRPr="00D8107F">
              <w:rPr>
                <w:rFonts w:cs="Arial"/>
                <w:color w:val="000000"/>
                <w:sz w:val="16"/>
                <w:szCs w:val="16"/>
              </w:rPr>
              <w:t>Ballarat Community Health</w:t>
            </w:r>
          </w:p>
        </w:tc>
        <w:tc>
          <w:tcPr>
            <w:tcW w:w="1347" w:type="dxa"/>
            <w:tcBorders>
              <w:top w:val="nil"/>
              <w:left w:val="nil"/>
              <w:bottom w:val="single" w:sz="4" w:space="0" w:color="auto"/>
              <w:right w:val="single" w:sz="4" w:space="0" w:color="auto"/>
            </w:tcBorders>
            <w:shd w:val="clear" w:color="auto" w:fill="auto"/>
            <w:noWrap/>
            <w:vAlign w:val="center"/>
          </w:tcPr>
          <w:p w14:paraId="02FBB606"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vAlign w:val="center"/>
          </w:tcPr>
          <w:p w14:paraId="0D82BF4D"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1AC83"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31740FA2" w14:textId="77777777" w:rsidR="00244292" w:rsidRPr="00D8107F" w:rsidRDefault="00244292" w:rsidP="00A21959">
            <w:pPr>
              <w:spacing w:after="0" w:line="240" w:lineRule="auto"/>
              <w:jc w:val="right"/>
              <w:rPr>
                <w:rFonts w:cs="Arial"/>
                <w:color w:val="000000"/>
                <w:sz w:val="16"/>
                <w:szCs w:val="16"/>
                <w:lang w:eastAsia="en-AU"/>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24047D21"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87F03" w14:textId="4E18AF28"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2B7D62AB"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043F0607"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color w:val="000000"/>
                <w:sz w:val="16"/>
                <w:szCs w:val="16"/>
              </w:rPr>
              <w:t>42</w:t>
            </w:r>
          </w:p>
        </w:tc>
        <w:tc>
          <w:tcPr>
            <w:tcW w:w="1347" w:type="dxa"/>
            <w:tcBorders>
              <w:top w:val="nil"/>
              <w:left w:val="nil"/>
              <w:bottom w:val="single" w:sz="4" w:space="0" w:color="auto"/>
              <w:right w:val="single" w:sz="4" w:space="0" w:color="auto"/>
            </w:tcBorders>
            <w:shd w:val="clear" w:color="auto" w:fill="auto"/>
            <w:noWrap/>
            <w:vAlign w:val="center"/>
          </w:tcPr>
          <w:p w14:paraId="00D6EE19" w14:textId="77777777" w:rsidR="00244292" w:rsidRPr="00D8107F" w:rsidRDefault="00244292" w:rsidP="00A21959">
            <w:pPr>
              <w:spacing w:after="0" w:line="240" w:lineRule="auto"/>
              <w:jc w:val="right"/>
              <w:rPr>
                <w:rFonts w:cs="Arial"/>
                <w:color w:val="000000"/>
                <w:sz w:val="16"/>
                <w:szCs w:val="16"/>
                <w:lang w:eastAsia="en-AU"/>
              </w:rPr>
            </w:pPr>
          </w:p>
        </w:tc>
        <w:tc>
          <w:tcPr>
            <w:tcW w:w="1064" w:type="dxa"/>
            <w:tcBorders>
              <w:top w:val="nil"/>
              <w:left w:val="nil"/>
              <w:bottom w:val="single" w:sz="4" w:space="0" w:color="auto"/>
              <w:right w:val="single" w:sz="4" w:space="0" w:color="auto"/>
            </w:tcBorders>
            <w:noWrap/>
            <w:vAlign w:val="center"/>
          </w:tcPr>
          <w:p w14:paraId="5078E75C"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b/>
                <w:bCs/>
                <w:color w:val="000000"/>
                <w:sz w:val="16"/>
                <w:szCs w:val="16"/>
              </w:rPr>
              <w:t>42</w:t>
            </w:r>
          </w:p>
        </w:tc>
      </w:tr>
      <w:tr w:rsidR="00244292" w:rsidRPr="00977693" w14:paraId="04114370" w14:textId="77777777" w:rsidTr="0024429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1BF255E" w14:textId="77777777" w:rsidR="00244292" w:rsidRPr="00D8107F" w:rsidRDefault="00244292" w:rsidP="00A21959">
            <w:pPr>
              <w:spacing w:after="0" w:line="240" w:lineRule="auto"/>
              <w:rPr>
                <w:rFonts w:cs="Arial"/>
                <w:color w:val="000000"/>
                <w:sz w:val="16"/>
                <w:szCs w:val="16"/>
                <w:lang w:eastAsia="en-AU"/>
              </w:rPr>
            </w:pPr>
            <w:r w:rsidRPr="00D8107F">
              <w:rPr>
                <w:rFonts w:cs="Arial"/>
                <w:color w:val="000000"/>
                <w:sz w:val="16"/>
                <w:szCs w:val="16"/>
              </w:rPr>
              <w:t>Cohealth Limited</w:t>
            </w:r>
          </w:p>
        </w:tc>
        <w:tc>
          <w:tcPr>
            <w:tcW w:w="1347" w:type="dxa"/>
            <w:tcBorders>
              <w:top w:val="nil"/>
              <w:left w:val="nil"/>
              <w:bottom w:val="single" w:sz="4" w:space="0" w:color="auto"/>
              <w:right w:val="single" w:sz="4" w:space="0" w:color="auto"/>
            </w:tcBorders>
            <w:shd w:val="clear" w:color="auto" w:fill="auto"/>
            <w:noWrap/>
            <w:vAlign w:val="center"/>
          </w:tcPr>
          <w:p w14:paraId="0D09475E"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vAlign w:val="center"/>
          </w:tcPr>
          <w:p w14:paraId="380387D0"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E05E9"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4FB5A332" w14:textId="77777777" w:rsidR="00244292" w:rsidRPr="00D8107F" w:rsidRDefault="00244292" w:rsidP="00A21959">
            <w:pPr>
              <w:spacing w:after="0" w:line="240" w:lineRule="auto"/>
              <w:jc w:val="right"/>
              <w:rPr>
                <w:rFonts w:cs="Arial"/>
                <w:color w:val="000000"/>
                <w:sz w:val="16"/>
                <w:szCs w:val="16"/>
                <w:lang w:eastAsia="en-AU"/>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756A92C8"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29035" w14:textId="7F18CC82"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42A2E8F7"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7ED02FE8"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color w:val="000000"/>
                <w:sz w:val="16"/>
                <w:szCs w:val="16"/>
              </w:rPr>
              <w:t>42</w:t>
            </w:r>
          </w:p>
        </w:tc>
        <w:tc>
          <w:tcPr>
            <w:tcW w:w="1347" w:type="dxa"/>
            <w:tcBorders>
              <w:top w:val="nil"/>
              <w:left w:val="nil"/>
              <w:bottom w:val="single" w:sz="4" w:space="0" w:color="auto"/>
              <w:right w:val="single" w:sz="4" w:space="0" w:color="auto"/>
            </w:tcBorders>
            <w:shd w:val="clear" w:color="auto" w:fill="auto"/>
            <w:noWrap/>
            <w:vAlign w:val="center"/>
          </w:tcPr>
          <w:p w14:paraId="13CAD1DE" w14:textId="77777777" w:rsidR="00244292" w:rsidRPr="00D8107F" w:rsidRDefault="00244292" w:rsidP="00A21959">
            <w:pPr>
              <w:spacing w:after="0" w:line="240" w:lineRule="auto"/>
              <w:jc w:val="right"/>
              <w:rPr>
                <w:rFonts w:cs="Arial"/>
                <w:color w:val="000000"/>
                <w:sz w:val="16"/>
                <w:szCs w:val="16"/>
                <w:lang w:eastAsia="en-AU"/>
              </w:rPr>
            </w:pPr>
          </w:p>
        </w:tc>
        <w:tc>
          <w:tcPr>
            <w:tcW w:w="1064" w:type="dxa"/>
            <w:tcBorders>
              <w:top w:val="nil"/>
              <w:left w:val="nil"/>
              <w:bottom w:val="single" w:sz="4" w:space="0" w:color="auto"/>
              <w:right w:val="single" w:sz="4" w:space="0" w:color="auto"/>
            </w:tcBorders>
            <w:noWrap/>
            <w:vAlign w:val="center"/>
          </w:tcPr>
          <w:p w14:paraId="66E1EB6B"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b/>
                <w:bCs/>
                <w:color w:val="000000"/>
                <w:sz w:val="16"/>
                <w:szCs w:val="16"/>
              </w:rPr>
              <w:t>42</w:t>
            </w:r>
          </w:p>
        </w:tc>
      </w:tr>
      <w:tr w:rsidR="00244292" w:rsidRPr="00977693" w14:paraId="563282F4" w14:textId="77777777" w:rsidTr="00244292">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D1D1" w14:textId="77777777" w:rsidR="00244292" w:rsidRPr="00D8107F" w:rsidRDefault="00244292" w:rsidP="00A21959">
            <w:pPr>
              <w:spacing w:after="0" w:line="240" w:lineRule="auto"/>
              <w:rPr>
                <w:rFonts w:cs="Arial"/>
                <w:color w:val="000000"/>
                <w:sz w:val="16"/>
                <w:szCs w:val="16"/>
                <w:lang w:eastAsia="en-AU"/>
              </w:rPr>
            </w:pPr>
            <w:r w:rsidRPr="00D8107F">
              <w:rPr>
                <w:rFonts w:cs="Arial"/>
                <w:color w:val="000000"/>
                <w:sz w:val="16"/>
                <w:szCs w:val="16"/>
              </w:rPr>
              <w:t>Eastern Access Community Health Inc</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42020642"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vAlign w:val="center"/>
          </w:tcPr>
          <w:p w14:paraId="62B6E8D1"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E87C6"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E7B7559" w14:textId="77777777" w:rsidR="00244292" w:rsidRPr="00D8107F" w:rsidRDefault="00244292" w:rsidP="00A21959">
            <w:pPr>
              <w:spacing w:after="0" w:line="240" w:lineRule="auto"/>
              <w:jc w:val="right"/>
              <w:rPr>
                <w:rFonts w:cs="Arial"/>
                <w:color w:val="000000"/>
                <w:sz w:val="16"/>
                <w:szCs w:val="16"/>
                <w:lang w:eastAsia="en-AU"/>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2AA5C2B8"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19692" w14:textId="0107FDF1"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420A4491" w14:textId="77777777" w:rsidR="00244292" w:rsidRPr="00D8107F"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1EF54D3D"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color w:val="000000"/>
                <w:sz w:val="16"/>
                <w:szCs w:val="16"/>
              </w:rPr>
              <w:t>42</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43A0D97A" w14:textId="77777777" w:rsidR="00244292" w:rsidRPr="00D8107F" w:rsidRDefault="00244292" w:rsidP="00A21959">
            <w:pPr>
              <w:spacing w:after="0" w:line="240" w:lineRule="auto"/>
              <w:jc w:val="right"/>
              <w:rPr>
                <w:rFonts w:cs="Arial"/>
                <w:color w:val="000000"/>
                <w:sz w:val="16"/>
                <w:szCs w:val="16"/>
                <w:lang w:eastAsia="en-AU"/>
              </w:rPr>
            </w:pPr>
          </w:p>
        </w:tc>
        <w:tc>
          <w:tcPr>
            <w:tcW w:w="1064" w:type="dxa"/>
            <w:tcBorders>
              <w:top w:val="single" w:sz="4" w:space="0" w:color="auto"/>
              <w:left w:val="nil"/>
              <w:bottom w:val="single" w:sz="4" w:space="0" w:color="auto"/>
              <w:right w:val="single" w:sz="4" w:space="0" w:color="auto"/>
            </w:tcBorders>
            <w:noWrap/>
            <w:vAlign w:val="center"/>
          </w:tcPr>
          <w:p w14:paraId="0CC3FFA1" w14:textId="77777777" w:rsidR="00244292" w:rsidRPr="00D8107F" w:rsidRDefault="00244292" w:rsidP="00A21959">
            <w:pPr>
              <w:spacing w:after="0" w:line="240" w:lineRule="auto"/>
              <w:jc w:val="right"/>
              <w:rPr>
                <w:rFonts w:cs="Arial"/>
                <w:color w:val="000000"/>
                <w:sz w:val="16"/>
                <w:szCs w:val="16"/>
                <w:lang w:eastAsia="en-AU"/>
              </w:rPr>
            </w:pPr>
            <w:r w:rsidRPr="00D8107F">
              <w:rPr>
                <w:rFonts w:cs="Arial"/>
                <w:b/>
                <w:bCs/>
                <w:color w:val="000000"/>
                <w:sz w:val="16"/>
                <w:szCs w:val="16"/>
              </w:rPr>
              <w:t>42</w:t>
            </w:r>
          </w:p>
        </w:tc>
      </w:tr>
      <w:tr w:rsidR="00244292" w:rsidRPr="00977693" w14:paraId="42E77F9B" w14:textId="77777777" w:rsidTr="00244292">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34ED42B" w14:textId="624672BA" w:rsidR="00244292" w:rsidRPr="00EA53D2" w:rsidRDefault="00244292" w:rsidP="00A21959">
            <w:pPr>
              <w:spacing w:after="0" w:line="240" w:lineRule="auto"/>
              <w:rPr>
                <w:rFonts w:cs="Arial"/>
                <w:b/>
                <w:bCs/>
                <w:color w:val="000000"/>
                <w:sz w:val="16"/>
                <w:szCs w:val="16"/>
              </w:rPr>
            </w:pPr>
            <w:r w:rsidRPr="00EA53D2">
              <w:rPr>
                <w:rFonts w:cs="Arial"/>
                <w:b/>
                <w:bCs/>
                <w:color w:val="000000"/>
                <w:sz w:val="16"/>
                <w:szCs w:val="16"/>
              </w:rPr>
              <w:t>Total</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22E3191" w14:textId="77777777" w:rsidR="00244292" w:rsidRPr="00EA53D2" w:rsidRDefault="00244292" w:rsidP="00A21959">
            <w:pPr>
              <w:spacing w:after="0" w:line="240" w:lineRule="auto"/>
              <w:jc w:val="right"/>
              <w:rPr>
                <w:rFonts w:cs="Arial"/>
                <w:b/>
                <w:bCs/>
                <w:color w:val="000000"/>
                <w:sz w:val="16"/>
                <w:szCs w:val="16"/>
                <w:lang w:eastAsia="en-AU"/>
              </w:rPr>
            </w:pPr>
          </w:p>
        </w:tc>
        <w:tc>
          <w:tcPr>
            <w:tcW w:w="1347" w:type="dxa"/>
            <w:tcBorders>
              <w:top w:val="single" w:sz="4" w:space="0" w:color="auto"/>
              <w:left w:val="nil"/>
              <w:bottom w:val="single" w:sz="4" w:space="0" w:color="auto"/>
              <w:right w:val="single" w:sz="4" w:space="0" w:color="auto"/>
            </w:tcBorders>
            <w:vAlign w:val="center"/>
          </w:tcPr>
          <w:p w14:paraId="61304723" w14:textId="77777777" w:rsidR="00244292" w:rsidRPr="00EA53D2" w:rsidRDefault="00244292" w:rsidP="00A21959">
            <w:pPr>
              <w:spacing w:after="0" w:line="240" w:lineRule="auto"/>
              <w:jc w:val="right"/>
              <w:rPr>
                <w:rFonts w:cs="Arial"/>
                <w:b/>
                <w:bCs/>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0427" w14:textId="77777777" w:rsidR="00244292" w:rsidRPr="00EA53D2" w:rsidRDefault="00244292" w:rsidP="00A21959">
            <w:pPr>
              <w:spacing w:after="0" w:line="240" w:lineRule="auto"/>
              <w:jc w:val="right"/>
              <w:rPr>
                <w:rFonts w:cs="Arial"/>
                <w:b/>
                <w:bCs/>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1179F801" w14:textId="77777777" w:rsidR="00244292" w:rsidRPr="00EA53D2" w:rsidRDefault="00244292" w:rsidP="00A21959">
            <w:pPr>
              <w:spacing w:after="0" w:line="240" w:lineRule="auto"/>
              <w:jc w:val="right"/>
              <w:rPr>
                <w:rFonts w:cs="Arial"/>
                <w:b/>
                <w:bCs/>
                <w:color w:val="000000"/>
                <w:sz w:val="16"/>
                <w:szCs w:val="16"/>
                <w:lang w:eastAsia="en-AU"/>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2BF4146F" w14:textId="77777777" w:rsidR="00244292" w:rsidRPr="00244292" w:rsidRDefault="00244292" w:rsidP="00A21959">
            <w:pPr>
              <w:spacing w:after="0" w:line="240" w:lineRule="auto"/>
              <w:jc w:val="right"/>
              <w:rPr>
                <w:rFonts w:cs="Arial"/>
                <w:color w:val="000000"/>
                <w:sz w:val="16"/>
                <w:szCs w:val="16"/>
                <w:lang w:eastAsia="en-AU"/>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BFBCF" w14:textId="4CD1E968" w:rsidR="00244292" w:rsidRPr="00EA53D2" w:rsidRDefault="00244292" w:rsidP="00A21959">
            <w:pPr>
              <w:spacing w:after="0" w:line="240" w:lineRule="auto"/>
              <w:jc w:val="right"/>
              <w:rPr>
                <w:rFonts w:cs="Arial"/>
                <w:b/>
                <w:bCs/>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567E594" w14:textId="77777777" w:rsidR="00244292" w:rsidRPr="00EA53D2" w:rsidRDefault="00244292" w:rsidP="00A21959">
            <w:pPr>
              <w:spacing w:after="0" w:line="240" w:lineRule="auto"/>
              <w:jc w:val="right"/>
              <w:rPr>
                <w:rFonts w:cs="Arial"/>
                <w:b/>
                <w:bCs/>
                <w:color w:val="000000"/>
                <w:sz w:val="16"/>
                <w:szCs w:val="16"/>
                <w:lang w:eastAsia="en-AU"/>
              </w:rPr>
            </w:pP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1DDF2D25" w14:textId="7A921280" w:rsidR="00244292" w:rsidRPr="00EA53D2" w:rsidRDefault="00244292" w:rsidP="00A21959">
            <w:pPr>
              <w:spacing w:after="0" w:line="240" w:lineRule="auto"/>
              <w:jc w:val="right"/>
              <w:rPr>
                <w:rFonts w:cs="Arial"/>
                <w:b/>
                <w:bCs/>
                <w:color w:val="000000"/>
                <w:sz w:val="16"/>
                <w:szCs w:val="16"/>
              </w:rPr>
            </w:pPr>
            <w:r w:rsidRPr="00EA53D2">
              <w:rPr>
                <w:rFonts w:cs="Arial"/>
                <w:b/>
                <w:bCs/>
                <w:color w:val="000000"/>
                <w:sz w:val="16"/>
                <w:szCs w:val="16"/>
              </w:rPr>
              <w:t>125</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15D397C5" w14:textId="77777777" w:rsidR="00244292" w:rsidRPr="00EA53D2" w:rsidRDefault="00244292" w:rsidP="00A21959">
            <w:pPr>
              <w:spacing w:after="0" w:line="240" w:lineRule="auto"/>
              <w:jc w:val="right"/>
              <w:rPr>
                <w:rFonts w:cs="Arial"/>
                <w:b/>
                <w:bCs/>
                <w:color w:val="000000"/>
                <w:sz w:val="16"/>
                <w:szCs w:val="16"/>
                <w:lang w:eastAsia="en-AU"/>
              </w:rPr>
            </w:pPr>
          </w:p>
        </w:tc>
        <w:tc>
          <w:tcPr>
            <w:tcW w:w="1064" w:type="dxa"/>
            <w:tcBorders>
              <w:top w:val="single" w:sz="4" w:space="0" w:color="auto"/>
              <w:left w:val="nil"/>
              <w:bottom w:val="single" w:sz="4" w:space="0" w:color="auto"/>
              <w:right w:val="single" w:sz="4" w:space="0" w:color="auto"/>
            </w:tcBorders>
            <w:noWrap/>
            <w:vAlign w:val="center"/>
          </w:tcPr>
          <w:p w14:paraId="7172244D" w14:textId="19AB5919" w:rsidR="00244292" w:rsidRPr="00EA53D2" w:rsidRDefault="00244292" w:rsidP="00A21959">
            <w:pPr>
              <w:spacing w:after="0" w:line="240" w:lineRule="auto"/>
              <w:jc w:val="right"/>
              <w:rPr>
                <w:rFonts w:cs="Arial"/>
                <w:b/>
                <w:bCs/>
                <w:color w:val="000000"/>
                <w:sz w:val="16"/>
                <w:szCs w:val="16"/>
              </w:rPr>
            </w:pPr>
            <w:r w:rsidRPr="00EA53D2">
              <w:rPr>
                <w:rFonts w:cs="Arial"/>
                <w:b/>
                <w:bCs/>
                <w:color w:val="000000"/>
                <w:sz w:val="16"/>
                <w:szCs w:val="16"/>
              </w:rPr>
              <w:t>125</w:t>
            </w:r>
          </w:p>
        </w:tc>
      </w:tr>
    </w:tbl>
    <w:p w14:paraId="12AA56B3" w14:textId="77777777" w:rsidR="00D8107F" w:rsidRDefault="00D8107F" w:rsidP="00705DCA">
      <w:pPr>
        <w:pStyle w:val="Body"/>
      </w:pPr>
    </w:p>
    <w:p w14:paraId="0BBA1F23" w14:textId="76B4D544" w:rsidR="005B699B" w:rsidRPr="00E00C4E" w:rsidRDefault="005B699B" w:rsidP="00705DCA">
      <w:pPr>
        <w:pStyle w:val="Body"/>
      </w:pPr>
      <w:r w:rsidRPr="00E00C4E">
        <w:t>Non-government – $’000s</w:t>
      </w:r>
    </w:p>
    <w:tbl>
      <w:tblPr>
        <w:tblW w:w="15026" w:type="dxa"/>
        <w:tblInd w:w="-147" w:type="dxa"/>
        <w:tblLayout w:type="fixed"/>
        <w:tblLook w:val="04A0" w:firstRow="1" w:lastRow="0" w:firstColumn="1" w:lastColumn="0" w:noHBand="0" w:noVBand="1"/>
      </w:tblPr>
      <w:tblGrid>
        <w:gridCol w:w="1843"/>
        <w:gridCol w:w="1318"/>
        <w:gridCol w:w="1318"/>
        <w:gridCol w:w="1318"/>
        <w:gridCol w:w="1319"/>
        <w:gridCol w:w="1318"/>
        <w:gridCol w:w="1318"/>
        <w:gridCol w:w="1319"/>
        <w:gridCol w:w="1318"/>
        <w:gridCol w:w="1318"/>
        <w:gridCol w:w="1319"/>
      </w:tblGrid>
      <w:tr w:rsidR="00324402" w:rsidRPr="00AF3EDE" w14:paraId="3E6022F7" w14:textId="77777777" w:rsidTr="00244292">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631142E" w14:textId="77777777" w:rsidR="00244292" w:rsidRPr="00AF3EDE" w:rsidRDefault="00244292">
            <w:pPr>
              <w:spacing w:after="0" w:line="240" w:lineRule="auto"/>
              <w:rPr>
                <w:rFonts w:cs="Arial"/>
                <w:b/>
                <w:bCs/>
                <w:color w:val="53565A"/>
                <w:sz w:val="16"/>
                <w:szCs w:val="16"/>
                <w:lang w:eastAsia="en-AU"/>
              </w:rPr>
            </w:pPr>
            <w:r w:rsidRPr="00AF3EDE">
              <w:rPr>
                <w:rFonts w:cs="Arial"/>
                <w:b/>
                <w:bCs/>
                <w:color w:val="53565A"/>
                <w:sz w:val="16"/>
                <w:szCs w:val="16"/>
                <w:lang w:eastAsia="en-AU"/>
              </w:rPr>
              <w:t xml:space="preserve">Health service </w:t>
            </w:r>
          </w:p>
        </w:tc>
        <w:tc>
          <w:tcPr>
            <w:tcW w:w="1318" w:type="dxa"/>
            <w:tcBorders>
              <w:top w:val="single" w:sz="4" w:space="0" w:color="auto"/>
              <w:left w:val="nil"/>
              <w:bottom w:val="single" w:sz="4" w:space="0" w:color="auto"/>
              <w:right w:val="single" w:sz="4" w:space="0" w:color="auto"/>
            </w:tcBorders>
            <w:shd w:val="clear" w:color="auto" w:fill="auto"/>
            <w:hideMark/>
          </w:tcPr>
          <w:p w14:paraId="23DFDCA3" w14:textId="4D058DE1"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r>
            <w:r w:rsidR="00C6605F">
              <w:rPr>
                <w:rFonts w:cs="Arial"/>
                <w:b/>
                <w:bCs/>
                <w:color w:val="53565A"/>
                <w:sz w:val="16"/>
                <w:szCs w:val="16"/>
                <w:lang w:eastAsia="en-AU"/>
              </w:rPr>
              <w:t>Ac</w:t>
            </w:r>
            <w:r w:rsidR="00C6605F" w:rsidRPr="0019025A">
              <w:rPr>
                <w:rFonts w:cs="Arial"/>
                <w:b/>
                <w:bCs/>
                <w:color w:val="53565A"/>
                <w:sz w:val="16"/>
                <w:szCs w:val="16"/>
                <w:lang w:eastAsia="en-AU"/>
              </w:rPr>
              <w:t>ute Admitted Mental Health NWAU</w:t>
            </w:r>
          </w:p>
        </w:tc>
        <w:tc>
          <w:tcPr>
            <w:tcW w:w="1318" w:type="dxa"/>
            <w:tcBorders>
              <w:top w:val="single" w:sz="4" w:space="0" w:color="auto"/>
              <w:left w:val="nil"/>
              <w:bottom w:val="single" w:sz="4" w:space="0" w:color="auto"/>
              <w:right w:val="single" w:sz="4" w:space="0" w:color="auto"/>
            </w:tcBorders>
          </w:tcPr>
          <w:p w14:paraId="46AB7F15" w14:textId="77777777" w:rsidR="00244292" w:rsidRPr="004D2156" w:rsidRDefault="00244292" w:rsidP="00970F2D">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55CDFA06" w14:textId="7A663183" w:rsidR="00244292" w:rsidRPr="001B1818" w:rsidRDefault="003142AC" w:rsidP="00970F2D">
            <w:pPr>
              <w:spacing w:after="0" w:line="240" w:lineRule="auto"/>
              <w:jc w:val="right"/>
              <w:rPr>
                <w:rFonts w:cs="Arial"/>
                <w:b/>
                <w:bCs/>
                <w:color w:val="53565A"/>
                <w:sz w:val="16"/>
                <w:szCs w:val="16"/>
                <w:lang w:eastAsia="en-AU"/>
              </w:rPr>
            </w:pPr>
            <w:r>
              <w:rPr>
                <w:rFonts w:cs="Arial"/>
                <w:b/>
                <w:bCs/>
                <w:color w:val="53565A"/>
                <w:sz w:val="16"/>
                <w:szCs w:val="16"/>
                <w:lang w:eastAsia="en-AU"/>
              </w:rPr>
              <w:t>A</w:t>
            </w:r>
            <w:r w:rsidRPr="004D2156">
              <w:rPr>
                <w:rFonts w:cs="Arial"/>
                <w:b/>
                <w:bCs/>
                <w:color w:val="53565A"/>
                <w:sz w:val="16"/>
                <w:szCs w:val="16"/>
                <w:lang w:eastAsia="en-AU"/>
              </w:rPr>
              <w:t>dmitted Inpatient Services</w:t>
            </w:r>
            <w:r>
              <w:rPr>
                <w:rFonts w:cs="Arial"/>
                <w:b/>
                <w:bCs/>
                <w:color w:val="53565A"/>
                <w:sz w:val="16"/>
                <w:szCs w:val="16"/>
                <w:lang w:eastAsia="en-AU"/>
              </w:rPr>
              <w:t xml:space="preserve"> - Other</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5E202E55" w14:textId="77777777"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Non Acute</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39E59E9" w14:textId="77777777"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Ambulatory</w:t>
            </w:r>
          </w:p>
        </w:tc>
        <w:tc>
          <w:tcPr>
            <w:tcW w:w="1318" w:type="dxa"/>
            <w:tcBorders>
              <w:top w:val="single" w:sz="4" w:space="0" w:color="auto"/>
              <w:left w:val="nil"/>
              <w:bottom w:val="single" w:sz="4" w:space="0" w:color="auto"/>
              <w:right w:val="single" w:sz="4" w:space="0" w:color="auto"/>
            </w:tcBorders>
            <w:shd w:val="clear" w:color="auto" w:fill="auto"/>
          </w:tcPr>
          <w:p w14:paraId="586237AB" w14:textId="77777777" w:rsidR="00244292" w:rsidRPr="00FA7243"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5886CE26" w14:textId="4AFE7FF9" w:rsidR="00244292" w:rsidRPr="001B1818" w:rsidRDefault="00244292" w:rsidP="00244292">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20BB065F" w14:textId="23C85C39" w:rsidR="00244292"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3CEBE9C1" w14:textId="45AD3445" w:rsidR="00244292" w:rsidRPr="00AF3EDE" w:rsidRDefault="00244292">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Psychosocial Rehabilitation &amp; Support</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1736E19" w14:textId="77777777"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18" w:type="dxa"/>
            <w:tcBorders>
              <w:top w:val="single" w:sz="4" w:space="0" w:color="auto"/>
              <w:left w:val="nil"/>
              <w:bottom w:val="single" w:sz="4" w:space="0" w:color="auto"/>
              <w:right w:val="single" w:sz="4" w:space="0" w:color="auto"/>
            </w:tcBorders>
            <w:shd w:val="clear" w:color="auto" w:fill="auto"/>
            <w:hideMark/>
          </w:tcPr>
          <w:p w14:paraId="04539EE2" w14:textId="77777777" w:rsidR="00244292"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170309DD" w14:textId="77777777" w:rsidR="00244292" w:rsidRPr="00AF3EDE" w:rsidRDefault="00244292">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18" w:type="dxa"/>
            <w:tcBorders>
              <w:top w:val="single" w:sz="4" w:space="0" w:color="auto"/>
              <w:left w:val="nil"/>
              <w:bottom w:val="single" w:sz="4" w:space="0" w:color="auto"/>
              <w:right w:val="single" w:sz="4" w:space="0" w:color="auto"/>
            </w:tcBorders>
            <w:shd w:val="clear" w:color="auto" w:fill="auto"/>
            <w:hideMark/>
          </w:tcPr>
          <w:p w14:paraId="6A9E1AE1" w14:textId="77777777"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319" w:type="dxa"/>
            <w:tcBorders>
              <w:top w:val="single" w:sz="4" w:space="0" w:color="auto"/>
              <w:left w:val="nil"/>
              <w:bottom w:val="single" w:sz="4" w:space="0" w:color="auto"/>
              <w:right w:val="single" w:sz="4" w:space="0" w:color="auto"/>
            </w:tcBorders>
            <w:hideMark/>
          </w:tcPr>
          <w:p w14:paraId="4E7A2166" w14:textId="77777777" w:rsidR="00244292" w:rsidRPr="00AF3EDE" w:rsidRDefault="00244292">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324402" w:rsidRPr="00AF3EDE" w14:paraId="1A880017" w14:textId="77777777" w:rsidTr="00244292">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2A4091" w14:textId="53EC9B55" w:rsidR="00CF273E" w:rsidRPr="00462345" w:rsidRDefault="00CF273E" w:rsidP="00CF273E">
            <w:pPr>
              <w:spacing w:after="0" w:line="240" w:lineRule="auto"/>
              <w:rPr>
                <w:rFonts w:cs="Arial"/>
                <w:color w:val="000000"/>
                <w:sz w:val="16"/>
                <w:szCs w:val="16"/>
                <w:lang w:eastAsia="en-AU"/>
              </w:rPr>
            </w:pPr>
            <w:r>
              <w:rPr>
                <w:rFonts w:cs="Arial"/>
                <w:color w:val="000000"/>
                <w:sz w:val="16"/>
                <w:szCs w:val="16"/>
              </w:rPr>
              <w:t>Eating Disorders Foundation Of Victoria Inc</w:t>
            </w:r>
          </w:p>
        </w:tc>
        <w:tc>
          <w:tcPr>
            <w:tcW w:w="1318" w:type="dxa"/>
            <w:tcBorders>
              <w:top w:val="nil"/>
              <w:left w:val="nil"/>
              <w:bottom w:val="single" w:sz="4" w:space="0" w:color="auto"/>
              <w:right w:val="single" w:sz="4" w:space="0" w:color="auto"/>
            </w:tcBorders>
            <w:shd w:val="clear" w:color="auto" w:fill="auto"/>
            <w:noWrap/>
          </w:tcPr>
          <w:p w14:paraId="34FB9E31" w14:textId="77B8EED8" w:rsidR="00CF273E" w:rsidRPr="00462345" w:rsidRDefault="00CF273E" w:rsidP="00CF273E">
            <w:pPr>
              <w:spacing w:after="0" w:line="240" w:lineRule="auto"/>
              <w:jc w:val="right"/>
              <w:rPr>
                <w:rFonts w:cs="Arial"/>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138EFA88" w14:textId="4EAFD121"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9B63" w14:textId="17152619"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5F9C9" w14:textId="7A2BC309"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47B1F930" w14:textId="7BE639FC"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C5F2D" w14:textId="4B9538CF"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BFBF2" w14:textId="470C72A4"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46AD280A" w14:textId="0E45C4DD"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42</w:t>
            </w:r>
          </w:p>
        </w:tc>
        <w:tc>
          <w:tcPr>
            <w:tcW w:w="1318" w:type="dxa"/>
            <w:tcBorders>
              <w:top w:val="nil"/>
              <w:left w:val="nil"/>
              <w:bottom w:val="single" w:sz="4" w:space="0" w:color="auto"/>
              <w:right w:val="single" w:sz="4" w:space="0" w:color="auto"/>
            </w:tcBorders>
            <w:shd w:val="clear" w:color="auto" w:fill="auto"/>
            <w:noWrap/>
            <w:vAlign w:val="center"/>
          </w:tcPr>
          <w:p w14:paraId="7BE5D927" w14:textId="3B1072D9"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3BC89EFC" w14:textId="4775ADFE"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42</w:t>
            </w:r>
          </w:p>
        </w:tc>
      </w:tr>
      <w:tr w:rsidR="00324402" w:rsidRPr="00AF3EDE" w14:paraId="2FA80819"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84453" w14:textId="1D300CBB" w:rsidR="00CF273E" w:rsidRPr="00462345" w:rsidRDefault="00CF273E" w:rsidP="00CF273E">
            <w:pPr>
              <w:spacing w:after="0" w:line="240" w:lineRule="auto"/>
              <w:rPr>
                <w:rFonts w:cs="Arial"/>
                <w:color w:val="000000"/>
                <w:sz w:val="16"/>
                <w:szCs w:val="16"/>
                <w:lang w:eastAsia="en-AU"/>
              </w:rPr>
            </w:pPr>
            <w:r>
              <w:rPr>
                <w:rFonts w:cs="Arial"/>
                <w:color w:val="000000"/>
                <w:sz w:val="16"/>
                <w:szCs w:val="16"/>
              </w:rPr>
              <w:t>Ermha Limited</w:t>
            </w:r>
          </w:p>
        </w:tc>
        <w:tc>
          <w:tcPr>
            <w:tcW w:w="1318" w:type="dxa"/>
            <w:tcBorders>
              <w:top w:val="single" w:sz="4" w:space="0" w:color="auto"/>
              <w:left w:val="nil"/>
              <w:bottom w:val="single" w:sz="4" w:space="0" w:color="auto"/>
              <w:right w:val="single" w:sz="4" w:space="0" w:color="auto"/>
            </w:tcBorders>
            <w:shd w:val="clear" w:color="auto" w:fill="auto"/>
            <w:noWrap/>
          </w:tcPr>
          <w:p w14:paraId="16E2196B" w14:textId="5D5D5E85" w:rsidR="00CF273E" w:rsidRPr="00462345" w:rsidRDefault="00CF273E" w:rsidP="00CF273E">
            <w:pPr>
              <w:spacing w:after="0" w:line="240" w:lineRule="auto"/>
              <w:jc w:val="right"/>
              <w:rPr>
                <w:rFonts w:cs="Arial"/>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20F59B4A" w14:textId="34FB2833"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5DBAF" w14:textId="5A5CD16C"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9C328" w14:textId="2E0D7255"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4725A325" w14:textId="54E7EDFC"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0B5AA" w14:textId="39098CAD"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61652" w14:textId="03F49AAC"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2C932048" w14:textId="4464F39A"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42</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234A317D" w14:textId="51CE0EAF"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70595F40" w14:textId="159832A5" w:rsidR="00CF273E" w:rsidRPr="00462345" w:rsidRDefault="00CF273E" w:rsidP="00CF273E">
            <w:pPr>
              <w:spacing w:after="0" w:line="240" w:lineRule="auto"/>
              <w:jc w:val="right"/>
              <w:rPr>
                <w:rFonts w:cs="Arial"/>
                <w:color w:val="000000"/>
                <w:sz w:val="16"/>
                <w:szCs w:val="16"/>
                <w:lang w:eastAsia="en-AU"/>
              </w:rPr>
            </w:pPr>
            <w:r>
              <w:rPr>
                <w:rFonts w:cs="Arial"/>
                <w:color w:val="000000"/>
                <w:sz w:val="16"/>
                <w:szCs w:val="16"/>
              </w:rPr>
              <w:t>42</w:t>
            </w:r>
          </w:p>
        </w:tc>
      </w:tr>
      <w:tr w:rsidR="00324402" w:rsidRPr="00AF3EDE" w14:paraId="5E25AADC"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B65A5" w14:textId="252A3719"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Harm Reduction Victoria Inc</w:t>
            </w:r>
          </w:p>
        </w:tc>
        <w:tc>
          <w:tcPr>
            <w:tcW w:w="1318" w:type="dxa"/>
            <w:tcBorders>
              <w:top w:val="single" w:sz="4" w:space="0" w:color="auto"/>
              <w:left w:val="nil"/>
              <w:bottom w:val="single" w:sz="4" w:space="0" w:color="auto"/>
              <w:right w:val="single" w:sz="4" w:space="0" w:color="auto"/>
            </w:tcBorders>
            <w:shd w:val="clear" w:color="auto" w:fill="auto"/>
            <w:noWrap/>
          </w:tcPr>
          <w:p w14:paraId="53875E7B" w14:textId="44600642"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123B10B4" w14:textId="5EC8942F"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071F9" w14:textId="5571831B"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11667" w14:textId="13CA3638"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07F190FB" w14:textId="4F8ECACC"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5490F" w14:textId="07CF2A25"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07D8B" w14:textId="1229CC77"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110D2713" w14:textId="51499500"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644</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0A0B4C2" w14:textId="29D1A4E3"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70433A6F" w14:textId="679B8DB0"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644</w:t>
            </w:r>
          </w:p>
        </w:tc>
      </w:tr>
      <w:tr w:rsidR="00324402" w:rsidRPr="00AF3EDE" w14:paraId="664AB0A2"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A020A" w14:textId="3051547D"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La Trobe University</w:t>
            </w:r>
          </w:p>
        </w:tc>
        <w:tc>
          <w:tcPr>
            <w:tcW w:w="1318" w:type="dxa"/>
            <w:tcBorders>
              <w:top w:val="single" w:sz="4" w:space="0" w:color="auto"/>
              <w:left w:val="nil"/>
              <w:bottom w:val="single" w:sz="4" w:space="0" w:color="auto"/>
              <w:right w:val="single" w:sz="4" w:space="0" w:color="auto"/>
            </w:tcBorders>
            <w:shd w:val="clear" w:color="auto" w:fill="auto"/>
            <w:noWrap/>
          </w:tcPr>
          <w:p w14:paraId="391D22FC" w14:textId="4B8CA96E"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2DD3E002" w14:textId="13CED7CF"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58AFD" w14:textId="215AF274"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D2B7" w14:textId="53753D34"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1,404</w:t>
            </w:r>
          </w:p>
        </w:tc>
        <w:tc>
          <w:tcPr>
            <w:tcW w:w="1318" w:type="dxa"/>
            <w:tcBorders>
              <w:top w:val="single" w:sz="4" w:space="0" w:color="auto"/>
              <w:left w:val="nil"/>
              <w:bottom w:val="single" w:sz="4" w:space="0" w:color="auto"/>
              <w:right w:val="single" w:sz="4" w:space="0" w:color="auto"/>
            </w:tcBorders>
            <w:shd w:val="clear" w:color="auto" w:fill="auto"/>
            <w:vAlign w:val="center"/>
          </w:tcPr>
          <w:p w14:paraId="793ABB2D" w14:textId="53B9D526"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DA945" w14:textId="0A5A16E1"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3A066" w14:textId="69DECAE5"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7FED24D8" w14:textId="4F4D5ECC"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775</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7AB70B9" w14:textId="726ACD03"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17104599" w14:textId="0F049939"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2,179</w:t>
            </w:r>
          </w:p>
        </w:tc>
      </w:tr>
      <w:tr w:rsidR="00324402" w:rsidRPr="00AF3EDE" w14:paraId="0C58F37E"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71D94" w14:textId="6F7C64A6"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Mind Australia</w:t>
            </w:r>
          </w:p>
        </w:tc>
        <w:tc>
          <w:tcPr>
            <w:tcW w:w="1318" w:type="dxa"/>
            <w:tcBorders>
              <w:top w:val="single" w:sz="4" w:space="0" w:color="auto"/>
              <w:left w:val="nil"/>
              <w:bottom w:val="single" w:sz="4" w:space="0" w:color="auto"/>
              <w:right w:val="single" w:sz="4" w:space="0" w:color="auto"/>
            </w:tcBorders>
            <w:shd w:val="clear" w:color="auto" w:fill="auto"/>
            <w:noWrap/>
          </w:tcPr>
          <w:p w14:paraId="40E691BB" w14:textId="1022E240"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68717A0A" w14:textId="4F26FAF4"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3B9EE" w14:textId="432EF58A"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0D9AB" w14:textId="23F3439C"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13477267" w14:textId="467570FE"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B58C7" w14:textId="20EEFF2F"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99419" w14:textId="710EB180"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29359B3" w14:textId="6769EB01"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42</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59E500F7" w14:textId="16CF3B8E"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4162F4DF" w14:textId="71B66DE6"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42</w:t>
            </w:r>
          </w:p>
        </w:tc>
      </w:tr>
      <w:tr w:rsidR="00324402" w:rsidRPr="00AF3EDE" w14:paraId="34B3E6CC"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95EEE" w14:textId="4F8D6265"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Neami Limited</w:t>
            </w:r>
          </w:p>
        </w:tc>
        <w:tc>
          <w:tcPr>
            <w:tcW w:w="1318" w:type="dxa"/>
            <w:tcBorders>
              <w:top w:val="single" w:sz="4" w:space="0" w:color="auto"/>
              <w:left w:val="nil"/>
              <w:bottom w:val="single" w:sz="4" w:space="0" w:color="auto"/>
              <w:right w:val="single" w:sz="4" w:space="0" w:color="auto"/>
            </w:tcBorders>
            <w:shd w:val="clear" w:color="auto" w:fill="auto"/>
            <w:noWrap/>
          </w:tcPr>
          <w:p w14:paraId="78BB8116" w14:textId="116BACF1"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4C5424C6" w14:textId="3D86327D"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39C77" w14:textId="51FDEE10"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66795" w14:textId="201F4252"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39A0FEC8" w14:textId="6A401888"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09D9E" w14:textId="0D768CB9"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B6BC0" w14:textId="047F110D"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57F164D0" w14:textId="234AB278"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42</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62B56503" w14:textId="2CA9346D"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63F1220B" w14:textId="1203A075"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42</w:t>
            </w:r>
          </w:p>
        </w:tc>
      </w:tr>
      <w:tr w:rsidR="00324402" w:rsidRPr="00AF3EDE" w14:paraId="23BD4F75"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4AEBE" w14:textId="25472E14"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Self Help Addiction Resource Centre Inc</w:t>
            </w:r>
          </w:p>
        </w:tc>
        <w:tc>
          <w:tcPr>
            <w:tcW w:w="1318" w:type="dxa"/>
            <w:tcBorders>
              <w:top w:val="single" w:sz="4" w:space="0" w:color="auto"/>
              <w:left w:val="nil"/>
              <w:bottom w:val="single" w:sz="4" w:space="0" w:color="auto"/>
              <w:right w:val="single" w:sz="4" w:space="0" w:color="auto"/>
            </w:tcBorders>
            <w:shd w:val="clear" w:color="auto" w:fill="auto"/>
            <w:noWrap/>
          </w:tcPr>
          <w:p w14:paraId="1630A9FC" w14:textId="6D35583D"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63F5DEDE" w14:textId="0116530A"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DEEF" w14:textId="4F740081"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C736D" w14:textId="45FC5BD1"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22375A37" w14:textId="7D5B3CB6"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51F6B" w14:textId="7C3B25EB"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351C5" w14:textId="734A0474"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6D4BCD2" w14:textId="1DF75D56"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684</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6A5C9E5A" w14:textId="4B64D2D3"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7E33C945" w14:textId="6224FAA2"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684</w:t>
            </w:r>
          </w:p>
        </w:tc>
      </w:tr>
      <w:tr w:rsidR="00324402" w:rsidRPr="00AF3EDE" w14:paraId="7FE7E711"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E0ADB" w14:textId="616D8361" w:rsidR="00CF273E" w:rsidRPr="00462345" w:rsidRDefault="00CF273E" w:rsidP="00CF273E">
            <w:pPr>
              <w:spacing w:after="0" w:line="240" w:lineRule="auto"/>
              <w:rPr>
                <w:rFonts w:cs="Arial"/>
                <w:b/>
                <w:bCs/>
                <w:color w:val="000000"/>
                <w:sz w:val="16"/>
                <w:szCs w:val="16"/>
                <w:lang w:eastAsia="en-AU"/>
              </w:rPr>
            </w:pPr>
            <w:r>
              <w:rPr>
                <w:rFonts w:cs="Arial"/>
                <w:color w:val="000000"/>
                <w:sz w:val="16"/>
                <w:szCs w:val="16"/>
              </w:rPr>
              <w:t>The University Of Melbourne</w:t>
            </w:r>
          </w:p>
        </w:tc>
        <w:tc>
          <w:tcPr>
            <w:tcW w:w="1318" w:type="dxa"/>
            <w:tcBorders>
              <w:top w:val="single" w:sz="4" w:space="0" w:color="auto"/>
              <w:left w:val="nil"/>
              <w:bottom w:val="single" w:sz="4" w:space="0" w:color="auto"/>
              <w:right w:val="single" w:sz="4" w:space="0" w:color="auto"/>
            </w:tcBorders>
            <w:shd w:val="clear" w:color="auto" w:fill="auto"/>
            <w:noWrap/>
          </w:tcPr>
          <w:p w14:paraId="3A1334BF" w14:textId="1A61E333"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0DDB5E47" w14:textId="501E1D96"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C89EF" w14:textId="7A66A3B4"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45BE1" w14:textId="660A8346"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584EAFB0" w14:textId="3C5AFF47"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5C093" w14:textId="420D773B"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8837" w14:textId="402D90CB"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56EB8464" w14:textId="5B8BC00B"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397</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2442C513" w14:textId="67A199ED"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308F2E17" w14:textId="7C9A7087" w:rsidR="00CF273E" w:rsidRPr="00462345" w:rsidRDefault="00CF273E" w:rsidP="00CF273E">
            <w:pPr>
              <w:spacing w:after="0" w:line="240" w:lineRule="auto"/>
              <w:jc w:val="right"/>
              <w:rPr>
                <w:rFonts w:cs="Arial"/>
                <w:b/>
                <w:bCs/>
                <w:color w:val="000000"/>
                <w:sz w:val="16"/>
                <w:szCs w:val="16"/>
                <w:lang w:eastAsia="en-AU"/>
              </w:rPr>
            </w:pPr>
            <w:r>
              <w:rPr>
                <w:rFonts w:cs="Arial"/>
                <w:color w:val="000000"/>
                <w:sz w:val="16"/>
                <w:szCs w:val="16"/>
              </w:rPr>
              <w:t>397</w:t>
            </w:r>
          </w:p>
        </w:tc>
      </w:tr>
      <w:tr w:rsidR="00CF273E" w:rsidRPr="00AF3EDE" w14:paraId="6C1BC477"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02295" w14:textId="4BDBED58" w:rsidR="00CF273E" w:rsidRDefault="00CF273E" w:rsidP="00CF273E">
            <w:pPr>
              <w:spacing w:after="0" w:line="240" w:lineRule="auto"/>
              <w:rPr>
                <w:rFonts w:cs="Arial"/>
                <w:color w:val="000000"/>
                <w:sz w:val="16"/>
                <w:szCs w:val="16"/>
              </w:rPr>
            </w:pPr>
            <w:r>
              <w:rPr>
                <w:rFonts w:cs="Arial"/>
                <w:color w:val="000000"/>
                <w:sz w:val="16"/>
                <w:szCs w:val="16"/>
              </w:rPr>
              <w:t>Uniting (Victoria And Tasmania) Limited</w:t>
            </w:r>
          </w:p>
        </w:tc>
        <w:tc>
          <w:tcPr>
            <w:tcW w:w="1318" w:type="dxa"/>
            <w:tcBorders>
              <w:top w:val="single" w:sz="4" w:space="0" w:color="auto"/>
              <w:left w:val="nil"/>
              <w:bottom w:val="single" w:sz="4" w:space="0" w:color="auto"/>
              <w:right w:val="single" w:sz="4" w:space="0" w:color="auto"/>
            </w:tcBorders>
            <w:shd w:val="clear" w:color="auto" w:fill="auto"/>
            <w:noWrap/>
          </w:tcPr>
          <w:p w14:paraId="604B783B" w14:textId="4F2D1E03" w:rsidR="00CF273E" w:rsidRDefault="00CF273E" w:rsidP="00CF273E">
            <w:pPr>
              <w:spacing w:after="0" w:line="240" w:lineRule="auto"/>
              <w:jc w:val="right"/>
              <w:rPr>
                <w:rFonts w:cs="Arial"/>
                <w:b/>
                <w:bCs/>
                <w:color w:val="53565A"/>
                <w:sz w:val="16"/>
                <w:szCs w:val="16"/>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4A5061EC" w14:textId="10E53927"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9898F" w14:textId="44CE3B66"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ED8DD" w14:textId="36C994AB"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6CC26CAD" w14:textId="6E592B13"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0133E" w14:textId="6DD678A0"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F2F07" w14:textId="57DE94B9"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03C02F9" w14:textId="10FC6E21" w:rsidR="00CF273E" w:rsidRDefault="00CF273E" w:rsidP="00CF273E">
            <w:pPr>
              <w:spacing w:after="0" w:line="240" w:lineRule="auto"/>
              <w:jc w:val="right"/>
              <w:rPr>
                <w:rFonts w:cs="Arial"/>
                <w:color w:val="000000"/>
                <w:sz w:val="16"/>
                <w:szCs w:val="16"/>
              </w:rPr>
            </w:pPr>
            <w:r>
              <w:rPr>
                <w:rFonts w:cs="Arial"/>
                <w:color w:val="000000"/>
                <w:sz w:val="16"/>
                <w:szCs w:val="16"/>
              </w:rPr>
              <w:t>370</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094AE5B9" w14:textId="3F199133"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195BA6D4" w14:textId="52E4279E" w:rsidR="00CF273E" w:rsidRDefault="00CF273E" w:rsidP="00CF273E">
            <w:pPr>
              <w:spacing w:after="0" w:line="240" w:lineRule="auto"/>
              <w:jc w:val="right"/>
              <w:rPr>
                <w:rFonts w:cs="Arial"/>
                <w:color w:val="000000"/>
                <w:sz w:val="16"/>
                <w:szCs w:val="16"/>
              </w:rPr>
            </w:pPr>
            <w:r>
              <w:rPr>
                <w:rFonts w:cs="Arial"/>
                <w:color w:val="000000"/>
                <w:sz w:val="16"/>
                <w:szCs w:val="16"/>
              </w:rPr>
              <w:t>370</w:t>
            </w:r>
          </w:p>
        </w:tc>
      </w:tr>
      <w:tr w:rsidR="00CF273E" w:rsidRPr="00AF3EDE" w14:paraId="6590ECC2"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D04F1" w14:textId="15D0CD4A" w:rsidR="00CF273E" w:rsidRDefault="00CF273E" w:rsidP="00CF273E">
            <w:pPr>
              <w:spacing w:after="0" w:line="240" w:lineRule="auto"/>
              <w:rPr>
                <w:rFonts w:cs="Arial"/>
                <w:color w:val="000000"/>
                <w:sz w:val="16"/>
                <w:szCs w:val="16"/>
              </w:rPr>
            </w:pPr>
            <w:r>
              <w:rPr>
                <w:rFonts w:cs="Arial"/>
                <w:color w:val="000000"/>
                <w:sz w:val="16"/>
                <w:szCs w:val="16"/>
              </w:rPr>
              <w:t>Wellways Australia Limited</w:t>
            </w:r>
          </w:p>
        </w:tc>
        <w:tc>
          <w:tcPr>
            <w:tcW w:w="1318" w:type="dxa"/>
            <w:tcBorders>
              <w:top w:val="single" w:sz="4" w:space="0" w:color="auto"/>
              <w:left w:val="nil"/>
              <w:bottom w:val="single" w:sz="4" w:space="0" w:color="auto"/>
              <w:right w:val="single" w:sz="4" w:space="0" w:color="auto"/>
            </w:tcBorders>
            <w:shd w:val="clear" w:color="auto" w:fill="auto"/>
            <w:noWrap/>
          </w:tcPr>
          <w:p w14:paraId="25C340D5" w14:textId="06605126" w:rsidR="00CF273E" w:rsidRDefault="00CF273E" w:rsidP="00CF273E">
            <w:pPr>
              <w:spacing w:after="0" w:line="240" w:lineRule="auto"/>
              <w:jc w:val="right"/>
              <w:rPr>
                <w:rFonts w:cs="Arial"/>
                <w:b/>
                <w:bCs/>
                <w:color w:val="53565A"/>
                <w:sz w:val="16"/>
                <w:szCs w:val="16"/>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4E9AF675" w14:textId="3815DA4C"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DCEE1" w14:textId="396477FE"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6688E" w14:textId="5E5C11B4"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1385C8C2" w14:textId="0D201CB5"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84A9" w14:textId="23F9F7F7"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4F422" w14:textId="47AA78A6"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9065A53" w14:textId="71E361CD" w:rsidR="00CF273E" w:rsidRDefault="00CF273E" w:rsidP="00CF273E">
            <w:pPr>
              <w:spacing w:after="0" w:line="240" w:lineRule="auto"/>
              <w:jc w:val="right"/>
              <w:rPr>
                <w:rFonts w:cs="Arial"/>
                <w:color w:val="000000"/>
                <w:sz w:val="16"/>
                <w:szCs w:val="16"/>
              </w:rPr>
            </w:pPr>
            <w:r>
              <w:rPr>
                <w:rFonts w:cs="Arial"/>
                <w:color w:val="000000"/>
                <w:sz w:val="16"/>
                <w:szCs w:val="16"/>
              </w:rPr>
              <w:t>42</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3C3EECE" w14:textId="3B2BEC16" w:rsidR="00CF273E" w:rsidRDefault="00CF273E" w:rsidP="00CF273E">
            <w:pPr>
              <w:spacing w:after="0" w:line="240" w:lineRule="auto"/>
              <w:jc w:val="right"/>
              <w:rPr>
                <w:rFonts w:cs="Arial"/>
                <w:color w:val="000000"/>
                <w:sz w:val="16"/>
                <w:szCs w:val="16"/>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4EAD332C" w14:textId="1F0CD027" w:rsidR="00CF273E" w:rsidRDefault="00CF273E" w:rsidP="00CF273E">
            <w:pPr>
              <w:spacing w:after="0" w:line="240" w:lineRule="auto"/>
              <w:jc w:val="right"/>
              <w:rPr>
                <w:rFonts w:cs="Arial"/>
                <w:color w:val="000000"/>
                <w:sz w:val="16"/>
                <w:szCs w:val="16"/>
              </w:rPr>
            </w:pPr>
            <w:r>
              <w:rPr>
                <w:rFonts w:cs="Arial"/>
                <w:color w:val="000000"/>
                <w:sz w:val="16"/>
                <w:szCs w:val="16"/>
              </w:rPr>
              <w:t>42</w:t>
            </w:r>
          </w:p>
        </w:tc>
      </w:tr>
      <w:tr w:rsidR="00324402" w:rsidRPr="00AF3EDE" w14:paraId="4A67F74E" w14:textId="77777777" w:rsidTr="0024429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878A6" w14:textId="37AD7FEB" w:rsidR="00CF273E" w:rsidRPr="00462345" w:rsidRDefault="00CF273E" w:rsidP="00CF273E">
            <w:pPr>
              <w:spacing w:after="0" w:line="240" w:lineRule="auto"/>
              <w:rPr>
                <w:rFonts w:cs="Arial"/>
                <w:b/>
                <w:bCs/>
                <w:color w:val="000000"/>
                <w:sz w:val="16"/>
                <w:szCs w:val="16"/>
                <w:lang w:eastAsia="en-AU"/>
              </w:rPr>
            </w:pPr>
            <w:r>
              <w:rPr>
                <w:rFonts w:cs="Arial"/>
                <w:b/>
                <w:bCs/>
                <w:color w:val="000000"/>
                <w:sz w:val="16"/>
                <w:szCs w:val="16"/>
              </w:rPr>
              <w:t>Total</w:t>
            </w:r>
          </w:p>
        </w:tc>
        <w:tc>
          <w:tcPr>
            <w:tcW w:w="1318" w:type="dxa"/>
            <w:tcBorders>
              <w:top w:val="single" w:sz="4" w:space="0" w:color="auto"/>
              <w:left w:val="nil"/>
              <w:bottom w:val="single" w:sz="4" w:space="0" w:color="auto"/>
              <w:right w:val="single" w:sz="4" w:space="0" w:color="auto"/>
            </w:tcBorders>
            <w:shd w:val="clear" w:color="auto" w:fill="auto"/>
            <w:noWrap/>
          </w:tcPr>
          <w:p w14:paraId="3A5973B6" w14:textId="298ED583" w:rsidR="00CF273E" w:rsidRPr="00462345" w:rsidRDefault="00CF273E" w:rsidP="00CF273E">
            <w:pPr>
              <w:spacing w:after="0" w:line="240" w:lineRule="auto"/>
              <w:jc w:val="right"/>
              <w:rPr>
                <w:rFonts w:cs="Arial"/>
                <w:b/>
                <w:bCs/>
                <w:color w:val="000000"/>
                <w:sz w:val="16"/>
                <w:szCs w:val="16"/>
                <w:lang w:eastAsia="en-AU"/>
              </w:rPr>
            </w:pPr>
            <w:r>
              <w:rPr>
                <w:rFonts w:cs="Arial"/>
                <w:b/>
                <w:bCs/>
                <w:color w:val="53565A"/>
                <w:sz w:val="16"/>
                <w:szCs w:val="16"/>
              </w:rPr>
              <w:t> </w:t>
            </w:r>
          </w:p>
        </w:tc>
        <w:tc>
          <w:tcPr>
            <w:tcW w:w="1318" w:type="dxa"/>
            <w:tcBorders>
              <w:top w:val="single" w:sz="4" w:space="0" w:color="auto"/>
              <w:left w:val="nil"/>
              <w:bottom w:val="single" w:sz="4" w:space="0" w:color="auto"/>
              <w:right w:val="single" w:sz="4" w:space="0" w:color="auto"/>
            </w:tcBorders>
            <w:vAlign w:val="center"/>
          </w:tcPr>
          <w:p w14:paraId="14B8ED41" w14:textId="441A0198"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28BD1" w14:textId="2C19AB18"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A830D" w14:textId="096B0CC1"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1,404</w:t>
            </w:r>
          </w:p>
        </w:tc>
        <w:tc>
          <w:tcPr>
            <w:tcW w:w="1318" w:type="dxa"/>
            <w:tcBorders>
              <w:top w:val="single" w:sz="4" w:space="0" w:color="auto"/>
              <w:left w:val="nil"/>
              <w:bottom w:val="single" w:sz="4" w:space="0" w:color="auto"/>
              <w:right w:val="single" w:sz="4" w:space="0" w:color="auto"/>
            </w:tcBorders>
            <w:shd w:val="clear" w:color="auto" w:fill="auto"/>
            <w:vAlign w:val="center"/>
          </w:tcPr>
          <w:p w14:paraId="6A73F85F" w14:textId="6AD4FF55" w:rsidR="00CF273E" w:rsidRDefault="00CF273E" w:rsidP="00CF273E">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2776C" w14:textId="27363FF8"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1AB6" w14:textId="3B39866D"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4739A5F6" w14:textId="3A8AD1B7"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3,077</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09A0B34D" w14:textId="54E84848"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750B37C8" w14:textId="538112F2" w:rsidR="00CF273E" w:rsidRPr="00462345" w:rsidRDefault="00CF273E" w:rsidP="00CF273E">
            <w:pPr>
              <w:spacing w:after="0" w:line="240" w:lineRule="auto"/>
              <w:jc w:val="right"/>
              <w:rPr>
                <w:rFonts w:cs="Arial"/>
                <w:b/>
                <w:bCs/>
                <w:color w:val="000000"/>
                <w:sz w:val="16"/>
                <w:szCs w:val="16"/>
                <w:lang w:eastAsia="en-AU"/>
              </w:rPr>
            </w:pPr>
            <w:r>
              <w:rPr>
                <w:rFonts w:cs="Arial"/>
                <w:b/>
                <w:bCs/>
                <w:color w:val="000000"/>
                <w:sz w:val="16"/>
                <w:szCs w:val="16"/>
              </w:rPr>
              <w:t>4,482</w:t>
            </w:r>
          </w:p>
        </w:tc>
      </w:tr>
    </w:tbl>
    <w:p w14:paraId="7E49274A" w14:textId="77777777" w:rsidR="005B699B" w:rsidRDefault="005B699B" w:rsidP="00E00C4E">
      <w:pPr>
        <w:pStyle w:val="Body"/>
      </w:pPr>
    </w:p>
    <w:p w14:paraId="5E1DE7D5" w14:textId="77777777" w:rsidR="00F8537C" w:rsidRDefault="00F8537C" w:rsidP="000723BA">
      <w:pPr>
        <w:pStyle w:val="Body"/>
      </w:pPr>
    </w:p>
    <w:p w14:paraId="57753276" w14:textId="77777777" w:rsidR="005B699B" w:rsidRPr="00E00C4E" w:rsidRDefault="005B699B" w:rsidP="000723BA">
      <w:pPr>
        <w:pStyle w:val="Body"/>
      </w:pPr>
      <w:r w:rsidRPr="00E00C4E">
        <w:t>Other – $’000s</w:t>
      </w:r>
    </w:p>
    <w:tbl>
      <w:tblPr>
        <w:tblW w:w="15026" w:type="dxa"/>
        <w:tblInd w:w="-147" w:type="dxa"/>
        <w:tblLayout w:type="fixed"/>
        <w:tblLook w:val="04A0" w:firstRow="1" w:lastRow="0" w:firstColumn="1" w:lastColumn="0" w:noHBand="0" w:noVBand="1"/>
      </w:tblPr>
      <w:tblGrid>
        <w:gridCol w:w="1843"/>
        <w:gridCol w:w="1318"/>
        <w:gridCol w:w="1318"/>
        <w:gridCol w:w="1318"/>
        <w:gridCol w:w="1319"/>
        <w:gridCol w:w="1318"/>
        <w:gridCol w:w="1318"/>
        <w:gridCol w:w="1319"/>
        <w:gridCol w:w="1318"/>
        <w:gridCol w:w="1318"/>
        <w:gridCol w:w="1319"/>
      </w:tblGrid>
      <w:tr w:rsidR="008331FF" w:rsidRPr="00AF3EDE" w14:paraId="05EAB351" w14:textId="77777777" w:rsidTr="008331FF">
        <w:trPr>
          <w:trHeight w:val="818"/>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85062F4" w14:textId="77777777" w:rsidR="008331FF" w:rsidRPr="00AF3EDE" w:rsidRDefault="008331FF">
            <w:pPr>
              <w:spacing w:after="0" w:line="240" w:lineRule="auto"/>
              <w:rPr>
                <w:rFonts w:cs="Arial"/>
                <w:b/>
                <w:bCs/>
                <w:color w:val="53565A"/>
                <w:sz w:val="16"/>
                <w:szCs w:val="16"/>
                <w:lang w:eastAsia="en-AU"/>
              </w:rPr>
            </w:pPr>
            <w:r w:rsidRPr="00AF3EDE">
              <w:rPr>
                <w:rFonts w:cs="Arial"/>
                <w:b/>
                <w:bCs/>
                <w:color w:val="53565A"/>
                <w:sz w:val="16"/>
                <w:szCs w:val="16"/>
                <w:lang w:eastAsia="en-AU"/>
              </w:rPr>
              <w:t xml:space="preserve">Health service </w:t>
            </w:r>
          </w:p>
        </w:tc>
        <w:tc>
          <w:tcPr>
            <w:tcW w:w="1318" w:type="dxa"/>
            <w:tcBorders>
              <w:top w:val="single" w:sz="4" w:space="0" w:color="auto"/>
              <w:left w:val="nil"/>
              <w:bottom w:val="single" w:sz="4" w:space="0" w:color="auto"/>
              <w:right w:val="single" w:sz="4" w:space="0" w:color="auto"/>
            </w:tcBorders>
            <w:shd w:val="clear" w:color="auto" w:fill="auto"/>
            <w:hideMark/>
          </w:tcPr>
          <w:p w14:paraId="3EF12B4B"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Acute</w:t>
            </w:r>
          </w:p>
        </w:tc>
        <w:tc>
          <w:tcPr>
            <w:tcW w:w="1318" w:type="dxa"/>
            <w:tcBorders>
              <w:top w:val="single" w:sz="4" w:space="0" w:color="auto"/>
              <w:left w:val="single" w:sz="4" w:space="0" w:color="auto"/>
              <w:bottom w:val="single" w:sz="4" w:space="0" w:color="auto"/>
              <w:right w:val="single" w:sz="4" w:space="0" w:color="auto"/>
            </w:tcBorders>
          </w:tcPr>
          <w:p w14:paraId="2CB60A4C" w14:textId="77777777" w:rsidR="008331FF" w:rsidRPr="004D2156" w:rsidRDefault="008331FF" w:rsidP="00970F2D">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435A8F96" w14:textId="4C2A12F9" w:rsidR="008331FF" w:rsidRPr="001B1818" w:rsidRDefault="008331FF" w:rsidP="00970F2D">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 xml:space="preserve">Admitted </w:t>
            </w:r>
            <w:r w:rsidR="003142AC" w:rsidRPr="004D2156">
              <w:rPr>
                <w:rFonts w:cs="Arial"/>
                <w:b/>
                <w:bCs/>
                <w:color w:val="53565A"/>
                <w:sz w:val="16"/>
                <w:szCs w:val="16"/>
                <w:lang w:eastAsia="en-AU"/>
              </w:rPr>
              <w:t>Inpatient Services</w:t>
            </w:r>
            <w:r w:rsidR="003142AC">
              <w:rPr>
                <w:rFonts w:cs="Arial"/>
                <w:b/>
                <w:bCs/>
                <w:color w:val="53565A"/>
                <w:sz w:val="16"/>
                <w:szCs w:val="16"/>
                <w:lang w:eastAsia="en-AU"/>
              </w:rPr>
              <w:t xml:space="preserve"> - Other</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4516B171"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Non Acute</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2A203AF"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Ambulatory</w:t>
            </w:r>
          </w:p>
        </w:tc>
        <w:tc>
          <w:tcPr>
            <w:tcW w:w="1318" w:type="dxa"/>
            <w:tcBorders>
              <w:top w:val="single" w:sz="4" w:space="0" w:color="auto"/>
              <w:left w:val="nil"/>
              <w:bottom w:val="single" w:sz="4" w:space="0" w:color="auto"/>
              <w:right w:val="single" w:sz="4" w:space="0" w:color="auto"/>
            </w:tcBorders>
            <w:shd w:val="clear" w:color="auto" w:fill="auto"/>
          </w:tcPr>
          <w:p w14:paraId="77555E28" w14:textId="77777777" w:rsidR="008331FF" w:rsidRPr="00FA7243" w:rsidRDefault="008331FF" w:rsidP="008331FF">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56D604F5" w14:textId="210A20B1" w:rsidR="008331FF" w:rsidRPr="001B1818" w:rsidRDefault="008331FF" w:rsidP="008331FF">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Out of scope agreement</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46B3D5C7" w14:textId="30D78354" w:rsidR="008331FF"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6C741CEC" w14:textId="2B3FB948" w:rsidR="008331FF" w:rsidRPr="00AF3EDE" w:rsidRDefault="008331FF">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Psychosocial Rehabilitation &amp; Support</w:t>
            </w:r>
          </w:p>
        </w:tc>
        <w:tc>
          <w:tcPr>
            <w:tcW w:w="1319" w:type="dxa"/>
            <w:tcBorders>
              <w:top w:val="single" w:sz="4" w:space="0" w:color="auto"/>
              <w:left w:val="nil"/>
              <w:bottom w:val="single" w:sz="4" w:space="0" w:color="auto"/>
              <w:right w:val="single" w:sz="4" w:space="0" w:color="auto"/>
            </w:tcBorders>
            <w:shd w:val="clear" w:color="auto" w:fill="auto"/>
            <w:hideMark/>
          </w:tcPr>
          <w:p w14:paraId="3D868D75"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Residential</w:t>
            </w:r>
          </w:p>
        </w:tc>
        <w:tc>
          <w:tcPr>
            <w:tcW w:w="1318" w:type="dxa"/>
            <w:tcBorders>
              <w:top w:val="single" w:sz="4" w:space="0" w:color="auto"/>
              <w:left w:val="nil"/>
              <w:bottom w:val="single" w:sz="4" w:space="0" w:color="auto"/>
              <w:right w:val="single" w:sz="4" w:space="0" w:color="auto"/>
            </w:tcBorders>
            <w:shd w:val="clear" w:color="auto" w:fill="auto"/>
            <w:hideMark/>
          </w:tcPr>
          <w:p w14:paraId="6DEDA7EE" w14:textId="77777777" w:rsidR="008331FF"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51503AEA" w14:textId="77777777" w:rsidR="008331FF" w:rsidRPr="00AF3EDE" w:rsidRDefault="008331FF">
            <w:pPr>
              <w:spacing w:after="0" w:line="240" w:lineRule="auto"/>
              <w:jc w:val="right"/>
              <w:rPr>
                <w:rFonts w:cs="Arial"/>
                <w:b/>
                <w:bCs/>
                <w:color w:val="53565A"/>
                <w:sz w:val="16"/>
                <w:szCs w:val="16"/>
                <w:lang w:eastAsia="en-AU"/>
              </w:rPr>
            </w:pPr>
            <w:r w:rsidRPr="000C4609">
              <w:rPr>
                <w:rFonts w:cs="Arial"/>
                <w:b/>
                <w:bCs/>
                <w:color w:val="53565A"/>
                <w:sz w:val="16"/>
                <w:szCs w:val="16"/>
                <w:lang w:eastAsia="en-AU"/>
              </w:rPr>
              <w:t>Service System Capacity</w:t>
            </w:r>
          </w:p>
        </w:tc>
        <w:tc>
          <w:tcPr>
            <w:tcW w:w="1318" w:type="dxa"/>
            <w:tcBorders>
              <w:top w:val="single" w:sz="4" w:space="0" w:color="auto"/>
              <w:left w:val="nil"/>
              <w:bottom w:val="single" w:sz="4" w:space="0" w:color="auto"/>
              <w:right w:val="single" w:sz="4" w:space="0" w:color="auto"/>
            </w:tcBorders>
            <w:shd w:val="clear" w:color="auto" w:fill="auto"/>
            <w:hideMark/>
          </w:tcPr>
          <w:p w14:paraId="0DF0FAC1"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Subacute</w:t>
            </w:r>
          </w:p>
        </w:tc>
        <w:tc>
          <w:tcPr>
            <w:tcW w:w="1319" w:type="dxa"/>
            <w:tcBorders>
              <w:top w:val="single" w:sz="4" w:space="0" w:color="auto"/>
              <w:left w:val="nil"/>
              <w:bottom w:val="single" w:sz="4" w:space="0" w:color="auto"/>
              <w:right w:val="single" w:sz="4" w:space="0" w:color="auto"/>
            </w:tcBorders>
            <w:hideMark/>
          </w:tcPr>
          <w:p w14:paraId="70D0661F" w14:textId="77777777" w:rsidR="008331FF" w:rsidRPr="00AF3EDE" w:rsidRDefault="008331F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0C4609">
              <w:rPr>
                <w:rFonts w:cs="Arial"/>
                <w:b/>
                <w:bCs/>
                <w:color w:val="53565A"/>
                <w:sz w:val="16"/>
                <w:szCs w:val="16"/>
                <w:lang w:eastAsia="en-AU"/>
              </w:rPr>
              <w:br/>
              <w:t>Total</w:t>
            </w:r>
          </w:p>
        </w:tc>
      </w:tr>
      <w:tr w:rsidR="00CC09AC" w:rsidRPr="00AF3EDE" w14:paraId="0763B5DA"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7EDEE3D" w14:textId="5AA5FB8D"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Kinglake Ranges Neighbourhood House Inc</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1DD95C66" w14:textId="7E86AB41"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06BE2BF3" w14:textId="2C75044B"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7E69" w14:textId="4C6DCF6A"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05551" w14:textId="40BBB5A1"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ECDE10E" w14:textId="7C33B927"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5CFBA" w14:textId="7571A712"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F0177" w14:textId="797D0E76"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0579" w14:textId="2CFFA67D"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155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6EB98" w14:textId="11F2000E"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noWrap/>
            <w:vAlign w:val="center"/>
          </w:tcPr>
          <w:p w14:paraId="0B48EAC8" w14:textId="63595BA5"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155</w:t>
            </w:r>
          </w:p>
        </w:tc>
      </w:tr>
      <w:tr w:rsidR="00CC09AC" w:rsidRPr="00AF3EDE" w14:paraId="014C83A9"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74432B5" w14:textId="6E251459"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Lyndoch Living Inc</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2E59FA4F" w14:textId="1E60C4AE"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58BF24D8" w14:textId="440C388B"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47726" w14:textId="32590006"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BCD76" w14:textId="35989B0F"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25A97EF" w14:textId="3A8165E4"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60DD9" w14:textId="47D6D479"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F98C" w14:textId="3F154D4E"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415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B6725" w14:textId="4B0C5287"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0D6E1" w14:textId="15891170"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noWrap/>
            <w:vAlign w:val="center"/>
          </w:tcPr>
          <w:p w14:paraId="10E02087" w14:textId="1D3A2EFE"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415</w:t>
            </w:r>
          </w:p>
        </w:tc>
      </w:tr>
      <w:tr w:rsidR="00CC09AC" w:rsidRPr="00AF3EDE" w14:paraId="78938808"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0A9814D" w14:textId="4301B4F1"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Orygen Research Centre</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1D26CDF" w14:textId="6A3D0356" w:rsidR="00CC09AC" w:rsidRPr="00B469AB" w:rsidRDefault="00CC09AC" w:rsidP="00CC09AC">
            <w:pPr>
              <w:spacing w:after="0" w:line="240" w:lineRule="auto"/>
              <w:jc w:val="right"/>
              <w:rPr>
                <w:rFonts w:cs="Arial"/>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70A77143" w14:textId="7908CA9D"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117C4" w14:textId="1F2E3252"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9A0EE" w14:textId="0DCB4329"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27E9C87" w14:textId="49DC42A0"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A56D" w14:textId="4A402F5D"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A0DB4" w14:textId="2EFE6A17"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C9AB1" w14:textId="2900C038"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74C24" w14:textId="17CC28F5"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5,076</w:t>
            </w:r>
          </w:p>
        </w:tc>
        <w:tc>
          <w:tcPr>
            <w:tcW w:w="1319" w:type="dxa"/>
            <w:tcBorders>
              <w:top w:val="single" w:sz="4" w:space="0" w:color="auto"/>
              <w:left w:val="single" w:sz="4" w:space="0" w:color="auto"/>
              <w:bottom w:val="single" w:sz="4" w:space="0" w:color="auto"/>
              <w:right w:val="single" w:sz="4" w:space="0" w:color="auto"/>
            </w:tcBorders>
            <w:noWrap/>
            <w:vAlign w:val="center"/>
          </w:tcPr>
          <w:p w14:paraId="33810B19" w14:textId="1376E0CA"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5,076</w:t>
            </w:r>
          </w:p>
        </w:tc>
      </w:tr>
      <w:tr w:rsidR="00CC09AC" w:rsidRPr="00AF3EDE" w14:paraId="288F035B"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F31E61E" w14:textId="06893F03"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The Queen Elizabeth Centre</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85606F5" w14:textId="57E71BF4" w:rsidR="00CC09AC" w:rsidRPr="00B469AB" w:rsidRDefault="00CC09AC" w:rsidP="00CC09AC">
            <w:pPr>
              <w:spacing w:after="0" w:line="240" w:lineRule="auto"/>
              <w:jc w:val="right"/>
              <w:rPr>
                <w:rFonts w:cs="Arial"/>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2174DFA9" w14:textId="190702CF"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5BACC" w14:textId="493EDDEA"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BFD21" w14:textId="67DE519B"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12DF0CE3" w14:textId="56ED8531"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8660" w14:textId="4ADC57CE"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41E1CADF" w14:textId="54E15684"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0E30971F" w14:textId="7C5E7480"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149</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79222606" w14:textId="2906C5E6"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2E19A300" w14:textId="2D87E2BE"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149</w:t>
            </w:r>
          </w:p>
        </w:tc>
      </w:tr>
      <w:tr w:rsidR="00CC09AC" w:rsidRPr="00AF3EDE" w14:paraId="6CDAB2EA"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180710F" w14:textId="47FEAD74"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Tweddle Child &amp; Family Health Service</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077E0C5E" w14:textId="1087DF67" w:rsidR="00CC09AC" w:rsidRPr="00B469AB" w:rsidRDefault="00CC09AC" w:rsidP="00CC09AC">
            <w:pPr>
              <w:spacing w:after="0" w:line="240" w:lineRule="auto"/>
              <w:jc w:val="right"/>
              <w:rPr>
                <w:rFonts w:cs="Arial"/>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069DE5D8" w14:textId="4F1D58D5"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D234E" w14:textId="12AF5B74"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020CE" w14:textId="759FD574"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351C7CD4" w14:textId="0FCCABF8"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764E4" w14:textId="7AABB6F3"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68964170" w14:textId="2F5E06B2"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675951E2" w14:textId="67A41872"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152</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68A73007" w14:textId="54B45223"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nil"/>
              <w:bottom w:val="single" w:sz="4" w:space="0" w:color="auto"/>
              <w:right w:val="single" w:sz="4" w:space="0" w:color="auto"/>
            </w:tcBorders>
            <w:noWrap/>
            <w:vAlign w:val="center"/>
          </w:tcPr>
          <w:p w14:paraId="70EA7014" w14:textId="71A804A4"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152</w:t>
            </w:r>
          </w:p>
        </w:tc>
      </w:tr>
      <w:tr w:rsidR="00CC09AC" w:rsidRPr="00AF3EDE" w14:paraId="031B0774"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87B8FB5" w14:textId="4EA4FF6F" w:rsidR="00CC09AC" w:rsidRPr="00B469AB" w:rsidRDefault="00CC09AC" w:rsidP="00CC09AC">
            <w:pPr>
              <w:spacing w:after="0" w:line="240" w:lineRule="auto"/>
              <w:rPr>
                <w:rFonts w:cs="Arial"/>
                <w:color w:val="000000"/>
                <w:sz w:val="16"/>
                <w:szCs w:val="16"/>
                <w:lang w:eastAsia="en-AU"/>
              </w:rPr>
            </w:pPr>
            <w:r>
              <w:rPr>
                <w:rFonts w:cs="Arial"/>
                <w:color w:val="000000"/>
                <w:sz w:val="16"/>
                <w:szCs w:val="16"/>
              </w:rPr>
              <w:t>Victorian Council Of Social Services</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3744FB34" w14:textId="299556AD" w:rsidR="00CC09AC" w:rsidRPr="00B469AB" w:rsidRDefault="00CC09AC" w:rsidP="00CC09AC">
            <w:pPr>
              <w:spacing w:after="0" w:line="240" w:lineRule="auto"/>
              <w:jc w:val="right"/>
              <w:rPr>
                <w:rFonts w:cs="Arial"/>
                <w:color w:val="000000"/>
                <w:sz w:val="16"/>
                <w:szCs w:val="16"/>
                <w:lang w:eastAsia="en-AU"/>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6C65DBD2" w14:textId="48C4981A"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EF0A4" w14:textId="1D1D060B"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2860A" w14:textId="58212C52"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single" w:sz="4" w:space="0" w:color="auto"/>
              <w:left w:val="nil"/>
              <w:bottom w:val="single" w:sz="4" w:space="0" w:color="auto"/>
              <w:right w:val="single" w:sz="4" w:space="0" w:color="auto"/>
            </w:tcBorders>
            <w:shd w:val="clear" w:color="auto" w:fill="auto"/>
            <w:vAlign w:val="center"/>
          </w:tcPr>
          <w:p w14:paraId="4BFEEAB0" w14:textId="0BAE276D"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D0BE5" w14:textId="199F43EA"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1CEE1700" w14:textId="462D6684"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74F5276D" w14:textId="0499FF09"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203</w:t>
            </w:r>
          </w:p>
        </w:tc>
        <w:tc>
          <w:tcPr>
            <w:tcW w:w="1318" w:type="dxa"/>
            <w:tcBorders>
              <w:top w:val="nil"/>
              <w:left w:val="nil"/>
              <w:bottom w:val="single" w:sz="4" w:space="0" w:color="auto"/>
              <w:right w:val="single" w:sz="4" w:space="0" w:color="auto"/>
            </w:tcBorders>
            <w:shd w:val="clear" w:color="auto" w:fill="auto"/>
            <w:noWrap/>
            <w:vAlign w:val="center"/>
          </w:tcPr>
          <w:p w14:paraId="7BF664EC" w14:textId="14F2DBA8" w:rsidR="00CC09AC" w:rsidRPr="00B469AB" w:rsidRDefault="00CC09AC" w:rsidP="00CC09AC">
            <w:pPr>
              <w:spacing w:after="0" w:line="240" w:lineRule="auto"/>
              <w:jc w:val="right"/>
              <w:rPr>
                <w:rFonts w:cs="Arial"/>
                <w:color w:val="000000"/>
                <w:sz w:val="16"/>
                <w:szCs w:val="16"/>
                <w:lang w:eastAsia="en-AU"/>
              </w:rPr>
            </w:pPr>
            <w:r>
              <w:rPr>
                <w:rFonts w:cs="Arial"/>
                <w:color w:val="000000"/>
                <w:sz w:val="16"/>
                <w:szCs w:val="16"/>
              </w:rPr>
              <w:t> </w:t>
            </w:r>
          </w:p>
        </w:tc>
        <w:tc>
          <w:tcPr>
            <w:tcW w:w="1319" w:type="dxa"/>
            <w:tcBorders>
              <w:top w:val="nil"/>
              <w:left w:val="nil"/>
              <w:bottom w:val="single" w:sz="4" w:space="0" w:color="auto"/>
              <w:right w:val="single" w:sz="4" w:space="0" w:color="auto"/>
            </w:tcBorders>
            <w:noWrap/>
            <w:vAlign w:val="center"/>
          </w:tcPr>
          <w:p w14:paraId="368ABA54" w14:textId="3A883F83" w:rsidR="00CC09AC" w:rsidRPr="00B469AB" w:rsidRDefault="00CC09AC" w:rsidP="00CC09AC">
            <w:pPr>
              <w:spacing w:after="0" w:line="240" w:lineRule="auto"/>
              <w:jc w:val="right"/>
              <w:rPr>
                <w:rFonts w:cs="Arial"/>
                <w:b/>
                <w:bCs/>
                <w:color w:val="000000"/>
                <w:sz w:val="16"/>
                <w:szCs w:val="16"/>
                <w:lang w:eastAsia="en-AU"/>
              </w:rPr>
            </w:pPr>
            <w:r>
              <w:rPr>
                <w:rFonts w:cs="Arial"/>
                <w:color w:val="000000"/>
                <w:sz w:val="16"/>
                <w:szCs w:val="16"/>
              </w:rPr>
              <w:t>203</w:t>
            </w:r>
          </w:p>
        </w:tc>
      </w:tr>
      <w:tr w:rsidR="00CC09AC" w:rsidRPr="00AF3EDE" w14:paraId="03EC8A44" w14:textId="77777777" w:rsidTr="008331FF">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232BEEB" w14:textId="52BCE9BF" w:rsidR="00CC09AC" w:rsidRDefault="00CC09AC" w:rsidP="00CC09AC">
            <w:pPr>
              <w:spacing w:after="0" w:line="240" w:lineRule="auto"/>
              <w:rPr>
                <w:rFonts w:cs="Arial"/>
                <w:color w:val="000000"/>
                <w:sz w:val="16"/>
                <w:szCs w:val="16"/>
              </w:rPr>
            </w:pPr>
            <w:r>
              <w:rPr>
                <w:rFonts w:cs="Arial"/>
                <w:color w:val="000000"/>
                <w:sz w:val="16"/>
                <w:szCs w:val="16"/>
              </w:rPr>
              <w:t>Victorian Institute Of Forensic Mental Health</w:t>
            </w:r>
          </w:p>
        </w:tc>
        <w:tc>
          <w:tcPr>
            <w:tcW w:w="1318" w:type="dxa"/>
            <w:tcBorders>
              <w:top w:val="single" w:sz="4" w:space="0" w:color="auto"/>
              <w:left w:val="nil"/>
              <w:bottom w:val="single" w:sz="4" w:space="0" w:color="auto"/>
              <w:right w:val="single" w:sz="4" w:space="0" w:color="auto"/>
            </w:tcBorders>
            <w:shd w:val="clear" w:color="auto" w:fill="auto"/>
            <w:noWrap/>
            <w:vAlign w:val="center"/>
          </w:tcPr>
          <w:p w14:paraId="7FD31AE1" w14:textId="68827113" w:rsidR="00CC09AC" w:rsidRDefault="00CC09AC" w:rsidP="00CC09AC">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60BB1DF3" w14:textId="710677D6" w:rsidR="00CC09AC" w:rsidRDefault="00CC09AC" w:rsidP="00CC09AC">
            <w:pPr>
              <w:spacing w:after="0" w:line="240" w:lineRule="auto"/>
              <w:jc w:val="right"/>
              <w:rPr>
                <w:rFonts w:cs="Arial"/>
                <w:color w:val="000000"/>
                <w:sz w:val="16"/>
                <w:szCs w:val="16"/>
              </w:rPr>
            </w:pPr>
            <w:r>
              <w:rPr>
                <w:rFonts w:cs="Arial"/>
                <w:color w:val="000000"/>
                <w:sz w:val="16"/>
                <w:szCs w:val="16"/>
              </w:rPr>
              <w:t>60,383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8E8FE" w14:textId="77133C85" w:rsidR="00CC09AC" w:rsidRDefault="00CC09AC" w:rsidP="00CC09AC">
            <w:pPr>
              <w:spacing w:after="0" w:line="240" w:lineRule="auto"/>
              <w:jc w:val="right"/>
              <w:rPr>
                <w:rFonts w:cs="Arial"/>
                <w:color w:val="000000"/>
                <w:sz w:val="16"/>
                <w:szCs w:val="16"/>
              </w:rPr>
            </w:pPr>
            <w:r>
              <w:rPr>
                <w:rFonts w:cs="Arial"/>
                <w:color w:val="000000"/>
                <w:sz w:val="16"/>
                <w:szCs w:val="16"/>
              </w:rPr>
              <w:t>2,861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1977" w14:textId="4FEDE556" w:rsidR="00CC09AC" w:rsidRDefault="00CC09AC" w:rsidP="00CC09AC">
            <w:pPr>
              <w:spacing w:after="0" w:line="240" w:lineRule="auto"/>
              <w:jc w:val="right"/>
              <w:rPr>
                <w:rFonts w:cs="Arial"/>
                <w:color w:val="000000"/>
                <w:sz w:val="16"/>
                <w:szCs w:val="16"/>
              </w:rPr>
            </w:pPr>
            <w:r>
              <w:rPr>
                <w:rFonts w:cs="Arial"/>
                <w:color w:val="000000"/>
                <w:sz w:val="16"/>
                <w:szCs w:val="16"/>
              </w:rPr>
              <w:t>37,042</w:t>
            </w:r>
          </w:p>
        </w:tc>
        <w:tc>
          <w:tcPr>
            <w:tcW w:w="1318" w:type="dxa"/>
            <w:tcBorders>
              <w:top w:val="single" w:sz="4" w:space="0" w:color="auto"/>
              <w:left w:val="nil"/>
              <w:bottom w:val="single" w:sz="4" w:space="0" w:color="auto"/>
              <w:right w:val="single" w:sz="4" w:space="0" w:color="auto"/>
            </w:tcBorders>
            <w:vAlign w:val="center"/>
          </w:tcPr>
          <w:p w14:paraId="11E77A11" w14:textId="7483E337"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09EC2" w14:textId="4CF9024A"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1467389E" w14:textId="4720A53B"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8" w:type="dxa"/>
            <w:tcBorders>
              <w:top w:val="nil"/>
              <w:left w:val="nil"/>
              <w:bottom w:val="single" w:sz="4" w:space="0" w:color="auto"/>
              <w:right w:val="single" w:sz="4" w:space="0" w:color="auto"/>
            </w:tcBorders>
            <w:shd w:val="clear" w:color="auto" w:fill="auto"/>
            <w:noWrap/>
            <w:vAlign w:val="center"/>
          </w:tcPr>
          <w:p w14:paraId="56F3CB75" w14:textId="396055B4" w:rsidR="00CC09AC" w:rsidRDefault="00CC09AC" w:rsidP="00CC09AC">
            <w:pPr>
              <w:spacing w:after="0" w:line="240" w:lineRule="auto"/>
              <w:jc w:val="right"/>
              <w:rPr>
                <w:rFonts w:cs="Arial"/>
                <w:color w:val="000000"/>
                <w:sz w:val="16"/>
                <w:szCs w:val="16"/>
              </w:rPr>
            </w:pPr>
            <w:r>
              <w:rPr>
                <w:rFonts w:cs="Arial"/>
                <w:color w:val="000000"/>
                <w:sz w:val="16"/>
                <w:szCs w:val="16"/>
              </w:rPr>
              <w:t>8,228</w:t>
            </w:r>
          </w:p>
        </w:tc>
        <w:tc>
          <w:tcPr>
            <w:tcW w:w="1318" w:type="dxa"/>
            <w:tcBorders>
              <w:top w:val="nil"/>
              <w:left w:val="nil"/>
              <w:bottom w:val="single" w:sz="4" w:space="0" w:color="auto"/>
              <w:right w:val="single" w:sz="4" w:space="0" w:color="auto"/>
            </w:tcBorders>
            <w:shd w:val="clear" w:color="auto" w:fill="auto"/>
            <w:noWrap/>
            <w:vAlign w:val="center"/>
          </w:tcPr>
          <w:p w14:paraId="61D11AF9" w14:textId="778B1561" w:rsidR="00CC09AC" w:rsidRDefault="00CC09AC" w:rsidP="00CC09AC">
            <w:pPr>
              <w:spacing w:after="0" w:line="240" w:lineRule="auto"/>
              <w:jc w:val="right"/>
              <w:rPr>
                <w:rFonts w:cs="Arial"/>
                <w:color w:val="000000"/>
                <w:sz w:val="16"/>
                <w:szCs w:val="16"/>
              </w:rPr>
            </w:pPr>
            <w:r>
              <w:rPr>
                <w:rFonts w:cs="Arial"/>
                <w:color w:val="000000"/>
                <w:sz w:val="16"/>
                <w:szCs w:val="16"/>
              </w:rPr>
              <w:t> </w:t>
            </w:r>
          </w:p>
        </w:tc>
        <w:tc>
          <w:tcPr>
            <w:tcW w:w="1319" w:type="dxa"/>
            <w:tcBorders>
              <w:top w:val="nil"/>
              <w:left w:val="nil"/>
              <w:bottom w:val="single" w:sz="4" w:space="0" w:color="auto"/>
              <w:right w:val="single" w:sz="4" w:space="0" w:color="auto"/>
            </w:tcBorders>
            <w:shd w:val="clear" w:color="auto" w:fill="auto"/>
            <w:noWrap/>
            <w:vAlign w:val="center"/>
          </w:tcPr>
          <w:p w14:paraId="2E04A9A2" w14:textId="3F5FCBDA" w:rsidR="00CC09AC" w:rsidRDefault="00CC09AC" w:rsidP="00CC09AC">
            <w:pPr>
              <w:spacing w:after="0" w:line="240" w:lineRule="auto"/>
              <w:jc w:val="right"/>
              <w:rPr>
                <w:rFonts w:cs="Arial"/>
                <w:color w:val="000000"/>
                <w:sz w:val="16"/>
                <w:szCs w:val="16"/>
              </w:rPr>
            </w:pPr>
            <w:r>
              <w:rPr>
                <w:rFonts w:cs="Arial"/>
                <w:color w:val="000000"/>
                <w:sz w:val="16"/>
                <w:szCs w:val="16"/>
              </w:rPr>
              <w:t>108,514</w:t>
            </w:r>
          </w:p>
        </w:tc>
      </w:tr>
      <w:tr w:rsidR="00CC09AC" w:rsidRPr="00BA2163" w14:paraId="5599BB7B" w14:textId="77777777" w:rsidTr="008331F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E9A65" w14:textId="2AA1D381" w:rsidR="00CC09AC" w:rsidRPr="00B469AB" w:rsidRDefault="00CC09AC" w:rsidP="00CC09AC">
            <w:pPr>
              <w:spacing w:after="0" w:line="240" w:lineRule="auto"/>
              <w:rPr>
                <w:rFonts w:cs="Arial"/>
                <w:b/>
                <w:bCs/>
                <w:color w:val="000000"/>
                <w:sz w:val="16"/>
                <w:szCs w:val="16"/>
                <w:lang w:eastAsia="en-AU"/>
              </w:rPr>
            </w:pPr>
            <w:r>
              <w:rPr>
                <w:rFonts w:cs="Arial"/>
                <w:b/>
                <w:bCs/>
                <w:color w:val="000000"/>
                <w:sz w:val="16"/>
                <w:szCs w:val="16"/>
              </w:rPr>
              <w:t>Total</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5D102" w14:textId="1BE6C78A" w:rsidR="00CC09AC" w:rsidRPr="00B469AB" w:rsidRDefault="00CC09AC" w:rsidP="00CC09AC">
            <w:pPr>
              <w:spacing w:after="0" w:line="240" w:lineRule="auto"/>
              <w:jc w:val="right"/>
              <w:rPr>
                <w:rFonts w:cs="Arial"/>
                <w:b/>
                <w:bCs/>
                <w:color w:val="000000"/>
                <w:sz w:val="16"/>
                <w:szCs w:val="16"/>
                <w:lang w:eastAsia="en-AU"/>
              </w:rPr>
            </w:pPr>
            <w:r>
              <w:rPr>
                <w:rFonts w:ascii="Calibri" w:hAnsi="Calibri" w:cs="Calibri"/>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vAlign w:val="center"/>
          </w:tcPr>
          <w:p w14:paraId="77F3B4D5" w14:textId="2E17FF37"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60,383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1C09" w14:textId="3907023E"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2,861</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44BD" w14:textId="2B3C35AF"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37,042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C971B04" w14:textId="3FE44CEC" w:rsidR="00CC09AC" w:rsidRDefault="00CC09AC" w:rsidP="00CC09AC">
            <w:pPr>
              <w:spacing w:after="0" w:line="240" w:lineRule="auto"/>
              <w:jc w:val="right"/>
              <w:rPr>
                <w:rFonts w:cs="Arial"/>
                <w:b/>
                <w:bCs/>
                <w:color w:val="000000"/>
                <w:sz w:val="16"/>
                <w:szCs w:val="16"/>
              </w:rPr>
            </w:pPr>
            <w:r>
              <w:rPr>
                <w:rFonts w:cs="Arial"/>
                <w:b/>
                <w:bCs/>
                <w:color w:val="000000"/>
                <w:sz w:val="16"/>
                <w:szCs w:val="16"/>
              </w:rPr>
              <w:t> </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B45F" w14:textId="0C01B90A"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94C59" w14:textId="431FBE56"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415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2AFC5" w14:textId="2CAC5727"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8,887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E16AC" w14:textId="6E6D874E"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5,076</w:t>
            </w:r>
          </w:p>
        </w:tc>
        <w:tc>
          <w:tcPr>
            <w:tcW w:w="1319" w:type="dxa"/>
            <w:tcBorders>
              <w:top w:val="single" w:sz="4" w:space="0" w:color="auto"/>
              <w:left w:val="single" w:sz="4" w:space="0" w:color="auto"/>
              <w:bottom w:val="single" w:sz="4" w:space="0" w:color="auto"/>
              <w:right w:val="single" w:sz="4" w:space="0" w:color="auto"/>
            </w:tcBorders>
            <w:noWrap/>
            <w:vAlign w:val="center"/>
          </w:tcPr>
          <w:p w14:paraId="5E2892EF" w14:textId="624BC3D9" w:rsidR="00CC09AC" w:rsidRPr="00B469AB" w:rsidRDefault="00CC09AC" w:rsidP="00CC09AC">
            <w:pPr>
              <w:spacing w:after="0" w:line="240" w:lineRule="auto"/>
              <w:jc w:val="right"/>
              <w:rPr>
                <w:rFonts w:cs="Arial"/>
                <w:b/>
                <w:bCs/>
                <w:color w:val="000000"/>
                <w:sz w:val="16"/>
                <w:szCs w:val="16"/>
                <w:lang w:eastAsia="en-AU"/>
              </w:rPr>
            </w:pPr>
            <w:r>
              <w:rPr>
                <w:rFonts w:cs="Arial"/>
                <w:b/>
                <w:bCs/>
                <w:color w:val="000000"/>
                <w:sz w:val="16"/>
                <w:szCs w:val="16"/>
              </w:rPr>
              <w:t>114,664</w:t>
            </w:r>
          </w:p>
        </w:tc>
      </w:tr>
    </w:tbl>
    <w:p w14:paraId="461DC297" w14:textId="77777777" w:rsidR="005B699B" w:rsidRPr="00E00C4E" w:rsidRDefault="005B699B" w:rsidP="00E00C4E">
      <w:pPr>
        <w:pStyle w:val="Body"/>
      </w:pPr>
    </w:p>
    <w:p w14:paraId="7EBF0001" w14:textId="77777777" w:rsidR="005B699B" w:rsidRDefault="005B699B" w:rsidP="000723BA">
      <w:pPr>
        <w:pStyle w:val="Body"/>
      </w:pPr>
      <w:r w:rsidRPr="00E00C4E">
        <w:t>Combined total – $’000s</w:t>
      </w:r>
    </w:p>
    <w:tbl>
      <w:tblPr>
        <w:tblStyle w:val="TableGrid1"/>
        <w:tblW w:w="15026" w:type="dxa"/>
        <w:tblInd w:w="-147" w:type="dxa"/>
        <w:tblLayout w:type="fixed"/>
        <w:tblLook w:val="04A0" w:firstRow="1" w:lastRow="0" w:firstColumn="1" w:lastColumn="0" w:noHBand="0" w:noVBand="1"/>
      </w:tblPr>
      <w:tblGrid>
        <w:gridCol w:w="1843"/>
        <w:gridCol w:w="1318"/>
        <w:gridCol w:w="1318"/>
        <w:gridCol w:w="1318"/>
        <w:gridCol w:w="1319"/>
        <w:gridCol w:w="1318"/>
        <w:gridCol w:w="1318"/>
        <w:gridCol w:w="1319"/>
        <w:gridCol w:w="1318"/>
        <w:gridCol w:w="1318"/>
        <w:gridCol w:w="1319"/>
      </w:tblGrid>
      <w:tr w:rsidR="003F5EE9" w:rsidRPr="00B24F8E" w14:paraId="09DD1E3A" w14:textId="77777777" w:rsidTr="003F5EE9">
        <w:trPr>
          <w:cnfStyle w:val="100000000000" w:firstRow="1" w:lastRow="0" w:firstColumn="0" w:lastColumn="0" w:oddVBand="0" w:evenVBand="0" w:oddHBand="0" w:evenHBand="0" w:firstRowFirstColumn="0" w:firstRowLastColumn="0" w:lastRowFirstColumn="0" w:lastRowLastColumn="0"/>
          <w:trHeight w:val="295"/>
        </w:trPr>
        <w:tc>
          <w:tcPr>
            <w:tcW w:w="1843" w:type="dxa"/>
            <w:shd w:val="clear" w:color="auto" w:fill="auto"/>
          </w:tcPr>
          <w:p w14:paraId="3E607D20" w14:textId="77777777" w:rsidR="003F5EE9" w:rsidRPr="004A20FD" w:rsidRDefault="003F5EE9" w:rsidP="003F5EE9">
            <w:pPr>
              <w:pStyle w:val="Tablecolheadlandscape"/>
              <w:rPr>
                <w:b w:val="0"/>
              </w:rPr>
            </w:pPr>
            <w:r w:rsidRPr="004A20FD">
              <w:t>Health services</w:t>
            </w:r>
          </w:p>
        </w:tc>
        <w:tc>
          <w:tcPr>
            <w:tcW w:w="1318" w:type="dxa"/>
            <w:shd w:val="clear" w:color="auto" w:fill="auto"/>
            <w:noWrap/>
          </w:tcPr>
          <w:p w14:paraId="16AD1642" w14:textId="2D7AD9BC" w:rsidR="003F5EE9" w:rsidRPr="004A20FD" w:rsidRDefault="003F5EE9" w:rsidP="003F5EE9">
            <w:pPr>
              <w:pStyle w:val="Tablecolheadlandscape"/>
              <w:jc w:val="right"/>
              <w:rPr>
                <w:b w:val="0"/>
              </w:rPr>
            </w:pPr>
            <w:r w:rsidRPr="001B1818">
              <w:rPr>
                <w:rFonts w:cs="Arial"/>
                <w:bCs/>
                <w:lang w:eastAsia="en-AU"/>
              </w:rPr>
              <w:t>2024</w:t>
            </w:r>
            <w:r>
              <w:rPr>
                <w:rFonts w:cs="Arial"/>
                <w:bCs/>
                <w:lang w:eastAsia="en-AU"/>
              </w:rPr>
              <w:t>-25</w:t>
            </w:r>
            <w:r w:rsidRPr="000C4609">
              <w:rPr>
                <w:rFonts w:cs="Arial"/>
                <w:bCs/>
                <w:lang w:eastAsia="en-AU"/>
              </w:rPr>
              <w:br/>
            </w:r>
            <w:r w:rsidR="00C6605F">
              <w:rPr>
                <w:rFonts w:cs="Arial"/>
                <w:b w:val="0"/>
                <w:bCs/>
                <w:lang w:eastAsia="en-AU"/>
              </w:rPr>
              <w:t>Ac</w:t>
            </w:r>
            <w:r w:rsidR="00C6605F" w:rsidRPr="0019025A">
              <w:rPr>
                <w:rFonts w:cs="Arial"/>
                <w:bCs/>
                <w:lang w:eastAsia="en-AU"/>
              </w:rPr>
              <w:t>ute Admitted Mental Health NWAU</w:t>
            </w:r>
          </w:p>
        </w:tc>
        <w:tc>
          <w:tcPr>
            <w:tcW w:w="1318" w:type="dxa"/>
            <w:shd w:val="clear" w:color="auto" w:fill="auto"/>
          </w:tcPr>
          <w:p w14:paraId="01DCD55E" w14:textId="77777777" w:rsidR="003F5EE9" w:rsidRPr="004D2156" w:rsidRDefault="003F5EE9" w:rsidP="003F5EE9">
            <w:pPr>
              <w:spacing w:after="0" w:line="240" w:lineRule="auto"/>
              <w:jc w:val="right"/>
              <w:rPr>
                <w:rFonts w:cs="Arial"/>
                <w:b/>
                <w:bCs/>
                <w:color w:val="53565A"/>
                <w:sz w:val="16"/>
                <w:szCs w:val="16"/>
                <w:lang w:eastAsia="en-AU"/>
              </w:rPr>
            </w:pPr>
            <w:r w:rsidRPr="004D2156">
              <w:rPr>
                <w:rFonts w:cs="Arial"/>
                <w:b/>
                <w:bCs/>
                <w:color w:val="53565A"/>
                <w:sz w:val="16"/>
                <w:szCs w:val="16"/>
                <w:lang w:eastAsia="en-AU"/>
              </w:rPr>
              <w:t>2024-25</w:t>
            </w:r>
          </w:p>
          <w:p w14:paraId="1E813A95" w14:textId="3A6C476F" w:rsidR="003F5EE9" w:rsidRPr="001B1818" w:rsidRDefault="003142AC" w:rsidP="003F5EE9">
            <w:pPr>
              <w:pStyle w:val="Tablecolheadlandscape"/>
              <w:jc w:val="right"/>
              <w:rPr>
                <w:rFonts w:cs="Arial"/>
                <w:bCs/>
                <w:lang w:eastAsia="en-AU"/>
              </w:rPr>
            </w:pPr>
            <w:r>
              <w:rPr>
                <w:rFonts w:cs="Arial"/>
                <w:bCs/>
                <w:lang w:eastAsia="en-AU"/>
              </w:rPr>
              <w:t>A</w:t>
            </w:r>
            <w:r w:rsidRPr="004D2156">
              <w:rPr>
                <w:rFonts w:cs="Arial"/>
                <w:bCs/>
                <w:lang w:eastAsia="en-AU"/>
              </w:rPr>
              <w:t>dmitted Inpatient Services</w:t>
            </w:r>
            <w:r>
              <w:rPr>
                <w:rFonts w:cs="Arial"/>
                <w:bCs/>
                <w:lang w:eastAsia="en-AU"/>
              </w:rPr>
              <w:t xml:space="preserve"> - </w:t>
            </w:r>
            <w:r>
              <w:rPr>
                <w:rFonts w:cs="Arial"/>
                <w:b w:val="0"/>
                <w:bCs/>
                <w:lang w:eastAsia="en-AU"/>
              </w:rPr>
              <w:t>O</w:t>
            </w:r>
            <w:r>
              <w:rPr>
                <w:rFonts w:cs="Arial"/>
                <w:bCs/>
                <w:lang w:eastAsia="en-AU"/>
              </w:rPr>
              <w:t>ther</w:t>
            </w:r>
          </w:p>
        </w:tc>
        <w:tc>
          <w:tcPr>
            <w:tcW w:w="1318" w:type="dxa"/>
            <w:shd w:val="clear" w:color="auto" w:fill="auto"/>
            <w:noWrap/>
          </w:tcPr>
          <w:p w14:paraId="093BAF75" w14:textId="77777777" w:rsidR="003F5EE9" w:rsidRPr="004A20FD" w:rsidRDefault="003F5EE9" w:rsidP="003F5EE9">
            <w:pPr>
              <w:pStyle w:val="Tablecolheadlandscape"/>
              <w:jc w:val="right"/>
              <w:rPr>
                <w:b w:val="0"/>
              </w:rPr>
            </w:pPr>
            <w:r w:rsidRPr="001B1818">
              <w:rPr>
                <w:rFonts w:cs="Arial"/>
                <w:bCs/>
                <w:lang w:eastAsia="en-AU"/>
              </w:rPr>
              <w:t>2024</w:t>
            </w:r>
            <w:r>
              <w:rPr>
                <w:rFonts w:cs="Arial"/>
                <w:bCs/>
                <w:lang w:eastAsia="en-AU"/>
              </w:rPr>
              <w:t>-25</w:t>
            </w:r>
            <w:r w:rsidRPr="000C4609">
              <w:rPr>
                <w:rFonts w:cs="Arial"/>
                <w:bCs/>
                <w:lang w:eastAsia="en-AU"/>
              </w:rPr>
              <w:br/>
              <w:t>Non Acute</w:t>
            </w:r>
          </w:p>
        </w:tc>
        <w:tc>
          <w:tcPr>
            <w:tcW w:w="1319" w:type="dxa"/>
            <w:shd w:val="clear" w:color="auto" w:fill="auto"/>
            <w:noWrap/>
          </w:tcPr>
          <w:p w14:paraId="51C6C7F0" w14:textId="77777777" w:rsidR="003F5EE9" w:rsidRPr="004A20FD" w:rsidRDefault="003F5EE9" w:rsidP="003F5EE9">
            <w:pPr>
              <w:pStyle w:val="Tablecolheadlandscape"/>
              <w:jc w:val="right"/>
              <w:rPr>
                <w:b w:val="0"/>
              </w:rPr>
            </w:pPr>
            <w:r w:rsidRPr="001B1818">
              <w:rPr>
                <w:rFonts w:cs="Arial"/>
                <w:bCs/>
                <w:lang w:eastAsia="en-AU"/>
              </w:rPr>
              <w:t>2024</w:t>
            </w:r>
            <w:r>
              <w:rPr>
                <w:rFonts w:cs="Arial"/>
                <w:bCs/>
                <w:lang w:eastAsia="en-AU"/>
              </w:rPr>
              <w:t>-25</w:t>
            </w:r>
            <w:r w:rsidRPr="000C4609">
              <w:rPr>
                <w:rFonts w:cs="Arial"/>
                <w:bCs/>
                <w:lang w:eastAsia="en-AU"/>
              </w:rPr>
              <w:br/>
              <w:t>Ambulatory</w:t>
            </w:r>
          </w:p>
        </w:tc>
        <w:tc>
          <w:tcPr>
            <w:tcW w:w="1318" w:type="dxa"/>
            <w:shd w:val="clear" w:color="auto" w:fill="auto"/>
          </w:tcPr>
          <w:p w14:paraId="0CA66B22" w14:textId="77777777" w:rsidR="003F5EE9" w:rsidRPr="00FA7243" w:rsidRDefault="003F5EE9" w:rsidP="003F5EE9">
            <w:pPr>
              <w:spacing w:after="0" w:line="240" w:lineRule="auto"/>
              <w:jc w:val="right"/>
              <w:rPr>
                <w:rFonts w:cs="Arial"/>
                <w:b/>
                <w:bCs/>
                <w:color w:val="53565A"/>
                <w:sz w:val="16"/>
                <w:szCs w:val="16"/>
                <w:lang w:eastAsia="en-AU"/>
              </w:rPr>
            </w:pPr>
            <w:r w:rsidRPr="00FA7243">
              <w:rPr>
                <w:rFonts w:cs="Arial"/>
                <w:b/>
                <w:bCs/>
                <w:color w:val="53565A"/>
                <w:sz w:val="16"/>
                <w:szCs w:val="16"/>
                <w:lang w:eastAsia="en-AU"/>
              </w:rPr>
              <w:t xml:space="preserve">2024–25 </w:t>
            </w:r>
          </w:p>
          <w:p w14:paraId="501B828A" w14:textId="6768AD99" w:rsidR="003F5EE9" w:rsidRPr="00FA7243" w:rsidRDefault="003F5EE9" w:rsidP="003F5EE9">
            <w:pPr>
              <w:spacing w:after="0" w:line="240" w:lineRule="auto"/>
              <w:jc w:val="right"/>
              <w:rPr>
                <w:rFonts w:cs="Arial"/>
                <w:b/>
                <w:color w:val="53565A"/>
                <w:sz w:val="16"/>
                <w:szCs w:val="16"/>
                <w:lang w:eastAsia="en-AU"/>
              </w:rPr>
            </w:pPr>
            <w:r w:rsidRPr="00FA7243">
              <w:rPr>
                <w:rFonts w:cs="Arial"/>
                <w:bCs/>
                <w:lang w:eastAsia="en-AU"/>
              </w:rPr>
              <w:t>Out of scope agreement</w:t>
            </w:r>
          </w:p>
        </w:tc>
        <w:tc>
          <w:tcPr>
            <w:tcW w:w="1318" w:type="dxa"/>
            <w:shd w:val="clear" w:color="auto" w:fill="auto"/>
            <w:noWrap/>
          </w:tcPr>
          <w:p w14:paraId="265FD857" w14:textId="503D05FC" w:rsidR="003F5EE9" w:rsidRDefault="003F5EE9" w:rsidP="003F5EE9">
            <w:pPr>
              <w:pStyle w:val="Tablecolheadlandscape"/>
              <w:jc w:val="right"/>
              <w:rPr>
                <w:rFonts w:cs="Arial"/>
                <w:bCs/>
                <w:lang w:eastAsia="en-AU"/>
              </w:rPr>
            </w:pPr>
            <w:r w:rsidRPr="001B1818">
              <w:rPr>
                <w:rFonts w:cs="Arial"/>
                <w:bCs/>
                <w:lang w:eastAsia="en-AU"/>
              </w:rPr>
              <w:t>2024</w:t>
            </w:r>
            <w:r>
              <w:rPr>
                <w:rFonts w:cs="Arial"/>
                <w:bCs/>
                <w:lang w:eastAsia="en-AU"/>
              </w:rPr>
              <w:t>-25</w:t>
            </w:r>
          </w:p>
          <w:p w14:paraId="51F11103" w14:textId="4592A8BB" w:rsidR="003F5EE9" w:rsidRPr="004A20FD" w:rsidRDefault="003F5EE9" w:rsidP="003F5EE9">
            <w:pPr>
              <w:pStyle w:val="Tablecolheadlandscape"/>
              <w:jc w:val="right"/>
              <w:rPr>
                <w:b w:val="0"/>
              </w:rPr>
            </w:pPr>
            <w:r w:rsidRPr="000C4609">
              <w:rPr>
                <w:rFonts w:cs="Arial"/>
                <w:bCs/>
                <w:lang w:eastAsia="en-AU"/>
              </w:rPr>
              <w:t>Psychosocial Rehabilitation &amp; Support</w:t>
            </w:r>
          </w:p>
        </w:tc>
        <w:tc>
          <w:tcPr>
            <w:tcW w:w="1319" w:type="dxa"/>
            <w:shd w:val="clear" w:color="auto" w:fill="auto"/>
            <w:noWrap/>
          </w:tcPr>
          <w:p w14:paraId="28267D3A" w14:textId="77777777" w:rsidR="003F5EE9" w:rsidRPr="004A20FD" w:rsidRDefault="003F5EE9" w:rsidP="003F5EE9">
            <w:pPr>
              <w:pStyle w:val="Tablecolheadlandscape"/>
              <w:jc w:val="right"/>
              <w:rPr>
                <w:b w:val="0"/>
              </w:rPr>
            </w:pPr>
            <w:r w:rsidRPr="001B1818">
              <w:rPr>
                <w:rFonts w:cs="Arial"/>
                <w:bCs/>
                <w:lang w:eastAsia="en-AU"/>
              </w:rPr>
              <w:t>2024</w:t>
            </w:r>
            <w:r>
              <w:rPr>
                <w:rFonts w:cs="Arial"/>
                <w:bCs/>
                <w:lang w:eastAsia="en-AU"/>
              </w:rPr>
              <w:t>-25</w:t>
            </w:r>
            <w:r w:rsidRPr="000C4609">
              <w:rPr>
                <w:rFonts w:cs="Arial"/>
                <w:bCs/>
                <w:lang w:eastAsia="en-AU"/>
              </w:rPr>
              <w:br/>
              <w:t>Residential</w:t>
            </w:r>
          </w:p>
        </w:tc>
        <w:tc>
          <w:tcPr>
            <w:tcW w:w="1318" w:type="dxa"/>
            <w:shd w:val="clear" w:color="auto" w:fill="auto"/>
            <w:noWrap/>
          </w:tcPr>
          <w:p w14:paraId="679EEB71" w14:textId="77777777" w:rsidR="003F5EE9" w:rsidRDefault="003F5EE9" w:rsidP="003F5EE9">
            <w:pPr>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p>
          <w:p w14:paraId="56BB31EE" w14:textId="77777777" w:rsidR="003F5EE9" w:rsidRPr="004A20FD" w:rsidRDefault="003F5EE9" w:rsidP="003F5EE9">
            <w:pPr>
              <w:pStyle w:val="Tablecolheadlandscape"/>
              <w:jc w:val="right"/>
              <w:rPr>
                <w:b w:val="0"/>
              </w:rPr>
            </w:pPr>
            <w:r w:rsidRPr="000C4609">
              <w:rPr>
                <w:rFonts w:cs="Arial"/>
                <w:bCs/>
                <w:lang w:eastAsia="en-AU"/>
              </w:rPr>
              <w:t>Service System Capacity</w:t>
            </w:r>
          </w:p>
        </w:tc>
        <w:tc>
          <w:tcPr>
            <w:tcW w:w="1318" w:type="dxa"/>
            <w:shd w:val="clear" w:color="auto" w:fill="auto"/>
            <w:noWrap/>
          </w:tcPr>
          <w:p w14:paraId="6677562B" w14:textId="77777777" w:rsidR="003F5EE9" w:rsidRPr="004A20FD" w:rsidRDefault="003F5EE9" w:rsidP="003F5EE9">
            <w:pPr>
              <w:pStyle w:val="Tablecolheadlandscape"/>
              <w:jc w:val="right"/>
              <w:rPr>
                <w:b w:val="0"/>
              </w:rPr>
            </w:pPr>
            <w:r w:rsidRPr="001B1818">
              <w:rPr>
                <w:rFonts w:cs="Arial"/>
                <w:bCs/>
                <w:lang w:eastAsia="en-AU"/>
              </w:rPr>
              <w:t>2024</w:t>
            </w:r>
            <w:r>
              <w:rPr>
                <w:rFonts w:cs="Arial"/>
                <w:bCs/>
                <w:lang w:eastAsia="en-AU"/>
              </w:rPr>
              <w:t>-25</w:t>
            </w:r>
            <w:r w:rsidRPr="000C4609">
              <w:rPr>
                <w:rFonts w:cs="Arial"/>
                <w:bCs/>
                <w:lang w:eastAsia="en-AU"/>
              </w:rPr>
              <w:br/>
              <w:t>Subacute</w:t>
            </w:r>
          </w:p>
        </w:tc>
        <w:tc>
          <w:tcPr>
            <w:tcW w:w="1319" w:type="dxa"/>
            <w:shd w:val="clear" w:color="auto" w:fill="auto"/>
            <w:noWrap/>
          </w:tcPr>
          <w:p w14:paraId="0B31A03E" w14:textId="77777777" w:rsidR="003F5EE9" w:rsidRPr="003F5EE9" w:rsidRDefault="003F5EE9" w:rsidP="003F5EE9">
            <w:pPr>
              <w:pStyle w:val="Tablecolheadlandscape"/>
              <w:jc w:val="right"/>
              <w:rPr>
                <w:rFonts w:cs="Arial"/>
                <w:bCs/>
                <w:lang w:eastAsia="en-AU"/>
              </w:rPr>
            </w:pPr>
            <w:r w:rsidRPr="001B1818">
              <w:rPr>
                <w:rFonts w:cs="Arial"/>
                <w:bCs/>
                <w:lang w:eastAsia="en-AU"/>
              </w:rPr>
              <w:t>2024</w:t>
            </w:r>
            <w:r>
              <w:rPr>
                <w:rFonts w:cs="Arial"/>
                <w:bCs/>
                <w:lang w:eastAsia="en-AU"/>
              </w:rPr>
              <w:t>-25</w:t>
            </w:r>
            <w:r w:rsidRPr="000C4609">
              <w:rPr>
                <w:rFonts w:cs="Arial"/>
                <w:bCs/>
                <w:lang w:eastAsia="en-AU"/>
              </w:rPr>
              <w:br/>
              <w:t>Total</w:t>
            </w:r>
          </w:p>
        </w:tc>
      </w:tr>
      <w:tr w:rsidR="00F97126" w:rsidRPr="00B24F8E" w14:paraId="3077434D" w14:textId="77777777" w:rsidTr="00F97126">
        <w:trPr>
          <w:trHeight w:val="443"/>
        </w:trPr>
        <w:tc>
          <w:tcPr>
            <w:tcW w:w="1843" w:type="dxa"/>
            <w:shd w:val="clear" w:color="auto" w:fill="auto"/>
            <w:vAlign w:val="center"/>
            <w:hideMark/>
          </w:tcPr>
          <w:p w14:paraId="02DD574A" w14:textId="77777777" w:rsidR="00F97126" w:rsidRPr="00462345" w:rsidRDefault="00F97126" w:rsidP="00F97126">
            <w:pPr>
              <w:rPr>
                <w:rFonts w:cs="Arial"/>
                <w:b/>
                <w:bCs/>
                <w:color w:val="000000"/>
                <w:sz w:val="16"/>
                <w:szCs w:val="16"/>
                <w:highlight w:val="yellow"/>
                <w:lang w:eastAsia="en-AU"/>
              </w:rPr>
            </w:pPr>
            <w:r w:rsidRPr="004A20FD">
              <w:rPr>
                <w:rFonts w:cs="Arial"/>
                <w:b/>
                <w:bCs/>
                <w:color w:val="000000"/>
                <w:sz w:val="16"/>
                <w:szCs w:val="16"/>
                <w:lang w:eastAsia="en-AU"/>
              </w:rPr>
              <w:t>Total</w:t>
            </w:r>
          </w:p>
        </w:tc>
        <w:tc>
          <w:tcPr>
            <w:tcW w:w="1318" w:type="dxa"/>
            <w:shd w:val="clear" w:color="auto" w:fill="auto"/>
            <w:noWrap/>
            <w:vAlign w:val="center"/>
          </w:tcPr>
          <w:p w14:paraId="006A588D" w14:textId="2AFAEF76"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678,002</w:t>
            </w:r>
          </w:p>
        </w:tc>
        <w:tc>
          <w:tcPr>
            <w:tcW w:w="1318" w:type="dxa"/>
            <w:shd w:val="clear" w:color="auto" w:fill="auto"/>
            <w:vAlign w:val="center"/>
          </w:tcPr>
          <w:p w14:paraId="44118103" w14:textId="4FBCE25D" w:rsidR="00F97126" w:rsidRPr="004A20FD" w:rsidRDefault="00F97126" w:rsidP="00F97126">
            <w:pPr>
              <w:spacing w:after="0" w:line="240" w:lineRule="auto"/>
              <w:jc w:val="right"/>
              <w:rPr>
                <w:rFonts w:cs="Arial"/>
                <w:b/>
                <w:bCs/>
                <w:color w:val="000000"/>
                <w:sz w:val="16"/>
                <w:szCs w:val="16"/>
              </w:rPr>
            </w:pPr>
            <w:r w:rsidRPr="00F97126">
              <w:rPr>
                <w:rFonts w:cs="Arial"/>
                <w:b/>
                <w:bCs/>
                <w:color w:val="000000"/>
                <w:sz w:val="16"/>
                <w:szCs w:val="16"/>
              </w:rPr>
              <w:t>65,866</w:t>
            </w:r>
          </w:p>
        </w:tc>
        <w:tc>
          <w:tcPr>
            <w:tcW w:w="1318" w:type="dxa"/>
            <w:shd w:val="clear" w:color="auto" w:fill="auto"/>
            <w:noWrap/>
            <w:vAlign w:val="center"/>
          </w:tcPr>
          <w:p w14:paraId="0AD3C237" w14:textId="1D529AF8"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2,861</w:t>
            </w:r>
          </w:p>
        </w:tc>
        <w:tc>
          <w:tcPr>
            <w:tcW w:w="1319" w:type="dxa"/>
            <w:shd w:val="clear" w:color="auto" w:fill="auto"/>
            <w:noWrap/>
            <w:vAlign w:val="center"/>
          </w:tcPr>
          <w:p w14:paraId="78CE69CC" w14:textId="4A0B2C2D"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905,449</w:t>
            </w:r>
          </w:p>
        </w:tc>
        <w:tc>
          <w:tcPr>
            <w:tcW w:w="1318" w:type="dxa"/>
            <w:shd w:val="clear" w:color="auto" w:fill="auto"/>
            <w:vAlign w:val="center"/>
          </w:tcPr>
          <w:p w14:paraId="4D0590C8" w14:textId="29AAA1FA" w:rsidR="00F97126" w:rsidRPr="00970F2D" w:rsidRDefault="00F97126" w:rsidP="00F97126">
            <w:pPr>
              <w:spacing w:after="0" w:line="240" w:lineRule="auto"/>
              <w:jc w:val="right"/>
              <w:rPr>
                <w:rFonts w:cs="Arial"/>
                <w:b/>
                <w:bCs/>
                <w:color w:val="000000"/>
                <w:sz w:val="16"/>
                <w:szCs w:val="16"/>
              </w:rPr>
            </w:pPr>
            <w:r w:rsidRPr="00F97126">
              <w:rPr>
                <w:rFonts w:cs="Arial"/>
                <w:b/>
                <w:bCs/>
                <w:color w:val="000000"/>
                <w:sz w:val="16"/>
                <w:szCs w:val="16"/>
              </w:rPr>
              <w:t>7,654</w:t>
            </w:r>
          </w:p>
        </w:tc>
        <w:tc>
          <w:tcPr>
            <w:tcW w:w="1318" w:type="dxa"/>
            <w:shd w:val="clear" w:color="auto" w:fill="auto"/>
            <w:noWrap/>
            <w:vAlign w:val="center"/>
          </w:tcPr>
          <w:p w14:paraId="21BDC289" w14:textId="3E967272"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2,639</w:t>
            </w:r>
          </w:p>
        </w:tc>
        <w:tc>
          <w:tcPr>
            <w:tcW w:w="1319" w:type="dxa"/>
            <w:shd w:val="clear" w:color="auto" w:fill="auto"/>
            <w:noWrap/>
            <w:vAlign w:val="center"/>
          </w:tcPr>
          <w:p w14:paraId="07DCBE64" w14:textId="27D165C8"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21,705</w:t>
            </w:r>
          </w:p>
        </w:tc>
        <w:tc>
          <w:tcPr>
            <w:tcW w:w="1318" w:type="dxa"/>
            <w:shd w:val="clear" w:color="auto" w:fill="auto"/>
            <w:noWrap/>
            <w:vAlign w:val="center"/>
          </w:tcPr>
          <w:p w14:paraId="3A80B3C8" w14:textId="09BC9D5B"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154,325</w:t>
            </w:r>
          </w:p>
        </w:tc>
        <w:tc>
          <w:tcPr>
            <w:tcW w:w="1318" w:type="dxa"/>
            <w:shd w:val="clear" w:color="auto" w:fill="auto"/>
            <w:noWrap/>
            <w:vAlign w:val="center"/>
          </w:tcPr>
          <w:p w14:paraId="767DD4FF" w14:textId="66CFA169"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145,457</w:t>
            </w:r>
          </w:p>
        </w:tc>
        <w:tc>
          <w:tcPr>
            <w:tcW w:w="1319" w:type="dxa"/>
            <w:noWrap/>
            <w:vAlign w:val="center"/>
          </w:tcPr>
          <w:p w14:paraId="54613691" w14:textId="57AB9BA7" w:rsidR="00F97126" w:rsidRPr="00F97126" w:rsidRDefault="00F97126" w:rsidP="00F97126">
            <w:pPr>
              <w:spacing w:after="0" w:line="240" w:lineRule="auto"/>
              <w:jc w:val="right"/>
              <w:rPr>
                <w:rFonts w:cs="Arial"/>
                <w:b/>
                <w:bCs/>
                <w:color w:val="000000"/>
                <w:sz w:val="16"/>
                <w:szCs w:val="16"/>
              </w:rPr>
            </w:pPr>
            <w:r w:rsidRPr="00F97126">
              <w:rPr>
                <w:rFonts w:cs="Arial"/>
                <w:b/>
                <w:bCs/>
                <w:color w:val="000000"/>
                <w:sz w:val="16"/>
                <w:szCs w:val="16"/>
              </w:rPr>
              <w:t>1,983,958</w:t>
            </w:r>
          </w:p>
        </w:tc>
      </w:tr>
    </w:tbl>
    <w:p w14:paraId="3C90E12C" w14:textId="77777777" w:rsidR="00597BE3" w:rsidRDefault="005B699B" w:rsidP="000723BA">
      <w:pPr>
        <w:pStyle w:val="Body"/>
        <w:sectPr w:rsidR="00597BE3" w:rsidSect="00AC52D2">
          <w:headerReference w:type="default" r:id="rId79"/>
          <w:pgSz w:w="16838" w:h="11906" w:orient="landscape" w:code="9"/>
          <w:pgMar w:top="1304" w:right="1418" w:bottom="1304" w:left="1134" w:header="680" w:footer="567" w:gutter="0"/>
          <w:cols w:space="340"/>
          <w:docGrid w:linePitch="360"/>
        </w:sectPr>
      </w:pPr>
      <w:r>
        <w:br w:type="page"/>
      </w:r>
    </w:p>
    <w:p w14:paraId="6AC08C32" w14:textId="6514A96C" w:rsidR="005B699B" w:rsidRPr="00494D61" w:rsidRDefault="005B699B" w:rsidP="001E4292">
      <w:pPr>
        <w:pStyle w:val="Heading2"/>
        <w:numPr>
          <w:ilvl w:val="1"/>
          <w:numId w:val="13"/>
        </w:numPr>
        <w:ind w:left="1134" w:hanging="1134"/>
      </w:pPr>
      <w:bookmarkStart w:id="2487" w:name="_Toc165961865"/>
      <w:bookmarkStart w:id="2488" w:name="_Toc178963651"/>
      <w:bookmarkStart w:id="2489" w:name="_Hlk170302379"/>
      <w:bookmarkEnd w:id="2481"/>
      <w:r w:rsidRPr="00494D61">
        <w:lastRenderedPageBreak/>
        <w:t xml:space="preserve">Registered Community Health Centres Budgets </w:t>
      </w:r>
      <w:bookmarkEnd w:id="2482"/>
      <w:bookmarkEnd w:id="2483"/>
      <w:bookmarkEnd w:id="2484"/>
      <w:bookmarkEnd w:id="2485"/>
      <w:bookmarkEnd w:id="2486"/>
      <w:r w:rsidRPr="00494D61">
        <w:t>202</w:t>
      </w:r>
      <w:r>
        <w:t>4</w:t>
      </w:r>
      <w:r w:rsidRPr="00494D61">
        <w:t>–2</w:t>
      </w:r>
      <w:r>
        <w:t>5</w:t>
      </w:r>
      <w:bookmarkEnd w:id="2487"/>
      <w:bookmarkEnd w:id="2488"/>
    </w:p>
    <w:bookmarkEnd w:id="2489"/>
    <w:p w14:paraId="0EBDC29B"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1A475F19" w14:textId="2606868A" w:rsidR="00541C64" w:rsidRPr="00494D61" w:rsidRDefault="7AADADFD" w:rsidP="008E4F36">
      <w:pPr>
        <w:pStyle w:val="Tablenoteroman"/>
        <w:numPr>
          <w:ilvl w:val="0"/>
          <w:numId w:val="55"/>
        </w:numPr>
        <w:tabs>
          <w:tab w:val="clear" w:pos="720"/>
        </w:tabs>
      </w:pPr>
      <w:r>
        <w:t xml:space="preserve">This table shows the health funding to </w:t>
      </w:r>
      <w:r w:rsidR="70C6D5DC">
        <w:t>registered community health centres</w:t>
      </w:r>
      <w:r>
        <w:t xml:space="preserve"> that receive &gt; $1 million from specific health outputs.</w:t>
      </w:r>
    </w:p>
    <w:p w14:paraId="20DF7DE4" w14:textId="0FE82D88" w:rsidR="00541C64" w:rsidRPr="00A67ABC" w:rsidRDefault="00541C64" w:rsidP="008E4F36">
      <w:pPr>
        <w:pStyle w:val="Tablenoteroman"/>
        <w:numPr>
          <w:ilvl w:val="0"/>
          <w:numId w:val="55"/>
        </w:numPr>
        <w:tabs>
          <w:tab w:val="clear" w:pos="720"/>
        </w:tabs>
        <w:rPr>
          <w:b/>
          <w:lang w:eastAsia="en-AU"/>
        </w:rPr>
      </w:pPr>
      <w:r w:rsidRPr="00A67ABC">
        <w:rPr>
          <w:lang w:eastAsia="en-AU"/>
        </w:rPr>
        <w:t>Subtotals and totals may not add up due to rounding.</w:t>
      </w:r>
    </w:p>
    <w:p w14:paraId="77CF4190" w14:textId="66FD4D75" w:rsidR="005B699B" w:rsidRDefault="00462DC7" w:rsidP="00297FC9">
      <w:pPr>
        <w:pStyle w:val="Tablecaption"/>
      </w:pPr>
      <w:bookmarkStart w:id="2490" w:name="_Toc12780564"/>
      <w:bookmarkStart w:id="2491" w:name="_Toc14194820"/>
      <w:bookmarkStart w:id="2492" w:name="_Toc33704001"/>
      <w:bookmarkStart w:id="2493" w:name="_Toc109894131"/>
      <w:bookmarkStart w:id="2494" w:name="_Toc176510417"/>
      <w:r w:rsidRPr="00494D61">
        <w:t xml:space="preserve">Table </w:t>
      </w:r>
      <w:r w:rsidR="00D72666">
        <w:t>2</w:t>
      </w:r>
      <w:r w:rsidR="000E0ED2">
        <w:t>.</w:t>
      </w:r>
      <w:r>
        <w:fldChar w:fldCharType="begin"/>
      </w:r>
      <w:r>
        <w:instrText>SEQ Table \* ARABIC \s 1</w:instrText>
      </w:r>
      <w:r>
        <w:fldChar w:fldCharType="separate"/>
      </w:r>
      <w:r w:rsidR="00F30C16">
        <w:rPr>
          <w:noProof/>
        </w:rPr>
        <w:t>5</w:t>
      </w:r>
      <w:r>
        <w:fldChar w:fldCharType="end"/>
      </w:r>
      <w:r w:rsidRPr="00494D61">
        <w:t xml:space="preserve">: </w:t>
      </w:r>
      <w:r w:rsidR="005B699B" w:rsidRPr="00494D61">
        <w:t xml:space="preserve">Registered community expenditure budgets </w:t>
      </w:r>
      <w:bookmarkEnd w:id="2490"/>
      <w:bookmarkEnd w:id="2491"/>
      <w:bookmarkEnd w:id="2492"/>
      <w:bookmarkEnd w:id="2493"/>
      <w:r w:rsidR="005B699B" w:rsidRPr="00494D61">
        <w:t>202</w:t>
      </w:r>
      <w:r w:rsidR="005B699B">
        <w:t>4</w:t>
      </w:r>
      <w:r w:rsidR="005B699B" w:rsidRPr="00494D61">
        <w:t>–2</w:t>
      </w:r>
      <w:r w:rsidR="005B699B">
        <w:t>5 – $’000s</w:t>
      </w:r>
      <w:bookmarkEnd w:id="2494"/>
      <w:r w:rsidR="00246EA5">
        <w:t xml:space="preserve"> </w:t>
      </w:r>
    </w:p>
    <w:tbl>
      <w:tblPr>
        <w:tblW w:w="8426" w:type="dxa"/>
        <w:tblInd w:w="-147" w:type="dxa"/>
        <w:tblLayout w:type="fixed"/>
        <w:tblLook w:val="04A0" w:firstRow="1" w:lastRow="0" w:firstColumn="1" w:lastColumn="0" w:noHBand="0" w:noVBand="1"/>
      </w:tblPr>
      <w:tblGrid>
        <w:gridCol w:w="1985"/>
        <w:gridCol w:w="920"/>
        <w:gridCol w:w="920"/>
        <w:gridCol w:w="920"/>
        <w:gridCol w:w="920"/>
        <w:gridCol w:w="920"/>
        <w:gridCol w:w="920"/>
        <w:gridCol w:w="921"/>
      </w:tblGrid>
      <w:tr w:rsidR="00597BE3" w:rsidRPr="00AB625A" w14:paraId="5C9F72B4" w14:textId="77777777">
        <w:trPr>
          <w:trHeight w:val="1125"/>
          <w:tblHead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975CD" w14:textId="77777777" w:rsidR="00597BE3" w:rsidRPr="00AB625A" w:rsidRDefault="00597BE3">
            <w:pPr>
              <w:spacing w:after="0" w:line="240" w:lineRule="auto"/>
              <w:rPr>
                <w:rFonts w:cs="Arial"/>
                <w:b/>
                <w:bCs/>
                <w:color w:val="53565A"/>
                <w:sz w:val="16"/>
                <w:szCs w:val="16"/>
                <w:lang w:eastAsia="en-AU"/>
              </w:rPr>
            </w:pPr>
            <w:r w:rsidRPr="00AB625A">
              <w:rPr>
                <w:rFonts w:cs="Arial"/>
                <w:b/>
                <w:bCs/>
                <w:color w:val="53565A"/>
                <w:sz w:val="16"/>
                <w:szCs w:val="16"/>
                <w:lang w:eastAsia="en-AU"/>
              </w:rPr>
              <w:t>Health Service</w:t>
            </w:r>
          </w:p>
        </w:tc>
        <w:tc>
          <w:tcPr>
            <w:tcW w:w="920" w:type="dxa"/>
            <w:tcBorders>
              <w:top w:val="single" w:sz="4" w:space="0" w:color="auto"/>
              <w:left w:val="nil"/>
              <w:bottom w:val="single" w:sz="4" w:space="0" w:color="auto"/>
              <w:right w:val="single" w:sz="4" w:space="0" w:color="auto"/>
            </w:tcBorders>
            <w:shd w:val="clear" w:color="auto" w:fill="auto"/>
            <w:hideMark/>
          </w:tcPr>
          <w:p w14:paraId="5BD8FBEF"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Acute health services</w:t>
            </w:r>
          </w:p>
        </w:tc>
        <w:tc>
          <w:tcPr>
            <w:tcW w:w="920" w:type="dxa"/>
            <w:tcBorders>
              <w:top w:val="single" w:sz="4" w:space="0" w:color="auto"/>
              <w:left w:val="nil"/>
              <w:bottom w:val="single" w:sz="4" w:space="0" w:color="auto"/>
              <w:right w:val="single" w:sz="4" w:space="0" w:color="auto"/>
            </w:tcBorders>
            <w:shd w:val="clear" w:color="auto" w:fill="auto"/>
            <w:hideMark/>
          </w:tcPr>
          <w:p w14:paraId="2E45DE16"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Ageing, aged and home care</w:t>
            </w:r>
          </w:p>
        </w:tc>
        <w:tc>
          <w:tcPr>
            <w:tcW w:w="920" w:type="dxa"/>
            <w:tcBorders>
              <w:top w:val="single" w:sz="4" w:space="0" w:color="auto"/>
              <w:left w:val="nil"/>
              <w:bottom w:val="single" w:sz="4" w:space="0" w:color="auto"/>
              <w:right w:val="single" w:sz="4" w:space="0" w:color="auto"/>
            </w:tcBorders>
            <w:shd w:val="clear" w:color="auto" w:fill="auto"/>
            <w:hideMark/>
          </w:tcPr>
          <w:p w14:paraId="4965B8CD"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Drugs services</w:t>
            </w:r>
          </w:p>
        </w:tc>
        <w:tc>
          <w:tcPr>
            <w:tcW w:w="920" w:type="dxa"/>
            <w:tcBorders>
              <w:top w:val="single" w:sz="4" w:space="0" w:color="auto"/>
              <w:left w:val="nil"/>
              <w:bottom w:val="single" w:sz="4" w:space="0" w:color="auto"/>
              <w:right w:val="single" w:sz="4" w:space="0" w:color="auto"/>
            </w:tcBorders>
            <w:shd w:val="clear" w:color="auto" w:fill="auto"/>
            <w:hideMark/>
          </w:tcPr>
          <w:p w14:paraId="5E6F5CE6"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Mental health</w:t>
            </w:r>
          </w:p>
        </w:tc>
        <w:tc>
          <w:tcPr>
            <w:tcW w:w="920" w:type="dxa"/>
            <w:tcBorders>
              <w:top w:val="single" w:sz="4" w:space="0" w:color="auto"/>
              <w:left w:val="nil"/>
              <w:bottom w:val="single" w:sz="4" w:space="0" w:color="auto"/>
              <w:right w:val="single" w:sz="4" w:space="0" w:color="auto"/>
            </w:tcBorders>
            <w:shd w:val="clear" w:color="auto" w:fill="auto"/>
            <w:hideMark/>
          </w:tcPr>
          <w:p w14:paraId="714BC7E2"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Primary and dental health</w:t>
            </w:r>
          </w:p>
        </w:tc>
        <w:tc>
          <w:tcPr>
            <w:tcW w:w="920" w:type="dxa"/>
            <w:tcBorders>
              <w:top w:val="single" w:sz="4" w:space="0" w:color="auto"/>
              <w:left w:val="nil"/>
              <w:bottom w:val="single" w:sz="4" w:space="0" w:color="auto"/>
              <w:right w:val="single" w:sz="4" w:space="0" w:color="auto"/>
            </w:tcBorders>
            <w:shd w:val="clear" w:color="auto" w:fill="auto"/>
            <w:hideMark/>
          </w:tcPr>
          <w:p w14:paraId="03400B43"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Public health</w:t>
            </w:r>
          </w:p>
        </w:tc>
        <w:tc>
          <w:tcPr>
            <w:tcW w:w="921" w:type="dxa"/>
            <w:tcBorders>
              <w:top w:val="single" w:sz="4" w:space="0" w:color="auto"/>
              <w:left w:val="nil"/>
              <w:bottom w:val="single" w:sz="4" w:space="0" w:color="auto"/>
              <w:right w:val="single" w:sz="4" w:space="0" w:color="auto"/>
            </w:tcBorders>
            <w:shd w:val="clear" w:color="auto" w:fill="auto"/>
            <w:hideMark/>
          </w:tcPr>
          <w:p w14:paraId="4AFCBB04" w14:textId="77777777" w:rsidR="00597BE3" w:rsidRPr="00AB625A" w:rsidRDefault="00597BE3">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Total</w:t>
            </w:r>
          </w:p>
        </w:tc>
      </w:tr>
      <w:tr w:rsidR="00246EA5" w:rsidRPr="00AB625A" w14:paraId="11976BB5"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C004399" w14:textId="4E9C16AC"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Access Health And Community Limited</w:t>
            </w:r>
          </w:p>
        </w:tc>
        <w:tc>
          <w:tcPr>
            <w:tcW w:w="920" w:type="dxa"/>
            <w:tcBorders>
              <w:top w:val="nil"/>
              <w:left w:val="nil"/>
              <w:bottom w:val="single" w:sz="4" w:space="0" w:color="auto"/>
              <w:right w:val="single" w:sz="4" w:space="0" w:color="auto"/>
            </w:tcBorders>
            <w:shd w:val="clear" w:color="auto" w:fill="auto"/>
            <w:noWrap/>
            <w:vAlign w:val="center"/>
          </w:tcPr>
          <w:p w14:paraId="612E271C" w14:textId="551EA79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29F57FB" w14:textId="6ECA6D7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1,114</w:t>
            </w:r>
          </w:p>
        </w:tc>
        <w:tc>
          <w:tcPr>
            <w:tcW w:w="920" w:type="dxa"/>
            <w:tcBorders>
              <w:top w:val="nil"/>
              <w:left w:val="nil"/>
              <w:bottom w:val="single" w:sz="4" w:space="0" w:color="auto"/>
              <w:right w:val="single" w:sz="4" w:space="0" w:color="auto"/>
            </w:tcBorders>
            <w:shd w:val="clear" w:color="auto" w:fill="auto"/>
            <w:noWrap/>
            <w:vAlign w:val="center"/>
          </w:tcPr>
          <w:p w14:paraId="75FF06DB" w14:textId="61CF473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29</w:t>
            </w:r>
          </w:p>
        </w:tc>
        <w:tc>
          <w:tcPr>
            <w:tcW w:w="920" w:type="dxa"/>
            <w:tcBorders>
              <w:top w:val="nil"/>
              <w:left w:val="nil"/>
              <w:bottom w:val="single" w:sz="4" w:space="0" w:color="auto"/>
              <w:right w:val="single" w:sz="4" w:space="0" w:color="auto"/>
            </w:tcBorders>
            <w:shd w:val="clear" w:color="auto" w:fill="auto"/>
            <w:noWrap/>
            <w:vAlign w:val="center"/>
          </w:tcPr>
          <w:p w14:paraId="53B6F51F" w14:textId="5FA0018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3,222</w:t>
            </w:r>
          </w:p>
        </w:tc>
        <w:tc>
          <w:tcPr>
            <w:tcW w:w="920" w:type="dxa"/>
            <w:tcBorders>
              <w:top w:val="nil"/>
              <w:left w:val="nil"/>
              <w:bottom w:val="single" w:sz="4" w:space="0" w:color="auto"/>
              <w:right w:val="single" w:sz="4" w:space="0" w:color="auto"/>
            </w:tcBorders>
            <w:shd w:val="clear" w:color="auto" w:fill="auto"/>
            <w:noWrap/>
            <w:vAlign w:val="center"/>
          </w:tcPr>
          <w:p w14:paraId="2CE67FF4" w14:textId="30BCAD8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3,609</w:t>
            </w:r>
          </w:p>
        </w:tc>
        <w:tc>
          <w:tcPr>
            <w:tcW w:w="920" w:type="dxa"/>
            <w:tcBorders>
              <w:top w:val="nil"/>
              <w:left w:val="nil"/>
              <w:bottom w:val="single" w:sz="4" w:space="0" w:color="auto"/>
              <w:right w:val="single" w:sz="4" w:space="0" w:color="auto"/>
            </w:tcBorders>
            <w:shd w:val="clear" w:color="auto" w:fill="auto"/>
            <w:noWrap/>
            <w:vAlign w:val="center"/>
          </w:tcPr>
          <w:p w14:paraId="21C77761" w14:textId="29A220A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7C3B7F81" w14:textId="48726C2C"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7,974</w:t>
            </w:r>
          </w:p>
        </w:tc>
      </w:tr>
      <w:tr w:rsidR="00246EA5" w:rsidRPr="00AB625A" w14:paraId="3195BCC4"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90BAB55" w14:textId="42CEF23F"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Ballarat Community Health</w:t>
            </w:r>
          </w:p>
        </w:tc>
        <w:tc>
          <w:tcPr>
            <w:tcW w:w="920" w:type="dxa"/>
            <w:tcBorders>
              <w:top w:val="nil"/>
              <w:left w:val="nil"/>
              <w:bottom w:val="single" w:sz="4" w:space="0" w:color="auto"/>
              <w:right w:val="single" w:sz="4" w:space="0" w:color="auto"/>
            </w:tcBorders>
            <w:shd w:val="clear" w:color="auto" w:fill="auto"/>
            <w:noWrap/>
            <w:vAlign w:val="center"/>
          </w:tcPr>
          <w:p w14:paraId="4FB8DF01" w14:textId="0EB0DAB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78</w:t>
            </w:r>
          </w:p>
        </w:tc>
        <w:tc>
          <w:tcPr>
            <w:tcW w:w="920" w:type="dxa"/>
            <w:tcBorders>
              <w:top w:val="nil"/>
              <w:left w:val="nil"/>
              <w:bottom w:val="single" w:sz="4" w:space="0" w:color="auto"/>
              <w:right w:val="single" w:sz="4" w:space="0" w:color="auto"/>
            </w:tcBorders>
            <w:shd w:val="clear" w:color="auto" w:fill="auto"/>
            <w:noWrap/>
            <w:vAlign w:val="center"/>
          </w:tcPr>
          <w:p w14:paraId="024FFE69" w14:textId="49B9CCC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486</w:t>
            </w:r>
          </w:p>
        </w:tc>
        <w:tc>
          <w:tcPr>
            <w:tcW w:w="920" w:type="dxa"/>
            <w:tcBorders>
              <w:top w:val="nil"/>
              <w:left w:val="nil"/>
              <w:bottom w:val="single" w:sz="4" w:space="0" w:color="auto"/>
              <w:right w:val="single" w:sz="4" w:space="0" w:color="auto"/>
            </w:tcBorders>
            <w:shd w:val="clear" w:color="auto" w:fill="auto"/>
            <w:noWrap/>
            <w:vAlign w:val="center"/>
          </w:tcPr>
          <w:p w14:paraId="51DFBBD7" w14:textId="3304F10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4,050</w:t>
            </w:r>
          </w:p>
        </w:tc>
        <w:tc>
          <w:tcPr>
            <w:tcW w:w="920" w:type="dxa"/>
            <w:tcBorders>
              <w:top w:val="nil"/>
              <w:left w:val="nil"/>
              <w:bottom w:val="single" w:sz="4" w:space="0" w:color="auto"/>
              <w:right w:val="single" w:sz="4" w:space="0" w:color="auto"/>
            </w:tcBorders>
            <w:shd w:val="clear" w:color="auto" w:fill="auto"/>
            <w:noWrap/>
            <w:vAlign w:val="center"/>
          </w:tcPr>
          <w:p w14:paraId="0F35FBB5" w14:textId="78BA3FC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970</w:t>
            </w:r>
          </w:p>
        </w:tc>
        <w:tc>
          <w:tcPr>
            <w:tcW w:w="920" w:type="dxa"/>
            <w:tcBorders>
              <w:top w:val="nil"/>
              <w:left w:val="nil"/>
              <w:bottom w:val="single" w:sz="4" w:space="0" w:color="auto"/>
              <w:right w:val="single" w:sz="4" w:space="0" w:color="auto"/>
            </w:tcBorders>
            <w:shd w:val="clear" w:color="auto" w:fill="auto"/>
            <w:noWrap/>
            <w:vAlign w:val="center"/>
          </w:tcPr>
          <w:p w14:paraId="2505F5A5" w14:textId="10C3913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3,235</w:t>
            </w:r>
          </w:p>
        </w:tc>
        <w:tc>
          <w:tcPr>
            <w:tcW w:w="920" w:type="dxa"/>
            <w:tcBorders>
              <w:top w:val="nil"/>
              <w:left w:val="nil"/>
              <w:bottom w:val="single" w:sz="4" w:space="0" w:color="auto"/>
              <w:right w:val="single" w:sz="4" w:space="0" w:color="auto"/>
            </w:tcBorders>
            <w:shd w:val="clear" w:color="auto" w:fill="auto"/>
            <w:noWrap/>
            <w:vAlign w:val="center"/>
          </w:tcPr>
          <w:p w14:paraId="70AD78D4" w14:textId="687EAB1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305</w:t>
            </w:r>
          </w:p>
        </w:tc>
        <w:tc>
          <w:tcPr>
            <w:tcW w:w="921" w:type="dxa"/>
            <w:tcBorders>
              <w:top w:val="nil"/>
              <w:left w:val="nil"/>
              <w:bottom w:val="single" w:sz="4" w:space="0" w:color="auto"/>
              <w:right w:val="single" w:sz="4" w:space="0" w:color="auto"/>
            </w:tcBorders>
            <w:shd w:val="clear" w:color="auto" w:fill="auto"/>
            <w:noWrap/>
            <w:vAlign w:val="center"/>
          </w:tcPr>
          <w:p w14:paraId="4A015E91" w14:textId="63AC94DD"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9,123</w:t>
            </w:r>
          </w:p>
        </w:tc>
      </w:tr>
      <w:tr w:rsidR="00246EA5" w:rsidRPr="00AB625A" w14:paraId="4879AD18"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87767BE" w14:textId="69F0946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Banyule Community Health</w:t>
            </w:r>
          </w:p>
        </w:tc>
        <w:tc>
          <w:tcPr>
            <w:tcW w:w="920" w:type="dxa"/>
            <w:tcBorders>
              <w:top w:val="nil"/>
              <w:left w:val="nil"/>
              <w:bottom w:val="single" w:sz="4" w:space="0" w:color="auto"/>
              <w:right w:val="single" w:sz="4" w:space="0" w:color="auto"/>
            </w:tcBorders>
            <w:shd w:val="clear" w:color="auto" w:fill="auto"/>
            <w:noWrap/>
            <w:vAlign w:val="center"/>
          </w:tcPr>
          <w:p w14:paraId="77D3DB3B" w14:textId="5EABEB0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158E6644" w14:textId="15A9D39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706</w:t>
            </w:r>
          </w:p>
        </w:tc>
        <w:tc>
          <w:tcPr>
            <w:tcW w:w="920" w:type="dxa"/>
            <w:tcBorders>
              <w:top w:val="nil"/>
              <w:left w:val="nil"/>
              <w:bottom w:val="single" w:sz="4" w:space="0" w:color="auto"/>
              <w:right w:val="single" w:sz="4" w:space="0" w:color="auto"/>
            </w:tcBorders>
            <w:shd w:val="clear" w:color="auto" w:fill="auto"/>
            <w:noWrap/>
            <w:vAlign w:val="center"/>
          </w:tcPr>
          <w:p w14:paraId="12F5EDB0" w14:textId="6922047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FAC2824" w14:textId="47C18BA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0A8CD78E" w14:textId="1BF65B3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3,334</w:t>
            </w:r>
          </w:p>
        </w:tc>
        <w:tc>
          <w:tcPr>
            <w:tcW w:w="920" w:type="dxa"/>
            <w:tcBorders>
              <w:top w:val="nil"/>
              <w:left w:val="nil"/>
              <w:bottom w:val="single" w:sz="4" w:space="0" w:color="auto"/>
              <w:right w:val="single" w:sz="4" w:space="0" w:color="auto"/>
            </w:tcBorders>
            <w:shd w:val="clear" w:color="auto" w:fill="auto"/>
            <w:noWrap/>
            <w:vAlign w:val="center"/>
          </w:tcPr>
          <w:p w14:paraId="58361A68" w14:textId="4C6668C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2E9FEDFC" w14:textId="78455357"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4,039</w:t>
            </w:r>
          </w:p>
        </w:tc>
      </w:tr>
      <w:tr w:rsidR="00246EA5" w:rsidRPr="00AB625A" w14:paraId="1DF5E039"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EF255AB" w14:textId="582E23A8"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Bellarine Community Health Ltd</w:t>
            </w:r>
          </w:p>
        </w:tc>
        <w:tc>
          <w:tcPr>
            <w:tcW w:w="920" w:type="dxa"/>
            <w:tcBorders>
              <w:top w:val="nil"/>
              <w:left w:val="nil"/>
              <w:bottom w:val="single" w:sz="4" w:space="0" w:color="auto"/>
              <w:right w:val="single" w:sz="4" w:space="0" w:color="auto"/>
            </w:tcBorders>
            <w:shd w:val="clear" w:color="auto" w:fill="auto"/>
            <w:noWrap/>
            <w:vAlign w:val="center"/>
          </w:tcPr>
          <w:p w14:paraId="31CD8D2A" w14:textId="060CC48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726</w:t>
            </w:r>
          </w:p>
        </w:tc>
        <w:tc>
          <w:tcPr>
            <w:tcW w:w="920" w:type="dxa"/>
            <w:tcBorders>
              <w:top w:val="nil"/>
              <w:left w:val="nil"/>
              <w:bottom w:val="single" w:sz="4" w:space="0" w:color="auto"/>
              <w:right w:val="single" w:sz="4" w:space="0" w:color="auto"/>
            </w:tcBorders>
            <w:shd w:val="clear" w:color="auto" w:fill="auto"/>
            <w:noWrap/>
            <w:vAlign w:val="center"/>
          </w:tcPr>
          <w:p w14:paraId="35AD4A77" w14:textId="3C87DAA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735</w:t>
            </w:r>
          </w:p>
        </w:tc>
        <w:tc>
          <w:tcPr>
            <w:tcW w:w="920" w:type="dxa"/>
            <w:tcBorders>
              <w:top w:val="nil"/>
              <w:left w:val="nil"/>
              <w:bottom w:val="single" w:sz="4" w:space="0" w:color="auto"/>
              <w:right w:val="single" w:sz="4" w:space="0" w:color="auto"/>
            </w:tcBorders>
            <w:shd w:val="clear" w:color="auto" w:fill="auto"/>
            <w:noWrap/>
            <w:vAlign w:val="center"/>
          </w:tcPr>
          <w:p w14:paraId="540E98A3" w14:textId="0E042AD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F028426" w14:textId="702CE8E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2E9484F7" w14:textId="69884FD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2,607</w:t>
            </w:r>
          </w:p>
        </w:tc>
        <w:tc>
          <w:tcPr>
            <w:tcW w:w="920" w:type="dxa"/>
            <w:tcBorders>
              <w:top w:val="nil"/>
              <w:left w:val="nil"/>
              <w:bottom w:val="single" w:sz="4" w:space="0" w:color="auto"/>
              <w:right w:val="single" w:sz="4" w:space="0" w:color="auto"/>
            </w:tcBorders>
            <w:shd w:val="clear" w:color="auto" w:fill="auto"/>
            <w:noWrap/>
            <w:vAlign w:val="center"/>
          </w:tcPr>
          <w:p w14:paraId="12BDC56F" w14:textId="198C33C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154BF4AA" w14:textId="120E6450"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4,068</w:t>
            </w:r>
          </w:p>
        </w:tc>
      </w:tr>
      <w:tr w:rsidR="00246EA5" w:rsidRPr="00AB625A" w14:paraId="08C1B537"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CA7A29A" w14:textId="05B05B70"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Bendigo Community Health Services Limited</w:t>
            </w:r>
          </w:p>
        </w:tc>
        <w:tc>
          <w:tcPr>
            <w:tcW w:w="920" w:type="dxa"/>
            <w:tcBorders>
              <w:top w:val="nil"/>
              <w:left w:val="nil"/>
              <w:bottom w:val="single" w:sz="4" w:space="0" w:color="auto"/>
              <w:right w:val="single" w:sz="4" w:space="0" w:color="auto"/>
            </w:tcBorders>
            <w:shd w:val="clear" w:color="auto" w:fill="auto"/>
            <w:noWrap/>
            <w:vAlign w:val="center"/>
          </w:tcPr>
          <w:p w14:paraId="4615DB1E" w14:textId="66B7A65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F83DA66" w14:textId="55BF154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213</w:t>
            </w:r>
          </w:p>
        </w:tc>
        <w:tc>
          <w:tcPr>
            <w:tcW w:w="920" w:type="dxa"/>
            <w:tcBorders>
              <w:top w:val="nil"/>
              <w:left w:val="nil"/>
              <w:bottom w:val="single" w:sz="4" w:space="0" w:color="auto"/>
              <w:right w:val="single" w:sz="4" w:space="0" w:color="auto"/>
            </w:tcBorders>
            <w:shd w:val="clear" w:color="auto" w:fill="auto"/>
            <w:noWrap/>
            <w:vAlign w:val="center"/>
          </w:tcPr>
          <w:p w14:paraId="105E665B" w14:textId="0741484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5,233</w:t>
            </w:r>
          </w:p>
        </w:tc>
        <w:tc>
          <w:tcPr>
            <w:tcW w:w="920" w:type="dxa"/>
            <w:tcBorders>
              <w:top w:val="nil"/>
              <w:left w:val="nil"/>
              <w:bottom w:val="single" w:sz="4" w:space="0" w:color="auto"/>
              <w:right w:val="single" w:sz="4" w:space="0" w:color="auto"/>
            </w:tcBorders>
            <w:shd w:val="clear" w:color="auto" w:fill="auto"/>
            <w:noWrap/>
            <w:vAlign w:val="center"/>
          </w:tcPr>
          <w:p w14:paraId="108968BC" w14:textId="76975C0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151</w:t>
            </w:r>
          </w:p>
        </w:tc>
        <w:tc>
          <w:tcPr>
            <w:tcW w:w="920" w:type="dxa"/>
            <w:tcBorders>
              <w:top w:val="nil"/>
              <w:left w:val="nil"/>
              <w:bottom w:val="single" w:sz="4" w:space="0" w:color="auto"/>
              <w:right w:val="single" w:sz="4" w:space="0" w:color="auto"/>
            </w:tcBorders>
            <w:shd w:val="clear" w:color="auto" w:fill="auto"/>
            <w:noWrap/>
            <w:vAlign w:val="center"/>
          </w:tcPr>
          <w:p w14:paraId="0283A634" w14:textId="64A67B8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6,318</w:t>
            </w:r>
          </w:p>
        </w:tc>
        <w:tc>
          <w:tcPr>
            <w:tcW w:w="920" w:type="dxa"/>
            <w:tcBorders>
              <w:top w:val="nil"/>
              <w:left w:val="nil"/>
              <w:bottom w:val="single" w:sz="4" w:space="0" w:color="auto"/>
              <w:right w:val="single" w:sz="4" w:space="0" w:color="auto"/>
            </w:tcBorders>
            <w:shd w:val="clear" w:color="auto" w:fill="auto"/>
            <w:noWrap/>
            <w:vAlign w:val="center"/>
          </w:tcPr>
          <w:p w14:paraId="0F8BCB52" w14:textId="0CF0F48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230</w:t>
            </w:r>
          </w:p>
        </w:tc>
        <w:tc>
          <w:tcPr>
            <w:tcW w:w="921" w:type="dxa"/>
            <w:tcBorders>
              <w:top w:val="nil"/>
              <w:left w:val="nil"/>
              <w:bottom w:val="single" w:sz="4" w:space="0" w:color="auto"/>
              <w:right w:val="single" w:sz="4" w:space="0" w:color="auto"/>
            </w:tcBorders>
            <w:shd w:val="clear" w:color="auto" w:fill="auto"/>
            <w:noWrap/>
            <w:vAlign w:val="center"/>
          </w:tcPr>
          <w:p w14:paraId="0103C5A3" w14:textId="4DA85527"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12,145</w:t>
            </w:r>
          </w:p>
        </w:tc>
      </w:tr>
      <w:tr w:rsidR="00246EA5" w:rsidRPr="00AB625A" w14:paraId="78B19856" w14:textId="77777777" w:rsidTr="00F8537C">
        <w:trPr>
          <w:trHeight w:val="3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51BEE6" w14:textId="74C6A650"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B</w:t>
            </w:r>
            <w:r w:rsidR="00C162FF">
              <w:rPr>
                <w:rFonts w:cs="Arial"/>
                <w:color w:val="000000"/>
                <w:sz w:val="15"/>
                <w:szCs w:val="15"/>
              </w:rPr>
              <w:t>HN</w:t>
            </w:r>
            <w:r>
              <w:rPr>
                <w:rFonts w:cs="Arial"/>
                <w:color w:val="000000"/>
                <w:sz w:val="15"/>
                <w:szCs w:val="15"/>
              </w:rPr>
              <w:t xml:space="preserve"> Better Health Network Ltd</w:t>
            </w:r>
          </w:p>
        </w:tc>
        <w:tc>
          <w:tcPr>
            <w:tcW w:w="920" w:type="dxa"/>
            <w:tcBorders>
              <w:top w:val="nil"/>
              <w:left w:val="nil"/>
              <w:bottom w:val="single" w:sz="4" w:space="0" w:color="auto"/>
              <w:right w:val="single" w:sz="4" w:space="0" w:color="auto"/>
            </w:tcBorders>
            <w:shd w:val="clear" w:color="auto" w:fill="auto"/>
            <w:noWrap/>
            <w:vAlign w:val="center"/>
          </w:tcPr>
          <w:p w14:paraId="7D153A35" w14:textId="3BC7062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2,128</w:t>
            </w:r>
          </w:p>
        </w:tc>
        <w:tc>
          <w:tcPr>
            <w:tcW w:w="920" w:type="dxa"/>
            <w:tcBorders>
              <w:top w:val="nil"/>
              <w:left w:val="nil"/>
              <w:bottom w:val="single" w:sz="4" w:space="0" w:color="auto"/>
              <w:right w:val="single" w:sz="4" w:space="0" w:color="auto"/>
            </w:tcBorders>
            <w:shd w:val="clear" w:color="auto" w:fill="auto"/>
            <w:noWrap/>
            <w:vAlign w:val="center"/>
          </w:tcPr>
          <w:p w14:paraId="3266F1BD" w14:textId="1AE8204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3,552</w:t>
            </w:r>
          </w:p>
        </w:tc>
        <w:tc>
          <w:tcPr>
            <w:tcW w:w="920" w:type="dxa"/>
            <w:tcBorders>
              <w:top w:val="nil"/>
              <w:left w:val="nil"/>
              <w:bottom w:val="single" w:sz="4" w:space="0" w:color="auto"/>
              <w:right w:val="single" w:sz="4" w:space="0" w:color="auto"/>
            </w:tcBorders>
            <w:shd w:val="clear" w:color="auto" w:fill="auto"/>
            <w:noWrap/>
            <w:vAlign w:val="center"/>
          </w:tcPr>
          <w:p w14:paraId="32549FE0" w14:textId="78CDA15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4,697</w:t>
            </w:r>
          </w:p>
        </w:tc>
        <w:tc>
          <w:tcPr>
            <w:tcW w:w="920" w:type="dxa"/>
            <w:tcBorders>
              <w:top w:val="nil"/>
              <w:left w:val="nil"/>
              <w:bottom w:val="single" w:sz="4" w:space="0" w:color="auto"/>
              <w:right w:val="single" w:sz="4" w:space="0" w:color="auto"/>
            </w:tcBorders>
            <w:shd w:val="clear" w:color="auto" w:fill="auto"/>
            <w:noWrap/>
            <w:vAlign w:val="center"/>
          </w:tcPr>
          <w:p w14:paraId="73862166" w14:textId="0E88A0C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3,482</w:t>
            </w:r>
          </w:p>
        </w:tc>
        <w:tc>
          <w:tcPr>
            <w:tcW w:w="920" w:type="dxa"/>
            <w:tcBorders>
              <w:top w:val="nil"/>
              <w:left w:val="nil"/>
              <w:bottom w:val="single" w:sz="4" w:space="0" w:color="auto"/>
              <w:right w:val="single" w:sz="4" w:space="0" w:color="auto"/>
            </w:tcBorders>
            <w:shd w:val="clear" w:color="auto" w:fill="auto"/>
            <w:noWrap/>
            <w:vAlign w:val="center"/>
          </w:tcPr>
          <w:p w14:paraId="7BBC3BC4" w14:textId="02E2976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10,720</w:t>
            </w:r>
          </w:p>
        </w:tc>
        <w:tc>
          <w:tcPr>
            <w:tcW w:w="920" w:type="dxa"/>
            <w:tcBorders>
              <w:top w:val="nil"/>
              <w:left w:val="nil"/>
              <w:bottom w:val="single" w:sz="4" w:space="0" w:color="auto"/>
              <w:right w:val="single" w:sz="4" w:space="0" w:color="auto"/>
            </w:tcBorders>
            <w:shd w:val="clear" w:color="auto" w:fill="auto"/>
            <w:noWrap/>
            <w:vAlign w:val="center"/>
          </w:tcPr>
          <w:p w14:paraId="7F4DB5D3" w14:textId="383B57E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873</w:t>
            </w:r>
          </w:p>
        </w:tc>
        <w:tc>
          <w:tcPr>
            <w:tcW w:w="921" w:type="dxa"/>
            <w:tcBorders>
              <w:top w:val="nil"/>
              <w:left w:val="nil"/>
              <w:bottom w:val="single" w:sz="4" w:space="0" w:color="auto"/>
              <w:right w:val="single" w:sz="4" w:space="0" w:color="auto"/>
            </w:tcBorders>
            <w:shd w:val="clear" w:color="auto" w:fill="auto"/>
            <w:noWrap/>
            <w:vAlign w:val="center"/>
          </w:tcPr>
          <w:p w14:paraId="634567F2" w14:textId="7CC6A694"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25,452</w:t>
            </w:r>
          </w:p>
        </w:tc>
      </w:tr>
      <w:tr w:rsidR="00246EA5" w:rsidRPr="00AB625A" w14:paraId="28C12FA6" w14:textId="77777777" w:rsidTr="00F8537C">
        <w:trPr>
          <w:trHeight w:val="37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02E0AE2" w14:textId="2A89A6B4"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Cohealth Limited</w:t>
            </w:r>
          </w:p>
        </w:tc>
        <w:tc>
          <w:tcPr>
            <w:tcW w:w="920" w:type="dxa"/>
            <w:tcBorders>
              <w:top w:val="nil"/>
              <w:left w:val="nil"/>
              <w:bottom w:val="single" w:sz="4" w:space="0" w:color="auto"/>
              <w:right w:val="single" w:sz="4" w:space="0" w:color="auto"/>
            </w:tcBorders>
            <w:shd w:val="clear" w:color="auto" w:fill="auto"/>
            <w:noWrap/>
            <w:vAlign w:val="center"/>
          </w:tcPr>
          <w:p w14:paraId="116472D2" w14:textId="3FF9B7B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55959949" w14:textId="74411DE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6,380</w:t>
            </w:r>
          </w:p>
        </w:tc>
        <w:tc>
          <w:tcPr>
            <w:tcW w:w="920" w:type="dxa"/>
            <w:tcBorders>
              <w:top w:val="nil"/>
              <w:left w:val="nil"/>
              <w:bottom w:val="single" w:sz="4" w:space="0" w:color="auto"/>
              <w:right w:val="single" w:sz="4" w:space="0" w:color="auto"/>
            </w:tcBorders>
            <w:shd w:val="clear" w:color="auto" w:fill="auto"/>
            <w:noWrap/>
            <w:vAlign w:val="center"/>
          </w:tcPr>
          <w:p w14:paraId="67266BCB" w14:textId="1A0A21D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17,410</w:t>
            </w:r>
          </w:p>
        </w:tc>
        <w:tc>
          <w:tcPr>
            <w:tcW w:w="920" w:type="dxa"/>
            <w:tcBorders>
              <w:top w:val="nil"/>
              <w:left w:val="nil"/>
              <w:bottom w:val="single" w:sz="4" w:space="0" w:color="auto"/>
              <w:right w:val="single" w:sz="4" w:space="0" w:color="auto"/>
            </w:tcBorders>
            <w:shd w:val="clear" w:color="auto" w:fill="auto"/>
            <w:noWrap/>
            <w:vAlign w:val="center"/>
          </w:tcPr>
          <w:p w14:paraId="480248A0" w14:textId="284439E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17,116</w:t>
            </w:r>
          </w:p>
        </w:tc>
        <w:tc>
          <w:tcPr>
            <w:tcW w:w="920" w:type="dxa"/>
            <w:tcBorders>
              <w:top w:val="nil"/>
              <w:left w:val="nil"/>
              <w:bottom w:val="single" w:sz="4" w:space="0" w:color="auto"/>
              <w:right w:val="single" w:sz="4" w:space="0" w:color="auto"/>
            </w:tcBorders>
            <w:shd w:val="clear" w:color="auto" w:fill="auto"/>
            <w:noWrap/>
            <w:vAlign w:val="center"/>
          </w:tcPr>
          <w:p w14:paraId="1AA901F6" w14:textId="12FFA54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11,940</w:t>
            </w:r>
          </w:p>
        </w:tc>
        <w:tc>
          <w:tcPr>
            <w:tcW w:w="920" w:type="dxa"/>
            <w:tcBorders>
              <w:top w:val="nil"/>
              <w:left w:val="nil"/>
              <w:bottom w:val="single" w:sz="4" w:space="0" w:color="auto"/>
              <w:right w:val="single" w:sz="4" w:space="0" w:color="auto"/>
            </w:tcBorders>
            <w:shd w:val="clear" w:color="auto" w:fill="auto"/>
            <w:noWrap/>
            <w:vAlign w:val="center"/>
          </w:tcPr>
          <w:p w14:paraId="60BCFA0E" w14:textId="19140AE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w:t>
            </w:r>
          </w:p>
        </w:tc>
        <w:tc>
          <w:tcPr>
            <w:tcW w:w="921" w:type="dxa"/>
            <w:tcBorders>
              <w:top w:val="nil"/>
              <w:left w:val="nil"/>
              <w:bottom w:val="single" w:sz="4" w:space="0" w:color="auto"/>
              <w:right w:val="single" w:sz="4" w:space="0" w:color="auto"/>
            </w:tcBorders>
            <w:shd w:val="clear" w:color="auto" w:fill="auto"/>
            <w:noWrap/>
            <w:vAlign w:val="center"/>
          </w:tcPr>
          <w:p w14:paraId="4CD1D40F" w14:textId="05E5E6C1"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52,847</w:t>
            </w:r>
          </w:p>
        </w:tc>
      </w:tr>
      <w:tr w:rsidR="00246EA5" w:rsidRPr="00AB625A" w14:paraId="42D64249"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64DB1DF" w14:textId="1F64F1EC"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Dpv Health</w:t>
            </w:r>
          </w:p>
        </w:tc>
        <w:tc>
          <w:tcPr>
            <w:tcW w:w="920" w:type="dxa"/>
            <w:tcBorders>
              <w:top w:val="nil"/>
              <w:left w:val="nil"/>
              <w:bottom w:val="single" w:sz="4" w:space="0" w:color="auto"/>
              <w:right w:val="single" w:sz="4" w:space="0" w:color="auto"/>
            </w:tcBorders>
            <w:shd w:val="clear" w:color="auto" w:fill="auto"/>
            <w:noWrap/>
            <w:vAlign w:val="center"/>
          </w:tcPr>
          <w:p w14:paraId="3DAD8530" w14:textId="1D611FB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4DB5FB9" w14:textId="3F2A8D0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1,671</w:t>
            </w:r>
          </w:p>
        </w:tc>
        <w:tc>
          <w:tcPr>
            <w:tcW w:w="920" w:type="dxa"/>
            <w:tcBorders>
              <w:top w:val="nil"/>
              <w:left w:val="nil"/>
              <w:bottom w:val="single" w:sz="4" w:space="0" w:color="auto"/>
              <w:right w:val="single" w:sz="4" w:space="0" w:color="auto"/>
            </w:tcBorders>
            <w:shd w:val="clear" w:color="auto" w:fill="auto"/>
            <w:noWrap/>
            <w:vAlign w:val="center"/>
          </w:tcPr>
          <w:p w14:paraId="2EF41B84" w14:textId="2177E2F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65D07297" w14:textId="5559EB5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w:t>
            </w:r>
          </w:p>
        </w:tc>
        <w:tc>
          <w:tcPr>
            <w:tcW w:w="920" w:type="dxa"/>
            <w:tcBorders>
              <w:top w:val="nil"/>
              <w:left w:val="nil"/>
              <w:bottom w:val="single" w:sz="4" w:space="0" w:color="auto"/>
              <w:right w:val="single" w:sz="4" w:space="0" w:color="auto"/>
            </w:tcBorders>
            <w:shd w:val="clear" w:color="auto" w:fill="auto"/>
            <w:noWrap/>
            <w:vAlign w:val="center"/>
          </w:tcPr>
          <w:p w14:paraId="08C8EA51" w14:textId="15DFEDD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12,052</w:t>
            </w:r>
          </w:p>
        </w:tc>
        <w:tc>
          <w:tcPr>
            <w:tcW w:w="920" w:type="dxa"/>
            <w:tcBorders>
              <w:top w:val="nil"/>
              <w:left w:val="nil"/>
              <w:bottom w:val="single" w:sz="4" w:space="0" w:color="auto"/>
              <w:right w:val="single" w:sz="4" w:space="0" w:color="auto"/>
            </w:tcBorders>
            <w:shd w:val="clear" w:color="auto" w:fill="auto"/>
            <w:noWrap/>
            <w:vAlign w:val="center"/>
          </w:tcPr>
          <w:p w14:paraId="1ED1E8A4" w14:textId="7D75D0D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75D68C6E" w14:textId="76356CF1"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13,726</w:t>
            </w:r>
          </w:p>
        </w:tc>
      </w:tr>
      <w:tr w:rsidR="00246EA5" w:rsidRPr="00AB625A" w14:paraId="0D624C5E"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0B9BAC5" w14:textId="1B397012"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Eastern Access Community Health Inc</w:t>
            </w:r>
          </w:p>
        </w:tc>
        <w:tc>
          <w:tcPr>
            <w:tcW w:w="920" w:type="dxa"/>
            <w:tcBorders>
              <w:top w:val="nil"/>
              <w:left w:val="nil"/>
              <w:bottom w:val="single" w:sz="4" w:space="0" w:color="auto"/>
              <w:right w:val="single" w:sz="4" w:space="0" w:color="auto"/>
            </w:tcBorders>
            <w:shd w:val="clear" w:color="auto" w:fill="auto"/>
            <w:noWrap/>
            <w:vAlign w:val="center"/>
          </w:tcPr>
          <w:p w14:paraId="603EDFA5" w14:textId="14CB388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6716B31A" w14:textId="588395E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1,109</w:t>
            </w:r>
          </w:p>
        </w:tc>
        <w:tc>
          <w:tcPr>
            <w:tcW w:w="920" w:type="dxa"/>
            <w:tcBorders>
              <w:top w:val="nil"/>
              <w:left w:val="nil"/>
              <w:bottom w:val="single" w:sz="4" w:space="0" w:color="auto"/>
              <w:right w:val="single" w:sz="4" w:space="0" w:color="auto"/>
            </w:tcBorders>
            <w:shd w:val="clear" w:color="auto" w:fill="auto"/>
            <w:noWrap/>
            <w:vAlign w:val="center"/>
          </w:tcPr>
          <w:p w14:paraId="6CE1D771" w14:textId="6E0E8B8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10,747</w:t>
            </w:r>
          </w:p>
        </w:tc>
        <w:tc>
          <w:tcPr>
            <w:tcW w:w="920" w:type="dxa"/>
            <w:tcBorders>
              <w:top w:val="nil"/>
              <w:left w:val="nil"/>
              <w:bottom w:val="single" w:sz="4" w:space="0" w:color="auto"/>
              <w:right w:val="single" w:sz="4" w:space="0" w:color="auto"/>
            </w:tcBorders>
            <w:shd w:val="clear" w:color="auto" w:fill="auto"/>
            <w:noWrap/>
            <w:vAlign w:val="center"/>
          </w:tcPr>
          <w:p w14:paraId="2F12F294" w14:textId="3D5432E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4,871</w:t>
            </w:r>
          </w:p>
        </w:tc>
        <w:tc>
          <w:tcPr>
            <w:tcW w:w="920" w:type="dxa"/>
            <w:tcBorders>
              <w:top w:val="nil"/>
              <w:left w:val="nil"/>
              <w:bottom w:val="single" w:sz="4" w:space="0" w:color="auto"/>
              <w:right w:val="single" w:sz="4" w:space="0" w:color="auto"/>
            </w:tcBorders>
            <w:shd w:val="clear" w:color="auto" w:fill="auto"/>
            <w:noWrap/>
            <w:vAlign w:val="center"/>
          </w:tcPr>
          <w:p w14:paraId="04F0DA3B" w14:textId="1B5B314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7,085</w:t>
            </w:r>
          </w:p>
        </w:tc>
        <w:tc>
          <w:tcPr>
            <w:tcW w:w="920" w:type="dxa"/>
            <w:tcBorders>
              <w:top w:val="nil"/>
              <w:left w:val="nil"/>
              <w:bottom w:val="single" w:sz="4" w:space="0" w:color="auto"/>
              <w:right w:val="single" w:sz="4" w:space="0" w:color="auto"/>
            </w:tcBorders>
            <w:shd w:val="clear" w:color="auto" w:fill="auto"/>
            <w:noWrap/>
            <w:vAlign w:val="center"/>
          </w:tcPr>
          <w:p w14:paraId="26F0C155" w14:textId="46F7549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7D35A0AF" w14:textId="39A095B9"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23,812</w:t>
            </w:r>
          </w:p>
        </w:tc>
      </w:tr>
      <w:tr w:rsidR="00246EA5" w:rsidRPr="00AB625A" w14:paraId="098F59C0"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F18701E" w14:textId="75D6ABFD"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Gateway Health Limited</w:t>
            </w:r>
          </w:p>
        </w:tc>
        <w:tc>
          <w:tcPr>
            <w:tcW w:w="920" w:type="dxa"/>
            <w:tcBorders>
              <w:top w:val="nil"/>
              <w:left w:val="nil"/>
              <w:bottom w:val="single" w:sz="4" w:space="0" w:color="auto"/>
              <w:right w:val="single" w:sz="4" w:space="0" w:color="auto"/>
            </w:tcBorders>
            <w:shd w:val="clear" w:color="auto" w:fill="auto"/>
            <w:noWrap/>
            <w:vAlign w:val="center"/>
          </w:tcPr>
          <w:p w14:paraId="3791EAB1" w14:textId="1DD6003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3E56030" w14:textId="080D545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535</w:t>
            </w:r>
          </w:p>
        </w:tc>
        <w:tc>
          <w:tcPr>
            <w:tcW w:w="920" w:type="dxa"/>
            <w:tcBorders>
              <w:top w:val="nil"/>
              <w:left w:val="nil"/>
              <w:bottom w:val="single" w:sz="4" w:space="0" w:color="auto"/>
              <w:right w:val="single" w:sz="4" w:space="0" w:color="auto"/>
            </w:tcBorders>
            <w:shd w:val="clear" w:color="auto" w:fill="auto"/>
            <w:noWrap/>
            <w:vAlign w:val="center"/>
          </w:tcPr>
          <w:p w14:paraId="41A8141D" w14:textId="00A3A35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5,224</w:t>
            </w:r>
          </w:p>
        </w:tc>
        <w:tc>
          <w:tcPr>
            <w:tcW w:w="920" w:type="dxa"/>
            <w:tcBorders>
              <w:top w:val="nil"/>
              <w:left w:val="nil"/>
              <w:bottom w:val="single" w:sz="4" w:space="0" w:color="auto"/>
              <w:right w:val="single" w:sz="4" w:space="0" w:color="auto"/>
            </w:tcBorders>
            <w:shd w:val="clear" w:color="auto" w:fill="auto"/>
            <w:noWrap/>
            <w:vAlign w:val="center"/>
          </w:tcPr>
          <w:p w14:paraId="68186DFB" w14:textId="0DF0F4E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1,579</w:t>
            </w:r>
          </w:p>
        </w:tc>
        <w:tc>
          <w:tcPr>
            <w:tcW w:w="920" w:type="dxa"/>
            <w:tcBorders>
              <w:top w:val="nil"/>
              <w:left w:val="nil"/>
              <w:bottom w:val="single" w:sz="4" w:space="0" w:color="auto"/>
              <w:right w:val="single" w:sz="4" w:space="0" w:color="auto"/>
            </w:tcBorders>
            <w:shd w:val="clear" w:color="auto" w:fill="auto"/>
            <w:noWrap/>
            <w:vAlign w:val="center"/>
          </w:tcPr>
          <w:p w14:paraId="0C402109" w14:textId="0BC3175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2,708</w:t>
            </w:r>
          </w:p>
        </w:tc>
        <w:tc>
          <w:tcPr>
            <w:tcW w:w="920" w:type="dxa"/>
            <w:tcBorders>
              <w:top w:val="nil"/>
              <w:left w:val="nil"/>
              <w:bottom w:val="single" w:sz="4" w:space="0" w:color="auto"/>
              <w:right w:val="single" w:sz="4" w:space="0" w:color="auto"/>
            </w:tcBorders>
            <w:shd w:val="clear" w:color="auto" w:fill="auto"/>
            <w:noWrap/>
            <w:vAlign w:val="center"/>
          </w:tcPr>
          <w:p w14:paraId="13400A7F" w14:textId="424C7AC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251</w:t>
            </w:r>
          </w:p>
        </w:tc>
        <w:tc>
          <w:tcPr>
            <w:tcW w:w="921" w:type="dxa"/>
            <w:tcBorders>
              <w:top w:val="nil"/>
              <w:left w:val="nil"/>
              <w:bottom w:val="single" w:sz="4" w:space="0" w:color="auto"/>
              <w:right w:val="single" w:sz="4" w:space="0" w:color="auto"/>
            </w:tcBorders>
            <w:shd w:val="clear" w:color="auto" w:fill="auto"/>
            <w:noWrap/>
            <w:vAlign w:val="center"/>
          </w:tcPr>
          <w:p w14:paraId="1ADF74C5" w14:textId="42617713"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10,296</w:t>
            </w:r>
          </w:p>
        </w:tc>
      </w:tr>
      <w:tr w:rsidR="00246EA5" w:rsidRPr="00AB625A" w14:paraId="094F2622"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B72C65B" w14:textId="1DB385D7"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Gippsland Lakes Complete Health Limited</w:t>
            </w:r>
          </w:p>
        </w:tc>
        <w:tc>
          <w:tcPr>
            <w:tcW w:w="920" w:type="dxa"/>
            <w:tcBorders>
              <w:top w:val="nil"/>
              <w:left w:val="nil"/>
              <w:bottom w:val="single" w:sz="4" w:space="0" w:color="auto"/>
              <w:right w:val="single" w:sz="4" w:space="0" w:color="auto"/>
            </w:tcBorders>
            <w:shd w:val="clear" w:color="auto" w:fill="auto"/>
            <w:noWrap/>
            <w:vAlign w:val="center"/>
          </w:tcPr>
          <w:p w14:paraId="5D308652" w14:textId="3D7A9AC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626</w:t>
            </w:r>
          </w:p>
        </w:tc>
        <w:tc>
          <w:tcPr>
            <w:tcW w:w="920" w:type="dxa"/>
            <w:tcBorders>
              <w:top w:val="nil"/>
              <w:left w:val="nil"/>
              <w:bottom w:val="single" w:sz="4" w:space="0" w:color="auto"/>
              <w:right w:val="single" w:sz="4" w:space="0" w:color="auto"/>
            </w:tcBorders>
            <w:shd w:val="clear" w:color="auto" w:fill="auto"/>
            <w:noWrap/>
            <w:vAlign w:val="center"/>
          </w:tcPr>
          <w:p w14:paraId="299DDBE5" w14:textId="030B969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556</w:t>
            </w:r>
          </w:p>
        </w:tc>
        <w:tc>
          <w:tcPr>
            <w:tcW w:w="920" w:type="dxa"/>
            <w:tcBorders>
              <w:top w:val="nil"/>
              <w:left w:val="nil"/>
              <w:bottom w:val="single" w:sz="4" w:space="0" w:color="auto"/>
              <w:right w:val="single" w:sz="4" w:space="0" w:color="auto"/>
            </w:tcBorders>
            <w:shd w:val="clear" w:color="auto" w:fill="auto"/>
            <w:noWrap/>
            <w:vAlign w:val="center"/>
          </w:tcPr>
          <w:p w14:paraId="2809AD72" w14:textId="29EBFC4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315</w:t>
            </w:r>
          </w:p>
        </w:tc>
        <w:tc>
          <w:tcPr>
            <w:tcW w:w="920" w:type="dxa"/>
            <w:tcBorders>
              <w:top w:val="nil"/>
              <w:left w:val="nil"/>
              <w:bottom w:val="single" w:sz="4" w:space="0" w:color="auto"/>
              <w:right w:val="single" w:sz="4" w:space="0" w:color="auto"/>
            </w:tcBorders>
            <w:shd w:val="clear" w:color="auto" w:fill="auto"/>
            <w:noWrap/>
            <w:vAlign w:val="center"/>
          </w:tcPr>
          <w:p w14:paraId="164FAC4F" w14:textId="304CB51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98</w:t>
            </w:r>
          </w:p>
        </w:tc>
        <w:tc>
          <w:tcPr>
            <w:tcW w:w="920" w:type="dxa"/>
            <w:tcBorders>
              <w:top w:val="nil"/>
              <w:left w:val="nil"/>
              <w:bottom w:val="single" w:sz="4" w:space="0" w:color="auto"/>
              <w:right w:val="single" w:sz="4" w:space="0" w:color="auto"/>
            </w:tcBorders>
            <w:shd w:val="clear" w:color="auto" w:fill="auto"/>
            <w:noWrap/>
            <w:vAlign w:val="center"/>
          </w:tcPr>
          <w:p w14:paraId="09920787" w14:textId="0F9A0C8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4,857</w:t>
            </w:r>
          </w:p>
        </w:tc>
        <w:tc>
          <w:tcPr>
            <w:tcW w:w="920" w:type="dxa"/>
            <w:tcBorders>
              <w:top w:val="nil"/>
              <w:left w:val="nil"/>
              <w:bottom w:val="single" w:sz="4" w:space="0" w:color="auto"/>
              <w:right w:val="single" w:sz="4" w:space="0" w:color="auto"/>
            </w:tcBorders>
            <w:shd w:val="clear" w:color="auto" w:fill="auto"/>
            <w:noWrap/>
            <w:vAlign w:val="center"/>
          </w:tcPr>
          <w:p w14:paraId="42377BB1" w14:textId="2CD4DD8B"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196</w:t>
            </w:r>
          </w:p>
        </w:tc>
        <w:tc>
          <w:tcPr>
            <w:tcW w:w="921" w:type="dxa"/>
            <w:tcBorders>
              <w:top w:val="nil"/>
              <w:left w:val="nil"/>
              <w:bottom w:val="single" w:sz="4" w:space="0" w:color="auto"/>
              <w:right w:val="single" w:sz="4" w:space="0" w:color="auto"/>
            </w:tcBorders>
            <w:shd w:val="clear" w:color="auto" w:fill="auto"/>
            <w:noWrap/>
            <w:vAlign w:val="center"/>
          </w:tcPr>
          <w:p w14:paraId="6591113C" w14:textId="34042973"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6,648</w:t>
            </w:r>
          </w:p>
        </w:tc>
      </w:tr>
      <w:tr w:rsidR="00246EA5" w:rsidRPr="00AB625A" w14:paraId="2350CB2B"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769914" w14:textId="6A85EA6A"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Grampians Community Health</w:t>
            </w:r>
          </w:p>
        </w:tc>
        <w:tc>
          <w:tcPr>
            <w:tcW w:w="920" w:type="dxa"/>
            <w:tcBorders>
              <w:top w:val="nil"/>
              <w:left w:val="nil"/>
              <w:bottom w:val="single" w:sz="4" w:space="0" w:color="auto"/>
              <w:right w:val="single" w:sz="4" w:space="0" w:color="auto"/>
            </w:tcBorders>
            <w:shd w:val="clear" w:color="auto" w:fill="auto"/>
            <w:noWrap/>
            <w:vAlign w:val="center"/>
          </w:tcPr>
          <w:p w14:paraId="2CDB6CFB" w14:textId="555828F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8F0B56B" w14:textId="33E6C79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575</w:t>
            </w:r>
          </w:p>
        </w:tc>
        <w:tc>
          <w:tcPr>
            <w:tcW w:w="920" w:type="dxa"/>
            <w:tcBorders>
              <w:top w:val="nil"/>
              <w:left w:val="nil"/>
              <w:bottom w:val="single" w:sz="4" w:space="0" w:color="auto"/>
              <w:right w:val="single" w:sz="4" w:space="0" w:color="auto"/>
            </w:tcBorders>
            <w:shd w:val="clear" w:color="auto" w:fill="auto"/>
            <w:noWrap/>
            <w:vAlign w:val="center"/>
          </w:tcPr>
          <w:p w14:paraId="456CBAB7" w14:textId="7B49196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308</w:t>
            </w:r>
          </w:p>
        </w:tc>
        <w:tc>
          <w:tcPr>
            <w:tcW w:w="920" w:type="dxa"/>
            <w:tcBorders>
              <w:top w:val="nil"/>
              <w:left w:val="nil"/>
              <w:bottom w:val="single" w:sz="4" w:space="0" w:color="auto"/>
              <w:right w:val="single" w:sz="4" w:space="0" w:color="auto"/>
            </w:tcBorders>
            <w:shd w:val="clear" w:color="auto" w:fill="auto"/>
            <w:noWrap/>
            <w:vAlign w:val="center"/>
          </w:tcPr>
          <w:p w14:paraId="7743C73C" w14:textId="4745F6B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98</w:t>
            </w:r>
          </w:p>
        </w:tc>
        <w:tc>
          <w:tcPr>
            <w:tcW w:w="920" w:type="dxa"/>
            <w:tcBorders>
              <w:top w:val="nil"/>
              <w:left w:val="nil"/>
              <w:bottom w:val="single" w:sz="4" w:space="0" w:color="auto"/>
              <w:right w:val="single" w:sz="4" w:space="0" w:color="auto"/>
            </w:tcBorders>
            <w:shd w:val="clear" w:color="auto" w:fill="auto"/>
            <w:noWrap/>
            <w:vAlign w:val="center"/>
          </w:tcPr>
          <w:p w14:paraId="7E3F30F2" w14:textId="1F5C0DE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1,172</w:t>
            </w:r>
          </w:p>
        </w:tc>
        <w:tc>
          <w:tcPr>
            <w:tcW w:w="920" w:type="dxa"/>
            <w:tcBorders>
              <w:top w:val="nil"/>
              <w:left w:val="nil"/>
              <w:bottom w:val="single" w:sz="4" w:space="0" w:color="auto"/>
              <w:right w:val="single" w:sz="4" w:space="0" w:color="auto"/>
            </w:tcBorders>
            <w:shd w:val="clear" w:color="auto" w:fill="auto"/>
            <w:noWrap/>
            <w:vAlign w:val="center"/>
          </w:tcPr>
          <w:p w14:paraId="5945A056" w14:textId="40B7580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5F24D6C9" w14:textId="3140CE7C"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2,153</w:t>
            </w:r>
          </w:p>
        </w:tc>
      </w:tr>
      <w:tr w:rsidR="00246EA5" w:rsidRPr="00AB625A" w14:paraId="4B3BB2EF"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D8EE48B" w14:textId="26EDDC91"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I</w:t>
            </w:r>
            <w:r w:rsidR="00C162FF">
              <w:rPr>
                <w:rFonts w:cs="Arial"/>
                <w:color w:val="000000"/>
                <w:sz w:val="15"/>
                <w:szCs w:val="15"/>
              </w:rPr>
              <w:t>PC</w:t>
            </w:r>
            <w:r>
              <w:rPr>
                <w:rFonts w:cs="Arial"/>
                <w:color w:val="000000"/>
                <w:sz w:val="15"/>
                <w:szCs w:val="15"/>
              </w:rPr>
              <w:t xml:space="preserve"> Health</w:t>
            </w:r>
          </w:p>
        </w:tc>
        <w:tc>
          <w:tcPr>
            <w:tcW w:w="920" w:type="dxa"/>
            <w:tcBorders>
              <w:top w:val="nil"/>
              <w:left w:val="nil"/>
              <w:bottom w:val="single" w:sz="4" w:space="0" w:color="auto"/>
              <w:right w:val="single" w:sz="4" w:space="0" w:color="auto"/>
            </w:tcBorders>
            <w:shd w:val="clear" w:color="auto" w:fill="auto"/>
            <w:noWrap/>
            <w:vAlign w:val="center"/>
          </w:tcPr>
          <w:p w14:paraId="1DE2A3FB" w14:textId="181135C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1AB994D9" w14:textId="4880550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3,168</w:t>
            </w:r>
          </w:p>
        </w:tc>
        <w:tc>
          <w:tcPr>
            <w:tcW w:w="920" w:type="dxa"/>
            <w:tcBorders>
              <w:top w:val="nil"/>
              <w:left w:val="nil"/>
              <w:bottom w:val="single" w:sz="4" w:space="0" w:color="auto"/>
              <w:right w:val="single" w:sz="4" w:space="0" w:color="auto"/>
            </w:tcBorders>
            <w:shd w:val="clear" w:color="auto" w:fill="auto"/>
            <w:noWrap/>
            <w:vAlign w:val="center"/>
          </w:tcPr>
          <w:p w14:paraId="5C90194E" w14:textId="41E7F06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47</w:t>
            </w:r>
          </w:p>
        </w:tc>
        <w:tc>
          <w:tcPr>
            <w:tcW w:w="920" w:type="dxa"/>
            <w:tcBorders>
              <w:top w:val="nil"/>
              <w:left w:val="nil"/>
              <w:bottom w:val="single" w:sz="4" w:space="0" w:color="auto"/>
              <w:right w:val="single" w:sz="4" w:space="0" w:color="auto"/>
            </w:tcBorders>
            <w:shd w:val="clear" w:color="auto" w:fill="auto"/>
            <w:noWrap/>
            <w:vAlign w:val="center"/>
          </w:tcPr>
          <w:p w14:paraId="1F27A253" w14:textId="3ED2DCA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E8B0D96" w14:textId="3597288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13,781</w:t>
            </w:r>
          </w:p>
        </w:tc>
        <w:tc>
          <w:tcPr>
            <w:tcW w:w="920" w:type="dxa"/>
            <w:tcBorders>
              <w:top w:val="nil"/>
              <w:left w:val="nil"/>
              <w:bottom w:val="single" w:sz="4" w:space="0" w:color="auto"/>
              <w:right w:val="single" w:sz="4" w:space="0" w:color="auto"/>
            </w:tcBorders>
            <w:shd w:val="clear" w:color="auto" w:fill="auto"/>
            <w:noWrap/>
            <w:vAlign w:val="center"/>
          </w:tcPr>
          <w:p w14:paraId="47951F9D" w14:textId="6275A66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3EEAA7FF" w14:textId="07774265"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16,996</w:t>
            </w:r>
          </w:p>
        </w:tc>
      </w:tr>
      <w:tr w:rsidR="00246EA5" w:rsidRPr="00AB625A" w14:paraId="3D76410D"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C4C57BC" w14:textId="3BE0B85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Latrobe Community Health Service Limited</w:t>
            </w:r>
          </w:p>
        </w:tc>
        <w:tc>
          <w:tcPr>
            <w:tcW w:w="920" w:type="dxa"/>
            <w:tcBorders>
              <w:top w:val="nil"/>
              <w:left w:val="nil"/>
              <w:bottom w:val="single" w:sz="4" w:space="0" w:color="auto"/>
              <w:right w:val="single" w:sz="4" w:space="0" w:color="auto"/>
            </w:tcBorders>
            <w:shd w:val="clear" w:color="auto" w:fill="auto"/>
            <w:noWrap/>
            <w:vAlign w:val="center"/>
          </w:tcPr>
          <w:p w14:paraId="27CEAA21" w14:textId="79C5AC8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1,336</w:t>
            </w:r>
          </w:p>
        </w:tc>
        <w:tc>
          <w:tcPr>
            <w:tcW w:w="920" w:type="dxa"/>
            <w:tcBorders>
              <w:top w:val="nil"/>
              <w:left w:val="nil"/>
              <w:bottom w:val="single" w:sz="4" w:space="0" w:color="auto"/>
              <w:right w:val="single" w:sz="4" w:space="0" w:color="auto"/>
            </w:tcBorders>
            <w:shd w:val="clear" w:color="auto" w:fill="auto"/>
            <w:noWrap/>
            <w:vAlign w:val="center"/>
          </w:tcPr>
          <w:p w14:paraId="3E617DDE" w14:textId="46540F7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3,381</w:t>
            </w:r>
          </w:p>
        </w:tc>
        <w:tc>
          <w:tcPr>
            <w:tcW w:w="920" w:type="dxa"/>
            <w:tcBorders>
              <w:top w:val="nil"/>
              <w:left w:val="nil"/>
              <w:bottom w:val="single" w:sz="4" w:space="0" w:color="auto"/>
              <w:right w:val="single" w:sz="4" w:space="0" w:color="auto"/>
            </w:tcBorders>
            <w:shd w:val="clear" w:color="auto" w:fill="auto"/>
            <w:noWrap/>
            <w:vAlign w:val="center"/>
          </w:tcPr>
          <w:p w14:paraId="3D268B3C" w14:textId="771D2DE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6,801</w:t>
            </w:r>
          </w:p>
        </w:tc>
        <w:tc>
          <w:tcPr>
            <w:tcW w:w="920" w:type="dxa"/>
            <w:tcBorders>
              <w:top w:val="nil"/>
              <w:left w:val="nil"/>
              <w:bottom w:val="single" w:sz="4" w:space="0" w:color="auto"/>
              <w:right w:val="single" w:sz="4" w:space="0" w:color="auto"/>
            </w:tcBorders>
            <w:shd w:val="clear" w:color="auto" w:fill="auto"/>
            <w:noWrap/>
            <w:vAlign w:val="center"/>
          </w:tcPr>
          <w:p w14:paraId="0AB8519F" w14:textId="560C5B2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963</w:t>
            </w:r>
          </w:p>
        </w:tc>
        <w:tc>
          <w:tcPr>
            <w:tcW w:w="920" w:type="dxa"/>
            <w:tcBorders>
              <w:top w:val="nil"/>
              <w:left w:val="nil"/>
              <w:bottom w:val="single" w:sz="4" w:space="0" w:color="auto"/>
              <w:right w:val="single" w:sz="4" w:space="0" w:color="auto"/>
            </w:tcBorders>
            <w:shd w:val="clear" w:color="auto" w:fill="auto"/>
            <w:noWrap/>
            <w:vAlign w:val="center"/>
          </w:tcPr>
          <w:p w14:paraId="5C1FE58D" w14:textId="2B90473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10,840</w:t>
            </w:r>
          </w:p>
        </w:tc>
        <w:tc>
          <w:tcPr>
            <w:tcW w:w="920" w:type="dxa"/>
            <w:tcBorders>
              <w:top w:val="nil"/>
              <w:left w:val="nil"/>
              <w:bottom w:val="single" w:sz="4" w:space="0" w:color="auto"/>
              <w:right w:val="single" w:sz="4" w:space="0" w:color="auto"/>
            </w:tcBorders>
            <w:shd w:val="clear" w:color="auto" w:fill="auto"/>
            <w:noWrap/>
            <w:vAlign w:val="center"/>
          </w:tcPr>
          <w:p w14:paraId="4EB6332E" w14:textId="2368464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3ED64733" w14:textId="5437EC0A"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23,322</w:t>
            </w:r>
          </w:p>
        </w:tc>
      </w:tr>
      <w:tr w:rsidR="00246EA5" w:rsidRPr="00AB625A" w14:paraId="71D8AEFB"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CAA5B2C" w14:textId="0CB85FC1"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Merri Outreach Support Service Ltd</w:t>
            </w:r>
          </w:p>
        </w:tc>
        <w:tc>
          <w:tcPr>
            <w:tcW w:w="920" w:type="dxa"/>
            <w:tcBorders>
              <w:top w:val="nil"/>
              <w:left w:val="nil"/>
              <w:bottom w:val="single" w:sz="4" w:space="0" w:color="auto"/>
              <w:right w:val="single" w:sz="4" w:space="0" w:color="auto"/>
            </w:tcBorders>
            <w:shd w:val="clear" w:color="auto" w:fill="auto"/>
            <w:noWrap/>
            <w:vAlign w:val="center"/>
          </w:tcPr>
          <w:p w14:paraId="2E78A3D1" w14:textId="240F4BE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65315414" w14:textId="167A31D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1,311</w:t>
            </w:r>
          </w:p>
        </w:tc>
        <w:tc>
          <w:tcPr>
            <w:tcW w:w="920" w:type="dxa"/>
            <w:tcBorders>
              <w:top w:val="nil"/>
              <w:left w:val="nil"/>
              <w:bottom w:val="single" w:sz="4" w:space="0" w:color="auto"/>
              <w:right w:val="single" w:sz="4" w:space="0" w:color="auto"/>
            </w:tcBorders>
            <w:shd w:val="clear" w:color="auto" w:fill="auto"/>
            <w:noWrap/>
            <w:vAlign w:val="center"/>
          </w:tcPr>
          <w:p w14:paraId="30736439" w14:textId="007C75B5"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55D8BA32" w14:textId="6F7CBE2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88</w:t>
            </w:r>
          </w:p>
        </w:tc>
        <w:tc>
          <w:tcPr>
            <w:tcW w:w="920" w:type="dxa"/>
            <w:tcBorders>
              <w:top w:val="nil"/>
              <w:left w:val="nil"/>
              <w:bottom w:val="single" w:sz="4" w:space="0" w:color="auto"/>
              <w:right w:val="single" w:sz="4" w:space="0" w:color="auto"/>
            </w:tcBorders>
            <w:shd w:val="clear" w:color="auto" w:fill="auto"/>
            <w:noWrap/>
            <w:vAlign w:val="center"/>
          </w:tcPr>
          <w:p w14:paraId="766BE1AF" w14:textId="3FA86A5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4,392</w:t>
            </w:r>
          </w:p>
        </w:tc>
        <w:tc>
          <w:tcPr>
            <w:tcW w:w="920" w:type="dxa"/>
            <w:tcBorders>
              <w:top w:val="nil"/>
              <w:left w:val="nil"/>
              <w:bottom w:val="single" w:sz="4" w:space="0" w:color="auto"/>
              <w:right w:val="single" w:sz="4" w:space="0" w:color="auto"/>
            </w:tcBorders>
            <w:shd w:val="clear" w:color="auto" w:fill="auto"/>
            <w:noWrap/>
            <w:vAlign w:val="center"/>
          </w:tcPr>
          <w:p w14:paraId="23BDE864" w14:textId="421986C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47891ADF" w14:textId="0B2BCCD3"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5,790</w:t>
            </w:r>
          </w:p>
        </w:tc>
      </w:tr>
      <w:tr w:rsidR="00246EA5" w:rsidRPr="00AB625A" w14:paraId="16E8B37F"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0BDC873" w14:textId="5C11E84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Nillumbik Community Health Service Ltd</w:t>
            </w:r>
          </w:p>
        </w:tc>
        <w:tc>
          <w:tcPr>
            <w:tcW w:w="920" w:type="dxa"/>
            <w:tcBorders>
              <w:top w:val="nil"/>
              <w:left w:val="nil"/>
              <w:bottom w:val="single" w:sz="4" w:space="0" w:color="auto"/>
              <w:right w:val="single" w:sz="4" w:space="0" w:color="auto"/>
            </w:tcBorders>
            <w:shd w:val="clear" w:color="auto" w:fill="auto"/>
            <w:noWrap/>
            <w:vAlign w:val="center"/>
          </w:tcPr>
          <w:p w14:paraId="2BBFA198" w14:textId="048DC35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1A7186F" w14:textId="79059D2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960</w:t>
            </w:r>
          </w:p>
        </w:tc>
        <w:tc>
          <w:tcPr>
            <w:tcW w:w="920" w:type="dxa"/>
            <w:tcBorders>
              <w:top w:val="nil"/>
              <w:left w:val="nil"/>
              <w:bottom w:val="single" w:sz="4" w:space="0" w:color="auto"/>
              <w:right w:val="single" w:sz="4" w:space="0" w:color="auto"/>
            </w:tcBorders>
            <w:shd w:val="clear" w:color="auto" w:fill="auto"/>
            <w:noWrap/>
            <w:vAlign w:val="center"/>
          </w:tcPr>
          <w:p w14:paraId="326160D2" w14:textId="602B10C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644</w:t>
            </w:r>
          </w:p>
        </w:tc>
        <w:tc>
          <w:tcPr>
            <w:tcW w:w="920" w:type="dxa"/>
            <w:tcBorders>
              <w:top w:val="nil"/>
              <w:left w:val="nil"/>
              <w:bottom w:val="single" w:sz="4" w:space="0" w:color="auto"/>
              <w:right w:val="single" w:sz="4" w:space="0" w:color="auto"/>
            </w:tcBorders>
            <w:shd w:val="clear" w:color="auto" w:fill="auto"/>
            <w:noWrap/>
            <w:vAlign w:val="center"/>
          </w:tcPr>
          <w:p w14:paraId="5CCC33ED" w14:textId="3046711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20F0EA8F" w14:textId="726DDC2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5,673</w:t>
            </w:r>
          </w:p>
        </w:tc>
        <w:tc>
          <w:tcPr>
            <w:tcW w:w="920" w:type="dxa"/>
            <w:tcBorders>
              <w:top w:val="nil"/>
              <w:left w:val="nil"/>
              <w:bottom w:val="single" w:sz="4" w:space="0" w:color="auto"/>
              <w:right w:val="single" w:sz="4" w:space="0" w:color="auto"/>
            </w:tcBorders>
            <w:shd w:val="clear" w:color="auto" w:fill="auto"/>
            <w:noWrap/>
            <w:vAlign w:val="center"/>
          </w:tcPr>
          <w:p w14:paraId="55633329" w14:textId="3C1FDD3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59AE831C" w14:textId="3E231791"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7,277</w:t>
            </w:r>
          </w:p>
        </w:tc>
      </w:tr>
      <w:tr w:rsidR="00246EA5" w:rsidRPr="00AB625A" w14:paraId="38D92DE3"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83ADF4F" w14:textId="6FA9D53B"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North Richmond Community Health Limited</w:t>
            </w:r>
          </w:p>
        </w:tc>
        <w:tc>
          <w:tcPr>
            <w:tcW w:w="920" w:type="dxa"/>
            <w:tcBorders>
              <w:top w:val="nil"/>
              <w:left w:val="nil"/>
              <w:bottom w:val="single" w:sz="4" w:space="0" w:color="auto"/>
              <w:right w:val="single" w:sz="4" w:space="0" w:color="auto"/>
            </w:tcBorders>
            <w:shd w:val="clear" w:color="auto" w:fill="auto"/>
            <w:noWrap/>
            <w:vAlign w:val="center"/>
          </w:tcPr>
          <w:p w14:paraId="0595C12E" w14:textId="27F9A99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1,846</w:t>
            </w:r>
          </w:p>
        </w:tc>
        <w:tc>
          <w:tcPr>
            <w:tcW w:w="920" w:type="dxa"/>
            <w:tcBorders>
              <w:top w:val="nil"/>
              <w:left w:val="nil"/>
              <w:bottom w:val="single" w:sz="4" w:space="0" w:color="auto"/>
              <w:right w:val="single" w:sz="4" w:space="0" w:color="auto"/>
            </w:tcBorders>
            <w:shd w:val="clear" w:color="auto" w:fill="auto"/>
            <w:noWrap/>
            <w:vAlign w:val="center"/>
          </w:tcPr>
          <w:p w14:paraId="5D20AF57" w14:textId="7F1DFB7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97</w:t>
            </w:r>
          </w:p>
        </w:tc>
        <w:tc>
          <w:tcPr>
            <w:tcW w:w="920" w:type="dxa"/>
            <w:tcBorders>
              <w:top w:val="nil"/>
              <w:left w:val="nil"/>
              <w:bottom w:val="single" w:sz="4" w:space="0" w:color="auto"/>
              <w:right w:val="single" w:sz="4" w:space="0" w:color="auto"/>
            </w:tcBorders>
            <w:shd w:val="clear" w:color="auto" w:fill="auto"/>
            <w:noWrap/>
            <w:vAlign w:val="center"/>
          </w:tcPr>
          <w:p w14:paraId="49F38E32" w14:textId="497B4CC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3,272</w:t>
            </w:r>
          </w:p>
        </w:tc>
        <w:tc>
          <w:tcPr>
            <w:tcW w:w="920" w:type="dxa"/>
            <w:tcBorders>
              <w:top w:val="nil"/>
              <w:left w:val="nil"/>
              <w:bottom w:val="single" w:sz="4" w:space="0" w:color="auto"/>
              <w:right w:val="single" w:sz="4" w:space="0" w:color="auto"/>
            </w:tcBorders>
            <w:shd w:val="clear" w:color="auto" w:fill="auto"/>
            <w:noWrap/>
            <w:vAlign w:val="center"/>
          </w:tcPr>
          <w:p w14:paraId="1FA2FC18" w14:textId="11909B0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AADD5B9" w14:textId="0FA3A59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2,812</w:t>
            </w:r>
          </w:p>
        </w:tc>
        <w:tc>
          <w:tcPr>
            <w:tcW w:w="920" w:type="dxa"/>
            <w:tcBorders>
              <w:top w:val="nil"/>
              <w:left w:val="nil"/>
              <w:bottom w:val="single" w:sz="4" w:space="0" w:color="auto"/>
              <w:right w:val="single" w:sz="4" w:space="0" w:color="auto"/>
            </w:tcBorders>
            <w:shd w:val="clear" w:color="auto" w:fill="auto"/>
            <w:noWrap/>
            <w:vAlign w:val="center"/>
          </w:tcPr>
          <w:p w14:paraId="09ECEC1B" w14:textId="03D5671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1,360</w:t>
            </w:r>
          </w:p>
        </w:tc>
        <w:tc>
          <w:tcPr>
            <w:tcW w:w="921" w:type="dxa"/>
            <w:tcBorders>
              <w:top w:val="nil"/>
              <w:left w:val="nil"/>
              <w:bottom w:val="single" w:sz="4" w:space="0" w:color="auto"/>
              <w:right w:val="single" w:sz="4" w:space="0" w:color="auto"/>
            </w:tcBorders>
            <w:shd w:val="clear" w:color="auto" w:fill="auto"/>
            <w:noWrap/>
            <w:vAlign w:val="center"/>
          </w:tcPr>
          <w:p w14:paraId="612A8FBD" w14:textId="5200E825"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9,388</w:t>
            </w:r>
          </w:p>
        </w:tc>
      </w:tr>
      <w:tr w:rsidR="00246EA5" w:rsidRPr="00AB625A" w14:paraId="722F42C3"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EC22A56" w14:textId="50E7FEA8"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Primary Care Connect</w:t>
            </w:r>
          </w:p>
        </w:tc>
        <w:tc>
          <w:tcPr>
            <w:tcW w:w="920" w:type="dxa"/>
            <w:tcBorders>
              <w:top w:val="nil"/>
              <w:left w:val="nil"/>
              <w:bottom w:val="single" w:sz="4" w:space="0" w:color="auto"/>
              <w:right w:val="single" w:sz="4" w:space="0" w:color="auto"/>
            </w:tcBorders>
            <w:shd w:val="clear" w:color="auto" w:fill="auto"/>
            <w:noWrap/>
            <w:vAlign w:val="center"/>
          </w:tcPr>
          <w:p w14:paraId="79DF3361" w14:textId="6C6F0E9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02C3001C" w14:textId="56EF63D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0DE7ECFE" w14:textId="0FA78FE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1,630</w:t>
            </w:r>
          </w:p>
        </w:tc>
        <w:tc>
          <w:tcPr>
            <w:tcW w:w="920" w:type="dxa"/>
            <w:tcBorders>
              <w:top w:val="nil"/>
              <w:left w:val="nil"/>
              <w:bottom w:val="single" w:sz="4" w:space="0" w:color="auto"/>
              <w:right w:val="single" w:sz="4" w:space="0" w:color="auto"/>
            </w:tcBorders>
            <w:shd w:val="clear" w:color="auto" w:fill="auto"/>
            <w:noWrap/>
            <w:vAlign w:val="center"/>
          </w:tcPr>
          <w:p w14:paraId="157B964F" w14:textId="4D98244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41420A7F" w14:textId="034D95B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1,584</w:t>
            </w:r>
          </w:p>
        </w:tc>
        <w:tc>
          <w:tcPr>
            <w:tcW w:w="920" w:type="dxa"/>
            <w:tcBorders>
              <w:top w:val="nil"/>
              <w:left w:val="nil"/>
              <w:bottom w:val="single" w:sz="4" w:space="0" w:color="auto"/>
              <w:right w:val="single" w:sz="4" w:space="0" w:color="auto"/>
            </w:tcBorders>
            <w:shd w:val="clear" w:color="auto" w:fill="auto"/>
            <w:noWrap/>
            <w:vAlign w:val="center"/>
          </w:tcPr>
          <w:p w14:paraId="1D999403" w14:textId="6F2E660C"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27D003D1" w14:textId="495E2E6F"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3,214</w:t>
            </w:r>
          </w:p>
        </w:tc>
      </w:tr>
      <w:tr w:rsidR="00246EA5" w:rsidRPr="00AB625A" w14:paraId="18A8121E"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A212AE1" w14:textId="4BCB5367"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Ranges Community Health</w:t>
            </w:r>
          </w:p>
        </w:tc>
        <w:tc>
          <w:tcPr>
            <w:tcW w:w="920" w:type="dxa"/>
            <w:tcBorders>
              <w:top w:val="nil"/>
              <w:left w:val="nil"/>
              <w:bottom w:val="single" w:sz="4" w:space="0" w:color="auto"/>
              <w:right w:val="single" w:sz="4" w:space="0" w:color="auto"/>
            </w:tcBorders>
            <w:shd w:val="clear" w:color="auto" w:fill="auto"/>
            <w:noWrap/>
            <w:vAlign w:val="center"/>
          </w:tcPr>
          <w:p w14:paraId="0576ACEB" w14:textId="31C8550A"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34D4692C" w14:textId="7746B4C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277</w:t>
            </w:r>
          </w:p>
        </w:tc>
        <w:tc>
          <w:tcPr>
            <w:tcW w:w="920" w:type="dxa"/>
            <w:tcBorders>
              <w:top w:val="nil"/>
              <w:left w:val="nil"/>
              <w:bottom w:val="single" w:sz="4" w:space="0" w:color="auto"/>
              <w:right w:val="single" w:sz="4" w:space="0" w:color="auto"/>
            </w:tcBorders>
            <w:shd w:val="clear" w:color="auto" w:fill="auto"/>
            <w:noWrap/>
            <w:vAlign w:val="center"/>
          </w:tcPr>
          <w:p w14:paraId="53D3807E" w14:textId="5AF9202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3F554DC" w14:textId="2210F8F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25C57C20" w14:textId="0518B2D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2,799</w:t>
            </w:r>
          </w:p>
        </w:tc>
        <w:tc>
          <w:tcPr>
            <w:tcW w:w="920" w:type="dxa"/>
            <w:tcBorders>
              <w:top w:val="nil"/>
              <w:left w:val="nil"/>
              <w:bottom w:val="single" w:sz="4" w:space="0" w:color="auto"/>
              <w:right w:val="single" w:sz="4" w:space="0" w:color="auto"/>
            </w:tcBorders>
            <w:shd w:val="clear" w:color="auto" w:fill="auto"/>
            <w:noWrap/>
            <w:vAlign w:val="center"/>
          </w:tcPr>
          <w:p w14:paraId="2437A960" w14:textId="0423047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066981E0" w14:textId="3F1AB014"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3,076</w:t>
            </w:r>
          </w:p>
        </w:tc>
      </w:tr>
      <w:tr w:rsidR="00246EA5" w:rsidRPr="00AB625A" w14:paraId="5682CC90"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2CBD508" w14:textId="5685E9AA"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Sunbury Community Health Centre Limited</w:t>
            </w:r>
          </w:p>
        </w:tc>
        <w:tc>
          <w:tcPr>
            <w:tcW w:w="920" w:type="dxa"/>
            <w:tcBorders>
              <w:top w:val="nil"/>
              <w:left w:val="nil"/>
              <w:bottom w:val="single" w:sz="4" w:space="0" w:color="auto"/>
              <w:right w:val="single" w:sz="4" w:space="0" w:color="auto"/>
            </w:tcBorders>
            <w:shd w:val="clear" w:color="auto" w:fill="auto"/>
            <w:noWrap/>
            <w:vAlign w:val="center"/>
          </w:tcPr>
          <w:p w14:paraId="60B835FF" w14:textId="4EA4338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15FC6A48" w14:textId="14B0168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611</w:t>
            </w:r>
          </w:p>
        </w:tc>
        <w:tc>
          <w:tcPr>
            <w:tcW w:w="920" w:type="dxa"/>
            <w:tcBorders>
              <w:top w:val="nil"/>
              <w:left w:val="nil"/>
              <w:bottom w:val="single" w:sz="4" w:space="0" w:color="auto"/>
              <w:right w:val="single" w:sz="4" w:space="0" w:color="auto"/>
            </w:tcBorders>
            <w:shd w:val="clear" w:color="auto" w:fill="auto"/>
            <w:noWrap/>
            <w:vAlign w:val="center"/>
          </w:tcPr>
          <w:p w14:paraId="0F861331" w14:textId="2BDD98D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476</w:t>
            </w:r>
          </w:p>
        </w:tc>
        <w:tc>
          <w:tcPr>
            <w:tcW w:w="920" w:type="dxa"/>
            <w:tcBorders>
              <w:top w:val="nil"/>
              <w:left w:val="nil"/>
              <w:bottom w:val="single" w:sz="4" w:space="0" w:color="auto"/>
              <w:right w:val="single" w:sz="4" w:space="0" w:color="auto"/>
            </w:tcBorders>
            <w:shd w:val="clear" w:color="auto" w:fill="auto"/>
            <w:noWrap/>
            <w:vAlign w:val="center"/>
          </w:tcPr>
          <w:p w14:paraId="259AF9C5" w14:textId="0A1737B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342</w:t>
            </w:r>
          </w:p>
        </w:tc>
        <w:tc>
          <w:tcPr>
            <w:tcW w:w="920" w:type="dxa"/>
            <w:tcBorders>
              <w:top w:val="nil"/>
              <w:left w:val="nil"/>
              <w:bottom w:val="single" w:sz="4" w:space="0" w:color="auto"/>
              <w:right w:val="single" w:sz="4" w:space="0" w:color="auto"/>
            </w:tcBorders>
            <w:shd w:val="clear" w:color="auto" w:fill="auto"/>
            <w:noWrap/>
            <w:vAlign w:val="center"/>
          </w:tcPr>
          <w:p w14:paraId="456CD288" w14:textId="26DB029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2,981</w:t>
            </w:r>
          </w:p>
        </w:tc>
        <w:tc>
          <w:tcPr>
            <w:tcW w:w="920" w:type="dxa"/>
            <w:tcBorders>
              <w:top w:val="nil"/>
              <w:left w:val="nil"/>
              <w:bottom w:val="single" w:sz="4" w:space="0" w:color="auto"/>
              <w:right w:val="single" w:sz="4" w:space="0" w:color="auto"/>
            </w:tcBorders>
            <w:shd w:val="clear" w:color="auto" w:fill="auto"/>
            <w:noWrap/>
            <w:vAlign w:val="center"/>
          </w:tcPr>
          <w:p w14:paraId="7AD58EAF" w14:textId="74D03807"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6DCFC343" w14:textId="3C13D9D4"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4,410</w:t>
            </w:r>
          </w:p>
        </w:tc>
      </w:tr>
      <w:tr w:rsidR="00246EA5" w:rsidRPr="00AB625A" w14:paraId="38CCECCA"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EE8774" w14:textId="4FF294A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Sunraysia Community Health Services Limited</w:t>
            </w:r>
          </w:p>
        </w:tc>
        <w:tc>
          <w:tcPr>
            <w:tcW w:w="920" w:type="dxa"/>
            <w:tcBorders>
              <w:top w:val="nil"/>
              <w:left w:val="nil"/>
              <w:bottom w:val="single" w:sz="4" w:space="0" w:color="auto"/>
              <w:right w:val="single" w:sz="4" w:space="0" w:color="auto"/>
            </w:tcBorders>
            <w:shd w:val="clear" w:color="auto" w:fill="auto"/>
            <w:noWrap/>
            <w:vAlign w:val="center"/>
          </w:tcPr>
          <w:p w14:paraId="43CF507F" w14:textId="5B64D45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1,495</w:t>
            </w:r>
          </w:p>
        </w:tc>
        <w:tc>
          <w:tcPr>
            <w:tcW w:w="920" w:type="dxa"/>
            <w:tcBorders>
              <w:top w:val="nil"/>
              <w:left w:val="nil"/>
              <w:bottom w:val="single" w:sz="4" w:space="0" w:color="auto"/>
              <w:right w:val="single" w:sz="4" w:space="0" w:color="auto"/>
            </w:tcBorders>
            <w:shd w:val="clear" w:color="auto" w:fill="auto"/>
            <w:noWrap/>
            <w:vAlign w:val="center"/>
          </w:tcPr>
          <w:p w14:paraId="034FEC96" w14:textId="56685170"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1,287</w:t>
            </w:r>
          </w:p>
        </w:tc>
        <w:tc>
          <w:tcPr>
            <w:tcW w:w="920" w:type="dxa"/>
            <w:tcBorders>
              <w:top w:val="nil"/>
              <w:left w:val="nil"/>
              <w:bottom w:val="single" w:sz="4" w:space="0" w:color="auto"/>
              <w:right w:val="single" w:sz="4" w:space="0" w:color="auto"/>
            </w:tcBorders>
            <w:shd w:val="clear" w:color="auto" w:fill="auto"/>
            <w:noWrap/>
            <w:vAlign w:val="center"/>
          </w:tcPr>
          <w:p w14:paraId="2C33DECE" w14:textId="269CB49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877</w:t>
            </w:r>
          </w:p>
        </w:tc>
        <w:tc>
          <w:tcPr>
            <w:tcW w:w="920" w:type="dxa"/>
            <w:tcBorders>
              <w:top w:val="nil"/>
              <w:left w:val="nil"/>
              <w:bottom w:val="single" w:sz="4" w:space="0" w:color="auto"/>
              <w:right w:val="single" w:sz="4" w:space="0" w:color="auto"/>
            </w:tcBorders>
            <w:shd w:val="clear" w:color="auto" w:fill="auto"/>
            <w:noWrap/>
            <w:vAlign w:val="center"/>
          </w:tcPr>
          <w:p w14:paraId="5CF75409" w14:textId="0D63F2A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175FCDE4" w14:textId="1342F2F1"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4,353</w:t>
            </w:r>
          </w:p>
        </w:tc>
        <w:tc>
          <w:tcPr>
            <w:tcW w:w="920" w:type="dxa"/>
            <w:tcBorders>
              <w:top w:val="nil"/>
              <w:left w:val="nil"/>
              <w:bottom w:val="single" w:sz="4" w:space="0" w:color="auto"/>
              <w:right w:val="single" w:sz="4" w:space="0" w:color="auto"/>
            </w:tcBorders>
            <w:shd w:val="clear" w:color="auto" w:fill="auto"/>
            <w:noWrap/>
            <w:vAlign w:val="center"/>
          </w:tcPr>
          <w:p w14:paraId="516A5787" w14:textId="573D33D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522</w:t>
            </w:r>
          </w:p>
        </w:tc>
        <w:tc>
          <w:tcPr>
            <w:tcW w:w="921" w:type="dxa"/>
            <w:tcBorders>
              <w:top w:val="nil"/>
              <w:left w:val="nil"/>
              <w:bottom w:val="single" w:sz="4" w:space="0" w:color="auto"/>
              <w:right w:val="single" w:sz="4" w:space="0" w:color="auto"/>
            </w:tcBorders>
            <w:shd w:val="clear" w:color="auto" w:fill="auto"/>
            <w:noWrap/>
            <w:vAlign w:val="center"/>
          </w:tcPr>
          <w:p w14:paraId="77ACBC9E" w14:textId="0DA6C27C"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8,534</w:t>
            </w:r>
          </w:p>
        </w:tc>
      </w:tr>
      <w:tr w:rsidR="00246EA5" w:rsidRPr="00AB625A" w14:paraId="65061F85" w14:textId="77777777">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8A4D0BC" w14:textId="2B45782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Wintringham</w:t>
            </w:r>
          </w:p>
        </w:tc>
        <w:tc>
          <w:tcPr>
            <w:tcW w:w="920" w:type="dxa"/>
            <w:tcBorders>
              <w:top w:val="nil"/>
              <w:left w:val="nil"/>
              <w:bottom w:val="single" w:sz="4" w:space="0" w:color="auto"/>
              <w:right w:val="single" w:sz="4" w:space="0" w:color="auto"/>
            </w:tcBorders>
            <w:shd w:val="clear" w:color="auto" w:fill="auto"/>
            <w:noWrap/>
            <w:vAlign w:val="center"/>
          </w:tcPr>
          <w:p w14:paraId="55E87D7C" w14:textId="7B3D12E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612</w:t>
            </w:r>
          </w:p>
        </w:tc>
        <w:tc>
          <w:tcPr>
            <w:tcW w:w="920" w:type="dxa"/>
            <w:tcBorders>
              <w:top w:val="nil"/>
              <w:left w:val="nil"/>
              <w:bottom w:val="single" w:sz="4" w:space="0" w:color="auto"/>
              <w:right w:val="single" w:sz="4" w:space="0" w:color="auto"/>
            </w:tcBorders>
            <w:shd w:val="clear" w:color="auto" w:fill="auto"/>
            <w:noWrap/>
            <w:vAlign w:val="center"/>
          </w:tcPr>
          <w:p w14:paraId="5322D8EF" w14:textId="57115C59"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767</w:t>
            </w:r>
          </w:p>
        </w:tc>
        <w:tc>
          <w:tcPr>
            <w:tcW w:w="920" w:type="dxa"/>
            <w:tcBorders>
              <w:top w:val="nil"/>
              <w:left w:val="nil"/>
              <w:bottom w:val="single" w:sz="4" w:space="0" w:color="auto"/>
              <w:right w:val="single" w:sz="4" w:space="0" w:color="auto"/>
            </w:tcBorders>
            <w:shd w:val="clear" w:color="auto" w:fill="auto"/>
            <w:noWrap/>
            <w:vAlign w:val="center"/>
          </w:tcPr>
          <w:p w14:paraId="7AE92F53" w14:textId="2A777C4F"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633</w:t>
            </w:r>
          </w:p>
        </w:tc>
        <w:tc>
          <w:tcPr>
            <w:tcW w:w="920" w:type="dxa"/>
            <w:tcBorders>
              <w:top w:val="nil"/>
              <w:left w:val="nil"/>
              <w:bottom w:val="single" w:sz="4" w:space="0" w:color="auto"/>
              <w:right w:val="single" w:sz="4" w:space="0" w:color="auto"/>
            </w:tcBorders>
            <w:shd w:val="clear" w:color="auto" w:fill="auto"/>
            <w:noWrap/>
            <w:vAlign w:val="center"/>
          </w:tcPr>
          <w:p w14:paraId="5EC96F92" w14:textId="2F341034"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70CA2DF2" w14:textId="6FA01366"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5,352</w:t>
            </w:r>
          </w:p>
        </w:tc>
        <w:tc>
          <w:tcPr>
            <w:tcW w:w="920" w:type="dxa"/>
            <w:tcBorders>
              <w:top w:val="nil"/>
              <w:left w:val="nil"/>
              <w:bottom w:val="single" w:sz="4" w:space="0" w:color="auto"/>
              <w:right w:val="single" w:sz="4" w:space="0" w:color="auto"/>
            </w:tcBorders>
            <w:shd w:val="clear" w:color="auto" w:fill="auto"/>
            <w:noWrap/>
            <w:vAlign w:val="center"/>
          </w:tcPr>
          <w:p w14:paraId="17518B10" w14:textId="2584B5C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2E5098E4" w14:textId="2F032D82"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7,364</w:t>
            </w:r>
          </w:p>
        </w:tc>
      </w:tr>
      <w:tr w:rsidR="00246EA5" w:rsidRPr="00AB625A" w14:paraId="6B171770" w14:textId="77777777" w:rsidTr="00F8537C">
        <w:trPr>
          <w:trHeight w:val="27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6F4101A" w14:textId="16B09906" w:rsidR="00246EA5" w:rsidRPr="00970F2D" w:rsidRDefault="00246EA5" w:rsidP="00246EA5">
            <w:pPr>
              <w:spacing w:after="0" w:line="240" w:lineRule="auto"/>
              <w:rPr>
                <w:rFonts w:cs="Arial"/>
                <w:color w:val="000000"/>
                <w:sz w:val="16"/>
                <w:szCs w:val="16"/>
                <w:lang w:eastAsia="en-AU"/>
              </w:rPr>
            </w:pPr>
            <w:r>
              <w:rPr>
                <w:rFonts w:cs="Arial"/>
                <w:color w:val="000000"/>
                <w:sz w:val="15"/>
                <w:szCs w:val="15"/>
              </w:rPr>
              <w:t>All other organisations (&lt;$1 m)</w:t>
            </w:r>
          </w:p>
        </w:tc>
        <w:tc>
          <w:tcPr>
            <w:tcW w:w="920" w:type="dxa"/>
            <w:tcBorders>
              <w:top w:val="nil"/>
              <w:left w:val="nil"/>
              <w:bottom w:val="single" w:sz="4" w:space="0" w:color="auto"/>
              <w:right w:val="single" w:sz="4" w:space="0" w:color="auto"/>
            </w:tcBorders>
            <w:shd w:val="clear" w:color="auto" w:fill="auto"/>
            <w:noWrap/>
            <w:vAlign w:val="center"/>
          </w:tcPr>
          <w:p w14:paraId="4C1A86AB" w14:textId="4E0D61D2"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30AD2411" w14:textId="1836227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176</w:t>
            </w:r>
          </w:p>
        </w:tc>
        <w:tc>
          <w:tcPr>
            <w:tcW w:w="920" w:type="dxa"/>
            <w:tcBorders>
              <w:top w:val="nil"/>
              <w:left w:val="nil"/>
              <w:bottom w:val="single" w:sz="4" w:space="0" w:color="auto"/>
              <w:right w:val="single" w:sz="4" w:space="0" w:color="auto"/>
            </w:tcBorders>
            <w:shd w:val="clear" w:color="auto" w:fill="auto"/>
            <w:noWrap/>
            <w:vAlign w:val="center"/>
          </w:tcPr>
          <w:p w14:paraId="7D4D60C3" w14:textId="78E16E9D"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240</w:t>
            </w:r>
          </w:p>
        </w:tc>
        <w:tc>
          <w:tcPr>
            <w:tcW w:w="920" w:type="dxa"/>
            <w:tcBorders>
              <w:top w:val="nil"/>
              <w:left w:val="nil"/>
              <w:bottom w:val="single" w:sz="4" w:space="0" w:color="auto"/>
              <w:right w:val="single" w:sz="4" w:space="0" w:color="auto"/>
            </w:tcBorders>
            <w:shd w:val="clear" w:color="auto" w:fill="auto"/>
            <w:noWrap/>
            <w:vAlign w:val="center"/>
          </w:tcPr>
          <w:p w14:paraId="1C8608B6" w14:textId="4D2FD82E"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0" w:type="dxa"/>
            <w:tcBorders>
              <w:top w:val="nil"/>
              <w:left w:val="nil"/>
              <w:bottom w:val="single" w:sz="4" w:space="0" w:color="auto"/>
              <w:right w:val="single" w:sz="4" w:space="0" w:color="auto"/>
            </w:tcBorders>
            <w:shd w:val="clear" w:color="auto" w:fill="auto"/>
            <w:noWrap/>
            <w:vAlign w:val="center"/>
          </w:tcPr>
          <w:p w14:paraId="5D08E8EF" w14:textId="77E8EA18"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177</w:t>
            </w:r>
          </w:p>
        </w:tc>
        <w:tc>
          <w:tcPr>
            <w:tcW w:w="920" w:type="dxa"/>
            <w:tcBorders>
              <w:top w:val="nil"/>
              <w:left w:val="nil"/>
              <w:bottom w:val="single" w:sz="4" w:space="0" w:color="auto"/>
              <w:right w:val="single" w:sz="4" w:space="0" w:color="auto"/>
            </w:tcBorders>
            <w:shd w:val="clear" w:color="auto" w:fill="auto"/>
            <w:noWrap/>
            <w:vAlign w:val="center"/>
          </w:tcPr>
          <w:p w14:paraId="39DD0938" w14:textId="160A7143" w:rsidR="00246EA5" w:rsidRPr="00970F2D" w:rsidRDefault="00246EA5" w:rsidP="00246EA5">
            <w:pPr>
              <w:spacing w:after="0" w:line="240" w:lineRule="auto"/>
              <w:jc w:val="right"/>
              <w:rPr>
                <w:rFonts w:cs="Arial"/>
                <w:color w:val="000000"/>
                <w:sz w:val="16"/>
                <w:szCs w:val="16"/>
                <w:lang w:eastAsia="en-AU"/>
              </w:rPr>
            </w:pPr>
            <w:r>
              <w:rPr>
                <w:rFonts w:cs="Arial"/>
                <w:color w:val="000000"/>
                <w:sz w:val="15"/>
                <w:szCs w:val="15"/>
              </w:rPr>
              <w:t> </w:t>
            </w:r>
          </w:p>
        </w:tc>
        <w:tc>
          <w:tcPr>
            <w:tcW w:w="921" w:type="dxa"/>
            <w:tcBorders>
              <w:top w:val="nil"/>
              <w:left w:val="nil"/>
              <w:bottom w:val="single" w:sz="4" w:space="0" w:color="auto"/>
              <w:right w:val="single" w:sz="4" w:space="0" w:color="auto"/>
            </w:tcBorders>
            <w:shd w:val="clear" w:color="auto" w:fill="auto"/>
            <w:noWrap/>
            <w:vAlign w:val="center"/>
          </w:tcPr>
          <w:p w14:paraId="6FB76E80" w14:textId="26B1D35D" w:rsidR="00246EA5" w:rsidRPr="00970F2D" w:rsidRDefault="00246EA5" w:rsidP="00246EA5">
            <w:pPr>
              <w:spacing w:after="0" w:line="240" w:lineRule="auto"/>
              <w:jc w:val="right"/>
              <w:rPr>
                <w:rFonts w:cs="Arial"/>
                <w:b/>
                <w:bCs/>
                <w:color w:val="000000"/>
                <w:sz w:val="16"/>
                <w:szCs w:val="16"/>
                <w:lang w:eastAsia="en-AU"/>
              </w:rPr>
            </w:pPr>
            <w:r>
              <w:rPr>
                <w:rFonts w:cs="Arial"/>
                <w:color w:val="000000"/>
                <w:sz w:val="15"/>
                <w:szCs w:val="15"/>
              </w:rPr>
              <w:t>593</w:t>
            </w:r>
          </w:p>
        </w:tc>
      </w:tr>
      <w:tr w:rsidR="00246EA5" w:rsidRPr="00AB625A" w14:paraId="10DAD8F7" w14:textId="77777777">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FEB161A" w14:textId="0432A647" w:rsidR="00246EA5" w:rsidRPr="00970F2D" w:rsidRDefault="00246EA5" w:rsidP="00246EA5">
            <w:pPr>
              <w:spacing w:after="0" w:line="240" w:lineRule="auto"/>
              <w:rPr>
                <w:rFonts w:cs="Arial"/>
                <w:color w:val="000000"/>
                <w:sz w:val="16"/>
                <w:szCs w:val="16"/>
                <w:lang w:eastAsia="en-AU"/>
              </w:rPr>
            </w:pPr>
            <w:r>
              <w:rPr>
                <w:rFonts w:cs="Arial"/>
                <w:b/>
                <w:bCs/>
                <w:color w:val="000000"/>
                <w:sz w:val="15"/>
                <w:szCs w:val="15"/>
              </w:rPr>
              <w:t>Grand Total</w:t>
            </w:r>
          </w:p>
        </w:tc>
        <w:tc>
          <w:tcPr>
            <w:tcW w:w="920" w:type="dxa"/>
            <w:tcBorders>
              <w:top w:val="nil"/>
              <w:left w:val="nil"/>
              <w:bottom w:val="single" w:sz="4" w:space="0" w:color="auto"/>
              <w:right w:val="single" w:sz="4" w:space="0" w:color="auto"/>
            </w:tcBorders>
            <w:shd w:val="clear" w:color="auto" w:fill="auto"/>
            <w:noWrap/>
            <w:vAlign w:val="center"/>
          </w:tcPr>
          <w:p w14:paraId="28BBCB5F" w14:textId="72050E4C"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8,847</w:t>
            </w:r>
          </w:p>
        </w:tc>
        <w:tc>
          <w:tcPr>
            <w:tcW w:w="920" w:type="dxa"/>
            <w:tcBorders>
              <w:top w:val="nil"/>
              <w:left w:val="nil"/>
              <w:bottom w:val="single" w:sz="4" w:space="0" w:color="auto"/>
              <w:right w:val="single" w:sz="4" w:space="0" w:color="auto"/>
            </w:tcBorders>
            <w:shd w:val="clear" w:color="auto" w:fill="auto"/>
            <w:noWrap/>
            <w:vAlign w:val="center"/>
          </w:tcPr>
          <w:p w14:paraId="4775D2F4" w14:textId="456C8DDC"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29,667</w:t>
            </w:r>
          </w:p>
        </w:tc>
        <w:tc>
          <w:tcPr>
            <w:tcW w:w="920" w:type="dxa"/>
            <w:tcBorders>
              <w:top w:val="nil"/>
              <w:left w:val="nil"/>
              <w:bottom w:val="single" w:sz="4" w:space="0" w:color="auto"/>
              <w:right w:val="single" w:sz="4" w:space="0" w:color="auto"/>
            </w:tcBorders>
            <w:shd w:val="clear" w:color="auto" w:fill="auto"/>
            <w:noWrap/>
            <w:vAlign w:val="center"/>
          </w:tcPr>
          <w:p w14:paraId="0E2AB382" w14:textId="1ECFE78B"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62,632</w:t>
            </w:r>
          </w:p>
        </w:tc>
        <w:tc>
          <w:tcPr>
            <w:tcW w:w="920" w:type="dxa"/>
            <w:tcBorders>
              <w:top w:val="nil"/>
              <w:left w:val="nil"/>
              <w:bottom w:val="single" w:sz="4" w:space="0" w:color="auto"/>
              <w:right w:val="single" w:sz="4" w:space="0" w:color="auto"/>
            </w:tcBorders>
            <w:shd w:val="clear" w:color="auto" w:fill="auto"/>
            <w:noWrap/>
            <w:vAlign w:val="center"/>
          </w:tcPr>
          <w:p w14:paraId="1735460A" w14:textId="7ABB2EE6"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32,982</w:t>
            </w:r>
          </w:p>
        </w:tc>
        <w:tc>
          <w:tcPr>
            <w:tcW w:w="920" w:type="dxa"/>
            <w:tcBorders>
              <w:top w:val="nil"/>
              <w:left w:val="nil"/>
              <w:bottom w:val="single" w:sz="4" w:space="0" w:color="auto"/>
              <w:right w:val="single" w:sz="4" w:space="0" w:color="auto"/>
            </w:tcBorders>
            <w:shd w:val="clear" w:color="auto" w:fill="auto"/>
            <w:noWrap/>
            <w:vAlign w:val="center"/>
          </w:tcPr>
          <w:p w14:paraId="71CCAFDE" w14:textId="6555D05D"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124,379</w:t>
            </w:r>
          </w:p>
        </w:tc>
        <w:tc>
          <w:tcPr>
            <w:tcW w:w="920" w:type="dxa"/>
            <w:tcBorders>
              <w:top w:val="nil"/>
              <w:left w:val="nil"/>
              <w:bottom w:val="single" w:sz="4" w:space="0" w:color="auto"/>
              <w:right w:val="single" w:sz="4" w:space="0" w:color="auto"/>
            </w:tcBorders>
            <w:shd w:val="clear" w:color="auto" w:fill="auto"/>
            <w:noWrap/>
            <w:vAlign w:val="center"/>
          </w:tcPr>
          <w:p w14:paraId="5483C75E" w14:textId="090D9C25"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3,739</w:t>
            </w:r>
          </w:p>
        </w:tc>
        <w:tc>
          <w:tcPr>
            <w:tcW w:w="921" w:type="dxa"/>
            <w:tcBorders>
              <w:top w:val="nil"/>
              <w:left w:val="nil"/>
              <w:bottom w:val="single" w:sz="4" w:space="0" w:color="auto"/>
              <w:right w:val="single" w:sz="4" w:space="0" w:color="auto"/>
            </w:tcBorders>
            <w:shd w:val="clear" w:color="auto" w:fill="auto"/>
            <w:noWrap/>
            <w:vAlign w:val="center"/>
          </w:tcPr>
          <w:p w14:paraId="5E843464" w14:textId="32924307" w:rsidR="00246EA5" w:rsidRPr="00970F2D" w:rsidRDefault="00246EA5" w:rsidP="00246EA5">
            <w:pPr>
              <w:spacing w:after="0" w:line="240" w:lineRule="auto"/>
              <w:jc w:val="right"/>
              <w:rPr>
                <w:rFonts w:cs="Arial"/>
                <w:color w:val="000000"/>
                <w:sz w:val="16"/>
                <w:szCs w:val="16"/>
                <w:lang w:eastAsia="en-AU"/>
              </w:rPr>
            </w:pPr>
            <w:r>
              <w:rPr>
                <w:rFonts w:cs="Arial"/>
                <w:b/>
                <w:bCs/>
                <w:color w:val="000000"/>
                <w:sz w:val="15"/>
                <w:szCs w:val="15"/>
              </w:rPr>
              <w:t>262,247</w:t>
            </w:r>
          </w:p>
        </w:tc>
      </w:tr>
    </w:tbl>
    <w:p w14:paraId="65133017" w14:textId="77777777" w:rsidR="005B699B" w:rsidRPr="00E00C4E" w:rsidRDefault="005B699B" w:rsidP="00E00C4E">
      <w:pPr>
        <w:pStyle w:val="Body"/>
      </w:pPr>
    </w:p>
    <w:p w14:paraId="2C28C915" w14:textId="77777777" w:rsidR="005B699B" w:rsidRPr="00E00C4E" w:rsidRDefault="005B699B" w:rsidP="00E00C4E">
      <w:pPr>
        <w:pStyle w:val="Body"/>
      </w:pPr>
    </w:p>
    <w:p w14:paraId="0F5E5F54" w14:textId="2E78A32D" w:rsidR="005B699B" w:rsidRPr="00494D61" w:rsidRDefault="005B699B" w:rsidP="001E4292">
      <w:pPr>
        <w:pStyle w:val="Heading2"/>
        <w:numPr>
          <w:ilvl w:val="1"/>
          <w:numId w:val="13"/>
        </w:numPr>
        <w:ind w:left="993" w:hanging="993"/>
      </w:pPr>
      <w:bookmarkStart w:id="2495" w:name="_Toc144905673"/>
      <w:bookmarkStart w:id="2496" w:name="_Toc12780661"/>
      <w:bookmarkStart w:id="2497" w:name="_Toc14172302"/>
      <w:bookmarkStart w:id="2498" w:name="_Toc33703976"/>
      <w:bookmarkStart w:id="2499" w:name="_Toc55381164"/>
      <w:bookmarkStart w:id="2500" w:name="_Toc100263370"/>
      <w:bookmarkStart w:id="2501" w:name="_Toc165961866"/>
      <w:bookmarkStart w:id="2502" w:name="_Toc178963652"/>
      <w:bookmarkStart w:id="2503" w:name="_Hlk170302342"/>
      <w:bookmarkEnd w:id="2495"/>
      <w:r w:rsidRPr="00494D61">
        <w:lastRenderedPageBreak/>
        <w:t xml:space="preserve">Local </w:t>
      </w:r>
      <w:r>
        <w:t>g</w:t>
      </w:r>
      <w:r w:rsidRPr="00494D61">
        <w:t xml:space="preserve">overnment </w:t>
      </w:r>
      <w:bookmarkEnd w:id="2496"/>
      <w:bookmarkEnd w:id="2497"/>
      <w:bookmarkEnd w:id="2498"/>
      <w:bookmarkEnd w:id="2499"/>
      <w:r>
        <w:t>a</w:t>
      </w:r>
      <w:r w:rsidRPr="00494D61">
        <w:t xml:space="preserve">uthorities </w:t>
      </w:r>
      <w:bookmarkEnd w:id="2500"/>
      <w:r w:rsidRPr="00494D61">
        <w:t>202</w:t>
      </w:r>
      <w:r>
        <w:t>4</w:t>
      </w:r>
      <w:r w:rsidRPr="00494D61">
        <w:t>–2</w:t>
      </w:r>
      <w:r>
        <w:t>5</w:t>
      </w:r>
      <w:bookmarkEnd w:id="2501"/>
      <w:bookmarkEnd w:id="2502"/>
    </w:p>
    <w:bookmarkEnd w:id="2503"/>
    <w:p w14:paraId="1DE54AF2"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3F95982D" w14:textId="77777777" w:rsidR="00541C64" w:rsidRPr="00494D61" w:rsidRDefault="00541C64" w:rsidP="008E4F36">
      <w:pPr>
        <w:pStyle w:val="Tablenoteroman"/>
        <w:numPr>
          <w:ilvl w:val="0"/>
          <w:numId w:val="56"/>
        </w:numPr>
        <w:tabs>
          <w:tab w:val="clear" w:pos="720"/>
        </w:tabs>
      </w:pPr>
      <w:r w:rsidRPr="00494D61">
        <w:t>This table shows the health funding to local government authorities that receive &gt; $1 million from specific health outputs.</w:t>
      </w:r>
    </w:p>
    <w:p w14:paraId="0078DD37" w14:textId="77777777" w:rsidR="00541C64" w:rsidRPr="00A67ABC" w:rsidRDefault="00541C64" w:rsidP="008E4F36">
      <w:pPr>
        <w:pStyle w:val="Tablenoteroman"/>
        <w:numPr>
          <w:ilvl w:val="0"/>
          <w:numId w:val="56"/>
        </w:numPr>
        <w:tabs>
          <w:tab w:val="clear" w:pos="720"/>
        </w:tabs>
        <w:rPr>
          <w:b/>
          <w:lang w:eastAsia="en-AU"/>
        </w:rPr>
      </w:pPr>
      <w:r w:rsidRPr="00A67ABC">
        <w:rPr>
          <w:lang w:eastAsia="en-AU"/>
        </w:rPr>
        <w:t>Subtotals and totals may not add up due to rounding.</w:t>
      </w:r>
    </w:p>
    <w:p w14:paraId="64A123B1" w14:textId="799F6855" w:rsidR="005B699B" w:rsidRDefault="00462DC7" w:rsidP="00297FC9">
      <w:pPr>
        <w:pStyle w:val="Tablecaption"/>
      </w:pPr>
      <w:bookmarkStart w:id="2504" w:name="_Toc12780565"/>
      <w:bookmarkStart w:id="2505" w:name="_Toc14194821"/>
      <w:bookmarkStart w:id="2506" w:name="_Toc33704002"/>
      <w:bookmarkStart w:id="2507" w:name="_Toc109894132"/>
      <w:bookmarkStart w:id="2508" w:name="_Toc176510418"/>
      <w:r w:rsidRPr="00494D61">
        <w:t xml:space="preserve">Table </w:t>
      </w:r>
      <w:r w:rsidR="00D72666">
        <w:t>2</w:t>
      </w:r>
      <w:r w:rsidR="000E0ED2">
        <w:t>.</w:t>
      </w:r>
      <w:r>
        <w:fldChar w:fldCharType="begin"/>
      </w:r>
      <w:r>
        <w:instrText>SEQ Table \* ARABIC \s 1</w:instrText>
      </w:r>
      <w:r>
        <w:fldChar w:fldCharType="separate"/>
      </w:r>
      <w:r w:rsidR="00F30C16">
        <w:rPr>
          <w:noProof/>
        </w:rPr>
        <w:t>6</w:t>
      </w:r>
      <w:r>
        <w:fldChar w:fldCharType="end"/>
      </w:r>
      <w:r w:rsidRPr="00494D61">
        <w:t xml:space="preserve">: </w:t>
      </w:r>
      <w:r w:rsidR="005B699B" w:rsidRPr="00494D61">
        <w:t xml:space="preserve">Local government authorities </w:t>
      </w:r>
      <w:bookmarkEnd w:id="2504"/>
      <w:bookmarkEnd w:id="2505"/>
      <w:bookmarkEnd w:id="2506"/>
      <w:bookmarkEnd w:id="2507"/>
      <w:r w:rsidR="005B699B" w:rsidRPr="00494D61">
        <w:t>202</w:t>
      </w:r>
      <w:r w:rsidR="005B699B">
        <w:t>4</w:t>
      </w:r>
      <w:r w:rsidR="005B699B" w:rsidRPr="00494D61">
        <w:t>–2</w:t>
      </w:r>
      <w:r w:rsidR="005B699B">
        <w:t>5 – $’000s</w:t>
      </w:r>
      <w:bookmarkEnd w:id="2508"/>
    </w:p>
    <w:tbl>
      <w:tblPr>
        <w:tblW w:w="8789" w:type="dxa"/>
        <w:tblInd w:w="-147" w:type="dxa"/>
        <w:tblLayout w:type="fixed"/>
        <w:tblLook w:val="04A0" w:firstRow="1" w:lastRow="0" w:firstColumn="1" w:lastColumn="0" w:noHBand="0" w:noVBand="1"/>
      </w:tblPr>
      <w:tblGrid>
        <w:gridCol w:w="2836"/>
        <w:gridCol w:w="992"/>
        <w:gridCol w:w="992"/>
        <w:gridCol w:w="992"/>
        <w:gridCol w:w="992"/>
        <w:gridCol w:w="992"/>
        <w:gridCol w:w="993"/>
      </w:tblGrid>
      <w:tr w:rsidR="00FA06C8" w:rsidRPr="00AB625A" w14:paraId="6B2499FB" w14:textId="77777777" w:rsidTr="00970F2D">
        <w:trPr>
          <w:trHeight w:val="1125"/>
          <w:tblHeader/>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4B69" w14:textId="77777777" w:rsidR="00FA06C8" w:rsidRPr="00AB625A" w:rsidRDefault="00FA06C8">
            <w:pPr>
              <w:spacing w:after="0" w:line="240" w:lineRule="auto"/>
              <w:rPr>
                <w:rFonts w:cs="Arial"/>
                <w:b/>
                <w:bCs/>
                <w:color w:val="53565A"/>
                <w:sz w:val="16"/>
                <w:szCs w:val="16"/>
                <w:lang w:eastAsia="en-AU"/>
              </w:rPr>
            </w:pPr>
            <w:r w:rsidRPr="00AB625A">
              <w:rPr>
                <w:rFonts w:cs="Arial"/>
                <w:b/>
                <w:bCs/>
                <w:color w:val="53565A"/>
                <w:sz w:val="16"/>
                <w:szCs w:val="16"/>
                <w:lang w:eastAsia="en-AU"/>
              </w:rPr>
              <w:t>Health Service</w:t>
            </w:r>
          </w:p>
        </w:tc>
        <w:tc>
          <w:tcPr>
            <w:tcW w:w="992" w:type="dxa"/>
            <w:tcBorders>
              <w:top w:val="single" w:sz="4" w:space="0" w:color="auto"/>
              <w:left w:val="nil"/>
              <w:bottom w:val="single" w:sz="4" w:space="0" w:color="auto"/>
              <w:right w:val="single" w:sz="4" w:space="0" w:color="auto"/>
            </w:tcBorders>
            <w:shd w:val="clear" w:color="auto" w:fill="auto"/>
            <w:hideMark/>
          </w:tcPr>
          <w:p w14:paraId="55DB01D3"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Ageing, aged and home care</w:t>
            </w:r>
          </w:p>
        </w:tc>
        <w:tc>
          <w:tcPr>
            <w:tcW w:w="992" w:type="dxa"/>
            <w:tcBorders>
              <w:top w:val="single" w:sz="4" w:space="0" w:color="auto"/>
              <w:left w:val="nil"/>
              <w:bottom w:val="single" w:sz="4" w:space="0" w:color="auto"/>
              <w:right w:val="single" w:sz="4" w:space="0" w:color="auto"/>
            </w:tcBorders>
            <w:shd w:val="clear" w:color="auto" w:fill="auto"/>
            <w:hideMark/>
          </w:tcPr>
          <w:p w14:paraId="4DE1F110"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Drugs services</w:t>
            </w:r>
          </w:p>
        </w:tc>
        <w:tc>
          <w:tcPr>
            <w:tcW w:w="992" w:type="dxa"/>
            <w:tcBorders>
              <w:top w:val="single" w:sz="4" w:space="0" w:color="auto"/>
              <w:left w:val="nil"/>
              <w:bottom w:val="single" w:sz="4" w:space="0" w:color="auto"/>
              <w:right w:val="single" w:sz="4" w:space="0" w:color="auto"/>
            </w:tcBorders>
            <w:shd w:val="clear" w:color="auto" w:fill="auto"/>
            <w:hideMark/>
          </w:tcPr>
          <w:p w14:paraId="6FE9E4DA"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Mental health</w:t>
            </w:r>
          </w:p>
        </w:tc>
        <w:tc>
          <w:tcPr>
            <w:tcW w:w="992" w:type="dxa"/>
            <w:tcBorders>
              <w:top w:val="single" w:sz="4" w:space="0" w:color="auto"/>
              <w:left w:val="nil"/>
              <w:bottom w:val="single" w:sz="4" w:space="0" w:color="auto"/>
              <w:right w:val="single" w:sz="4" w:space="0" w:color="auto"/>
            </w:tcBorders>
            <w:shd w:val="clear" w:color="auto" w:fill="auto"/>
            <w:hideMark/>
          </w:tcPr>
          <w:p w14:paraId="7AFD6A90"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Primary and dental health</w:t>
            </w:r>
          </w:p>
        </w:tc>
        <w:tc>
          <w:tcPr>
            <w:tcW w:w="992" w:type="dxa"/>
            <w:tcBorders>
              <w:top w:val="single" w:sz="4" w:space="0" w:color="auto"/>
              <w:left w:val="nil"/>
              <w:bottom w:val="single" w:sz="4" w:space="0" w:color="auto"/>
              <w:right w:val="single" w:sz="4" w:space="0" w:color="auto"/>
            </w:tcBorders>
            <w:shd w:val="clear" w:color="auto" w:fill="auto"/>
            <w:hideMark/>
          </w:tcPr>
          <w:p w14:paraId="66EE21C1"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Public health</w:t>
            </w:r>
          </w:p>
        </w:tc>
        <w:tc>
          <w:tcPr>
            <w:tcW w:w="993" w:type="dxa"/>
            <w:tcBorders>
              <w:top w:val="single" w:sz="4" w:space="0" w:color="auto"/>
              <w:left w:val="nil"/>
              <w:bottom w:val="single" w:sz="4" w:space="0" w:color="auto"/>
              <w:right w:val="single" w:sz="4" w:space="0" w:color="auto"/>
            </w:tcBorders>
            <w:shd w:val="clear" w:color="auto" w:fill="auto"/>
            <w:hideMark/>
          </w:tcPr>
          <w:p w14:paraId="5891C44D" w14:textId="77777777" w:rsidR="00FA06C8" w:rsidRPr="00AB625A" w:rsidRDefault="00FA06C8">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Total</w:t>
            </w:r>
          </w:p>
        </w:tc>
      </w:tr>
      <w:tr w:rsidR="006E2142" w:rsidRPr="00AB625A" w14:paraId="411D6C0C"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634347B" w14:textId="090D8D21"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Banyule City Council</w:t>
            </w:r>
          </w:p>
        </w:tc>
        <w:tc>
          <w:tcPr>
            <w:tcW w:w="992" w:type="dxa"/>
            <w:tcBorders>
              <w:top w:val="nil"/>
              <w:left w:val="nil"/>
              <w:bottom w:val="single" w:sz="4" w:space="0" w:color="auto"/>
              <w:right w:val="single" w:sz="4" w:space="0" w:color="auto"/>
            </w:tcBorders>
            <w:shd w:val="clear" w:color="auto" w:fill="auto"/>
            <w:noWrap/>
            <w:vAlign w:val="center"/>
          </w:tcPr>
          <w:p w14:paraId="4496A87D" w14:textId="5EBC8D2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293</w:t>
            </w:r>
          </w:p>
        </w:tc>
        <w:tc>
          <w:tcPr>
            <w:tcW w:w="992" w:type="dxa"/>
            <w:tcBorders>
              <w:top w:val="nil"/>
              <w:left w:val="nil"/>
              <w:bottom w:val="single" w:sz="4" w:space="0" w:color="auto"/>
              <w:right w:val="single" w:sz="4" w:space="0" w:color="auto"/>
            </w:tcBorders>
            <w:shd w:val="clear" w:color="auto" w:fill="auto"/>
            <w:noWrap/>
            <w:vAlign w:val="center"/>
          </w:tcPr>
          <w:p w14:paraId="62CA9EF9" w14:textId="0D11EB8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2418EF3" w14:textId="252DDE5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815C79B" w14:textId="0EF8FB8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1,389</w:t>
            </w:r>
          </w:p>
        </w:tc>
        <w:tc>
          <w:tcPr>
            <w:tcW w:w="992" w:type="dxa"/>
            <w:tcBorders>
              <w:top w:val="nil"/>
              <w:left w:val="nil"/>
              <w:bottom w:val="single" w:sz="4" w:space="0" w:color="auto"/>
              <w:right w:val="single" w:sz="4" w:space="0" w:color="auto"/>
            </w:tcBorders>
            <w:shd w:val="clear" w:color="auto" w:fill="auto"/>
            <w:noWrap/>
            <w:vAlign w:val="center"/>
          </w:tcPr>
          <w:p w14:paraId="76978283" w14:textId="37DCFC6E"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2D76C983" w14:textId="52843AB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1,682</w:t>
            </w:r>
          </w:p>
        </w:tc>
      </w:tr>
      <w:tr w:rsidR="006E2142" w:rsidRPr="00AB625A" w14:paraId="39781913"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0C6F0D0" w14:textId="0B38F705"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Baw Baw Shire Council</w:t>
            </w:r>
          </w:p>
        </w:tc>
        <w:tc>
          <w:tcPr>
            <w:tcW w:w="992" w:type="dxa"/>
            <w:tcBorders>
              <w:top w:val="nil"/>
              <w:left w:val="nil"/>
              <w:bottom w:val="single" w:sz="4" w:space="0" w:color="auto"/>
              <w:right w:val="single" w:sz="4" w:space="0" w:color="auto"/>
            </w:tcBorders>
            <w:shd w:val="clear" w:color="auto" w:fill="auto"/>
            <w:noWrap/>
            <w:vAlign w:val="center"/>
          </w:tcPr>
          <w:p w14:paraId="29AB7699" w14:textId="187D3E4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1F19623" w14:textId="395867B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C198C4B" w14:textId="7525097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B27C8FA" w14:textId="0AA9169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1,067</w:t>
            </w:r>
          </w:p>
        </w:tc>
        <w:tc>
          <w:tcPr>
            <w:tcW w:w="992" w:type="dxa"/>
            <w:tcBorders>
              <w:top w:val="nil"/>
              <w:left w:val="nil"/>
              <w:bottom w:val="single" w:sz="4" w:space="0" w:color="auto"/>
              <w:right w:val="single" w:sz="4" w:space="0" w:color="auto"/>
            </w:tcBorders>
            <w:shd w:val="clear" w:color="auto" w:fill="auto"/>
            <w:noWrap/>
            <w:vAlign w:val="center"/>
          </w:tcPr>
          <w:p w14:paraId="6055ED58" w14:textId="36274972"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B7F3098" w14:textId="62281F0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1,067</w:t>
            </w:r>
          </w:p>
        </w:tc>
      </w:tr>
      <w:tr w:rsidR="006E2142" w:rsidRPr="00AB625A" w14:paraId="62A30804"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F66D048" w14:textId="7791C66A"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Bayside City Council</w:t>
            </w:r>
          </w:p>
        </w:tc>
        <w:tc>
          <w:tcPr>
            <w:tcW w:w="992" w:type="dxa"/>
            <w:tcBorders>
              <w:top w:val="nil"/>
              <w:left w:val="nil"/>
              <w:bottom w:val="single" w:sz="4" w:space="0" w:color="auto"/>
              <w:right w:val="single" w:sz="4" w:space="0" w:color="auto"/>
            </w:tcBorders>
            <w:shd w:val="clear" w:color="auto" w:fill="auto"/>
            <w:noWrap/>
            <w:vAlign w:val="center"/>
          </w:tcPr>
          <w:p w14:paraId="671BCE96" w14:textId="78C088B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410</w:t>
            </w:r>
          </w:p>
        </w:tc>
        <w:tc>
          <w:tcPr>
            <w:tcW w:w="992" w:type="dxa"/>
            <w:tcBorders>
              <w:top w:val="nil"/>
              <w:left w:val="nil"/>
              <w:bottom w:val="single" w:sz="4" w:space="0" w:color="auto"/>
              <w:right w:val="single" w:sz="4" w:space="0" w:color="auto"/>
            </w:tcBorders>
            <w:shd w:val="clear" w:color="auto" w:fill="auto"/>
            <w:noWrap/>
            <w:vAlign w:val="center"/>
          </w:tcPr>
          <w:p w14:paraId="30D1496D" w14:textId="40744DE3"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7FABAE1" w14:textId="5928D4EF"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8E0333D" w14:textId="05D66A9E"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700</w:t>
            </w:r>
          </w:p>
        </w:tc>
        <w:tc>
          <w:tcPr>
            <w:tcW w:w="992" w:type="dxa"/>
            <w:tcBorders>
              <w:top w:val="nil"/>
              <w:left w:val="nil"/>
              <w:bottom w:val="single" w:sz="4" w:space="0" w:color="auto"/>
              <w:right w:val="single" w:sz="4" w:space="0" w:color="auto"/>
            </w:tcBorders>
            <w:shd w:val="clear" w:color="auto" w:fill="auto"/>
            <w:noWrap/>
            <w:vAlign w:val="center"/>
          </w:tcPr>
          <w:p w14:paraId="6C1A7B68" w14:textId="530A3686"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4EFD333A" w14:textId="612AF207"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1,110</w:t>
            </w:r>
          </w:p>
        </w:tc>
      </w:tr>
      <w:tr w:rsidR="006E2142" w:rsidRPr="00AB625A" w14:paraId="30146695"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3777A64" w14:textId="10CD01D0"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Brimbank City Council</w:t>
            </w:r>
          </w:p>
        </w:tc>
        <w:tc>
          <w:tcPr>
            <w:tcW w:w="992" w:type="dxa"/>
            <w:tcBorders>
              <w:top w:val="nil"/>
              <w:left w:val="nil"/>
              <w:bottom w:val="single" w:sz="4" w:space="0" w:color="auto"/>
              <w:right w:val="single" w:sz="4" w:space="0" w:color="auto"/>
            </w:tcBorders>
            <w:shd w:val="clear" w:color="auto" w:fill="auto"/>
            <w:noWrap/>
            <w:vAlign w:val="center"/>
          </w:tcPr>
          <w:p w14:paraId="250C4263" w14:textId="4A09D7EE"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632</w:t>
            </w:r>
          </w:p>
        </w:tc>
        <w:tc>
          <w:tcPr>
            <w:tcW w:w="992" w:type="dxa"/>
            <w:tcBorders>
              <w:top w:val="nil"/>
              <w:left w:val="nil"/>
              <w:bottom w:val="single" w:sz="4" w:space="0" w:color="auto"/>
              <w:right w:val="single" w:sz="4" w:space="0" w:color="auto"/>
            </w:tcBorders>
            <w:shd w:val="clear" w:color="auto" w:fill="auto"/>
            <w:noWrap/>
            <w:vAlign w:val="center"/>
          </w:tcPr>
          <w:p w14:paraId="625BA036" w14:textId="7D71C26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01E260F" w14:textId="54DA4A2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FA7039C" w14:textId="4E68211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3,109</w:t>
            </w:r>
          </w:p>
        </w:tc>
        <w:tc>
          <w:tcPr>
            <w:tcW w:w="992" w:type="dxa"/>
            <w:tcBorders>
              <w:top w:val="nil"/>
              <w:left w:val="nil"/>
              <w:bottom w:val="single" w:sz="4" w:space="0" w:color="auto"/>
              <w:right w:val="single" w:sz="4" w:space="0" w:color="auto"/>
            </w:tcBorders>
            <w:shd w:val="clear" w:color="auto" w:fill="auto"/>
            <w:noWrap/>
            <w:vAlign w:val="center"/>
          </w:tcPr>
          <w:p w14:paraId="554262BE" w14:textId="7417853A"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6ED30284" w14:textId="64C8189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3,741</w:t>
            </w:r>
          </w:p>
        </w:tc>
      </w:tr>
      <w:tr w:rsidR="006E2142" w:rsidRPr="00AB625A" w14:paraId="02FB115B"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9B039DF" w14:textId="5819FC8D"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Cardinia Shire Council</w:t>
            </w:r>
          </w:p>
        </w:tc>
        <w:tc>
          <w:tcPr>
            <w:tcW w:w="992" w:type="dxa"/>
            <w:tcBorders>
              <w:top w:val="nil"/>
              <w:left w:val="nil"/>
              <w:bottom w:val="single" w:sz="4" w:space="0" w:color="auto"/>
              <w:right w:val="single" w:sz="4" w:space="0" w:color="auto"/>
            </w:tcBorders>
            <w:shd w:val="clear" w:color="auto" w:fill="auto"/>
            <w:noWrap/>
            <w:vAlign w:val="center"/>
          </w:tcPr>
          <w:p w14:paraId="23CE25A8" w14:textId="62F96D0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18</w:t>
            </w:r>
          </w:p>
        </w:tc>
        <w:tc>
          <w:tcPr>
            <w:tcW w:w="992" w:type="dxa"/>
            <w:tcBorders>
              <w:top w:val="nil"/>
              <w:left w:val="nil"/>
              <w:bottom w:val="single" w:sz="4" w:space="0" w:color="auto"/>
              <w:right w:val="single" w:sz="4" w:space="0" w:color="auto"/>
            </w:tcBorders>
            <w:shd w:val="clear" w:color="auto" w:fill="auto"/>
            <w:noWrap/>
            <w:vAlign w:val="center"/>
          </w:tcPr>
          <w:p w14:paraId="368761C4" w14:textId="1D426093"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2BE7DD7" w14:textId="3AAA214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0EE4837" w14:textId="455552F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2,510</w:t>
            </w:r>
          </w:p>
        </w:tc>
        <w:tc>
          <w:tcPr>
            <w:tcW w:w="992" w:type="dxa"/>
            <w:tcBorders>
              <w:top w:val="nil"/>
              <w:left w:val="nil"/>
              <w:bottom w:val="single" w:sz="4" w:space="0" w:color="auto"/>
              <w:right w:val="single" w:sz="4" w:space="0" w:color="auto"/>
            </w:tcBorders>
            <w:shd w:val="clear" w:color="auto" w:fill="auto"/>
            <w:noWrap/>
            <w:vAlign w:val="center"/>
          </w:tcPr>
          <w:p w14:paraId="30555F25" w14:textId="6DDA5E67"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62FCDE8" w14:textId="4711C368"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2,528</w:t>
            </w:r>
          </w:p>
        </w:tc>
      </w:tr>
      <w:tr w:rsidR="006E2142" w:rsidRPr="00AB625A" w14:paraId="45E84222"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4D57BE4" w14:textId="11862E56"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Casey City Council</w:t>
            </w:r>
          </w:p>
        </w:tc>
        <w:tc>
          <w:tcPr>
            <w:tcW w:w="992" w:type="dxa"/>
            <w:tcBorders>
              <w:top w:val="nil"/>
              <w:left w:val="nil"/>
              <w:bottom w:val="single" w:sz="4" w:space="0" w:color="auto"/>
              <w:right w:val="single" w:sz="4" w:space="0" w:color="auto"/>
            </w:tcBorders>
            <w:shd w:val="clear" w:color="auto" w:fill="auto"/>
            <w:noWrap/>
            <w:vAlign w:val="center"/>
          </w:tcPr>
          <w:p w14:paraId="13BDDEAC" w14:textId="65F0AA8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50</w:t>
            </w:r>
          </w:p>
        </w:tc>
        <w:tc>
          <w:tcPr>
            <w:tcW w:w="992" w:type="dxa"/>
            <w:tcBorders>
              <w:top w:val="nil"/>
              <w:left w:val="nil"/>
              <w:bottom w:val="single" w:sz="4" w:space="0" w:color="auto"/>
              <w:right w:val="single" w:sz="4" w:space="0" w:color="auto"/>
            </w:tcBorders>
            <w:shd w:val="clear" w:color="auto" w:fill="auto"/>
            <w:noWrap/>
            <w:vAlign w:val="center"/>
          </w:tcPr>
          <w:p w14:paraId="761438C2" w14:textId="70CFBDA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0D2673D" w14:textId="1D2E898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22CF2CE9" w14:textId="4D715F3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7,879</w:t>
            </w:r>
          </w:p>
        </w:tc>
        <w:tc>
          <w:tcPr>
            <w:tcW w:w="992" w:type="dxa"/>
            <w:tcBorders>
              <w:top w:val="nil"/>
              <w:left w:val="nil"/>
              <w:bottom w:val="single" w:sz="4" w:space="0" w:color="auto"/>
              <w:right w:val="single" w:sz="4" w:space="0" w:color="auto"/>
            </w:tcBorders>
            <w:shd w:val="clear" w:color="auto" w:fill="auto"/>
            <w:noWrap/>
            <w:vAlign w:val="center"/>
          </w:tcPr>
          <w:p w14:paraId="00FA9E66" w14:textId="4E97FAE9"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299B4D11" w14:textId="02D594F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7,928</w:t>
            </w:r>
          </w:p>
        </w:tc>
      </w:tr>
      <w:tr w:rsidR="006E2142" w:rsidRPr="00AB625A" w14:paraId="5C7A1A6C"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A3DDB7A" w14:textId="13D844C4"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Ballarat</w:t>
            </w:r>
          </w:p>
        </w:tc>
        <w:tc>
          <w:tcPr>
            <w:tcW w:w="992" w:type="dxa"/>
            <w:tcBorders>
              <w:top w:val="nil"/>
              <w:left w:val="nil"/>
              <w:bottom w:val="single" w:sz="4" w:space="0" w:color="auto"/>
              <w:right w:val="single" w:sz="4" w:space="0" w:color="auto"/>
            </w:tcBorders>
            <w:shd w:val="clear" w:color="auto" w:fill="auto"/>
            <w:noWrap/>
            <w:vAlign w:val="center"/>
          </w:tcPr>
          <w:p w14:paraId="260BEECE" w14:textId="334DB0AF"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2D52336" w14:textId="3901405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5B4A84F" w14:textId="16C06DB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EA9A26F" w14:textId="21FAF7F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1,948</w:t>
            </w:r>
          </w:p>
        </w:tc>
        <w:tc>
          <w:tcPr>
            <w:tcW w:w="992" w:type="dxa"/>
            <w:tcBorders>
              <w:top w:val="nil"/>
              <w:left w:val="nil"/>
              <w:bottom w:val="single" w:sz="4" w:space="0" w:color="auto"/>
              <w:right w:val="single" w:sz="4" w:space="0" w:color="auto"/>
            </w:tcBorders>
            <w:shd w:val="clear" w:color="auto" w:fill="auto"/>
            <w:noWrap/>
            <w:vAlign w:val="center"/>
          </w:tcPr>
          <w:p w14:paraId="7CC95DF4" w14:textId="7545F31E"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4264D8E" w14:textId="0A4E9699"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1,948</w:t>
            </w:r>
          </w:p>
        </w:tc>
      </w:tr>
      <w:tr w:rsidR="006E2142" w:rsidRPr="00AB625A" w14:paraId="18CFDB37"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3549945" w14:textId="4886268B"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Boroondara</w:t>
            </w:r>
          </w:p>
        </w:tc>
        <w:tc>
          <w:tcPr>
            <w:tcW w:w="992" w:type="dxa"/>
            <w:tcBorders>
              <w:top w:val="nil"/>
              <w:left w:val="nil"/>
              <w:bottom w:val="single" w:sz="4" w:space="0" w:color="auto"/>
              <w:right w:val="single" w:sz="4" w:space="0" w:color="auto"/>
            </w:tcBorders>
            <w:shd w:val="clear" w:color="auto" w:fill="auto"/>
            <w:noWrap/>
            <w:vAlign w:val="center"/>
          </w:tcPr>
          <w:p w14:paraId="6D0BE7BA" w14:textId="49DF742F"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CC5BCAF" w14:textId="6A4F2B1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8E477FD" w14:textId="3A7A479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FDC0CD5" w14:textId="3BD124CA"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1,092</w:t>
            </w:r>
          </w:p>
        </w:tc>
        <w:tc>
          <w:tcPr>
            <w:tcW w:w="992" w:type="dxa"/>
            <w:tcBorders>
              <w:top w:val="nil"/>
              <w:left w:val="nil"/>
              <w:bottom w:val="single" w:sz="4" w:space="0" w:color="auto"/>
              <w:right w:val="single" w:sz="4" w:space="0" w:color="auto"/>
            </w:tcBorders>
            <w:shd w:val="clear" w:color="auto" w:fill="auto"/>
            <w:noWrap/>
            <w:vAlign w:val="center"/>
          </w:tcPr>
          <w:p w14:paraId="37E5451C" w14:textId="1ABB75AD"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71991537" w14:textId="60F2C48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1,092</w:t>
            </w:r>
          </w:p>
        </w:tc>
      </w:tr>
      <w:tr w:rsidR="006E2142" w:rsidRPr="00AB625A" w14:paraId="63C938D5"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91986BF" w14:textId="6197F14C"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Darebin</w:t>
            </w:r>
          </w:p>
        </w:tc>
        <w:tc>
          <w:tcPr>
            <w:tcW w:w="992" w:type="dxa"/>
            <w:tcBorders>
              <w:top w:val="nil"/>
              <w:left w:val="nil"/>
              <w:bottom w:val="single" w:sz="4" w:space="0" w:color="auto"/>
              <w:right w:val="single" w:sz="4" w:space="0" w:color="auto"/>
            </w:tcBorders>
            <w:shd w:val="clear" w:color="auto" w:fill="auto"/>
            <w:noWrap/>
            <w:vAlign w:val="center"/>
          </w:tcPr>
          <w:p w14:paraId="0E1688B5" w14:textId="2C1042F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635</w:t>
            </w:r>
          </w:p>
        </w:tc>
        <w:tc>
          <w:tcPr>
            <w:tcW w:w="992" w:type="dxa"/>
            <w:tcBorders>
              <w:top w:val="nil"/>
              <w:left w:val="nil"/>
              <w:bottom w:val="single" w:sz="4" w:space="0" w:color="auto"/>
              <w:right w:val="single" w:sz="4" w:space="0" w:color="auto"/>
            </w:tcBorders>
            <w:shd w:val="clear" w:color="auto" w:fill="auto"/>
            <w:noWrap/>
            <w:vAlign w:val="center"/>
          </w:tcPr>
          <w:p w14:paraId="118736AA" w14:textId="34FFCD9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B48BFFF" w14:textId="3127BD4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0FA61DF" w14:textId="6C5AA36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1,681</w:t>
            </w:r>
          </w:p>
        </w:tc>
        <w:tc>
          <w:tcPr>
            <w:tcW w:w="992" w:type="dxa"/>
            <w:tcBorders>
              <w:top w:val="nil"/>
              <w:left w:val="nil"/>
              <w:bottom w:val="single" w:sz="4" w:space="0" w:color="auto"/>
              <w:right w:val="single" w:sz="4" w:space="0" w:color="auto"/>
            </w:tcBorders>
            <w:shd w:val="clear" w:color="auto" w:fill="auto"/>
            <w:noWrap/>
            <w:vAlign w:val="center"/>
          </w:tcPr>
          <w:p w14:paraId="20895F63" w14:textId="2B113A72"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11D155C" w14:textId="3341FDE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2,316</w:t>
            </w:r>
          </w:p>
        </w:tc>
      </w:tr>
      <w:tr w:rsidR="006E2142" w:rsidRPr="00AB625A" w14:paraId="6A6D6D28"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99633C6" w14:textId="161C6E4C"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Greater Geelong</w:t>
            </w:r>
          </w:p>
        </w:tc>
        <w:tc>
          <w:tcPr>
            <w:tcW w:w="992" w:type="dxa"/>
            <w:tcBorders>
              <w:top w:val="nil"/>
              <w:left w:val="nil"/>
              <w:bottom w:val="single" w:sz="4" w:space="0" w:color="auto"/>
              <w:right w:val="single" w:sz="4" w:space="0" w:color="auto"/>
            </w:tcBorders>
            <w:shd w:val="clear" w:color="auto" w:fill="auto"/>
            <w:noWrap/>
            <w:vAlign w:val="center"/>
          </w:tcPr>
          <w:p w14:paraId="6DD656EE" w14:textId="726F4EE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674</w:t>
            </w:r>
          </w:p>
        </w:tc>
        <w:tc>
          <w:tcPr>
            <w:tcW w:w="992" w:type="dxa"/>
            <w:tcBorders>
              <w:top w:val="nil"/>
              <w:left w:val="nil"/>
              <w:bottom w:val="single" w:sz="4" w:space="0" w:color="auto"/>
              <w:right w:val="single" w:sz="4" w:space="0" w:color="auto"/>
            </w:tcBorders>
            <w:shd w:val="clear" w:color="auto" w:fill="auto"/>
            <w:noWrap/>
            <w:vAlign w:val="center"/>
          </w:tcPr>
          <w:p w14:paraId="52D1DABA" w14:textId="422B794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7C0EB8F" w14:textId="38F652A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F19AC8F" w14:textId="540868F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4,009</w:t>
            </w:r>
          </w:p>
        </w:tc>
        <w:tc>
          <w:tcPr>
            <w:tcW w:w="992" w:type="dxa"/>
            <w:tcBorders>
              <w:top w:val="nil"/>
              <w:left w:val="nil"/>
              <w:bottom w:val="single" w:sz="4" w:space="0" w:color="auto"/>
              <w:right w:val="single" w:sz="4" w:space="0" w:color="auto"/>
            </w:tcBorders>
            <w:shd w:val="clear" w:color="auto" w:fill="auto"/>
            <w:noWrap/>
            <w:vAlign w:val="center"/>
          </w:tcPr>
          <w:p w14:paraId="36FDBB19" w14:textId="2BB47519"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3EFF7D0F" w14:textId="3BFAEE5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4,683</w:t>
            </w:r>
          </w:p>
        </w:tc>
      </w:tr>
      <w:tr w:rsidR="006E2142" w:rsidRPr="00AB625A" w14:paraId="7ED08DD0"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3018707" w14:textId="5AEEFD98"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Kingston</w:t>
            </w:r>
          </w:p>
        </w:tc>
        <w:tc>
          <w:tcPr>
            <w:tcW w:w="992" w:type="dxa"/>
            <w:tcBorders>
              <w:top w:val="nil"/>
              <w:left w:val="nil"/>
              <w:bottom w:val="single" w:sz="4" w:space="0" w:color="auto"/>
              <w:right w:val="single" w:sz="4" w:space="0" w:color="auto"/>
            </w:tcBorders>
            <w:shd w:val="clear" w:color="auto" w:fill="auto"/>
            <w:noWrap/>
            <w:vAlign w:val="center"/>
          </w:tcPr>
          <w:p w14:paraId="31083DDE" w14:textId="5E5C24B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1,591</w:t>
            </w:r>
          </w:p>
        </w:tc>
        <w:tc>
          <w:tcPr>
            <w:tcW w:w="992" w:type="dxa"/>
            <w:tcBorders>
              <w:top w:val="nil"/>
              <w:left w:val="nil"/>
              <w:bottom w:val="single" w:sz="4" w:space="0" w:color="auto"/>
              <w:right w:val="single" w:sz="4" w:space="0" w:color="auto"/>
            </w:tcBorders>
            <w:shd w:val="clear" w:color="auto" w:fill="auto"/>
            <w:noWrap/>
            <w:vAlign w:val="center"/>
          </w:tcPr>
          <w:p w14:paraId="243A4C23" w14:textId="4BFC1EB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6B879010" w14:textId="761F9C4D"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AAE9C3D" w14:textId="0ED0A10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1,598</w:t>
            </w:r>
          </w:p>
        </w:tc>
        <w:tc>
          <w:tcPr>
            <w:tcW w:w="992" w:type="dxa"/>
            <w:tcBorders>
              <w:top w:val="nil"/>
              <w:left w:val="nil"/>
              <w:bottom w:val="single" w:sz="4" w:space="0" w:color="auto"/>
              <w:right w:val="single" w:sz="4" w:space="0" w:color="auto"/>
            </w:tcBorders>
            <w:shd w:val="clear" w:color="auto" w:fill="auto"/>
            <w:noWrap/>
            <w:vAlign w:val="center"/>
          </w:tcPr>
          <w:p w14:paraId="27ACB5B1" w14:textId="4B7264AC"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27C2FF80" w14:textId="01439D4B"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3,189</w:t>
            </w:r>
          </w:p>
        </w:tc>
      </w:tr>
      <w:tr w:rsidR="006E2142" w:rsidRPr="00AB625A" w14:paraId="0C71F2D9"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1DD6D3C" w14:textId="0BE4869C"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Manningham</w:t>
            </w:r>
          </w:p>
        </w:tc>
        <w:tc>
          <w:tcPr>
            <w:tcW w:w="992" w:type="dxa"/>
            <w:tcBorders>
              <w:top w:val="nil"/>
              <w:left w:val="nil"/>
              <w:bottom w:val="single" w:sz="4" w:space="0" w:color="auto"/>
              <w:right w:val="single" w:sz="4" w:space="0" w:color="auto"/>
            </w:tcBorders>
            <w:shd w:val="clear" w:color="auto" w:fill="auto"/>
            <w:noWrap/>
            <w:vAlign w:val="center"/>
          </w:tcPr>
          <w:p w14:paraId="0F5E1C6A" w14:textId="58C795D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2874BA58" w14:textId="43B1115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211D7F6A" w14:textId="492C767D"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3ADB6E4" w14:textId="7691B17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1,109</w:t>
            </w:r>
          </w:p>
        </w:tc>
        <w:tc>
          <w:tcPr>
            <w:tcW w:w="992" w:type="dxa"/>
            <w:tcBorders>
              <w:top w:val="nil"/>
              <w:left w:val="nil"/>
              <w:bottom w:val="single" w:sz="4" w:space="0" w:color="auto"/>
              <w:right w:val="single" w:sz="4" w:space="0" w:color="auto"/>
            </w:tcBorders>
            <w:shd w:val="clear" w:color="auto" w:fill="auto"/>
            <w:noWrap/>
            <w:vAlign w:val="center"/>
          </w:tcPr>
          <w:p w14:paraId="3A4DF0D7" w14:textId="4757B97E"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B1D41CB" w14:textId="7966EE4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1,109</w:t>
            </w:r>
          </w:p>
        </w:tc>
      </w:tr>
      <w:tr w:rsidR="006E2142" w:rsidRPr="00AB625A" w14:paraId="35150ECF"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A7E2A1B" w14:textId="43011E19"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City Of Port Phillip</w:t>
            </w:r>
          </w:p>
        </w:tc>
        <w:tc>
          <w:tcPr>
            <w:tcW w:w="992" w:type="dxa"/>
            <w:tcBorders>
              <w:top w:val="nil"/>
              <w:left w:val="nil"/>
              <w:bottom w:val="single" w:sz="4" w:space="0" w:color="auto"/>
              <w:right w:val="single" w:sz="4" w:space="0" w:color="auto"/>
            </w:tcBorders>
            <w:shd w:val="clear" w:color="auto" w:fill="auto"/>
            <w:noWrap/>
            <w:vAlign w:val="center"/>
          </w:tcPr>
          <w:p w14:paraId="22BDD488" w14:textId="377D790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743</w:t>
            </w:r>
          </w:p>
        </w:tc>
        <w:tc>
          <w:tcPr>
            <w:tcW w:w="992" w:type="dxa"/>
            <w:tcBorders>
              <w:top w:val="nil"/>
              <w:left w:val="nil"/>
              <w:bottom w:val="single" w:sz="4" w:space="0" w:color="auto"/>
              <w:right w:val="single" w:sz="4" w:space="0" w:color="auto"/>
            </w:tcBorders>
            <w:shd w:val="clear" w:color="auto" w:fill="auto"/>
            <w:noWrap/>
            <w:vAlign w:val="center"/>
          </w:tcPr>
          <w:p w14:paraId="678F343B" w14:textId="7A1F508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BD39891" w14:textId="16BB743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F90EA68" w14:textId="2F10EACF"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978</w:t>
            </w:r>
          </w:p>
        </w:tc>
        <w:tc>
          <w:tcPr>
            <w:tcW w:w="992" w:type="dxa"/>
            <w:tcBorders>
              <w:top w:val="nil"/>
              <w:left w:val="nil"/>
              <w:bottom w:val="single" w:sz="4" w:space="0" w:color="auto"/>
              <w:right w:val="single" w:sz="4" w:space="0" w:color="auto"/>
            </w:tcBorders>
            <w:shd w:val="clear" w:color="auto" w:fill="auto"/>
            <w:noWrap/>
            <w:vAlign w:val="center"/>
          </w:tcPr>
          <w:p w14:paraId="757DA22C" w14:textId="04AEE7F9"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6FC35EB4" w14:textId="0E16CAB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1,721</w:t>
            </w:r>
          </w:p>
        </w:tc>
      </w:tr>
      <w:tr w:rsidR="006E2142" w:rsidRPr="00AB625A" w14:paraId="41C2FD33"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3E5F8F0" w14:textId="23EA71AE"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Frankston City Council</w:t>
            </w:r>
          </w:p>
        </w:tc>
        <w:tc>
          <w:tcPr>
            <w:tcW w:w="992" w:type="dxa"/>
            <w:tcBorders>
              <w:top w:val="nil"/>
              <w:left w:val="nil"/>
              <w:bottom w:val="single" w:sz="4" w:space="0" w:color="auto"/>
              <w:right w:val="single" w:sz="4" w:space="0" w:color="auto"/>
            </w:tcBorders>
            <w:shd w:val="clear" w:color="auto" w:fill="auto"/>
            <w:noWrap/>
            <w:vAlign w:val="center"/>
          </w:tcPr>
          <w:p w14:paraId="160DD60B" w14:textId="5470D27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901</w:t>
            </w:r>
          </w:p>
        </w:tc>
        <w:tc>
          <w:tcPr>
            <w:tcW w:w="992" w:type="dxa"/>
            <w:tcBorders>
              <w:top w:val="nil"/>
              <w:left w:val="nil"/>
              <w:bottom w:val="single" w:sz="4" w:space="0" w:color="auto"/>
              <w:right w:val="single" w:sz="4" w:space="0" w:color="auto"/>
            </w:tcBorders>
            <w:shd w:val="clear" w:color="auto" w:fill="auto"/>
            <w:noWrap/>
            <w:vAlign w:val="center"/>
          </w:tcPr>
          <w:p w14:paraId="2BD91F57" w14:textId="3F0929BA"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394210D" w14:textId="59A3988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331</w:t>
            </w:r>
          </w:p>
        </w:tc>
        <w:tc>
          <w:tcPr>
            <w:tcW w:w="992" w:type="dxa"/>
            <w:tcBorders>
              <w:top w:val="nil"/>
              <w:left w:val="nil"/>
              <w:bottom w:val="single" w:sz="4" w:space="0" w:color="auto"/>
              <w:right w:val="single" w:sz="4" w:space="0" w:color="auto"/>
            </w:tcBorders>
            <w:shd w:val="clear" w:color="auto" w:fill="auto"/>
            <w:noWrap/>
            <w:vAlign w:val="center"/>
          </w:tcPr>
          <w:p w14:paraId="24C4BE66" w14:textId="09AE621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2,072</w:t>
            </w:r>
          </w:p>
        </w:tc>
        <w:tc>
          <w:tcPr>
            <w:tcW w:w="992" w:type="dxa"/>
            <w:tcBorders>
              <w:top w:val="nil"/>
              <w:left w:val="nil"/>
              <w:bottom w:val="single" w:sz="4" w:space="0" w:color="auto"/>
              <w:right w:val="single" w:sz="4" w:space="0" w:color="auto"/>
            </w:tcBorders>
            <w:shd w:val="clear" w:color="auto" w:fill="auto"/>
            <w:noWrap/>
            <w:vAlign w:val="center"/>
          </w:tcPr>
          <w:p w14:paraId="2AC91E41" w14:textId="2D597EC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009A7D3B" w14:textId="05F5D3D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3,305</w:t>
            </w:r>
          </w:p>
        </w:tc>
      </w:tr>
      <w:tr w:rsidR="006E2142" w:rsidRPr="00AB625A" w14:paraId="1428388D"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0787347" w14:textId="61A12B5C"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Glen Eira City Council</w:t>
            </w:r>
          </w:p>
        </w:tc>
        <w:tc>
          <w:tcPr>
            <w:tcW w:w="992" w:type="dxa"/>
            <w:tcBorders>
              <w:top w:val="nil"/>
              <w:left w:val="nil"/>
              <w:bottom w:val="single" w:sz="4" w:space="0" w:color="auto"/>
              <w:right w:val="single" w:sz="4" w:space="0" w:color="auto"/>
            </w:tcBorders>
            <w:shd w:val="clear" w:color="auto" w:fill="auto"/>
            <w:noWrap/>
            <w:vAlign w:val="center"/>
          </w:tcPr>
          <w:p w14:paraId="7D43ACA7" w14:textId="259E03B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451</w:t>
            </w:r>
          </w:p>
        </w:tc>
        <w:tc>
          <w:tcPr>
            <w:tcW w:w="992" w:type="dxa"/>
            <w:tcBorders>
              <w:top w:val="nil"/>
              <w:left w:val="nil"/>
              <w:bottom w:val="single" w:sz="4" w:space="0" w:color="auto"/>
              <w:right w:val="single" w:sz="4" w:space="0" w:color="auto"/>
            </w:tcBorders>
            <w:shd w:val="clear" w:color="auto" w:fill="auto"/>
            <w:noWrap/>
            <w:vAlign w:val="center"/>
          </w:tcPr>
          <w:p w14:paraId="284389B1" w14:textId="51519DA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2060B11" w14:textId="58D17BD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CE354C1" w14:textId="54DD4FE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1,358</w:t>
            </w:r>
          </w:p>
        </w:tc>
        <w:tc>
          <w:tcPr>
            <w:tcW w:w="992" w:type="dxa"/>
            <w:tcBorders>
              <w:top w:val="nil"/>
              <w:left w:val="nil"/>
              <w:bottom w:val="single" w:sz="4" w:space="0" w:color="auto"/>
              <w:right w:val="single" w:sz="4" w:space="0" w:color="auto"/>
            </w:tcBorders>
            <w:shd w:val="clear" w:color="auto" w:fill="auto"/>
            <w:noWrap/>
            <w:vAlign w:val="center"/>
          </w:tcPr>
          <w:p w14:paraId="38375831" w14:textId="732F98FD"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3E3F0ED1" w14:textId="03506D69"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1,809</w:t>
            </w:r>
          </w:p>
        </w:tc>
      </w:tr>
      <w:tr w:rsidR="006E2142" w:rsidRPr="00AB625A" w14:paraId="7CA392E6"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60E3DC8" w14:textId="7C775794"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Greater Bendigo City Council</w:t>
            </w:r>
          </w:p>
        </w:tc>
        <w:tc>
          <w:tcPr>
            <w:tcW w:w="992" w:type="dxa"/>
            <w:tcBorders>
              <w:top w:val="nil"/>
              <w:left w:val="nil"/>
              <w:bottom w:val="single" w:sz="4" w:space="0" w:color="auto"/>
              <w:right w:val="single" w:sz="4" w:space="0" w:color="auto"/>
            </w:tcBorders>
            <w:shd w:val="clear" w:color="auto" w:fill="auto"/>
            <w:noWrap/>
            <w:vAlign w:val="center"/>
          </w:tcPr>
          <w:p w14:paraId="7D391B7C" w14:textId="6A54095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2E06154" w14:textId="1071778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502A1F7" w14:textId="5D602F1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10C6164" w14:textId="4DCDEE13"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2,072</w:t>
            </w:r>
          </w:p>
        </w:tc>
        <w:tc>
          <w:tcPr>
            <w:tcW w:w="992" w:type="dxa"/>
            <w:tcBorders>
              <w:top w:val="nil"/>
              <w:left w:val="nil"/>
              <w:bottom w:val="single" w:sz="4" w:space="0" w:color="auto"/>
              <w:right w:val="single" w:sz="4" w:space="0" w:color="auto"/>
            </w:tcBorders>
            <w:shd w:val="clear" w:color="auto" w:fill="auto"/>
            <w:noWrap/>
            <w:vAlign w:val="center"/>
          </w:tcPr>
          <w:p w14:paraId="2300F8F2" w14:textId="767249E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1,732</w:t>
            </w:r>
          </w:p>
        </w:tc>
        <w:tc>
          <w:tcPr>
            <w:tcW w:w="993" w:type="dxa"/>
            <w:tcBorders>
              <w:top w:val="nil"/>
              <w:left w:val="nil"/>
              <w:bottom w:val="single" w:sz="4" w:space="0" w:color="auto"/>
              <w:right w:val="single" w:sz="4" w:space="0" w:color="auto"/>
            </w:tcBorders>
            <w:shd w:val="clear" w:color="auto" w:fill="auto"/>
            <w:noWrap/>
            <w:vAlign w:val="center"/>
          </w:tcPr>
          <w:p w14:paraId="775B178E" w14:textId="5BE684E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3,804</w:t>
            </w:r>
          </w:p>
        </w:tc>
      </w:tr>
      <w:tr w:rsidR="006E2142" w:rsidRPr="00AB625A" w14:paraId="7AE2D69C"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A478C8C" w14:textId="6DD104D6"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Greater Shepparton City Council</w:t>
            </w:r>
          </w:p>
        </w:tc>
        <w:tc>
          <w:tcPr>
            <w:tcW w:w="992" w:type="dxa"/>
            <w:tcBorders>
              <w:top w:val="nil"/>
              <w:left w:val="nil"/>
              <w:bottom w:val="single" w:sz="4" w:space="0" w:color="auto"/>
              <w:right w:val="single" w:sz="4" w:space="0" w:color="auto"/>
            </w:tcBorders>
            <w:shd w:val="clear" w:color="auto" w:fill="auto"/>
            <w:noWrap/>
            <w:vAlign w:val="center"/>
          </w:tcPr>
          <w:p w14:paraId="74221851" w14:textId="2C4C72F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B0BDB7A" w14:textId="0B8A73C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0EFC17E" w14:textId="6365092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8DEE760" w14:textId="75FF27A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1,519</w:t>
            </w:r>
          </w:p>
        </w:tc>
        <w:tc>
          <w:tcPr>
            <w:tcW w:w="992" w:type="dxa"/>
            <w:tcBorders>
              <w:top w:val="nil"/>
              <w:left w:val="nil"/>
              <w:bottom w:val="single" w:sz="4" w:space="0" w:color="auto"/>
              <w:right w:val="single" w:sz="4" w:space="0" w:color="auto"/>
            </w:tcBorders>
            <w:shd w:val="clear" w:color="auto" w:fill="auto"/>
            <w:noWrap/>
            <w:vAlign w:val="center"/>
          </w:tcPr>
          <w:p w14:paraId="5A5F173B" w14:textId="18B574C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0D0B059C" w14:textId="33655181"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1,519</w:t>
            </w:r>
          </w:p>
        </w:tc>
      </w:tr>
      <w:tr w:rsidR="006E2142" w:rsidRPr="00AB625A" w14:paraId="2F9B7778"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B500D90" w14:textId="53707547"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Hobsons Bay City Council</w:t>
            </w:r>
          </w:p>
        </w:tc>
        <w:tc>
          <w:tcPr>
            <w:tcW w:w="992" w:type="dxa"/>
            <w:tcBorders>
              <w:top w:val="nil"/>
              <w:left w:val="nil"/>
              <w:bottom w:val="single" w:sz="4" w:space="0" w:color="auto"/>
              <w:right w:val="single" w:sz="4" w:space="0" w:color="auto"/>
            </w:tcBorders>
            <w:shd w:val="clear" w:color="auto" w:fill="auto"/>
            <w:noWrap/>
            <w:vAlign w:val="center"/>
          </w:tcPr>
          <w:p w14:paraId="261E9E15" w14:textId="43FC7D9E"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155</w:t>
            </w:r>
          </w:p>
        </w:tc>
        <w:tc>
          <w:tcPr>
            <w:tcW w:w="992" w:type="dxa"/>
            <w:tcBorders>
              <w:top w:val="nil"/>
              <w:left w:val="nil"/>
              <w:bottom w:val="single" w:sz="4" w:space="0" w:color="auto"/>
              <w:right w:val="single" w:sz="4" w:space="0" w:color="auto"/>
            </w:tcBorders>
            <w:shd w:val="clear" w:color="auto" w:fill="auto"/>
            <w:noWrap/>
            <w:vAlign w:val="center"/>
          </w:tcPr>
          <w:p w14:paraId="7FA35714" w14:textId="7147F62E"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8509719" w14:textId="01517D7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6C1653D" w14:textId="09117CD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1,167</w:t>
            </w:r>
          </w:p>
        </w:tc>
        <w:tc>
          <w:tcPr>
            <w:tcW w:w="992" w:type="dxa"/>
            <w:tcBorders>
              <w:top w:val="nil"/>
              <w:left w:val="nil"/>
              <w:bottom w:val="single" w:sz="4" w:space="0" w:color="auto"/>
              <w:right w:val="single" w:sz="4" w:space="0" w:color="auto"/>
            </w:tcBorders>
            <w:shd w:val="clear" w:color="auto" w:fill="auto"/>
            <w:noWrap/>
            <w:vAlign w:val="center"/>
          </w:tcPr>
          <w:p w14:paraId="44558FC1" w14:textId="0A1DAC33" w:rsidR="006E2142" w:rsidRPr="00970F2D" w:rsidRDefault="006E2142" w:rsidP="006E2142">
            <w:pPr>
              <w:spacing w:after="0" w:line="240" w:lineRule="auto"/>
              <w:jc w:val="right"/>
              <w:rPr>
                <w:rFonts w:cs="Arial"/>
                <w:color w:val="000000"/>
                <w:sz w:val="16"/>
                <w:szCs w:val="16"/>
                <w:lang w:eastAsia="en-AU"/>
              </w:rPr>
            </w:pPr>
            <w:r>
              <w:rPr>
                <w:rFonts w:cs="Arial"/>
                <w:b/>
                <w:bCs/>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2178BA9A" w14:textId="228CCA4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1,323</w:t>
            </w:r>
          </w:p>
        </w:tc>
      </w:tr>
      <w:tr w:rsidR="006E2142" w:rsidRPr="00AB625A" w14:paraId="76D69627"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A43020B" w14:textId="1EC9B151"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Hume City Council</w:t>
            </w:r>
          </w:p>
        </w:tc>
        <w:tc>
          <w:tcPr>
            <w:tcW w:w="992" w:type="dxa"/>
            <w:tcBorders>
              <w:top w:val="nil"/>
              <w:left w:val="nil"/>
              <w:bottom w:val="single" w:sz="4" w:space="0" w:color="auto"/>
              <w:right w:val="single" w:sz="4" w:space="0" w:color="auto"/>
            </w:tcBorders>
            <w:shd w:val="clear" w:color="auto" w:fill="auto"/>
            <w:noWrap/>
            <w:vAlign w:val="center"/>
          </w:tcPr>
          <w:p w14:paraId="109FFC2C" w14:textId="4A35363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899</w:t>
            </w:r>
          </w:p>
        </w:tc>
        <w:tc>
          <w:tcPr>
            <w:tcW w:w="992" w:type="dxa"/>
            <w:tcBorders>
              <w:top w:val="nil"/>
              <w:left w:val="nil"/>
              <w:bottom w:val="single" w:sz="4" w:space="0" w:color="auto"/>
              <w:right w:val="single" w:sz="4" w:space="0" w:color="auto"/>
            </w:tcBorders>
            <w:shd w:val="clear" w:color="auto" w:fill="auto"/>
            <w:noWrap/>
            <w:vAlign w:val="center"/>
          </w:tcPr>
          <w:p w14:paraId="6499DEA7" w14:textId="745092F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DFF8F1F" w14:textId="051C54B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0228C06" w14:textId="60C113E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6,080</w:t>
            </w:r>
          </w:p>
        </w:tc>
        <w:tc>
          <w:tcPr>
            <w:tcW w:w="992" w:type="dxa"/>
            <w:tcBorders>
              <w:top w:val="nil"/>
              <w:left w:val="nil"/>
              <w:bottom w:val="single" w:sz="4" w:space="0" w:color="auto"/>
              <w:right w:val="single" w:sz="4" w:space="0" w:color="auto"/>
            </w:tcBorders>
            <w:shd w:val="clear" w:color="auto" w:fill="auto"/>
            <w:noWrap/>
            <w:vAlign w:val="center"/>
          </w:tcPr>
          <w:p w14:paraId="5862B472" w14:textId="274C1B7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5DB15354" w14:textId="23241F66"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6,979</w:t>
            </w:r>
          </w:p>
        </w:tc>
      </w:tr>
      <w:tr w:rsidR="006E2142" w:rsidRPr="00AB625A" w14:paraId="2D964064"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14B51CD" w14:textId="01BED5E1"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Knox City Council</w:t>
            </w:r>
          </w:p>
        </w:tc>
        <w:tc>
          <w:tcPr>
            <w:tcW w:w="992" w:type="dxa"/>
            <w:tcBorders>
              <w:top w:val="nil"/>
              <w:left w:val="nil"/>
              <w:bottom w:val="single" w:sz="4" w:space="0" w:color="auto"/>
              <w:right w:val="single" w:sz="4" w:space="0" w:color="auto"/>
            </w:tcBorders>
            <w:shd w:val="clear" w:color="auto" w:fill="auto"/>
            <w:noWrap/>
            <w:vAlign w:val="center"/>
          </w:tcPr>
          <w:p w14:paraId="1DDF04E1" w14:textId="0D4BBBC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FCADADF" w14:textId="01C931EA"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743B5A26" w14:textId="13CCBBA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23FE6C67" w14:textId="62ADB10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1,787</w:t>
            </w:r>
          </w:p>
        </w:tc>
        <w:tc>
          <w:tcPr>
            <w:tcW w:w="992" w:type="dxa"/>
            <w:tcBorders>
              <w:top w:val="nil"/>
              <w:left w:val="nil"/>
              <w:bottom w:val="single" w:sz="4" w:space="0" w:color="auto"/>
              <w:right w:val="single" w:sz="4" w:space="0" w:color="auto"/>
            </w:tcBorders>
            <w:shd w:val="clear" w:color="auto" w:fill="auto"/>
            <w:noWrap/>
            <w:vAlign w:val="center"/>
          </w:tcPr>
          <w:p w14:paraId="729163FC" w14:textId="4D6E7FA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4EB5C012" w14:textId="3263408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1,787</w:t>
            </w:r>
          </w:p>
        </w:tc>
      </w:tr>
      <w:tr w:rsidR="006E2142" w:rsidRPr="00AB625A" w14:paraId="08B51A49"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8310B99" w14:textId="19F5EE0B"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Latrobe City Council</w:t>
            </w:r>
          </w:p>
        </w:tc>
        <w:tc>
          <w:tcPr>
            <w:tcW w:w="992" w:type="dxa"/>
            <w:tcBorders>
              <w:top w:val="nil"/>
              <w:left w:val="nil"/>
              <w:bottom w:val="single" w:sz="4" w:space="0" w:color="auto"/>
              <w:right w:val="single" w:sz="4" w:space="0" w:color="auto"/>
            </w:tcBorders>
            <w:shd w:val="clear" w:color="auto" w:fill="auto"/>
            <w:noWrap/>
            <w:vAlign w:val="center"/>
          </w:tcPr>
          <w:p w14:paraId="16096121" w14:textId="194A193D"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0DFF5BA" w14:textId="6841C822"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2AE27FAB" w14:textId="4131A02F"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262</w:t>
            </w:r>
          </w:p>
        </w:tc>
        <w:tc>
          <w:tcPr>
            <w:tcW w:w="992" w:type="dxa"/>
            <w:tcBorders>
              <w:top w:val="nil"/>
              <w:left w:val="nil"/>
              <w:bottom w:val="single" w:sz="4" w:space="0" w:color="auto"/>
              <w:right w:val="single" w:sz="4" w:space="0" w:color="auto"/>
            </w:tcBorders>
            <w:shd w:val="clear" w:color="auto" w:fill="auto"/>
            <w:noWrap/>
            <w:vAlign w:val="center"/>
          </w:tcPr>
          <w:p w14:paraId="4E488535" w14:textId="1A32A15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1,556</w:t>
            </w:r>
          </w:p>
        </w:tc>
        <w:tc>
          <w:tcPr>
            <w:tcW w:w="992" w:type="dxa"/>
            <w:tcBorders>
              <w:top w:val="nil"/>
              <w:left w:val="nil"/>
              <w:bottom w:val="single" w:sz="4" w:space="0" w:color="auto"/>
              <w:right w:val="single" w:sz="4" w:space="0" w:color="auto"/>
            </w:tcBorders>
            <w:shd w:val="clear" w:color="auto" w:fill="auto"/>
            <w:noWrap/>
            <w:vAlign w:val="center"/>
          </w:tcPr>
          <w:p w14:paraId="4F2B2F89" w14:textId="5E58D5A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46CB84DE" w14:textId="05B0793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1,818</w:t>
            </w:r>
          </w:p>
        </w:tc>
      </w:tr>
      <w:tr w:rsidR="006E2142" w:rsidRPr="00AB625A" w14:paraId="00ECA528" w14:textId="77777777" w:rsidTr="00970F2D">
        <w:trPr>
          <w:trHeight w:val="30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6BE09A2" w14:textId="05863EEB"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Maribyrnong City Council</w:t>
            </w:r>
          </w:p>
        </w:tc>
        <w:tc>
          <w:tcPr>
            <w:tcW w:w="992" w:type="dxa"/>
            <w:tcBorders>
              <w:top w:val="nil"/>
              <w:left w:val="nil"/>
              <w:bottom w:val="single" w:sz="4" w:space="0" w:color="auto"/>
              <w:right w:val="single" w:sz="4" w:space="0" w:color="auto"/>
            </w:tcBorders>
            <w:shd w:val="clear" w:color="auto" w:fill="auto"/>
            <w:noWrap/>
            <w:vAlign w:val="center"/>
          </w:tcPr>
          <w:p w14:paraId="682FD521" w14:textId="4B337560"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93</w:t>
            </w:r>
          </w:p>
        </w:tc>
        <w:tc>
          <w:tcPr>
            <w:tcW w:w="992" w:type="dxa"/>
            <w:tcBorders>
              <w:top w:val="nil"/>
              <w:left w:val="nil"/>
              <w:bottom w:val="single" w:sz="4" w:space="0" w:color="auto"/>
              <w:right w:val="single" w:sz="4" w:space="0" w:color="auto"/>
            </w:tcBorders>
            <w:shd w:val="clear" w:color="auto" w:fill="auto"/>
            <w:noWrap/>
            <w:vAlign w:val="center"/>
          </w:tcPr>
          <w:p w14:paraId="0E103021" w14:textId="54B3F08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E130D00" w14:textId="3E39BBA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BE67684" w14:textId="1F89B80D"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1,116</w:t>
            </w:r>
          </w:p>
        </w:tc>
        <w:tc>
          <w:tcPr>
            <w:tcW w:w="992" w:type="dxa"/>
            <w:tcBorders>
              <w:top w:val="nil"/>
              <w:left w:val="nil"/>
              <w:bottom w:val="single" w:sz="4" w:space="0" w:color="auto"/>
              <w:right w:val="single" w:sz="4" w:space="0" w:color="auto"/>
            </w:tcBorders>
            <w:shd w:val="clear" w:color="auto" w:fill="auto"/>
            <w:noWrap/>
            <w:vAlign w:val="center"/>
          </w:tcPr>
          <w:p w14:paraId="335D84AA" w14:textId="58346BF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25B73804" w14:textId="25FF71B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1,209</w:t>
            </w:r>
          </w:p>
        </w:tc>
      </w:tr>
      <w:tr w:rsidR="006E2142" w:rsidRPr="00AB625A" w14:paraId="4A7C63C6"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188AFBF" w14:textId="0CB0C357"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Maroondah City Council</w:t>
            </w:r>
          </w:p>
        </w:tc>
        <w:tc>
          <w:tcPr>
            <w:tcW w:w="992" w:type="dxa"/>
            <w:tcBorders>
              <w:top w:val="nil"/>
              <w:left w:val="nil"/>
              <w:bottom w:val="single" w:sz="4" w:space="0" w:color="auto"/>
              <w:right w:val="single" w:sz="4" w:space="0" w:color="auto"/>
            </w:tcBorders>
            <w:shd w:val="clear" w:color="auto" w:fill="auto"/>
            <w:noWrap/>
            <w:vAlign w:val="center"/>
          </w:tcPr>
          <w:p w14:paraId="5DB5605B" w14:textId="375A90C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123E794C" w14:textId="04FD865B"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1C02437" w14:textId="6CB515F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433A1005" w14:textId="2A6EACF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1,415</w:t>
            </w:r>
          </w:p>
        </w:tc>
        <w:tc>
          <w:tcPr>
            <w:tcW w:w="992" w:type="dxa"/>
            <w:tcBorders>
              <w:top w:val="nil"/>
              <w:left w:val="nil"/>
              <w:bottom w:val="single" w:sz="4" w:space="0" w:color="auto"/>
              <w:right w:val="single" w:sz="4" w:space="0" w:color="auto"/>
            </w:tcBorders>
            <w:shd w:val="clear" w:color="auto" w:fill="auto"/>
            <w:noWrap/>
            <w:vAlign w:val="center"/>
          </w:tcPr>
          <w:p w14:paraId="258578F2" w14:textId="41F6CDC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0C7DA054" w14:textId="3BB72608"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1,415</w:t>
            </w:r>
          </w:p>
        </w:tc>
      </w:tr>
      <w:tr w:rsidR="006E2142" w:rsidRPr="00AB625A" w14:paraId="2E59DD26"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10C71AE" w14:textId="7A95CFA8"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Melton City Council</w:t>
            </w:r>
          </w:p>
        </w:tc>
        <w:tc>
          <w:tcPr>
            <w:tcW w:w="992" w:type="dxa"/>
            <w:tcBorders>
              <w:top w:val="nil"/>
              <w:left w:val="nil"/>
              <w:bottom w:val="single" w:sz="4" w:space="0" w:color="auto"/>
              <w:right w:val="single" w:sz="4" w:space="0" w:color="auto"/>
            </w:tcBorders>
            <w:shd w:val="clear" w:color="auto" w:fill="auto"/>
            <w:noWrap/>
            <w:vAlign w:val="center"/>
          </w:tcPr>
          <w:p w14:paraId="3005BCBC" w14:textId="6C5CB7D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642</w:t>
            </w:r>
          </w:p>
        </w:tc>
        <w:tc>
          <w:tcPr>
            <w:tcW w:w="992" w:type="dxa"/>
            <w:tcBorders>
              <w:top w:val="nil"/>
              <w:left w:val="nil"/>
              <w:bottom w:val="single" w:sz="4" w:space="0" w:color="auto"/>
              <w:right w:val="single" w:sz="4" w:space="0" w:color="auto"/>
            </w:tcBorders>
            <w:shd w:val="clear" w:color="auto" w:fill="auto"/>
            <w:noWrap/>
            <w:vAlign w:val="center"/>
          </w:tcPr>
          <w:p w14:paraId="67263583" w14:textId="1F8059D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FDFCBCA" w14:textId="09220DB1"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0799DF20" w14:textId="5051CA24"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4,423</w:t>
            </w:r>
          </w:p>
        </w:tc>
        <w:tc>
          <w:tcPr>
            <w:tcW w:w="992" w:type="dxa"/>
            <w:tcBorders>
              <w:top w:val="nil"/>
              <w:left w:val="nil"/>
              <w:bottom w:val="single" w:sz="4" w:space="0" w:color="auto"/>
              <w:right w:val="single" w:sz="4" w:space="0" w:color="auto"/>
            </w:tcBorders>
            <w:shd w:val="clear" w:color="auto" w:fill="auto"/>
            <w:noWrap/>
            <w:vAlign w:val="center"/>
          </w:tcPr>
          <w:p w14:paraId="351180D4" w14:textId="4FB71986"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7B881350" w14:textId="4538504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5,065</w:t>
            </w:r>
          </w:p>
        </w:tc>
      </w:tr>
      <w:tr w:rsidR="006E2142" w:rsidRPr="00AB625A" w14:paraId="06E648B8" w14:textId="77777777" w:rsidTr="00970F2D">
        <w:trPr>
          <w:trHeight w:val="3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885C2A9" w14:textId="76D37FBD" w:rsidR="006E2142" w:rsidRPr="00970F2D" w:rsidRDefault="006E2142" w:rsidP="006E2142">
            <w:pPr>
              <w:spacing w:after="0" w:line="240" w:lineRule="auto"/>
              <w:rPr>
                <w:rFonts w:cs="Arial"/>
                <w:color w:val="000000"/>
                <w:sz w:val="16"/>
                <w:szCs w:val="16"/>
                <w:lang w:eastAsia="en-AU"/>
              </w:rPr>
            </w:pPr>
            <w:r>
              <w:rPr>
                <w:rFonts w:cs="Arial"/>
                <w:color w:val="000000"/>
                <w:sz w:val="15"/>
                <w:szCs w:val="15"/>
              </w:rPr>
              <w:t>Mildura Rural City Council</w:t>
            </w:r>
          </w:p>
        </w:tc>
        <w:tc>
          <w:tcPr>
            <w:tcW w:w="992" w:type="dxa"/>
            <w:tcBorders>
              <w:top w:val="nil"/>
              <w:left w:val="nil"/>
              <w:bottom w:val="single" w:sz="4" w:space="0" w:color="auto"/>
              <w:right w:val="single" w:sz="4" w:space="0" w:color="auto"/>
            </w:tcBorders>
            <w:shd w:val="clear" w:color="auto" w:fill="auto"/>
            <w:noWrap/>
            <w:vAlign w:val="center"/>
          </w:tcPr>
          <w:p w14:paraId="12FE0DAB" w14:textId="4C5F7A58"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375F1A29" w14:textId="4A730C3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67B63D8" w14:textId="616364B5"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2" w:type="dxa"/>
            <w:tcBorders>
              <w:top w:val="nil"/>
              <w:left w:val="nil"/>
              <w:bottom w:val="single" w:sz="4" w:space="0" w:color="auto"/>
              <w:right w:val="single" w:sz="4" w:space="0" w:color="auto"/>
            </w:tcBorders>
            <w:shd w:val="clear" w:color="auto" w:fill="auto"/>
            <w:noWrap/>
            <w:vAlign w:val="center"/>
          </w:tcPr>
          <w:p w14:paraId="56B24436" w14:textId="5C3D2939"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1,498</w:t>
            </w:r>
          </w:p>
        </w:tc>
        <w:tc>
          <w:tcPr>
            <w:tcW w:w="992" w:type="dxa"/>
            <w:tcBorders>
              <w:top w:val="nil"/>
              <w:left w:val="nil"/>
              <w:bottom w:val="single" w:sz="4" w:space="0" w:color="auto"/>
              <w:right w:val="single" w:sz="4" w:space="0" w:color="auto"/>
            </w:tcBorders>
            <w:shd w:val="clear" w:color="auto" w:fill="auto"/>
            <w:noWrap/>
            <w:vAlign w:val="center"/>
          </w:tcPr>
          <w:p w14:paraId="0FEFB74B" w14:textId="4D957D27" w:rsidR="006E2142" w:rsidRPr="00970F2D" w:rsidRDefault="006E2142" w:rsidP="006E2142">
            <w:pPr>
              <w:spacing w:after="0" w:line="240" w:lineRule="auto"/>
              <w:jc w:val="right"/>
              <w:rPr>
                <w:rFonts w:cs="Arial"/>
                <w:color w:val="000000"/>
                <w:sz w:val="16"/>
                <w:szCs w:val="16"/>
                <w:lang w:eastAsia="en-AU"/>
              </w:rPr>
            </w:pPr>
            <w:r>
              <w:rPr>
                <w:rFonts w:cs="Arial"/>
                <w:color w:val="000000"/>
                <w:sz w:val="15"/>
                <w:szCs w:val="15"/>
              </w:rPr>
              <w:t> </w:t>
            </w:r>
          </w:p>
        </w:tc>
        <w:tc>
          <w:tcPr>
            <w:tcW w:w="993" w:type="dxa"/>
            <w:tcBorders>
              <w:top w:val="nil"/>
              <w:left w:val="nil"/>
              <w:bottom w:val="single" w:sz="4" w:space="0" w:color="auto"/>
              <w:right w:val="single" w:sz="4" w:space="0" w:color="auto"/>
            </w:tcBorders>
            <w:shd w:val="clear" w:color="auto" w:fill="auto"/>
            <w:noWrap/>
            <w:vAlign w:val="center"/>
          </w:tcPr>
          <w:p w14:paraId="7A576C65" w14:textId="44B1ED7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1,498</w:t>
            </w:r>
          </w:p>
        </w:tc>
      </w:tr>
      <w:tr w:rsidR="006E2142" w:rsidRPr="00AB625A" w14:paraId="33C21B92"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6F38" w14:textId="133C9499"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Mitchell Shire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98ABF3" w14:textId="7FE04BF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0935A3" w14:textId="40691D8F"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5B7612" w14:textId="5BE614E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CD71CC" w14:textId="690299D9"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1,162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93701B" w14:textId="3E32A106"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D40A335" w14:textId="4EED5D3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1,167</w:t>
            </w:r>
          </w:p>
        </w:tc>
      </w:tr>
      <w:tr w:rsidR="006E2142" w:rsidRPr="00AB625A" w14:paraId="4B1DBA9C"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0197E" w14:textId="1C6EC071"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Monash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A72C42" w14:textId="34DEB89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59B5D9" w14:textId="04A986D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A20D17" w14:textId="1A40986B"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DCFB3A" w14:textId="6F2237D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1,693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9ED209" w14:textId="28A2690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6EC87AC" w14:textId="3F2BB6B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1,693</w:t>
            </w:r>
          </w:p>
        </w:tc>
      </w:tr>
      <w:tr w:rsidR="006E2142" w:rsidRPr="00AB625A" w14:paraId="624C3543"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CC671" w14:textId="7DFBC6F2"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Moonee Valley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D35596" w14:textId="53A626B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577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8731BD" w14:textId="397A4F4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8BD5C2" w14:textId="72FD79B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9452DC" w14:textId="48EA522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1,232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3BA486" w14:textId="4B348FC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23AA62" w14:textId="7A4278D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1,809</w:t>
            </w:r>
          </w:p>
        </w:tc>
      </w:tr>
      <w:tr w:rsidR="006E2142" w:rsidRPr="00AB625A" w14:paraId="7FA0D634"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42601" w14:textId="2BE28EE7"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Moreland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8140CB" w14:textId="2E9ED61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609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9F57BB" w14:textId="7F1F994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F56C50" w14:textId="1983B8D1"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490890" w14:textId="12D381D1"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2,272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DA4B6F" w14:textId="30D1D35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D8CDA55" w14:textId="679CEBC7"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2,881</w:t>
            </w:r>
          </w:p>
        </w:tc>
      </w:tr>
      <w:tr w:rsidR="006E2142" w:rsidRPr="00AB625A" w14:paraId="6560B5F0"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6753C" w14:textId="5885E0BF"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Mornington Peninsula Shire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770B6F" w14:textId="1940103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1,067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FE771E" w14:textId="4935F57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2C92EA" w14:textId="4971D046"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0CECC1" w14:textId="4A7F12B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1,857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E38879" w14:textId="1EAC299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2F75411" w14:textId="6443D32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2,924</w:t>
            </w:r>
          </w:p>
        </w:tc>
      </w:tr>
      <w:tr w:rsidR="006E2142" w:rsidRPr="00AB625A" w14:paraId="58A3399C"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0A702" w14:textId="56D9D873"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lastRenderedPageBreak/>
              <w:t>Municipal Association Of Victoria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75A90E" w14:textId="1C089D2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54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E342F2" w14:textId="53A9599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8C14FB" w14:textId="6BEF1539"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0DBD92" w14:textId="0BDD9343"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238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2E6274" w14:textId="694C317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1,633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283E2DE" w14:textId="6427A77F"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1,925</w:t>
            </w:r>
          </w:p>
        </w:tc>
      </w:tr>
      <w:tr w:rsidR="006E2142" w:rsidRPr="00AB625A" w14:paraId="61C15FBF"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60325" w14:textId="36C79FE5"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The City Of Greater Dandenong</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FEB116" w14:textId="7D52F5D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1,313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DC565D" w14:textId="415B071F"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E9D832" w14:textId="4905C0C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17C8AA" w14:textId="4A6BA43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2,717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79D4B6" w14:textId="693E897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EE21160" w14:textId="2643051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4,185</w:t>
            </w:r>
          </w:p>
        </w:tc>
      </w:tr>
      <w:tr w:rsidR="006E2142" w:rsidRPr="00AB625A" w14:paraId="323F5FCE"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3145A" w14:textId="1023DCC0"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Whitehorse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A9935" w14:textId="6DEC0E7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945A07" w14:textId="3824C03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4E74DE" w14:textId="7AC5F2A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E63693" w14:textId="2433A256"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1,466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C87BA5" w14:textId="28CDB52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B3C4567" w14:textId="38EF7E0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1,466</w:t>
            </w:r>
          </w:p>
        </w:tc>
      </w:tr>
      <w:tr w:rsidR="006E2142" w:rsidRPr="00AB625A" w14:paraId="64CA1C1F"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B1E14" w14:textId="27C37105"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Whittlesea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2BDE5" w14:textId="44CD16C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904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1BCDE3" w14:textId="3ABA4D11"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B6532E" w14:textId="51B83BD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A20420" w14:textId="53F4012F"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4,488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84EF34" w14:textId="35AA27A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5D984D7" w14:textId="49539AE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5,391</w:t>
            </w:r>
          </w:p>
        </w:tc>
      </w:tr>
      <w:tr w:rsidR="006E2142" w:rsidRPr="00AB625A" w14:paraId="675558A2"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5C04E" w14:textId="1EDF6F3D"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Wyndham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772559" w14:textId="34E66F4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1,082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E08C7E" w14:textId="080DC41B"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7A8A5A" w14:textId="24A84D97"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1A6A98" w14:textId="35135D2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7,373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B78497E" w14:textId="73F7E8C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0A865C7" w14:textId="6CCAB21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8,455</w:t>
            </w:r>
          </w:p>
        </w:tc>
      </w:tr>
      <w:tr w:rsidR="006E2142" w:rsidRPr="00AB625A" w14:paraId="568B11C0"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63AC8" w14:textId="3088B933"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Yarra City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BDD11A" w14:textId="0BC2364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599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0B8B51" w14:textId="43E99E98"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EC7719" w14:textId="6CDA549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A1B74C" w14:textId="6807C08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838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1C7D0" w14:textId="7514D6AA"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A5B2AF0" w14:textId="26C0D299"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1,438</w:t>
            </w:r>
          </w:p>
        </w:tc>
      </w:tr>
      <w:tr w:rsidR="006E2142" w:rsidRPr="00AB625A" w14:paraId="164E4D4A" w14:textId="77777777" w:rsidTr="00970F2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4E76A" w14:textId="3940FA02"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Yarra Ranges Shire Council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5BF49" w14:textId="52F31D91"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385B37" w14:textId="589446E4"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102506" w14:textId="36FC987D"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691B10" w14:textId="3447984C"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2,306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402461" w14:textId="58F30AC5"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5C088D7" w14:textId="01C3C27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2,335</w:t>
            </w:r>
          </w:p>
        </w:tc>
      </w:tr>
      <w:tr w:rsidR="006E2142" w:rsidRPr="00AB625A" w14:paraId="324BEE63" w14:textId="77777777" w:rsidTr="00AA57BF">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7D7AA" w14:textId="061CC7D6" w:rsidR="006E2142" w:rsidRPr="00970F2D" w:rsidRDefault="006E2142" w:rsidP="006E2142">
            <w:pPr>
              <w:spacing w:after="0" w:line="240" w:lineRule="auto"/>
              <w:rPr>
                <w:rFonts w:cs="Arial"/>
                <w:b/>
                <w:bCs/>
                <w:color w:val="000000"/>
                <w:sz w:val="16"/>
                <w:szCs w:val="16"/>
                <w:lang w:eastAsia="en-AU"/>
              </w:rPr>
            </w:pPr>
            <w:r>
              <w:rPr>
                <w:rFonts w:cs="Arial"/>
                <w:color w:val="000000"/>
                <w:sz w:val="15"/>
                <w:szCs w:val="15"/>
              </w:rPr>
              <w:t>All other organisations (&lt;$1 m)</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1C5F47A" w14:textId="2400272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1,093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40D358" w14:textId="59297AD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F8CDCD" w14:textId="7C9ABEB0"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792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FC34D2" w14:textId="24ECB5B2"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18,292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834629" w14:textId="1B744FBE"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72785FC" w14:textId="770AB796" w:rsidR="006E2142" w:rsidRPr="00970F2D" w:rsidRDefault="006E2142" w:rsidP="006E2142">
            <w:pPr>
              <w:spacing w:after="0" w:line="240" w:lineRule="auto"/>
              <w:jc w:val="right"/>
              <w:rPr>
                <w:rFonts w:cs="Arial"/>
                <w:b/>
                <w:bCs/>
                <w:color w:val="000000"/>
                <w:sz w:val="16"/>
                <w:szCs w:val="16"/>
                <w:lang w:eastAsia="en-AU"/>
              </w:rPr>
            </w:pPr>
            <w:r>
              <w:rPr>
                <w:rFonts w:cs="Arial"/>
                <w:color w:val="000000"/>
                <w:sz w:val="15"/>
                <w:szCs w:val="15"/>
              </w:rPr>
              <w:t>20,177</w:t>
            </w:r>
          </w:p>
        </w:tc>
      </w:tr>
      <w:tr w:rsidR="006E2142" w:rsidRPr="00AB625A" w14:paraId="7F942F86" w14:textId="77777777" w:rsidTr="00AA57BF">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2FDEC" w14:textId="23722D96" w:rsidR="006E2142" w:rsidRPr="00970F2D" w:rsidRDefault="006E2142" w:rsidP="006E2142">
            <w:pPr>
              <w:spacing w:after="0" w:line="240" w:lineRule="auto"/>
              <w:rPr>
                <w:rFonts w:cs="Arial"/>
                <w:b/>
                <w:bCs/>
                <w:color w:val="000000"/>
                <w:sz w:val="16"/>
                <w:szCs w:val="16"/>
                <w:lang w:eastAsia="en-AU"/>
              </w:rPr>
            </w:pPr>
            <w:r>
              <w:rPr>
                <w:rFonts w:cs="Arial"/>
                <w:b/>
                <w:bCs/>
                <w:color w:val="000000"/>
                <w:sz w:val="15"/>
                <w:szCs w:val="15"/>
              </w:rPr>
              <w:t>Grand Total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6B03E1" w14:textId="62E1A5A0"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15,518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80BD7C" w14:textId="471064AC"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F20381" w14:textId="38570603"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1,386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7D544F" w14:textId="5B8AEB1A"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101,069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1862D8" w14:textId="31692492"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3,365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394D3F6" w14:textId="65726071" w:rsidR="006E2142" w:rsidRPr="00970F2D" w:rsidRDefault="006E2142" w:rsidP="006E2142">
            <w:pPr>
              <w:spacing w:after="0" w:line="240" w:lineRule="auto"/>
              <w:jc w:val="right"/>
              <w:rPr>
                <w:rFonts w:cs="Arial"/>
                <w:b/>
                <w:bCs/>
                <w:color w:val="000000"/>
                <w:sz w:val="16"/>
                <w:szCs w:val="16"/>
                <w:lang w:eastAsia="en-AU"/>
              </w:rPr>
            </w:pPr>
            <w:r>
              <w:rPr>
                <w:rFonts w:cs="Arial"/>
                <w:b/>
                <w:bCs/>
                <w:color w:val="000000"/>
                <w:sz w:val="15"/>
                <w:szCs w:val="15"/>
              </w:rPr>
              <w:t>121,493</w:t>
            </w:r>
          </w:p>
        </w:tc>
      </w:tr>
    </w:tbl>
    <w:p w14:paraId="14E33A49" w14:textId="77777777" w:rsidR="005B699B" w:rsidRPr="00E00C4E" w:rsidRDefault="005B699B" w:rsidP="00E00C4E">
      <w:pPr>
        <w:pStyle w:val="Body"/>
      </w:pPr>
    </w:p>
    <w:p w14:paraId="6C3FB518" w14:textId="77777777" w:rsidR="005B699B" w:rsidRPr="00E00C4E" w:rsidRDefault="005B699B" w:rsidP="00E00C4E">
      <w:pPr>
        <w:pStyle w:val="Body"/>
      </w:pPr>
    </w:p>
    <w:p w14:paraId="63134ADC" w14:textId="77777777" w:rsidR="005B699B" w:rsidRPr="00E00C4E" w:rsidRDefault="005B699B" w:rsidP="000723BA">
      <w:pPr>
        <w:pStyle w:val="Body"/>
      </w:pPr>
      <w:r w:rsidRPr="00E00C4E">
        <w:br w:type="page"/>
      </w:r>
    </w:p>
    <w:p w14:paraId="762BBE66" w14:textId="4A1F2F7B" w:rsidR="005B699B" w:rsidRPr="00494D61" w:rsidRDefault="005B699B" w:rsidP="001E4292">
      <w:pPr>
        <w:pStyle w:val="Heading2"/>
        <w:numPr>
          <w:ilvl w:val="1"/>
          <w:numId w:val="13"/>
        </w:numPr>
        <w:ind w:left="993" w:hanging="993"/>
      </w:pPr>
      <w:bookmarkStart w:id="2509" w:name="_Toc144905675"/>
      <w:bookmarkStart w:id="2510" w:name="_Toc111713623"/>
      <w:bookmarkStart w:id="2511" w:name="_Toc111713624"/>
      <w:bookmarkStart w:id="2512" w:name="_Toc12780662"/>
      <w:bookmarkStart w:id="2513" w:name="_Toc14172303"/>
      <w:bookmarkStart w:id="2514" w:name="_Toc33703977"/>
      <w:bookmarkStart w:id="2515" w:name="_Toc55381165"/>
      <w:bookmarkStart w:id="2516" w:name="_Toc100263371"/>
      <w:bookmarkStart w:id="2517" w:name="_Toc165961867"/>
      <w:bookmarkStart w:id="2518" w:name="_Toc178963653"/>
      <w:bookmarkStart w:id="2519" w:name="_Hlk170302304"/>
      <w:bookmarkEnd w:id="2509"/>
      <w:bookmarkEnd w:id="2510"/>
      <w:bookmarkEnd w:id="2511"/>
      <w:r w:rsidRPr="00494D61">
        <w:lastRenderedPageBreak/>
        <w:t>Non-</w:t>
      </w:r>
      <w:r>
        <w:t>g</w:t>
      </w:r>
      <w:r w:rsidRPr="00494D61">
        <w:t xml:space="preserve">overnment </w:t>
      </w:r>
      <w:bookmarkEnd w:id="2512"/>
      <w:bookmarkEnd w:id="2513"/>
      <w:bookmarkEnd w:id="2514"/>
      <w:bookmarkEnd w:id="2515"/>
      <w:r w:rsidRPr="00295CB9">
        <w:t>providers</w:t>
      </w:r>
      <w:r w:rsidRPr="00494D61">
        <w:t xml:space="preserve"> </w:t>
      </w:r>
      <w:bookmarkEnd w:id="2516"/>
      <w:r w:rsidRPr="00494D61">
        <w:t>202</w:t>
      </w:r>
      <w:r>
        <w:t>4</w:t>
      </w:r>
      <w:r w:rsidRPr="00494D61">
        <w:t>–2</w:t>
      </w:r>
      <w:r>
        <w:t>5</w:t>
      </w:r>
      <w:bookmarkEnd w:id="2517"/>
      <w:bookmarkEnd w:id="2518"/>
    </w:p>
    <w:bookmarkEnd w:id="2519"/>
    <w:p w14:paraId="74B50B38"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7F8E7B74" w14:textId="69D20759" w:rsidR="00541C64" w:rsidRPr="00494D61" w:rsidRDefault="7AADADFD" w:rsidP="008E4F36">
      <w:pPr>
        <w:pStyle w:val="Tablenoteroman"/>
        <w:numPr>
          <w:ilvl w:val="0"/>
          <w:numId w:val="57"/>
        </w:numPr>
        <w:tabs>
          <w:tab w:val="clear" w:pos="720"/>
        </w:tabs>
      </w:pPr>
      <w:r>
        <w:t xml:space="preserve">This table shows the health funding to </w:t>
      </w:r>
      <w:r w:rsidR="5169BC3A">
        <w:t>non-government providers</w:t>
      </w:r>
      <w:r>
        <w:t xml:space="preserve"> that receive &gt; $1 million from specific health outputs.</w:t>
      </w:r>
    </w:p>
    <w:p w14:paraId="607C4C9E" w14:textId="77777777" w:rsidR="00541C64" w:rsidRPr="00A67ABC" w:rsidRDefault="00541C64" w:rsidP="008E4F36">
      <w:pPr>
        <w:pStyle w:val="Tablenoteroman"/>
        <w:numPr>
          <w:ilvl w:val="0"/>
          <w:numId w:val="57"/>
        </w:numPr>
        <w:tabs>
          <w:tab w:val="clear" w:pos="720"/>
        </w:tabs>
        <w:rPr>
          <w:b/>
          <w:lang w:eastAsia="en-AU"/>
        </w:rPr>
      </w:pPr>
      <w:r w:rsidRPr="00A67ABC">
        <w:rPr>
          <w:lang w:eastAsia="en-AU"/>
        </w:rPr>
        <w:t>Subtotals and totals may not add up due to rounding.</w:t>
      </w:r>
    </w:p>
    <w:p w14:paraId="7E6CFC4A" w14:textId="5DF2B309" w:rsidR="005B699B" w:rsidRPr="00E00C4E" w:rsidRDefault="00462DC7" w:rsidP="00297FC9">
      <w:pPr>
        <w:pStyle w:val="Tablecaption"/>
      </w:pPr>
      <w:bookmarkStart w:id="2520" w:name="_Toc12780566"/>
      <w:bookmarkStart w:id="2521" w:name="_Toc14194822"/>
      <w:bookmarkStart w:id="2522" w:name="_Toc33704003"/>
      <w:bookmarkStart w:id="2523" w:name="_Toc109894133"/>
      <w:bookmarkStart w:id="2524" w:name="_Toc176510419"/>
      <w:bookmarkStart w:id="2525" w:name="_Hlk170300349"/>
      <w:r w:rsidRPr="00E00C4E">
        <w:t xml:space="preserve">Table </w:t>
      </w:r>
      <w:r w:rsidR="00D72666">
        <w:t>2</w:t>
      </w:r>
      <w:r w:rsidR="000E0ED2">
        <w:t>.</w:t>
      </w:r>
      <w:r>
        <w:fldChar w:fldCharType="begin"/>
      </w:r>
      <w:r>
        <w:instrText>SEQ Table \* ARABIC \s 1</w:instrText>
      </w:r>
      <w:r>
        <w:fldChar w:fldCharType="separate"/>
      </w:r>
      <w:r w:rsidR="00F30C16">
        <w:rPr>
          <w:noProof/>
        </w:rPr>
        <w:t>7</w:t>
      </w:r>
      <w:r>
        <w:fldChar w:fldCharType="end"/>
      </w:r>
      <w:r w:rsidRPr="00E00C4E">
        <w:t xml:space="preserve">: </w:t>
      </w:r>
      <w:r w:rsidR="005B699B" w:rsidRPr="00E00C4E">
        <w:t xml:space="preserve">Non-government providers </w:t>
      </w:r>
      <w:bookmarkEnd w:id="2520"/>
      <w:bookmarkEnd w:id="2521"/>
      <w:bookmarkEnd w:id="2522"/>
      <w:bookmarkEnd w:id="2523"/>
      <w:r w:rsidR="005B699B" w:rsidRPr="00E00C4E">
        <w:t>2024–25 – $’000s</w:t>
      </w:r>
      <w:bookmarkEnd w:id="2524"/>
    </w:p>
    <w:tbl>
      <w:tblPr>
        <w:tblW w:w="9369" w:type="dxa"/>
        <w:tblInd w:w="-289" w:type="dxa"/>
        <w:tblLayout w:type="fixed"/>
        <w:tblLook w:val="04A0" w:firstRow="1" w:lastRow="0" w:firstColumn="1" w:lastColumn="0" w:noHBand="0" w:noVBand="1"/>
      </w:tblPr>
      <w:tblGrid>
        <w:gridCol w:w="2836"/>
        <w:gridCol w:w="933"/>
        <w:gridCol w:w="933"/>
        <w:gridCol w:w="933"/>
        <w:gridCol w:w="934"/>
        <w:gridCol w:w="933"/>
        <w:gridCol w:w="933"/>
        <w:gridCol w:w="934"/>
      </w:tblGrid>
      <w:tr w:rsidR="003E2B9F" w:rsidRPr="00AB625A" w14:paraId="3718484E" w14:textId="77777777" w:rsidTr="4878A108">
        <w:trPr>
          <w:trHeight w:val="675"/>
          <w:tblHeader/>
        </w:trPr>
        <w:tc>
          <w:tcPr>
            <w:tcW w:w="2836" w:type="dxa"/>
            <w:tcBorders>
              <w:top w:val="single" w:sz="4" w:space="0" w:color="auto"/>
              <w:left w:val="single" w:sz="4" w:space="0" w:color="auto"/>
              <w:bottom w:val="single" w:sz="4" w:space="0" w:color="auto"/>
              <w:right w:val="single" w:sz="4" w:space="0" w:color="auto"/>
            </w:tcBorders>
            <w:shd w:val="clear" w:color="auto" w:fill="auto"/>
            <w:noWrap/>
            <w:hideMark/>
          </w:tcPr>
          <w:p w14:paraId="05521342" w14:textId="77777777" w:rsidR="003E2B9F" w:rsidRPr="00AB625A" w:rsidRDefault="003E2B9F">
            <w:pPr>
              <w:spacing w:after="0" w:line="240" w:lineRule="auto"/>
              <w:rPr>
                <w:rFonts w:cs="Arial"/>
                <w:b/>
                <w:bCs/>
                <w:color w:val="53565A"/>
                <w:sz w:val="16"/>
                <w:szCs w:val="16"/>
                <w:lang w:eastAsia="en-AU"/>
              </w:rPr>
            </w:pPr>
            <w:r w:rsidRPr="00AB625A">
              <w:rPr>
                <w:rFonts w:cs="Arial"/>
                <w:b/>
                <w:bCs/>
                <w:color w:val="53565A"/>
                <w:sz w:val="16"/>
                <w:szCs w:val="16"/>
                <w:lang w:eastAsia="en-AU"/>
              </w:rPr>
              <w:t>Health Service</w:t>
            </w:r>
          </w:p>
        </w:tc>
        <w:tc>
          <w:tcPr>
            <w:tcW w:w="933" w:type="dxa"/>
            <w:tcBorders>
              <w:top w:val="single" w:sz="4" w:space="0" w:color="auto"/>
              <w:left w:val="nil"/>
              <w:bottom w:val="single" w:sz="4" w:space="0" w:color="auto"/>
              <w:right w:val="single" w:sz="4" w:space="0" w:color="auto"/>
            </w:tcBorders>
          </w:tcPr>
          <w:p w14:paraId="344C5BC8" w14:textId="0465D19D" w:rsidR="003E2B9F" w:rsidRPr="00AB625A" w:rsidRDefault="003E2B9F">
            <w:pPr>
              <w:spacing w:after="0" w:line="240" w:lineRule="auto"/>
              <w:jc w:val="right"/>
              <w:rPr>
                <w:rFonts w:cs="Arial"/>
                <w:b/>
                <w:bCs/>
                <w:color w:val="53565A"/>
                <w:sz w:val="16"/>
                <w:szCs w:val="16"/>
                <w:lang w:eastAsia="en-AU"/>
              </w:rPr>
            </w:pPr>
            <w:r w:rsidRPr="001B1818">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Acute health services</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14:paraId="3E46648C" w14:textId="77777777"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Ageing, aged and home care</w:t>
            </w:r>
          </w:p>
        </w:tc>
        <w:tc>
          <w:tcPr>
            <w:tcW w:w="933" w:type="dxa"/>
            <w:tcBorders>
              <w:top w:val="single" w:sz="4" w:space="0" w:color="auto"/>
              <w:left w:val="nil"/>
              <w:bottom w:val="single" w:sz="4" w:space="0" w:color="auto"/>
              <w:right w:val="single" w:sz="4" w:space="0" w:color="auto"/>
            </w:tcBorders>
            <w:shd w:val="clear" w:color="auto" w:fill="auto"/>
            <w:hideMark/>
          </w:tcPr>
          <w:p w14:paraId="2D8C2507" w14:textId="77777777"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Drugs services</w:t>
            </w:r>
          </w:p>
        </w:tc>
        <w:tc>
          <w:tcPr>
            <w:tcW w:w="934" w:type="dxa"/>
            <w:tcBorders>
              <w:top w:val="single" w:sz="4" w:space="0" w:color="auto"/>
              <w:left w:val="nil"/>
              <w:bottom w:val="single" w:sz="4" w:space="0" w:color="auto"/>
              <w:right w:val="single" w:sz="4" w:space="0" w:color="auto"/>
            </w:tcBorders>
            <w:shd w:val="clear" w:color="auto" w:fill="auto"/>
            <w:hideMark/>
          </w:tcPr>
          <w:p w14:paraId="74755309" w14:textId="77777777"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Mental health</w:t>
            </w:r>
          </w:p>
        </w:tc>
        <w:tc>
          <w:tcPr>
            <w:tcW w:w="933" w:type="dxa"/>
            <w:tcBorders>
              <w:top w:val="single" w:sz="4" w:space="0" w:color="auto"/>
              <w:left w:val="nil"/>
              <w:bottom w:val="single" w:sz="4" w:space="0" w:color="auto"/>
              <w:right w:val="single" w:sz="4" w:space="0" w:color="auto"/>
            </w:tcBorders>
            <w:shd w:val="clear" w:color="auto" w:fill="auto"/>
            <w:hideMark/>
          </w:tcPr>
          <w:p w14:paraId="53FF63C6" w14:textId="7108E276"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Primary and dental health</w:t>
            </w:r>
          </w:p>
        </w:tc>
        <w:tc>
          <w:tcPr>
            <w:tcW w:w="933" w:type="dxa"/>
            <w:tcBorders>
              <w:top w:val="single" w:sz="4" w:space="0" w:color="auto"/>
              <w:left w:val="nil"/>
              <w:bottom w:val="single" w:sz="4" w:space="0" w:color="auto"/>
              <w:right w:val="single" w:sz="4" w:space="0" w:color="auto"/>
            </w:tcBorders>
            <w:shd w:val="clear" w:color="auto" w:fill="auto"/>
            <w:hideMark/>
          </w:tcPr>
          <w:p w14:paraId="07A3852A" w14:textId="77777777"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Public health</w:t>
            </w:r>
          </w:p>
        </w:tc>
        <w:tc>
          <w:tcPr>
            <w:tcW w:w="934" w:type="dxa"/>
            <w:tcBorders>
              <w:top w:val="single" w:sz="4" w:space="0" w:color="auto"/>
              <w:left w:val="nil"/>
              <w:bottom w:val="single" w:sz="4" w:space="0" w:color="auto"/>
              <w:right w:val="single" w:sz="4" w:space="0" w:color="auto"/>
            </w:tcBorders>
            <w:shd w:val="clear" w:color="auto" w:fill="auto"/>
            <w:hideMark/>
          </w:tcPr>
          <w:p w14:paraId="273854C1" w14:textId="77777777" w:rsidR="003E2B9F" w:rsidRPr="00AB625A" w:rsidRDefault="003E2B9F">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AB625A">
              <w:rPr>
                <w:rFonts w:cs="Arial"/>
                <w:b/>
                <w:bCs/>
                <w:color w:val="53565A"/>
                <w:sz w:val="16"/>
                <w:szCs w:val="16"/>
                <w:lang w:eastAsia="en-AU"/>
              </w:rPr>
              <w:br/>
              <w:t>Total</w:t>
            </w:r>
          </w:p>
        </w:tc>
      </w:tr>
      <w:tr w:rsidR="003E2B9F" w:rsidRPr="00B469AB" w14:paraId="7BEBFB7B"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99AAA29" w14:textId="5C1D4D83"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Anglican Aged Care Services Group</w:t>
            </w:r>
          </w:p>
        </w:tc>
        <w:tc>
          <w:tcPr>
            <w:tcW w:w="933" w:type="dxa"/>
            <w:tcBorders>
              <w:top w:val="single" w:sz="4" w:space="0" w:color="auto"/>
              <w:left w:val="nil"/>
              <w:bottom w:val="single" w:sz="4" w:space="0" w:color="auto"/>
              <w:right w:val="single" w:sz="4" w:space="0" w:color="auto"/>
            </w:tcBorders>
            <w:vAlign w:val="center"/>
          </w:tcPr>
          <w:p w14:paraId="47B8EF06" w14:textId="311D451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A68E7" w14:textId="7FBBB54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470</w:t>
            </w:r>
          </w:p>
        </w:tc>
        <w:tc>
          <w:tcPr>
            <w:tcW w:w="933" w:type="dxa"/>
            <w:tcBorders>
              <w:top w:val="nil"/>
              <w:left w:val="nil"/>
              <w:bottom w:val="single" w:sz="4" w:space="0" w:color="auto"/>
              <w:right w:val="single" w:sz="4" w:space="0" w:color="auto"/>
            </w:tcBorders>
            <w:shd w:val="clear" w:color="auto" w:fill="auto"/>
            <w:noWrap/>
            <w:vAlign w:val="center"/>
          </w:tcPr>
          <w:p w14:paraId="679758EE" w14:textId="684F310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43B9BC5" w14:textId="02B3DEC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DD3B153" w14:textId="1A54E70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707</w:t>
            </w:r>
          </w:p>
        </w:tc>
        <w:tc>
          <w:tcPr>
            <w:tcW w:w="933" w:type="dxa"/>
            <w:tcBorders>
              <w:top w:val="nil"/>
              <w:left w:val="nil"/>
              <w:bottom w:val="single" w:sz="4" w:space="0" w:color="auto"/>
              <w:right w:val="single" w:sz="4" w:space="0" w:color="auto"/>
            </w:tcBorders>
            <w:shd w:val="clear" w:color="auto" w:fill="auto"/>
            <w:noWrap/>
            <w:vAlign w:val="center"/>
          </w:tcPr>
          <w:p w14:paraId="6D46B868" w14:textId="331B05F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D1D6657" w14:textId="1C8C13D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1,178</w:t>
            </w:r>
          </w:p>
        </w:tc>
      </w:tr>
      <w:tr w:rsidR="003E2B9F" w:rsidRPr="00B469AB" w14:paraId="6421F10B"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71BA2C2" w14:textId="16B723D3"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Anglicare Victoria</w:t>
            </w:r>
          </w:p>
        </w:tc>
        <w:tc>
          <w:tcPr>
            <w:tcW w:w="933" w:type="dxa"/>
            <w:tcBorders>
              <w:top w:val="single" w:sz="4" w:space="0" w:color="auto"/>
              <w:left w:val="nil"/>
              <w:bottom w:val="single" w:sz="4" w:space="0" w:color="auto"/>
              <w:right w:val="single" w:sz="4" w:space="0" w:color="auto"/>
            </w:tcBorders>
            <w:vAlign w:val="center"/>
          </w:tcPr>
          <w:p w14:paraId="17E11CA8" w14:textId="38F5A64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1FE00" w14:textId="434B872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98A0637" w14:textId="32B629A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1,327</w:t>
            </w:r>
          </w:p>
        </w:tc>
        <w:tc>
          <w:tcPr>
            <w:tcW w:w="934" w:type="dxa"/>
            <w:tcBorders>
              <w:top w:val="nil"/>
              <w:left w:val="nil"/>
              <w:bottom w:val="single" w:sz="4" w:space="0" w:color="auto"/>
              <w:right w:val="single" w:sz="4" w:space="0" w:color="auto"/>
            </w:tcBorders>
            <w:shd w:val="clear" w:color="auto" w:fill="auto"/>
            <w:noWrap/>
            <w:vAlign w:val="center"/>
          </w:tcPr>
          <w:p w14:paraId="4F1D3902" w14:textId="1369C9A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234</w:t>
            </w:r>
          </w:p>
        </w:tc>
        <w:tc>
          <w:tcPr>
            <w:tcW w:w="933" w:type="dxa"/>
            <w:tcBorders>
              <w:top w:val="nil"/>
              <w:left w:val="nil"/>
              <w:bottom w:val="single" w:sz="4" w:space="0" w:color="auto"/>
              <w:right w:val="single" w:sz="4" w:space="0" w:color="auto"/>
            </w:tcBorders>
            <w:shd w:val="clear" w:color="auto" w:fill="auto"/>
            <w:noWrap/>
            <w:vAlign w:val="center"/>
          </w:tcPr>
          <w:p w14:paraId="2F20D114" w14:textId="5711478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901AD75" w14:textId="4200869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0681607" w14:textId="688F9C9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1,562</w:t>
            </w:r>
          </w:p>
        </w:tc>
      </w:tr>
      <w:tr w:rsidR="003E2B9F" w:rsidRPr="00B469AB" w14:paraId="4A17E4D1"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5291F6C" w14:textId="2F81343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Arbias Limited</w:t>
            </w:r>
          </w:p>
        </w:tc>
        <w:tc>
          <w:tcPr>
            <w:tcW w:w="933" w:type="dxa"/>
            <w:tcBorders>
              <w:top w:val="single" w:sz="4" w:space="0" w:color="auto"/>
              <w:left w:val="nil"/>
              <w:bottom w:val="single" w:sz="4" w:space="0" w:color="auto"/>
              <w:right w:val="single" w:sz="4" w:space="0" w:color="auto"/>
            </w:tcBorders>
            <w:vAlign w:val="center"/>
          </w:tcPr>
          <w:p w14:paraId="639F3E0C" w14:textId="7A8365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A33C8" w14:textId="7C92434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614</w:t>
            </w:r>
          </w:p>
        </w:tc>
        <w:tc>
          <w:tcPr>
            <w:tcW w:w="933" w:type="dxa"/>
            <w:tcBorders>
              <w:top w:val="nil"/>
              <w:left w:val="nil"/>
              <w:bottom w:val="single" w:sz="4" w:space="0" w:color="auto"/>
              <w:right w:val="single" w:sz="4" w:space="0" w:color="auto"/>
            </w:tcBorders>
            <w:shd w:val="clear" w:color="auto" w:fill="auto"/>
            <w:noWrap/>
            <w:vAlign w:val="center"/>
          </w:tcPr>
          <w:p w14:paraId="50515E11" w14:textId="6472EB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C9286EB" w14:textId="7699FF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570</w:t>
            </w:r>
          </w:p>
        </w:tc>
        <w:tc>
          <w:tcPr>
            <w:tcW w:w="933" w:type="dxa"/>
            <w:tcBorders>
              <w:top w:val="nil"/>
              <w:left w:val="nil"/>
              <w:bottom w:val="single" w:sz="4" w:space="0" w:color="auto"/>
              <w:right w:val="single" w:sz="4" w:space="0" w:color="auto"/>
            </w:tcBorders>
            <w:shd w:val="clear" w:color="auto" w:fill="auto"/>
            <w:noWrap/>
            <w:vAlign w:val="center"/>
          </w:tcPr>
          <w:p w14:paraId="7C4ECFEA" w14:textId="402E706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68B4F72" w14:textId="0E87A76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973C9F7" w14:textId="608D2F83"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1,184</w:t>
            </w:r>
          </w:p>
        </w:tc>
      </w:tr>
      <w:tr w:rsidR="003E2B9F" w:rsidRPr="00B469AB" w14:paraId="0143F96A"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1B208D6" w14:textId="643A3DD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Centre For Grief And Bereavement Inc</w:t>
            </w:r>
          </w:p>
        </w:tc>
        <w:tc>
          <w:tcPr>
            <w:tcW w:w="933" w:type="dxa"/>
            <w:tcBorders>
              <w:top w:val="single" w:sz="4" w:space="0" w:color="auto"/>
              <w:left w:val="nil"/>
              <w:bottom w:val="single" w:sz="4" w:space="0" w:color="auto"/>
              <w:right w:val="single" w:sz="4" w:space="0" w:color="auto"/>
            </w:tcBorders>
            <w:vAlign w:val="center"/>
          </w:tcPr>
          <w:p w14:paraId="767D81EC" w14:textId="377E0C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2,056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E1E88" w14:textId="70CA5BA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C16431D" w14:textId="4FE813E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D19852E" w14:textId="5938DBD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71700CA" w14:textId="3AEB563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8861F5F" w14:textId="5D5BE24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C6E5F20" w14:textId="07BC85E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2,056</w:t>
            </w:r>
          </w:p>
        </w:tc>
      </w:tr>
      <w:tr w:rsidR="003E2B9F" w:rsidRPr="00B469AB" w14:paraId="397A9EFD"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7C4001F" w14:textId="574F0696"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College Of Optometry</w:t>
            </w:r>
          </w:p>
        </w:tc>
        <w:tc>
          <w:tcPr>
            <w:tcW w:w="933" w:type="dxa"/>
            <w:tcBorders>
              <w:top w:val="single" w:sz="4" w:space="0" w:color="auto"/>
              <w:left w:val="nil"/>
              <w:bottom w:val="single" w:sz="4" w:space="0" w:color="auto"/>
              <w:right w:val="single" w:sz="4" w:space="0" w:color="auto"/>
            </w:tcBorders>
            <w:vAlign w:val="center"/>
          </w:tcPr>
          <w:p w14:paraId="0BC34C1C" w14:textId="17A0DD5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F4A16" w14:textId="164DD2F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7,598</w:t>
            </w:r>
          </w:p>
        </w:tc>
        <w:tc>
          <w:tcPr>
            <w:tcW w:w="933" w:type="dxa"/>
            <w:tcBorders>
              <w:top w:val="nil"/>
              <w:left w:val="nil"/>
              <w:bottom w:val="single" w:sz="4" w:space="0" w:color="auto"/>
              <w:right w:val="single" w:sz="4" w:space="0" w:color="auto"/>
            </w:tcBorders>
            <w:shd w:val="clear" w:color="auto" w:fill="auto"/>
            <w:noWrap/>
            <w:vAlign w:val="center"/>
          </w:tcPr>
          <w:p w14:paraId="46CA2145" w14:textId="24C8547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36B2C42" w14:textId="5C92B5B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18DB1CC" w14:textId="448852A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3EAC670" w14:textId="576E57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0CB7CAC" w14:textId="5875E5CB"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7,598</w:t>
            </w:r>
          </w:p>
        </w:tc>
      </w:tr>
      <w:tr w:rsidR="003E2B9F" w:rsidRPr="00B469AB" w14:paraId="4DF36BF3"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03214D8" w14:textId="407BC18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Community Support Organisation Inc</w:t>
            </w:r>
          </w:p>
        </w:tc>
        <w:tc>
          <w:tcPr>
            <w:tcW w:w="933" w:type="dxa"/>
            <w:tcBorders>
              <w:top w:val="single" w:sz="4" w:space="0" w:color="auto"/>
              <w:left w:val="nil"/>
              <w:bottom w:val="single" w:sz="4" w:space="0" w:color="auto"/>
              <w:right w:val="single" w:sz="4" w:space="0" w:color="auto"/>
            </w:tcBorders>
            <w:vAlign w:val="center"/>
          </w:tcPr>
          <w:p w14:paraId="00665F8D" w14:textId="3360BA1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CAD20" w14:textId="06D068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8DAA3C7" w14:textId="1D6D739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16,361</w:t>
            </w:r>
          </w:p>
        </w:tc>
        <w:tc>
          <w:tcPr>
            <w:tcW w:w="934" w:type="dxa"/>
            <w:tcBorders>
              <w:top w:val="nil"/>
              <w:left w:val="nil"/>
              <w:bottom w:val="single" w:sz="4" w:space="0" w:color="auto"/>
              <w:right w:val="single" w:sz="4" w:space="0" w:color="auto"/>
            </w:tcBorders>
            <w:shd w:val="clear" w:color="auto" w:fill="auto"/>
            <w:noWrap/>
            <w:vAlign w:val="center"/>
          </w:tcPr>
          <w:p w14:paraId="06C9EC94" w14:textId="42C2CFC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4,445</w:t>
            </w:r>
          </w:p>
        </w:tc>
        <w:tc>
          <w:tcPr>
            <w:tcW w:w="933" w:type="dxa"/>
            <w:tcBorders>
              <w:top w:val="nil"/>
              <w:left w:val="nil"/>
              <w:bottom w:val="single" w:sz="4" w:space="0" w:color="auto"/>
              <w:right w:val="single" w:sz="4" w:space="0" w:color="auto"/>
            </w:tcBorders>
            <w:shd w:val="clear" w:color="auto" w:fill="auto"/>
            <w:noWrap/>
            <w:vAlign w:val="center"/>
          </w:tcPr>
          <w:p w14:paraId="0B8590BB" w14:textId="1DFB471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E0E1ACC" w14:textId="59D9812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E26B4D1" w14:textId="71085E5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20,806</w:t>
            </w:r>
          </w:p>
        </w:tc>
      </w:tr>
      <w:tr w:rsidR="003E2B9F" w:rsidRPr="00B469AB" w14:paraId="0B6C1C23"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E8121B2" w14:textId="09F06611"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Drug Foundation Inc</w:t>
            </w:r>
          </w:p>
        </w:tc>
        <w:tc>
          <w:tcPr>
            <w:tcW w:w="933" w:type="dxa"/>
            <w:tcBorders>
              <w:top w:val="single" w:sz="4" w:space="0" w:color="auto"/>
              <w:left w:val="nil"/>
              <w:bottom w:val="single" w:sz="4" w:space="0" w:color="auto"/>
              <w:right w:val="single" w:sz="4" w:space="0" w:color="auto"/>
            </w:tcBorders>
            <w:vAlign w:val="center"/>
          </w:tcPr>
          <w:p w14:paraId="55A25829" w14:textId="16CCE93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E6982" w14:textId="77EDF4A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D326756" w14:textId="623EF3D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1,430</w:t>
            </w:r>
          </w:p>
        </w:tc>
        <w:tc>
          <w:tcPr>
            <w:tcW w:w="934" w:type="dxa"/>
            <w:tcBorders>
              <w:top w:val="nil"/>
              <w:left w:val="nil"/>
              <w:bottom w:val="single" w:sz="4" w:space="0" w:color="auto"/>
              <w:right w:val="single" w:sz="4" w:space="0" w:color="auto"/>
            </w:tcBorders>
            <w:shd w:val="clear" w:color="auto" w:fill="auto"/>
            <w:noWrap/>
            <w:vAlign w:val="center"/>
          </w:tcPr>
          <w:p w14:paraId="31B3102E" w14:textId="3B0056E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D80888E" w14:textId="4400F94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703933F" w14:textId="0B4B87B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F347B54" w14:textId="297E626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1,430</w:t>
            </w:r>
          </w:p>
        </w:tc>
      </w:tr>
      <w:tr w:rsidR="003E2B9F" w:rsidRPr="00B469AB" w14:paraId="1211A3DF"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D801D4A" w14:textId="477DBF6F"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Red Cross Blood Service</w:t>
            </w:r>
          </w:p>
        </w:tc>
        <w:tc>
          <w:tcPr>
            <w:tcW w:w="933" w:type="dxa"/>
            <w:tcBorders>
              <w:top w:val="single" w:sz="4" w:space="0" w:color="auto"/>
              <w:left w:val="nil"/>
              <w:bottom w:val="single" w:sz="4" w:space="0" w:color="auto"/>
              <w:right w:val="single" w:sz="4" w:space="0" w:color="auto"/>
            </w:tcBorders>
            <w:vAlign w:val="center"/>
          </w:tcPr>
          <w:p w14:paraId="752AC183" w14:textId="4BD2B83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15,010</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877A9" w14:textId="1ED6814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813581F" w14:textId="63C1447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9289347" w14:textId="5266744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4A6C191" w14:textId="523CBAD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C5CA90C" w14:textId="210EDAD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9CE153E" w14:textId="4ADA2981"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15,010</w:t>
            </w:r>
          </w:p>
        </w:tc>
      </w:tr>
      <w:tr w:rsidR="003E2B9F" w:rsidRPr="00B469AB" w14:paraId="037CB65D"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9C86C44" w14:textId="2C46AF0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Australian Red Cross Society</w:t>
            </w:r>
          </w:p>
        </w:tc>
        <w:tc>
          <w:tcPr>
            <w:tcW w:w="933" w:type="dxa"/>
            <w:tcBorders>
              <w:top w:val="single" w:sz="4" w:space="0" w:color="auto"/>
              <w:left w:val="nil"/>
              <w:bottom w:val="single" w:sz="4" w:space="0" w:color="auto"/>
              <w:right w:val="single" w:sz="4" w:space="0" w:color="auto"/>
            </w:tcBorders>
            <w:vAlign w:val="center"/>
          </w:tcPr>
          <w:p w14:paraId="2A100418" w14:textId="710A251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1,000</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DB3C7" w14:textId="10AA367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686CCB0" w14:textId="68EE391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C6724EB" w14:textId="48A3D70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C00594A" w14:textId="109019B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46E208E" w14:textId="3F76E8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FE3DC07" w14:textId="19D95D3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1,000</w:t>
            </w:r>
          </w:p>
        </w:tc>
      </w:tr>
      <w:tr w:rsidR="003E2B9F" w:rsidRPr="00B469AB" w14:paraId="1960E9EF"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6CBBA4" w14:textId="2E0805EE"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Ballarat And District Aboriginal Co-Operative Limited</w:t>
            </w:r>
          </w:p>
        </w:tc>
        <w:tc>
          <w:tcPr>
            <w:tcW w:w="933" w:type="dxa"/>
            <w:tcBorders>
              <w:top w:val="single" w:sz="4" w:space="0" w:color="auto"/>
              <w:left w:val="nil"/>
              <w:bottom w:val="single" w:sz="4" w:space="0" w:color="auto"/>
              <w:right w:val="single" w:sz="4" w:space="0" w:color="auto"/>
            </w:tcBorders>
            <w:vAlign w:val="center"/>
          </w:tcPr>
          <w:p w14:paraId="299B9DAB" w14:textId="77A6DB2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2BBAF" w14:textId="51281E5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63</w:t>
            </w:r>
          </w:p>
        </w:tc>
        <w:tc>
          <w:tcPr>
            <w:tcW w:w="933" w:type="dxa"/>
            <w:tcBorders>
              <w:top w:val="nil"/>
              <w:left w:val="nil"/>
              <w:bottom w:val="single" w:sz="4" w:space="0" w:color="auto"/>
              <w:right w:val="single" w:sz="4" w:space="0" w:color="auto"/>
            </w:tcBorders>
            <w:shd w:val="clear" w:color="auto" w:fill="auto"/>
            <w:noWrap/>
            <w:vAlign w:val="center"/>
          </w:tcPr>
          <w:p w14:paraId="3026DAB4" w14:textId="6F9E354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1,796</w:t>
            </w:r>
          </w:p>
        </w:tc>
        <w:tc>
          <w:tcPr>
            <w:tcW w:w="934" w:type="dxa"/>
            <w:tcBorders>
              <w:top w:val="nil"/>
              <w:left w:val="nil"/>
              <w:bottom w:val="single" w:sz="4" w:space="0" w:color="auto"/>
              <w:right w:val="single" w:sz="4" w:space="0" w:color="auto"/>
            </w:tcBorders>
            <w:shd w:val="clear" w:color="auto" w:fill="auto"/>
            <w:noWrap/>
            <w:vAlign w:val="center"/>
          </w:tcPr>
          <w:p w14:paraId="5DA10117" w14:textId="51AF5D6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81</w:t>
            </w:r>
          </w:p>
        </w:tc>
        <w:tc>
          <w:tcPr>
            <w:tcW w:w="933" w:type="dxa"/>
            <w:tcBorders>
              <w:top w:val="nil"/>
              <w:left w:val="nil"/>
              <w:bottom w:val="single" w:sz="4" w:space="0" w:color="auto"/>
              <w:right w:val="single" w:sz="4" w:space="0" w:color="auto"/>
            </w:tcBorders>
            <w:shd w:val="clear" w:color="auto" w:fill="auto"/>
            <w:noWrap/>
            <w:vAlign w:val="center"/>
          </w:tcPr>
          <w:p w14:paraId="04B3A946" w14:textId="671F47A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235</w:t>
            </w:r>
          </w:p>
        </w:tc>
        <w:tc>
          <w:tcPr>
            <w:tcW w:w="933" w:type="dxa"/>
            <w:tcBorders>
              <w:top w:val="nil"/>
              <w:left w:val="nil"/>
              <w:bottom w:val="single" w:sz="4" w:space="0" w:color="auto"/>
              <w:right w:val="single" w:sz="4" w:space="0" w:color="auto"/>
            </w:tcBorders>
            <w:shd w:val="clear" w:color="auto" w:fill="auto"/>
            <w:noWrap/>
            <w:vAlign w:val="center"/>
          </w:tcPr>
          <w:p w14:paraId="7B7194B4" w14:textId="42A5AC2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F62B906" w14:textId="1D42C47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2,174</w:t>
            </w:r>
          </w:p>
        </w:tc>
      </w:tr>
      <w:tr w:rsidR="003E2B9F" w:rsidRPr="00B469AB" w14:paraId="50D5B9C1"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5FB25A1" w14:textId="1F139B6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Ballarat Hospice Care Inc</w:t>
            </w:r>
          </w:p>
        </w:tc>
        <w:tc>
          <w:tcPr>
            <w:tcW w:w="933" w:type="dxa"/>
            <w:tcBorders>
              <w:top w:val="single" w:sz="4" w:space="0" w:color="auto"/>
              <w:left w:val="nil"/>
              <w:bottom w:val="single" w:sz="4" w:space="0" w:color="auto"/>
              <w:right w:val="single" w:sz="4" w:space="0" w:color="auto"/>
            </w:tcBorders>
            <w:vAlign w:val="center"/>
          </w:tcPr>
          <w:p w14:paraId="2EE433D3" w14:textId="16F3806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3,029</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E8EB0" w14:textId="6432B84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134D82C" w14:textId="7145D2B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355C87C" w14:textId="200B282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CF8EEE1" w14:textId="1FDDFF5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4F0D932" w14:textId="4C84226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6C93A7D" w14:textId="00C1BA2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3,029</w:t>
            </w:r>
          </w:p>
        </w:tc>
      </w:tr>
      <w:tr w:rsidR="003E2B9F" w:rsidRPr="00B469AB" w14:paraId="016887B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24413FB" w14:textId="08ED8A82"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Banksia Palliative Care Service Inc</w:t>
            </w:r>
          </w:p>
        </w:tc>
        <w:tc>
          <w:tcPr>
            <w:tcW w:w="933" w:type="dxa"/>
            <w:tcBorders>
              <w:top w:val="single" w:sz="4" w:space="0" w:color="auto"/>
              <w:left w:val="nil"/>
              <w:bottom w:val="single" w:sz="4" w:space="0" w:color="auto"/>
              <w:right w:val="single" w:sz="4" w:space="0" w:color="auto"/>
            </w:tcBorders>
            <w:vAlign w:val="center"/>
          </w:tcPr>
          <w:p w14:paraId="2DEB6792" w14:textId="12DAD8F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5,124</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4E1EF" w14:textId="6A8EC15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3C662B" w14:textId="3931130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2283904" w14:textId="33AEBE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C202D8A" w14:textId="6CA08B4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97FE4DE" w14:textId="7AB14E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A7BFB67" w14:textId="39497251"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5,124</w:t>
            </w:r>
          </w:p>
        </w:tc>
      </w:tr>
      <w:tr w:rsidR="003E2B9F" w:rsidRPr="00B469AB" w14:paraId="16AF023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22A7316" w14:textId="6ADDE9C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Bendigo And District Aboriginal Co-Operative Ltd</w:t>
            </w:r>
          </w:p>
        </w:tc>
        <w:tc>
          <w:tcPr>
            <w:tcW w:w="933" w:type="dxa"/>
            <w:tcBorders>
              <w:top w:val="single" w:sz="4" w:space="0" w:color="auto"/>
              <w:left w:val="nil"/>
              <w:bottom w:val="single" w:sz="4" w:space="0" w:color="auto"/>
              <w:right w:val="single" w:sz="4" w:space="0" w:color="auto"/>
            </w:tcBorders>
            <w:vAlign w:val="center"/>
          </w:tcPr>
          <w:p w14:paraId="093EEF2C" w14:textId="40C025A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0240D" w14:textId="0DF63A3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97</w:t>
            </w:r>
          </w:p>
        </w:tc>
        <w:tc>
          <w:tcPr>
            <w:tcW w:w="933" w:type="dxa"/>
            <w:tcBorders>
              <w:top w:val="nil"/>
              <w:left w:val="nil"/>
              <w:bottom w:val="single" w:sz="4" w:space="0" w:color="auto"/>
              <w:right w:val="single" w:sz="4" w:space="0" w:color="auto"/>
            </w:tcBorders>
            <w:shd w:val="clear" w:color="auto" w:fill="auto"/>
            <w:noWrap/>
            <w:vAlign w:val="center"/>
          </w:tcPr>
          <w:p w14:paraId="02B3E4FD" w14:textId="2CDD633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1,780</w:t>
            </w:r>
          </w:p>
        </w:tc>
        <w:tc>
          <w:tcPr>
            <w:tcW w:w="934" w:type="dxa"/>
            <w:tcBorders>
              <w:top w:val="nil"/>
              <w:left w:val="nil"/>
              <w:bottom w:val="single" w:sz="4" w:space="0" w:color="auto"/>
              <w:right w:val="single" w:sz="4" w:space="0" w:color="auto"/>
            </w:tcBorders>
            <w:shd w:val="clear" w:color="auto" w:fill="auto"/>
            <w:noWrap/>
            <w:vAlign w:val="center"/>
          </w:tcPr>
          <w:p w14:paraId="4A645E5B" w14:textId="06133E5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80</w:t>
            </w:r>
          </w:p>
        </w:tc>
        <w:tc>
          <w:tcPr>
            <w:tcW w:w="933" w:type="dxa"/>
            <w:tcBorders>
              <w:top w:val="nil"/>
              <w:left w:val="nil"/>
              <w:bottom w:val="single" w:sz="4" w:space="0" w:color="auto"/>
              <w:right w:val="single" w:sz="4" w:space="0" w:color="auto"/>
            </w:tcBorders>
            <w:shd w:val="clear" w:color="auto" w:fill="auto"/>
            <w:noWrap/>
            <w:vAlign w:val="center"/>
          </w:tcPr>
          <w:p w14:paraId="0784957E" w14:textId="59E9985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593</w:t>
            </w:r>
          </w:p>
        </w:tc>
        <w:tc>
          <w:tcPr>
            <w:tcW w:w="933" w:type="dxa"/>
            <w:tcBorders>
              <w:top w:val="nil"/>
              <w:left w:val="nil"/>
              <w:bottom w:val="single" w:sz="4" w:space="0" w:color="auto"/>
              <w:right w:val="single" w:sz="4" w:space="0" w:color="auto"/>
            </w:tcBorders>
            <w:shd w:val="clear" w:color="auto" w:fill="auto"/>
            <w:noWrap/>
            <w:vAlign w:val="center"/>
          </w:tcPr>
          <w:p w14:paraId="0467B162" w14:textId="576FD07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90CAF55" w14:textId="505686E3"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2,550</w:t>
            </w:r>
          </w:p>
        </w:tc>
      </w:tr>
      <w:tr w:rsidR="003E2B9F" w:rsidRPr="00B469AB" w14:paraId="7DD904FA"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2F56DAB" w14:textId="610705F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Breastscreen Victoria Inc.</w:t>
            </w:r>
          </w:p>
        </w:tc>
        <w:tc>
          <w:tcPr>
            <w:tcW w:w="933" w:type="dxa"/>
            <w:tcBorders>
              <w:top w:val="single" w:sz="4" w:space="0" w:color="auto"/>
              <w:left w:val="nil"/>
              <w:bottom w:val="single" w:sz="4" w:space="0" w:color="auto"/>
              <w:right w:val="single" w:sz="4" w:space="0" w:color="auto"/>
            </w:tcBorders>
            <w:vAlign w:val="center"/>
          </w:tcPr>
          <w:p w14:paraId="73A7F3C1" w14:textId="6A0E2ED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B156" w14:textId="37A4BDD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D030A75" w14:textId="5740658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8B4F8A8" w14:textId="203AB7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1B409D1" w14:textId="04953CC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2E96707" w14:textId="701E226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61,948</w:t>
            </w:r>
          </w:p>
        </w:tc>
        <w:tc>
          <w:tcPr>
            <w:tcW w:w="934" w:type="dxa"/>
            <w:tcBorders>
              <w:top w:val="nil"/>
              <w:left w:val="nil"/>
              <w:bottom w:val="single" w:sz="4" w:space="0" w:color="auto"/>
              <w:right w:val="single" w:sz="4" w:space="0" w:color="auto"/>
            </w:tcBorders>
            <w:shd w:val="clear" w:color="auto" w:fill="auto"/>
            <w:noWrap/>
            <w:vAlign w:val="center"/>
          </w:tcPr>
          <w:p w14:paraId="1F2231B1" w14:textId="443C45B3"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61,948</w:t>
            </w:r>
          </w:p>
        </w:tc>
      </w:tr>
      <w:tr w:rsidR="003E2B9F" w:rsidRPr="00B469AB" w14:paraId="7CDB577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9A0D513" w14:textId="69D2DA46"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Cancer Council Victoria</w:t>
            </w:r>
          </w:p>
        </w:tc>
        <w:tc>
          <w:tcPr>
            <w:tcW w:w="933" w:type="dxa"/>
            <w:tcBorders>
              <w:top w:val="single" w:sz="4" w:space="0" w:color="auto"/>
              <w:left w:val="nil"/>
              <w:bottom w:val="single" w:sz="4" w:space="0" w:color="auto"/>
              <w:right w:val="single" w:sz="4" w:space="0" w:color="auto"/>
            </w:tcBorders>
            <w:vAlign w:val="center"/>
          </w:tcPr>
          <w:p w14:paraId="49C4EAD4" w14:textId="559298D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3,321</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9105C" w14:textId="0374F4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2158B3D" w14:textId="000F7A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F8B79B4" w14:textId="252B50D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4C8C05D" w14:textId="6BA32BE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4887EAF" w14:textId="7BC6F65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6,538</w:t>
            </w:r>
          </w:p>
        </w:tc>
        <w:tc>
          <w:tcPr>
            <w:tcW w:w="934" w:type="dxa"/>
            <w:tcBorders>
              <w:top w:val="nil"/>
              <w:left w:val="nil"/>
              <w:bottom w:val="single" w:sz="4" w:space="0" w:color="auto"/>
              <w:right w:val="single" w:sz="4" w:space="0" w:color="auto"/>
            </w:tcBorders>
            <w:shd w:val="clear" w:color="auto" w:fill="auto"/>
            <w:noWrap/>
            <w:vAlign w:val="center"/>
          </w:tcPr>
          <w:p w14:paraId="6370E3AD" w14:textId="483FF26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9,858</w:t>
            </w:r>
          </w:p>
        </w:tc>
      </w:tr>
      <w:tr w:rsidR="003E2B9F" w:rsidRPr="00B469AB" w14:paraId="31D6110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5B72E20" w14:textId="32CDBE7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Caraniche Pty Ltd</w:t>
            </w:r>
          </w:p>
        </w:tc>
        <w:tc>
          <w:tcPr>
            <w:tcW w:w="933" w:type="dxa"/>
            <w:tcBorders>
              <w:top w:val="single" w:sz="4" w:space="0" w:color="auto"/>
              <w:left w:val="nil"/>
              <w:bottom w:val="single" w:sz="4" w:space="0" w:color="auto"/>
              <w:right w:val="single" w:sz="4" w:space="0" w:color="auto"/>
            </w:tcBorders>
            <w:vAlign w:val="center"/>
          </w:tcPr>
          <w:p w14:paraId="5C8F5395" w14:textId="2881F3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87589" w14:textId="669C83A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7D1B61B" w14:textId="1F27DCC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2,283</w:t>
            </w:r>
          </w:p>
        </w:tc>
        <w:tc>
          <w:tcPr>
            <w:tcW w:w="934" w:type="dxa"/>
            <w:tcBorders>
              <w:top w:val="nil"/>
              <w:left w:val="nil"/>
              <w:bottom w:val="single" w:sz="4" w:space="0" w:color="auto"/>
              <w:right w:val="single" w:sz="4" w:space="0" w:color="auto"/>
            </w:tcBorders>
            <w:shd w:val="clear" w:color="auto" w:fill="auto"/>
            <w:noWrap/>
            <w:vAlign w:val="center"/>
          </w:tcPr>
          <w:p w14:paraId="6343D929" w14:textId="53C1655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CEEF24E" w14:textId="00AD122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5D27034" w14:textId="7FF96B0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5275ADF" w14:textId="6C88BE2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2,283</w:t>
            </w:r>
          </w:p>
        </w:tc>
      </w:tr>
      <w:tr w:rsidR="003E2B9F" w:rsidRPr="00B469AB" w14:paraId="2FD68F59"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C570DBB" w14:textId="58E6BFA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Darlingford Upper Goulburn Nursing Home Inc</w:t>
            </w:r>
          </w:p>
        </w:tc>
        <w:tc>
          <w:tcPr>
            <w:tcW w:w="933" w:type="dxa"/>
            <w:tcBorders>
              <w:top w:val="single" w:sz="4" w:space="0" w:color="auto"/>
              <w:left w:val="nil"/>
              <w:bottom w:val="single" w:sz="4" w:space="0" w:color="auto"/>
              <w:right w:val="single" w:sz="4" w:space="0" w:color="auto"/>
            </w:tcBorders>
            <w:vAlign w:val="center"/>
          </w:tcPr>
          <w:p w14:paraId="02252F3B" w14:textId="2E63126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CB4C6" w14:textId="50A0C95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1,384</w:t>
            </w:r>
          </w:p>
        </w:tc>
        <w:tc>
          <w:tcPr>
            <w:tcW w:w="933" w:type="dxa"/>
            <w:tcBorders>
              <w:top w:val="nil"/>
              <w:left w:val="nil"/>
              <w:bottom w:val="single" w:sz="4" w:space="0" w:color="auto"/>
              <w:right w:val="single" w:sz="4" w:space="0" w:color="auto"/>
            </w:tcBorders>
            <w:shd w:val="clear" w:color="auto" w:fill="auto"/>
            <w:noWrap/>
            <w:vAlign w:val="center"/>
          </w:tcPr>
          <w:p w14:paraId="27DFE832" w14:textId="29718AC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3DB9EF4" w14:textId="17D016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B6DD9D9" w14:textId="302725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04B2031" w14:textId="127E937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D1EC0C8" w14:textId="2423AFB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1,384</w:t>
            </w:r>
          </w:p>
        </w:tc>
      </w:tr>
      <w:tr w:rsidR="003E2B9F" w:rsidRPr="00B469AB" w14:paraId="11513E89"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546293D" w14:textId="57EF729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Deakin University</w:t>
            </w:r>
          </w:p>
        </w:tc>
        <w:tc>
          <w:tcPr>
            <w:tcW w:w="933" w:type="dxa"/>
            <w:tcBorders>
              <w:top w:val="single" w:sz="4" w:space="0" w:color="auto"/>
              <w:left w:val="nil"/>
              <w:bottom w:val="single" w:sz="4" w:space="0" w:color="auto"/>
              <w:right w:val="single" w:sz="4" w:space="0" w:color="auto"/>
            </w:tcBorders>
            <w:vAlign w:val="center"/>
          </w:tcPr>
          <w:p w14:paraId="05A88E3A" w14:textId="09C19C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402</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92791" w14:textId="498FC5F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46FAC08" w14:textId="2E8CA41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B279E40" w14:textId="45B86A4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9EED3F2" w14:textId="076A57B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A45A475" w14:textId="33012AD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w:t>
            </w:r>
          </w:p>
        </w:tc>
        <w:tc>
          <w:tcPr>
            <w:tcW w:w="934" w:type="dxa"/>
            <w:tcBorders>
              <w:top w:val="nil"/>
              <w:left w:val="nil"/>
              <w:bottom w:val="single" w:sz="4" w:space="0" w:color="auto"/>
              <w:right w:val="single" w:sz="4" w:space="0" w:color="auto"/>
            </w:tcBorders>
            <w:shd w:val="clear" w:color="auto" w:fill="auto"/>
            <w:noWrap/>
            <w:vAlign w:val="center"/>
          </w:tcPr>
          <w:p w14:paraId="6CC30986" w14:textId="14AA45C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425</w:t>
            </w:r>
          </w:p>
        </w:tc>
      </w:tr>
      <w:tr w:rsidR="003E2B9F" w:rsidRPr="00B469AB" w14:paraId="12387A9D"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4D8D420" w14:textId="296503AF"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Dementia Australia Limited</w:t>
            </w:r>
          </w:p>
        </w:tc>
        <w:tc>
          <w:tcPr>
            <w:tcW w:w="933" w:type="dxa"/>
            <w:tcBorders>
              <w:top w:val="single" w:sz="4" w:space="0" w:color="auto"/>
              <w:left w:val="nil"/>
              <w:bottom w:val="single" w:sz="4" w:space="0" w:color="auto"/>
              <w:right w:val="single" w:sz="4" w:space="0" w:color="auto"/>
            </w:tcBorders>
            <w:vAlign w:val="center"/>
          </w:tcPr>
          <w:p w14:paraId="599AD307" w14:textId="1414884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06F0" w14:textId="5F6A034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4,163</w:t>
            </w:r>
          </w:p>
        </w:tc>
        <w:tc>
          <w:tcPr>
            <w:tcW w:w="933" w:type="dxa"/>
            <w:tcBorders>
              <w:top w:val="nil"/>
              <w:left w:val="nil"/>
              <w:bottom w:val="single" w:sz="4" w:space="0" w:color="auto"/>
              <w:right w:val="single" w:sz="4" w:space="0" w:color="auto"/>
            </w:tcBorders>
            <w:shd w:val="clear" w:color="auto" w:fill="auto"/>
            <w:noWrap/>
            <w:vAlign w:val="center"/>
          </w:tcPr>
          <w:p w14:paraId="6F73ECAB" w14:textId="63377A3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D4B40E6" w14:textId="139ED85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B059D3B" w14:textId="683029A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16DCCEF" w14:textId="618071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C5BA0E6" w14:textId="1BE6F8B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4,163</w:t>
            </w:r>
          </w:p>
        </w:tc>
      </w:tr>
      <w:tr w:rsidR="003E2B9F" w:rsidRPr="00B469AB" w14:paraId="6196265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BC49CFF" w14:textId="71FAF4F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Diabetes Australia - Victoria</w:t>
            </w:r>
          </w:p>
        </w:tc>
        <w:tc>
          <w:tcPr>
            <w:tcW w:w="933" w:type="dxa"/>
            <w:tcBorders>
              <w:top w:val="single" w:sz="4" w:space="0" w:color="auto"/>
              <w:left w:val="nil"/>
              <w:bottom w:val="single" w:sz="4" w:space="0" w:color="auto"/>
              <w:right w:val="single" w:sz="4" w:space="0" w:color="auto"/>
            </w:tcBorders>
            <w:vAlign w:val="center"/>
          </w:tcPr>
          <w:p w14:paraId="30203156" w14:textId="26EFFD5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396AC" w14:textId="3538C56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8583EC5" w14:textId="72D2F29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C6CCFD4" w14:textId="540E35B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56DBDB2" w14:textId="48AE3C0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2,382</w:t>
            </w:r>
          </w:p>
        </w:tc>
        <w:tc>
          <w:tcPr>
            <w:tcW w:w="933" w:type="dxa"/>
            <w:tcBorders>
              <w:top w:val="nil"/>
              <w:left w:val="nil"/>
              <w:bottom w:val="single" w:sz="4" w:space="0" w:color="auto"/>
              <w:right w:val="single" w:sz="4" w:space="0" w:color="auto"/>
            </w:tcBorders>
            <w:shd w:val="clear" w:color="auto" w:fill="auto"/>
            <w:noWrap/>
            <w:vAlign w:val="center"/>
          </w:tcPr>
          <w:p w14:paraId="3E135305" w14:textId="1A835FC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5,572</w:t>
            </w:r>
          </w:p>
        </w:tc>
        <w:tc>
          <w:tcPr>
            <w:tcW w:w="934" w:type="dxa"/>
            <w:tcBorders>
              <w:top w:val="nil"/>
              <w:left w:val="nil"/>
              <w:bottom w:val="single" w:sz="4" w:space="0" w:color="auto"/>
              <w:right w:val="single" w:sz="4" w:space="0" w:color="auto"/>
            </w:tcBorders>
            <w:shd w:val="clear" w:color="auto" w:fill="auto"/>
            <w:noWrap/>
            <w:vAlign w:val="center"/>
          </w:tcPr>
          <w:p w14:paraId="0664BC3D" w14:textId="044DD8D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7,954</w:t>
            </w:r>
          </w:p>
        </w:tc>
      </w:tr>
      <w:tr w:rsidR="003E2B9F" w:rsidRPr="00B469AB" w14:paraId="11C0446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849713B" w14:textId="5715D21F"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Eastern Melbourne Healthcare Network Ltd</w:t>
            </w:r>
          </w:p>
        </w:tc>
        <w:tc>
          <w:tcPr>
            <w:tcW w:w="933" w:type="dxa"/>
            <w:tcBorders>
              <w:top w:val="single" w:sz="4" w:space="0" w:color="auto"/>
              <w:left w:val="nil"/>
              <w:bottom w:val="single" w:sz="4" w:space="0" w:color="auto"/>
              <w:right w:val="single" w:sz="4" w:space="0" w:color="auto"/>
            </w:tcBorders>
            <w:vAlign w:val="center"/>
          </w:tcPr>
          <w:p w14:paraId="1BDAA8D9" w14:textId="34EA4B2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78D16" w14:textId="539D638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0BC450F" w14:textId="28F3C70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1B20F8A" w14:textId="10ED726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70AF8B9" w14:textId="3AECB00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w:t>
            </w:r>
          </w:p>
        </w:tc>
        <w:tc>
          <w:tcPr>
            <w:tcW w:w="933" w:type="dxa"/>
            <w:tcBorders>
              <w:top w:val="nil"/>
              <w:left w:val="nil"/>
              <w:bottom w:val="single" w:sz="4" w:space="0" w:color="auto"/>
              <w:right w:val="single" w:sz="4" w:space="0" w:color="auto"/>
            </w:tcBorders>
            <w:shd w:val="clear" w:color="auto" w:fill="auto"/>
            <w:noWrap/>
            <w:vAlign w:val="center"/>
          </w:tcPr>
          <w:p w14:paraId="2AF4B803" w14:textId="2656698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94406A9" w14:textId="22CF10F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44</w:t>
            </w:r>
          </w:p>
        </w:tc>
      </w:tr>
      <w:tr w:rsidR="003E2B9F" w:rsidRPr="00B469AB" w14:paraId="0AEBE42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80C25EA" w14:textId="0E5EF069"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Eastern Palliative Care Association Inc.</w:t>
            </w:r>
          </w:p>
        </w:tc>
        <w:tc>
          <w:tcPr>
            <w:tcW w:w="933" w:type="dxa"/>
            <w:tcBorders>
              <w:top w:val="single" w:sz="4" w:space="0" w:color="auto"/>
              <w:left w:val="nil"/>
              <w:bottom w:val="single" w:sz="4" w:space="0" w:color="auto"/>
              <w:right w:val="single" w:sz="4" w:space="0" w:color="auto"/>
            </w:tcBorders>
            <w:vAlign w:val="center"/>
          </w:tcPr>
          <w:p w14:paraId="3DB650AF" w14:textId="1D87DE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14,416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55EF" w14:textId="71BC20D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2F35723" w14:textId="54F4081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C62C517" w14:textId="52824F7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42FC1FF" w14:textId="02235D2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73227C7" w14:textId="614DB74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A2CFCD2" w14:textId="437715AE"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14,416</w:t>
            </w:r>
          </w:p>
        </w:tc>
      </w:tr>
      <w:tr w:rsidR="003E2B9F" w:rsidRPr="00B469AB" w14:paraId="4AF5706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69B5F51" w14:textId="4E0812E5"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Gay And Lesbian Switchboard (Victoria) Inc.</w:t>
            </w:r>
          </w:p>
        </w:tc>
        <w:tc>
          <w:tcPr>
            <w:tcW w:w="933" w:type="dxa"/>
            <w:tcBorders>
              <w:top w:val="single" w:sz="4" w:space="0" w:color="auto"/>
              <w:left w:val="nil"/>
              <w:bottom w:val="single" w:sz="4" w:space="0" w:color="auto"/>
              <w:right w:val="single" w:sz="4" w:space="0" w:color="auto"/>
            </w:tcBorders>
            <w:vAlign w:val="center"/>
          </w:tcPr>
          <w:p w14:paraId="550998FC" w14:textId="21CE559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6A76" w14:textId="2A2D2B9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0273C28" w14:textId="68F2050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C3BBE26" w14:textId="37C1BC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2,675</w:t>
            </w:r>
          </w:p>
        </w:tc>
        <w:tc>
          <w:tcPr>
            <w:tcW w:w="933" w:type="dxa"/>
            <w:tcBorders>
              <w:top w:val="nil"/>
              <w:left w:val="nil"/>
              <w:bottom w:val="single" w:sz="4" w:space="0" w:color="auto"/>
              <w:right w:val="single" w:sz="4" w:space="0" w:color="auto"/>
            </w:tcBorders>
            <w:shd w:val="clear" w:color="auto" w:fill="auto"/>
            <w:noWrap/>
            <w:vAlign w:val="center"/>
          </w:tcPr>
          <w:p w14:paraId="0AFA75C6" w14:textId="10C383A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18</w:t>
            </w:r>
          </w:p>
        </w:tc>
        <w:tc>
          <w:tcPr>
            <w:tcW w:w="933" w:type="dxa"/>
            <w:tcBorders>
              <w:top w:val="nil"/>
              <w:left w:val="nil"/>
              <w:bottom w:val="single" w:sz="4" w:space="0" w:color="auto"/>
              <w:right w:val="single" w:sz="4" w:space="0" w:color="auto"/>
            </w:tcBorders>
            <w:shd w:val="clear" w:color="auto" w:fill="auto"/>
            <w:noWrap/>
            <w:vAlign w:val="center"/>
          </w:tcPr>
          <w:p w14:paraId="4584E8B9" w14:textId="0BFEB22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51</w:t>
            </w:r>
          </w:p>
        </w:tc>
        <w:tc>
          <w:tcPr>
            <w:tcW w:w="934" w:type="dxa"/>
            <w:tcBorders>
              <w:top w:val="nil"/>
              <w:left w:val="nil"/>
              <w:bottom w:val="single" w:sz="4" w:space="0" w:color="auto"/>
              <w:right w:val="single" w:sz="4" w:space="0" w:color="auto"/>
            </w:tcBorders>
            <w:shd w:val="clear" w:color="auto" w:fill="auto"/>
            <w:noWrap/>
            <w:vAlign w:val="center"/>
          </w:tcPr>
          <w:p w14:paraId="16E0D91A" w14:textId="0D3CA8D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2,743</w:t>
            </w:r>
          </w:p>
        </w:tc>
      </w:tr>
      <w:tr w:rsidR="003E2B9F" w:rsidRPr="00B469AB" w14:paraId="3342304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4E5A423" w14:textId="06B7CB5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G</w:t>
            </w:r>
            <w:r w:rsidR="00DF6D66">
              <w:rPr>
                <w:rFonts w:cs="Arial"/>
                <w:color w:val="000000"/>
                <w:sz w:val="15"/>
                <w:szCs w:val="15"/>
              </w:rPr>
              <w:t>EGAC</w:t>
            </w:r>
          </w:p>
        </w:tc>
        <w:tc>
          <w:tcPr>
            <w:tcW w:w="933" w:type="dxa"/>
            <w:tcBorders>
              <w:top w:val="single" w:sz="4" w:space="0" w:color="auto"/>
              <w:left w:val="nil"/>
              <w:bottom w:val="single" w:sz="4" w:space="0" w:color="auto"/>
              <w:right w:val="single" w:sz="4" w:space="0" w:color="auto"/>
            </w:tcBorders>
            <w:vAlign w:val="center"/>
          </w:tcPr>
          <w:p w14:paraId="23C5CF4F" w14:textId="76E767B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241</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317E7" w14:textId="5895214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196</w:t>
            </w:r>
          </w:p>
        </w:tc>
        <w:tc>
          <w:tcPr>
            <w:tcW w:w="933" w:type="dxa"/>
            <w:tcBorders>
              <w:top w:val="nil"/>
              <w:left w:val="nil"/>
              <w:bottom w:val="single" w:sz="4" w:space="0" w:color="auto"/>
              <w:right w:val="single" w:sz="4" w:space="0" w:color="auto"/>
            </w:tcBorders>
            <w:shd w:val="clear" w:color="auto" w:fill="auto"/>
            <w:noWrap/>
            <w:vAlign w:val="center"/>
          </w:tcPr>
          <w:p w14:paraId="4028C38C" w14:textId="363379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1,234</w:t>
            </w:r>
          </w:p>
        </w:tc>
        <w:tc>
          <w:tcPr>
            <w:tcW w:w="934" w:type="dxa"/>
            <w:tcBorders>
              <w:top w:val="nil"/>
              <w:left w:val="nil"/>
              <w:bottom w:val="single" w:sz="4" w:space="0" w:color="auto"/>
              <w:right w:val="single" w:sz="4" w:space="0" w:color="auto"/>
            </w:tcBorders>
            <w:shd w:val="clear" w:color="auto" w:fill="auto"/>
            <w:noWrap/>
            <w:vAlign w:val="center"/>
          </w:tcPr>
          <w:p w14:paraId="76E2A866" w14:textId="0B975C0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43</w:t>
            </w:r>
          </w:p>
        </w:tc>
        <w:tc>
          <w:tcPr>
            <w:tcW w:w="933" w:type="dxa"/>
            <w:tcBorders>
              <w:top w:val="nil"/>
              <w:left w:val="nil"/>
              <w:bottom w:val="single" w:sz="4" w:space="0" w:color="auto"/>
              <w:right w:val="single" w:sz="4" w:space="0" w:color="auto"/>
            </w:tcBorders>
            <w:shd w:val="clear" w:color="auto" w:fill="auto"/>
            <w:noWrap/>
            <w:vAlign w:val="center"/>
          </w:tcPr>
          <w:p w14:paraId="70634963" w14:textId="703E2B1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469</w:t>
            </w:r>
          </w:p>
        </w:tc>
        <w:tc>
          <w:tcPr>
            <w:tcW w:w="933" w:type="dxa"/>
            <w:tcBorders>
              <w:top w:val="nil"/>
              <w:left w:val="nil"/>
              <w:bottom w:val="single" w:sz="4" w:space="0" w:color="auto"/>
              <w:right w:val="single" w:sz="4" w:space="0" w:color="auto"/>
            </w:tcBorders>
            <w:shd w:val="clear" w:color="auto" w:fill="auto"/>
            <w:noWrap/>
            <w:vAlign w:val="center"/>
          </w:tcPr>
          <w:p w14:paraId="2C035061" w14:textId="75EEAE3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62F64FE" w14:textId="3C1AE6F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2,184</w:t>
            </w:r>
          </w:p>
        </w:tc>
      </w:tr>
      <w:tr w:rsidR="003E2B9F" w:rsidRPr="00B469AB" w14:paraId="5682FCD4"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D41E823" w14:textId="7CAC4AF5"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Gippsland Health Network Limited</w:t>
            </w:r>
          </w:p>
        </w:tc>
        <w:tc>
          <w:tcPr>
            <w:tcW w:w="933" w:type="dxa"/>
            <w:tcBorders>
              <w:top w:val="single" w:sz="4" w:space="0" w:color="auto"/>
              <w:left w:val="nil"/>
              <w:bottom w:val="single" w:sz="4" w:space="0" w:color="auto"/>
              <w:right w:val="single" w:sz="4" w:space="0" w:color="auto"/>
            </w:tcBorders>
            <w:vAlign w:val="center"/>
          </w:tcPr>
          <w:p w14:paraId="5D627EE1" w14:textId="2ADA051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24A8" w14:textId="5C33A90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04B0C1C" w14:textId="772606F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A1C6829" w14:textId="1743BBA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ED4CC80" w14:textId="6E97CC2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w:t>
            </w:r>
          </w:p>
        </w:tc>
        <w:tc>
          <w:tcPr>
            <w:tcW w:w="933" w:type="dxa"/>
            <w:tcBorders>
              <w:top w:val="nil"/>
              <w:left w:val="nil"/>
              <w:bottom w:val="single" w:sz="4" w:space="0" w:color="auto"/>
              <w:right w:val="single" w:sz="4" w:space="0" w:color="auto"/>
            </w:tcBorders>
            <w:shd w:val="clear" w:color="auto" w:fill="auto"/>
            <w:noWrap/>
            <w:vAlign w:val="center"/>
          </w:tcPr>
          <w:p w14:paraId="74B64202" w14:textId="2E97745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F0F3C24" w14:textId="31DB6FCB"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44</w:t>
            </w:r>
          </w:p>
        </w:tc>
      </w:tr>
      <w:tr w:rsidR="003E2B9F" w:rsidRPr="00B469AB" w14:paraId="5EE61867"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A2A435A" w14:textId="59E6EBBD"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Grow</w:t>
            </w:r>
          </w:p>
        </w:tc>
        <w:tc>
          <w:tcPr>
            <w:tcW w:w="933" w:type="dxa"/>
            <w:tcBorders>
              <w:top w:val="single" w:sz="4" w:space="0" w:color="auto"/>
              <w:left w:val="nil"/>
              <w:bottom w:val="single" w:sz="4" w:space="0" w:color="auto"/>
              <w:right w:val="single" w:sz="4" w:space="0" w:color="auto"/>
            </w:tcBorders>
            <w:vAlign w:val="center"/>
          </w:tcPr>
          <w:p w14:paraId="78E9BBBD" w14:textId="7B9B887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A2424" w14:textId="76DB669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7797C0D" w14:textId="0D28B32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A98EC0C" w14:textId="06C653D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1,061</w:t>
            </w:r>
          </w:p>
        </w:tc>
        <w:tc>
          <w:tcPr>
            <w:tcW w:w="933" w:type="dxa"/>
            <w:tcBorders>
              <w:top w:val="nil"/>
              <w:left w:val="nil"/>
              <w:bottom w:val="single" w:sz="4" w:space="0" w:color="auto"/>
              <w:right w:val="single" w:sz="4" w:space="0" w:color="auto"/>
            </w:tcBorders>
            <w:shd w:val="clear" w:color="auto" w:fill="auto"/>
            <w:noWrap/>
            <w:vAlign w:val="center"/>
          </w:tcPr>
          <w:p w14:paraId="27A43C70" w14:textId="38BC7A1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2AF5161" w14:textId="5BEFDF8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AD1D505" w14:textId="6CC99A4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1,061</w:t>
            </w:r>
          </w:p>
        </w:tc>
      </w:tr>
      <w:tr w:rsidR="003E2B9F" w:rsidRPr="00B469AB" w14:paraId="2758ABB9"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42FD5C" w14:textId="3953F746"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Gunditjmara Aboriginal Co-Operative Limited</w:t>
            </w:r>
          </w:p>
        </w:tc>
        <w:tc>
          <w:tcPr>
            <w:tcW w:w="933" w:type="dxa"/>
            <w:tcBorders>
              <w:top w:val="single" w:sz="4" w:space="0" w:color="auto"/>
              <w:left w:val="nil"/>
              <w:bottom w:val="single" w:sz="4" w:space="0" w:color="auto"/>
              <w:right w:val="single" w:sz="4" w:space="0" w:color="auto"/>
            </w:tcBorders>
            <w:vAlign w:val="center"/>
          </w:tcPr>
          <w:p w14:paraId="184D5FEC" w14:textId="2F9077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295</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EC160" w14:textId="0DA7352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136</w:t>
            </w:r>
          </w:p>
        </w:tc>
        <w:tc>
          <w:tcPr>
            <w:tcW w:w="933" w:type="dxa"/>
            <w:tcBorders>
              <w:top w:val="nil"/>
              <w:left w:val="nil"/>
              <w:bottom w:val="single" w:sz="4" w:space="0" w:color="auto"/>
              <w:right w:val="single" w:sz="4" w:space="0" w:color="auto"/>
            </w:tcBorders>
            <w:shd w:val="clear" w:color="auto" w:fill="auto"/>
            <w:noWrap/>
            <w:vAlign w:val="center"/>
          </w:tcPr>
          <w:p w14:paraId="525D876B" w14:textId="76FF0E8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493</w:t>
            </w:r>
          </w:p>
        </w:tc>
        <w:tc>
          <w:tcPr>
            <w:tcW w:w="934" w:type="dxa"/>
            <w:tcBorders>
              <w:top w:val="nil"/>
              <w:left w:val="nil"/>
              <w:bottom w:val="single" w:sz="4" w:space="0" w:color="auto"/>
              <w:right w:val="single" w:sz="4" w:space="0" w:color="auto"/>
            </w:tcBorders>
            <w:shd w:val="clear" w:color="auto" w:fill="auto"/>
            <w:noWrap/>
            <w:vAlign w:val="center"/>
          </w:tcPr>
          <w:p w14:paraId="69210456" w14:textId="2B0B74F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80</w:t>
            </w:r>
          </w:p>
        </w:tc>
        <w:tc>
          <w:tcPr>
            <w:tcW w:w="933" w:type="dxa"/>
            <w:tcBorders>
              <w:top w:val="nil"/>
              <w:left w:val="nil"/>
              <w:bottom w:val="single" w:sz="4" w:space="0" w:color="auto"/>
              <w:right w:val="single" w:sz="4" w:space="0" w:color="auto"/>
            </w:tcBorders>
            <w:shd w:val="clear" w:color="auto" w:fill="auto"/>
            <w:noWrap/>
            <w:vAlign w:val="center"/>
          </w:tcPr>
          <w:p w14:paraId="32B049BC" w14:textId="030570E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577</w:t>
            </w:r>
          </w:p>
        </w:tc>
        <w:tc>
          <w:tcPr>
            <w:tcW w:w="933" w:type="dxa"/>
            <w:tcBorders>
              <w:top w:val="nil"/>
              <w:left w:val="nil"/>
              <w:bottom w:val="single" w:sz="4" w:space="0" w:color="auto"/>
              <w:right w:val="single" w:sz="4" w:space="0" w:color="auto"/>
            </w:tcBorders>
            <w:shd w:val="clear" w:color="auto" w:fill="auto"/>
            <w:noWrap/>
            <w:vAlign w:val="center"/>
          </w:tcPr>
          <w:p w14:paraId="300979C1" w14:textId="37905EC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690AD63" w14:textId="1FC185C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1,581</w:t>
            </w:r>
          </w:p>
        </w:tc>
      </w:tr>
      <w:tr w:rsidR="003E2B9F" w:rsidRPr="00B469AB" w14:paraId="75CACF94"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FC09C52" w14:textId="3ACBE61E"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Harm Reduction Victoria Inc</w:t>
            </w:r>
          </w:p>
        </w:tc>
        <w:tc>
          <w:tcPr>
            <w:tcW w:w="933" w:type="dxa"/>
            <w:tcBorders>
              <w:top w:val="single" w:sz="4" w:space="0" w:color="auto"/>
              <w:left w:val="nil"/>
              <w:bottom w:val="single" w:sz="4" w:space="0" w:color="auto"/>
              <w:right w:val="single" w:sz="4" w:space="0" w:color="auto"/>
            </w:tcBorders>
            <w:vAlign w:val="center"/>
          </w:tcPr>
          <w:p w14:paraId="7E6E0F66" w14:textId="4E66499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4001" w14:textId="62F700C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37B3B1B" w14:textId="75EE52D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722</w:t>
            </w:r>
          </w:p>
        </w:tc>
        <w:tc>
          <w:tcPr>
            <w:tcW w:w="934" w:type="dxa"/>
            <w:tcBorders>
              <w:top w:val="nil"/>
              <w:left w:val="nil"/>
              <w:bottom w:val="single" w:sz="4" w:space="0" w:color="auto"/>
              <w:right w:val="single" w:sz="4" w:space="0" w:color="auto"/>
            </w:tcBorders>
            <w:shd w:val="clear" w:color="auto" w:fill="auto"/>
            <w:noWrap/>
            <w:vAlign w:val="center"/>
          </w:tcPr>
          <w:p w14:paraId="6997655B" w14:textId="4384D7D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644</w:t>
            </w:r>
          </w:p>
        </w:tc>
        <w:tc>
          <w:tcPr>
            <w:tcW w:w="933" w:type="dxa"/>
            <w:tcBorders>
              <w:top w:val="nil"/>
              <w:left w:val="nil"/>
              <w:bottom w:val="single" w:sz="4" w:space="0" w:color="auto"/>
              <w:right w:val="single" w:sz="4" w:space="0" w:color="auto"/>
            </w:tcBorders>
            <w:shd w:val="clear" w:color="auto" w:fill="auto"/>
            <w:noWrap/>
            <w:vAlign w:val="center"/>
          </w:tcPr>
          <w:p w14:paraId="70183922" w14:textId="2BBC3F6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C54CED3" w14:textId="60D40DE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794</w:t>
            </w:r>
          </w:p>
        </w:tc>
        <w:tc>
          <w:tcPr>
            <w:tcW w:w="934" w:type="dxa"/>
            <w:tcBorders>
              <w:top w:val="nil"/>
              <w:left w:val="nil"/>
              <w:bottom w:val="single" w:sz="4" w:space="0" w:color="auto"/>
              <w:right w:val="single" w:sz="4" w:space="0" w:color="auto"/>
            </w:tcBorders>
            <w:shd w:val="clear" w:color="auto" w:fill="auto"/>
            <w:noWrap/>
            <w:vAlign w:val="center"/>
          </w:tcPr>
          <w:p w14:paraId="0C8F7010" w14:textId="7398E4F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2,159</w:t>
            </w:r>
          </w:p>
        </w:tc>
      </w:tr>
      <w:tr w:rsidR="003E2B9F" w:rsidRPr="00B469AB" w14:paraId="50B0FC46"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08A62B2" w14:textId="32C6437D"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Integrated Clinical Oncology Network Pty Ltd</w:t>
            </w:r>
          </w:p>
        </w:tc>
        <w:tc>
          <w:tcPr>
            <w:tcW w:w="933" w:type="dxa"/>
            <w:tcBorders>
              <w:top w:val="single" w:sz="4" w:space="0" w:color="auto"/>
              <w:left w:val="nil"/>
              <w:bottom w:val="single" w:sz="4" w:space="0" w:color="auto"/>
              <w:right w:val="single" w:sz="4" w:space="0" w:color="auto"/>
            </w:tcBorders>
            <w:vAlign w:val="center"/>
          </w:tcPr>
          <w:p w14:paraId="08806FB9" w14:textId="5E73549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363</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30AD3" w14:textId="17E7D03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972F45B" w14:textId="02775CC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A150746" w14:textId="02CBD5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3C4D575" w14:textId="4F56754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13DB8DA" w14:textId="0D4D7C5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7E96ABE" w14:textId="466DF96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363</w:t>
            </w:r>
          </w:p>
        </w:tc>
      </w:tr>
      <w:tr w:rsidR="003E2B9F" w:rsidRPr="00B469AB" w14:paraId="2333038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0CAF002" w14:textId="502EB4E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Jesuit Social Services Limited</w:t>
            </w:r>
          </w:p>
        </w:tc>
        <w:tc>
          <w:tcPr>
            <w:tcW w:w="933" w:type="dxa"/>
            <w:tcBorders>
              <w:top w:val="single" w:sz="4" w:space="0" w:color="auto"/>
              <w:left w:val="nil"/>
              <w:bottom w:val="single" w:sz="4" w:space="0" w:color="auto"/>
              <w:right w:val="single" w:sz="4" w:space="0" w:color="auto"/>
            </w:tcBorders>
            <w:vAlign w:val="center"/>
          </w:tcPr>
          <w:p w14:paraId="03103E35" w14:textId="1B54B7C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84077" w14:textId="69C490B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A3DD67F" w14:textId="00D123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100</w:t>
            </w:r>
          </w:p>
        </w:tc>
        <w:tc>
          <w:tcPr>
            <w:tcW w:w="934" w:type="dxa"/>
            <w:tcBorders>
              <w:top w:val="nil"/>
              <w:left w:val="nil"/>
              <w:bottom w:val="single" w:sz="4" w:space="0" w:color="auto"/>
              <w:right w:val="single" w:sz="4" w:space="0" w:color="auto"/>
            </w:tcBorders>
            <w:shd w:val="clear" w:color="auto" w:fill="auto"/>
            <w:noWrap/>
            <w:vAlign w:val="center"/>
          </w:tcPr>
          <w:p w14:paraId="015A81A2" w14:textId="5CB8E37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3,389</w:t>
            </w:r>
          </w:p>
        </w:tc>
        <w:tc>
          <w:tcPr>
            <w:tcW w:w="933" w:type="dxa"/>
            <w:tcBorders>
              <w:top w:val="nil"/>
              <w:left w:val="nil"/>
              <w:bottom w:val="single" w:sz="4" w:space="0" w:color="auto"/>
              <w:right w:val="single" w:sz="4" w:space="0" w:color="auto"/>
            </w:tcBorders>
            <w:shd w:val="clear" w:color="auto" w:fill="auto"/>
            <w:noWrap/>
            <w:vAlign w:val="center"/>
          </w:tcPr>
          <w:p w14:paraId="082BDFDF" w14:textId="062BAF0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6383473" w14:textId="3DD1592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540D4DE" w14:textId="59D8D078"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3,489</w:t>
            </w:r>
          </w:p>
        </w:tc>
      </w:tr>
      <w:tr w:rsidR="003E2B9F" w:rsidRPr="00B469AB" w14:paraId="510EB05E"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71A4C8E" w14:textId="57918FC9"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La Trobe University</w:t>
            </w:r>
          </w:p>
        </w:tc>
        <w:tc>
          <w:tcPr>
            <w:tcW w:w="933" w:type="dxa"/>
            <w:tcBorders>
              <w:top w:val="single" w:sz="4" w:space="0" w:color="auto"/>
              <w:left w:val="nil"/>
              <w:bottom w:val="single" w:sz="4" w:space="0" w:color="auto"/>
              <w:right w:val="single" w:sz="4" w:space="0" w:color="auto"/>
            </w:tcBorders>
            <w:vAlign w:val="center"/>
          </w:tcPr>
          <w:p w14:paraId="7EAE445E" w14:textId="459E0FC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3,226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043D" w14:textId="455EDDD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596</w:t>
            </w:r>
          </w:p>
        </w:tc>
        <w:tc>
          <w:tcPr>
            <w:tcW w:w="933" w:type="dxa"/>
            <w:tcBorders>
              <w:top w:val="nil"/>
              <w:left w:val="nil"/>
              <w:bottom w:val="single" w:sz="4" w:space="0" w:color="auto"/>
              <w:right w:val="single" w:sz="4" w:space="0" w:color="auto"/>
            </w:tcBorders>
            <w:shd w:val="clear" w:color="auto" w:fill="auto"/>
            <w:noWrap/>
            <w:vAlign w:val="center"/>
          </w:tcPr>
          <w:p w14:paraId="0149529C" w14:textId="7D870DB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124</w:t>
            </w:r>
          </w:p>
        </w:tc>
        <w:tc>
          <w:tcPr>
            <w:tcW w:w="934" w:type="dxa"/>
            <w:tcBorders>
              <w:top w:val="nil"/>
              <w:left w:val="nil"/>
              <w:bottom w:val="single" w:sz="4" w:space="0" w:color="auto"/>
              <w:right w:val="single" w:sz="4" w:space="0" w:color="auto"/>
            </w:tcBorders>
            <w:shd w:val="clear" w:color="auto" w:fill="auto"/>
            <w:noWrap/>
            <w:vAlign w:val="center"/>
          </w:tcPr>
          <w:p w14:paraId="74F2D1DB" w14:textId="67371BC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2,703</w:t>
            </w:r>
          </w:p>
        </w:tc>
        <w:tc>
          <w:tcPr>
            <w:tcW w:w="933" w:type="dxa"/>
            <w:tcBorders>
              <w:top w:val="nil"/>
              <w:left w:val="nil"/>
              <w:bottom w:val="single" w:sz="4" w:space="0" w:color="auto"/>
              <w:right w:val="single" w:sz="4" w:space="0" w:color="auto"/>
            </w:tcBorders>
            <w:shd w:val="clear" w:color="auto" w:fill="auto"/>
            <w:noWrap/>
            <w:vAlign w:val="center"/>
          </w:tcPr>
          <w:p w14:paraId="2269BEB0" w14:textId="4369476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832</w:t>
            </w:r>
          </w:p>
        </w:tc>
        <w:tc>
          <w:tcPr>
            <w:tcW w:w="933" w:type="dxa"/>
            <w:tcBorders>
              <w:top w:val="nil"/>
              <w:left w:val="nil"/>
              <w:bottom w:val="single" w:sz="4" w:space="0" w:color="auto"/>
              <w:right w:val="single" w:sz="4" w:space="0" w:color="auto"/>
            </w:tcBorders>
            <w:shd w:val="clear" w:color="auto" w:fill="auto"/>
            <w:noWrap/>
            <w:vAlign w:val="center"/>
          </w:tcPr>
          <w:p w14:paraId="4DC53C2E" w14:textId="0D1F526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112</w:t>
            </w:r>
          </w:p>
        </w:tc>
        <w:tc>
          <w:tcPr>
            <w:tcW w:w="934" w:type="dxa"/>
            <w:tcBorders>
              <w:top w:val="nil"/>
              <w:left w:val="nil"/>
              <w:bottom w:val="single" w:sz="4" w:space="0" w:color="auto"/>
              <w:right w:val="single" w:sz="4" w:space="0" w:color="auto"/>
            </w:tcBorders>
            <w:shd w:val="clear" w:color="auto" w:fill="auto"/>
            <w:noWrap/>
            <w:vAlign w:val="center"/>
          </w:tcPr>
          <w:p w14:paraId="22A28D2D" w14:textId="6E1684A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7,592</w:t>
            </w:r>
          </w:p>
        </w:tc>
      </w:tr>
      <w:tr w:rsidR="003E2B9F" w:rsidRPr="00B469AB" w14:paraId="4594E0B3"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B90E8C1" w14:textId="359D1239"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Liverwell Limited</w:t>
            </w:r>
          </w:p>
        </w:tc>
        <w:tc>
          <w:tcPr>
            <w:tcW w:w="933" w:type="dxa"/>
            <w:tcBorders>
              <w:top w:val="single" w:sz="4" w:space="0" w:color="auto"/>
              <w:left w:val="nil"/>
              <w:bottom w:val="single" w:sz="4" w:space="0" w:color="auto"/>
              <w:right w:val="single" w:sz="4" w:space="0" w:color="auto"/>
            </w:tcBorders>
            <w:vAlign w:val="center"/>
          </w:tcPr>
          <w:p w14:paraId="236F01C9" w14:textId="1723732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398BB" w14:textId="62ED781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A66EB44" w14:textId="67ED57C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95C656C" w14:textId="20AAF7C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8ABB247" w14:textId="6EB8D69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DE34A06" w14:textId="6963824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1,623</w:t>
            </w:r>
          </w:p>
        </w:tc>
        <w:tc>
          <w:tcPr>
            <w:tcW w:w="934" w:type="dxa"/>
            <w:tcBorders>
              <w:top w:val="nil"/>
              <w:left w:val="nil"/>
              <w:bottom w:val="single" w:sz="4" w:space="0" w:color="auto"/>
              <w:right w:val="single" w:sz="4" w:space="0" w:color="auto"/>
            </w:tcBorders>
            <w:shd w:val="clear" w:color="auto" w:fill="auto"/>
            <w:noWrap/>
            <w:vAlign w:val="center"/>
          </w:tcPr>
          <w:p w14:paraId="439BA850" w14:textId="391F18A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1,623</w:t>
            </w:r>
          </w:p>
        </w:tc>
      </w:tr>
      <w:tr w:rsidR="003E2B9F" w:rsidRPr="00B469AB" w14:paraId="0597F92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B7D127C" w14:textId="2E2A2B22"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Mackillop Family Services Limited</w:t>
            </w:r>
          </w:p>
        </w:tc>
        <w:tc>
          <w:tcPr>
            <w:tcW w:w="933" w:type="dxa"/>
            <w:tcBorders>
              <w:top w:val="single" w:sz="4" w:space="0" w:color="auto"/>
              <w:left w:val="nil"/>
              <w:bottom w:val="single" w:sz="4" w:space="0" w:color="auto"/>
              <w:right w:val="single" w:sz="4" w:space="0" w:color="auto"/>
            </w:tcBorders>
            <w:vAlign w:val="center"/>
          </w:tcPr>
          <w:p w14:paraId="40A74482" w14:textId="0DC4F47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6930D" w14:textId="57B1AA8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530</w:t>
            </w:r>
          </w:p>
        </w:tc>
        <w:tc>
          <w:tcPr>
            <w:tcW w:w="933" w:type="dxa"/>
            <w:tcBorders>
              <w:top w:val="nil"/>
              <w:left w:val="nil"/>
              <w:bottom w:val="single" w:sz="4" w:space="0" w:color="auto"/>
              <w:right w:val="single" w:sz="4" w:space="0" w:color="auto"/>
            </w:tcBorders>
            <w:shd w:val="clear" w:color="auto" w:fill="auto"/>
            <w:noWrap/>
            <w:vAlign w:val="center"/>
          </w:tcPr>
          <w:p w14:paraId="6C044B03" w14:textId="2884B91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BBEA481" w14:textId="173E7F4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1,231</w:t>
            </w:r>
          </w:p>
        </w:tc>
        <w:tc>
          <w:tcPr>
            <w:tcW w:w="933" w:type="dxa"/>
            <w:tcBorders>
              <w:top w:val="nil"/>
              <w:left w:val="nil"/>
              <w:bottom w:val="single" w:sz="4" w:space="0" w:color="auto"/>
              <w:right w:val="single" w:sz="4" w:space="0" w:color="auto"/>
            </w:tcBorders>
            <w:shd w:val="clear" w:color="auto" w:fill="auto"/>
            <w:noWrap/>
            <w:vAlign w:val="center"/>
          </w:tcPr>
          <w:p w14:paraId="5BB9D0CA" w14:textId="0F452B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8BACD4" w14:textId="2802B0D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371F384" w14:textId="50DD4DF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1,761</w:t>
            </w:r>
          </w:p>
        </w:tc>
      </w:tr>
      <w:tr w:rsidR="003E2B9F" w:rsidRPr="00B469AB" w14:paraId="5EBFC809"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23D403B" w14:textId="15AAD7F8"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w:t>
            </w:r>
            <w:r w:rsidR="00C162FF">
              <w:rPr>
                <w:rFonts w:cs="Arial"/>
                <w:color w:val="000000"/>
                <w:sz w:val="15"/>
                <w:szCs w:val="15"/>
              </w:rPr>
              <w:t>ECWA</w:t>
            </w:r>
          </w:p>
        </w:tc>
        <w:tc>
          <w:tcPr>
            <w:tcW w:w="933" w:type="dxa"/>
            <w:tcBorders>
              <w:top w:val="single" w:sz="4" w:space="0" w:color="auto"/>
              <w:left w:val="nil"/>
              <w:bottom w:val="single" w:sz="4" w:space="0" w:color="auto"/>
              <w:right w:val="single" w:sz="4" w:space="0" w:color="auto"/>
            </w:tcBorders>
            <w:vAlign w:val="center"/>
          </w:tcPr>
          <w:p w14:paraId="5823AC1A" w14:textId="0031C69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1A834" w14:textId="7AA61E8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10,112</w:t>
            </w:r>
          </w:p>
        </w:tc>
        <w:tc>
          <w:tcPr>
            <w:tcW w:w="933" w:type="dxa"/>
            <w:tcBorders>
              <w:top w:val="nil"/>
              <w:left w:val="nil"/>
              <w:bottom w:val="single" w:sz="4" w:space="0" w:color="auto"/>
              <w:right w:val="single" w:sz="4" w:space="0" w:color="auto"/>
            </w:tcBorders>
            <w:shd w:val="clear" w:color="auto" w:fill="auto"/>
            <w:noWrap/>
            <w:vAlign w:val="center"/>
          </w:tcPr>
          <w:p w14:paraId="705E9E31" w14:textId="57331A6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8E7ACB1" w14:textId="314D5CD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AD8FBE8" w14:textId="2B8C7A9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144EBFE" w14:textId="762B0C1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C1E3AB9" w14:textId="682B2D9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10,112</w:t>
            </w:r>
          </w:p>
        </w:tc>
      </w:tr>
      <w:tr w:rsidR="003E2B9F" w:rsidRPr="00B469AB" w14:paraId="5C5AA9A8"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E69F2C8" w14:textId="0E87650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Melbourne City Mission</w:t>
            </w:r>
          </w:p>
        </w:tc>
        <w:tc>
          <w:tcPr>
            <w:tcW w:w="933" w:type="dxa"/>
            <w:tcBorders>
              <w:top w:val="single" w:sz="4" w:space="0" w:color="auto"/>
              <w:left w:val="nil"/>
              <w:bottom w:val="single" w:sz="4" w:space="0" w:color="auto"/>
              <w:right w:val="single" w:sz="4" w:space="0" w:color="auto"/>
            </w:tcBorders>
            <w:vAlign w:val="center"/>
          </w:tcPr>
          <w:p w14:paraId="46918ACD" w14:textId="219F5FF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8,099</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3F775" w14:textId="4BD2691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217</w:t>
            </w:r>
          </w:p>
        </w:tc>
        <w:tc>
          <w:tcPr>
            <w:tcW w:w="933" w:type="dxa"/>
            <w:tcBorders>
              <w:top w:val="nil"/>
              <w:left w:val="nil"/>
              <w:bottom w:val="single" w:sz="4" w:space="0" w:color="auto"/>
              <w:right w:val="single" w:sz="4" w:space="0" w:color="auto"/>
            </w:tcBorders>
            <w:shd w:val="clear" w:color="auto" w:fill="auto"/>
            <w:noWrap/>
            <w:vAlign w:val="center"/>
          </w:tcPr>
          <w:p w14:paraId="7BB922F6" w14:textId="21D0A6B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87F20F2" w14:textId="10FB9F1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01F94D8" w14:textId="7930428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69DED66" w14:textId="43ECF85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3A92E1C" w14:textId="721A515B"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8,316</w:t>
            </w:r>
          </w:p>
        </w:tc>
      </w:tr>
      <w:tr w:rsidR="003E2B9F" w:rsidRPr="00B469AB" w14:paraId="26F741A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D2B88CC" w14:textId="5A13BB9B"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lastRenderedPageBreak/>
              <w:t>Melbourne Primary Care Network Limited</w:t>
            </w:r>
          </w:p>
        </w:tc>
        <w:tc>
          <w:tcPr>
            <w:tcW w:w="933" w:type="dxa"/>
            <w:tcBorders>
              <w:top w:val="single" w:sz="4" w:space="0" w:color="auto"/>
              <w:left w:val="nil"/>
              <w:bottom w:val="single" w:sz="4" w:space="0" w:color="auto"/>
              <w:right w:val="single" w:sz="4" w:space="0" w:color="auto"/>
            </w:tcBorders>
            <w:vAlign w:val="center"/>
          </w:tcPr>
          <w:p w14:paraId="211818A6" w14:textId="220E965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8BC2" w14:textId="34D401D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A2A7D3A" w14:textId="5C08243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B12D530" w14:textId="1043C7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C897857" w14:textId="51664E9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w:t>
            </w:r>
          </w:p>
        </w:tc>
        <w:tc>
          <w:tcPr>
            <w:tcW w:w="933" w:type="dxa"/>
            <w:tcBorders>
              <w:top w:val="nil"/>
              <w:left w:val="nil"/>
              <w:bottom w:val="single" w:sz="4" w:space="0" w:color="auto"/>
              <w:right w:val="single" w:sz="4" w:space="0" w:color="auto"/>
            </w:tcBorders>
            <w:shd w:val="clear" w:color="auto" w:fill="auto"/>
            <w:noWrap/>
            <w:vAlign w:val="center"/>
          </w:tcPr>
          <w:p w14:paraId="20DA7CA5" w14:textId="2F17E41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614</w:t>
            </w:r>
          </w:p>
        </w:tc>
        <w:tc>
          <w:tcPr>
            <w:tcW w:w="934" w:type="dxa"/>
            <w:tcBorders>
              <w:top w:val="nil"/>
              <w:left w:val="nil"/>
              <w:bottom w:val="single" w:sz="4" w:space="0" w:color="auto"/>
              <w:right w:val="single" w:sz="4" w:space="0" w:color="auto"/>
            </w:tcBorders>
            <w:shd w:val="clear" w:color="auto" w:fill="auto"/>
            <w:noWrap/>
            <w:vAlign w:val="center"/>
          </w:tcPr>
          <w:p w14:paraId="78EC9403" w14:textId="77B919BE"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658</w:t>
            </w:r>
          </w:p>
        </w:tc>
      </w:tr>
      <w:tr w:rsidR="003E2B9F" w:rsidRPr="00B469AB" w14:paraId="75FDDBA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69DB825" w14:textId="7005B778"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Mental Health Victoria Ltd</w:t>
            </w:r>
          </w:p>
        </w:tc>
        <w:tc>
          <w:tcPr>
            <w:tcW w:w="933" w:type="dxa"/>
            <w:tcBorders>
              <w:top w:val="single" w:sz="4" w:space="0" w:color="auto"/>
              <w:left w:val="nil"/>
              <w:bottom w:val="single" w:sz="4" w:space="0" w:color="auto"/>
              <w:right w:val="single" w:sz="4" w:space="0" w:color="auto"/>
            </w:tcBorders>
            <w:vAlign w:val="center"/>
          </w:tcPr>
          <w:p w14:paraId="560F4932" w14:textId="3F8098E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E8DF1" w14:textId="2FCA9B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448090E" w14:textId="2E585B5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A9021E6" w14:textId="73524C2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1,454</w:t>
            </w:r>
          </w:p>
        </w:tc>
        <w:tc>
          <w:tcPr>
            <w:tcW w:w="933" w:type="dxa"/>
            <w:tcBorders>
              <w:top w:val="nil"/>
              <w:left w:val="nil"/>
              <w:bottom w:val="single" w:sz="4" w:space="0" w:color="auto"/>
              <w:right w:val="single" w:sz="4" w:space="0" w:color="auto"/>
            </w:tcBorders>
            <w:shd w:val="clear" w:color="auto" w:fill="auto"/>
            <w:noWrap/>
            <w:vAlign w:val="center"/>
          </w:tcPr>
          <w:p w14:paraId="767136CA" w14:textId="643EF92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04FD319" w14:textId="24A4D50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1625FB1" w14:textId="44EBCF5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1,454</w:t>
            </w:r>
          </w:p>
        </w:tc>
      </w:tr>
      <w:tr w:rsidR="003E2B9F" w:rsidRPr="00B469AB" w14:paraId="32A55DD8"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6E03AAF" w14:textId="61D3960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Mercy Palliative Care Ltd</w:t>
            </w:r>
          </w:p>
        </w:tc>
        <w:tc>
          <w:tcPr>
            <w:tcW w:w="933" w:type="dxa"/>
            <w:tcBorders>
              <w:top w:val="single" w:sz="4" w:space="0" w:color="auto"/>
              <w:left w:val="nil"/>
              <w:bottom w:val="single" w:sz="4" w:space="0" w:color="auto"/>
              <w:right w:val="single" w:sz="4" w:space="0" w:color="auto"/>
            </w:tcBorders>
            <w:vAlign w:val="center"/>
          </w:tcPr>
          <w:p w14:paraId="68EE9BFE" w14:textId="4B56267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10,276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936C5" w14:textId="7C98EC8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736EDF9" w14:textId="3571240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1544219" w14:textId="5822B9D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8788E5A" w14:textId="607CC5C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3F9E14C" w14:textId="03F3658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444E8D8" w14:textId="6194825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10,276</w:t>
            </w:r>
          </w:p>
        </w:tc>
      </w:tr>
      <w:tr w:rsidR="003E2B9F" w:rsidRPr="00B469AB" w14:paraId="0214E27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D0DE3DD" w14:textId="32320A48"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Merri Outreach Support Service Inc</w:t>
            </w:r>
          </w:p>
        </w:tc>
        <w:tc>
          <w:tcPr>
            <w:tcW w:w="933" w:type="dxa"/>
            <w:tcBorders>
              <w:top w:val="single" w:sz="4" w:space="0" w:color="auto"/>
              <w:left w:val="nil"/>
              <w:bottom w:val="single" w:sz="4" w:space="0" w:color="auto"/>
              <w:right w:val="single" w:sz="4" w:space="0" w:color="auto"/>
            </w:tcBorders>
            <w:vAlign w:val="center"/>
          </w:tcPr>
          <w:p w14:paraId="1F06626C" w14:textId="45E9365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357DF" w14:textId="1DAB063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1,752</w:t>
            </w:r>
          </w:p>
        </w:tc>
        <w:tc>
          <w:tcPr>
            <w:tcW w:w="933" w:type="dxa"/>
            <w:tcBorders>
              <w:top w:val="nil"/>
              <w:left w:val="nil"/>
              <w:bottom w:val="single" w:sz="4" w:space="0" w:color="auto"/>
              <w:right w:val="single" w:sz="4" w:space="0" w:color="auto"/>
            </w:tcBorders>
            <w:shd w:val="clear" w:color="auto" w:fill="auto"/>
            <w:noWrap/>
            <w:vAlign w:val="center"/>
          </w:tcPr>
          <w:p w14:paraId="406EDA75" w14:textId="473308E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7BF892D" w14:textId="374D258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9FE78EA" w14:textId="4EFED19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715C56" w14:textId="5071FC8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1F012FA" w14:textId="13CC7F5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1,752</w:t>
            </w:r>
          </w:p>
        </w:tc>
      </w:tr>
      <w:tr w:rsidR="003E2B9F" w:rsidRPr="00B469AB" w14:paraId="76CE464B"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640609E" w14:textId="70A98FC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Mind Australia</w:t>
            </w:r>
          </w:p>
        </w:tc>
        <w:tc>
          <w:tcPr>
            <w:tcW w:w="933" w:type="dxa"/>
            <w:tcBorders>
              <w:top w:val="single" w:sz="4" w:space="0" w:color="auto"/>
              <w:left w:val="nil"/>
              <w:bottom w:val="single" w:sz="4" w:space="0" w:color="auto"/>
              <w:right w:val="single" w:sz="4" w:space="0" w:color="auto"/>
            </w:tcBorders>
            <w:vAlign w:val="center"/>
          </w:tcPr>
          <w:p w14:paraId="48BE9740" w14:textId="7E8D1A3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63180" w14:textId="6EA8D06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245D676" w14:textId="345AEB6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C415A57" w14:textId="5F500E4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33,365</w:t>
            </w:r>
          </w:p>
        </w:tc>
        <w:tc>
          <w:tcPr>
            <w:tcW w:w="933" w:type="dxa"/>
            <w:tcBorders>
              <w:top w:val="nil"/>
              <w:left w:val="nil"/>
              <w:bottom w:val="single" w:sz="4" w:space="0" w:color="auto"/>
              <w:right w:val="single" w:sz="4" w:space="0" w:color="auto"/>
            </w:tcBorders>
            <w:shd w:val="clear" w:color="auto" w:fill="auto"/>
            <w:noWrap/>
            <w:vAlign w:val="center"/>
          </w:tcPr>
          <w:p w14:paraId="62337D8A" w14:textId="34CDDD7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C641157" w14:textId="2B479FE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5FA1A42" w14:textId="67B8984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33,365</w:t>
            </w:r>
          </w:p>
        </w:tc>
      </w:tr>
      <w:tr w:rsidR="003E2B9F" w:rsidRPr="00B469AB" w14:paraId="2CA37DF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6B8FCC" w14:textId="2F74682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Moira Inc.</w:t>
            </w:r>
          </w:p>
        </w:tc>
        <w:tc>
          <w:tcPr>
            <w:tcW w:w="933" w:type="dxa"/>
            <w:tcBorders>
              <w:top w:val="single" w:sz="4" w:space="0" w:color="auto"/>
              <w:left w:val="nil"/>
              <w:bottom w:val="single" w:sz="4" w:space="0" w:color="auto"/>
              <w:right w:val="single" w:sz="4" w:space="0" w:color="auto"/>
            </w:tcBorders>
            <w:vAlign w:val="center"/>
          </w:tcPr>
          <w:p w14:paraId="46B95AF1" w14:textId="1A8A1AD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2F41" w14:textId="01DB80C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1,233</w:t>
            </w:r>
          </w:p>
        </w:tc>
        <w:tc>
          <w:tcPr>
            <w:tcW w:w="933" w:type="dxa"/>
            <w:tcBorders>
              <w:top w:val="nil"/>
              <w:left w:val="nil"/>
              <w:bottom w:val="single" w:sz="4" w:space="0" w:color="auto"/>
              <w:right w:val="single" w:sz="4" w:space="0" w:color="auto"/>
            </w:tcBorders>
            <w:shd w:val="clear" w:color="auto" w:fill="auto"/>
            <w:noWrap/>
            <w:vAlign w:val="center"/>
          </w:tcPr>
          <w:p w14:paraId="2F8FA5CF" w14:textId="4FDB3E1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4D8BDD5" w14:textId="1F36DAD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9F760BA" w14:textId="49FA889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246C34C" w14:textId="6AD8E2C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FBEFAAD" w14:textId="6CC2C03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1,233</w:t>
            </w:r>
          </w:p>
        </w:tc>
      </w:tr>
      <w:tr w:rsidR="003E2B9F" w:rsidRPr="00B469AB" w14:paraId="5EB43CE4"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72337C8" w14:textId="5A5EF54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Monash University</w:t>
            </w:r>
          </w:p>
        </w:tc>
        <w:tc>
          <w:tcPr>
            <w:tcW w:w="933" w:type="dxa"/>
            <w:tcBorders>
              <w:top w:val="single" w:sz="4" w:space="0" w:color="auto"/>
              <w:left w:val="nil"/>
              <w:bottom w:val="single" w:sz="4" w:space="0" w:color="auto"/>
              <w:right w:val="single" w:sz="4" w:space="0" w:color="auto"/>
            </w:tcBorders>
            <w:vAlign w:val="center"/>
          </w:tcPr>
          <w:p w14:paraId="238A3792" w14:textId="66FC2CD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1,686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CDEA7" w14:textId="1BBE46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4066FA8" w14:textId="66CF6D9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5F64257" w14:textId="4B454CD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35BFA4A" w14:textId="71ACFA8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A9DDE4B" w14:textId="1F9E58E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486</w:t>
            </w:r>
          </w:p>
        </w:tc>
        <w:tc>
          <w:tcPr>
            <w:tcW w:w="934" w:type="dxa"/>
            <w:tcBorders>
              <w:top w:val="nil"/>
              <w:left w:val="nil"/>
              <w:bottom w:val="single" w:sz="4" w:space="0" w:color="auto"/>
              <w:right w:val="single" w:sz="4" w:space="0" w:color="auto"/>
            </w:tcBorders>
            <w:shd w:val="clear" w:color="auto" w:fill="auto"/>
            <w:noWrap/>
            <w:vAlign w:val="center"/>
          </w:tcPr>
          <w:p w14:paraId="7565D549" w14:textId="54E7E2C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2,173</w:t>
            </w:r>
          </w:p>
        </w:tc>
      </w:tr>
      <w:tr w:rsidR="003E2B9F" w:rsidRPr="00B469AB" w14:paraId="30547C4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390DBE8" w14:textId="53D57393"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Murdoch Children</w:t>
            </w:r>
            <w:r w:rsidR="00544284">
              <w:rPr>
                <w:rFonts w:cs="Arial"/>
                <w:color w:val="000000"/>
                <w:sz w:val="15"/>
                <w:szCs w:val="15"/>
              </w:rPr>
              <w:t>’</w:t>
            </w:r>
            <w:r>
              <w:rPr>
                <w:rFonts w:cs="Arial"/>
                <w:color w:val="000000"/>
                <w:sz w:val="15"/>
                <w:szCs w:val="15"/>
              </w:rPr>
              <w:t>s Research Institute</w:t>
            </w:r>
          </w:p>
        </w:tc>
        <w:tc>
          <w:tcPr>
            <w:tcW w:w="933" w:type="dxa"/>
            <w:tcBorders>
              <w:top w:val="single" w:sz="4" w:space="0" w:color="auto"/>
              <w:left w:val="nil"/>
              <w:bottom w:val="single" w:sz="4" w:space="0" w:color="auto"/>
              <w:right w:val="single" w:sz="4" w:space="0" w:color="auto"/>
            </w:tcBorders>
            <w:vAlign w:val="center"/>
          </w:tcPr>
          <w:p w14:paraId="2765E38A" w14:textId="3A42B41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140</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ADBB" w14:textId="090E7C6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AAEE55B" w14:textId="1B5DCC3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2A1A8CD" w14:textId="7447005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ED5AB05" w14:textId="0FAFE2E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60EC3E6" w14:textId="453ACBB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477</w:t>
            </w:r>
          </w:p>
        </w:tc>
        <w:tc>
          <w:tcPr>
            <w:tcW w:w="934" w:type="dxa"/>
            <w:tcBorders>
              <w:top w:val="nil"/>
              <w:left w:val="nil"/>
              <w:bottom w:val="single" w:sz="4" w:space="0" w:color="auto"/>
              <w:right w:val="single" w:sz="4" w:space="0" w:color="auto"/>
            </w:tcBorders>
            <w:shd w:val="clear" w:color="auto" w:fill="auto"/>
            <w:noWrap/>
            <w:vAlign w:val="center"/>
          </w:tcPr>
          <w:p w14:paraId="4F7E0361" w14:textId="431758B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617</w:t>
            </w:r>
          </w:p>
        </w:tc>
      </w:tr>
      <w:tr w:rsidR="003E2B9F" w:rsidRPr="00B469AB" w14:paraId="44E84A6E"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42F7F30" w14:textId="26BB163E"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Neami Limited</w:t>
            </w:r>
          </w:p>
        </w:tc>
        <w:tc>
          <w:tcPr>
            <w:tcW w:w="933" w:type="dxa"/>
            <w:tcBorders>
              <w:top w:val="single" w:sz="4" w:space="0" w:color="auto"/>
              <w:left w:val="nil"/>
              <w:bottom w:val="single" w:sz="4" w:space="0" w:color="auto"/>
              <w:right w:val="single" w:sz="4" w:space="0" w:color="auto"/>
            </w:tcBorders>
            <w:vAlign w:val="center"/>
          </w:tcPr>
          <w:p w14:paraId="5AE57F50" w14:textId="2BF6AE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453DF" w14:textId="3B29F12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F226AB9" w14:textId="6B65035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6653DCE" w14:textId="036F3F4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22,559</w:t>
            </w:r>
          </w:p>
        </w:tc>
        <w:tc>
          <w:tcPr>
            <w:tcW w:w="933" w:type="dxa"/>
            <w:tcBorders>
              <w:top w:val="nil"/>
              <w:left w:val="nil"/>
              <w:bottom w:val="single" w:sz="4" w:space="0" w:color="auto"/>
              <w:right w:val="single" w:sz="4" w:space="0" w:color="auto"/>
            </w:tcBorders>
            <w:shd w:val="clear" w:color="auto" w:fill="auto"/>
            <w:noWrap/>
            <w:vAlign w:val="center"/>
          </w:tcPr>
          <w:p w14:paraId="5500F8C0" w14:textId="6F7B14C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153D3B0" w14:textId="09864F2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7ECDD08" w14:textId="50B0AE5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22,559</w:t>
            </w:r>
          </w:p>
        </w:tc>
      </w:tr>
      <w:tr w:rsidR="003E2B9F" w:rsidRPr="00B469AB" w14:paraId="28954F5B"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E7C4597" w14:textId="73A36618"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Njernda Aboriginal Corporation</w:t>
            </w:r>
          </w:p>
        </w:tc>
        <w:tc>
          <w:tcPr>
            <w:tcW w:w="933" w:type="dxa"/>
            <w:tcBorders>
              <w:top w:val="single" w:sz="4" w:space="0" w:color="auto"/>
              <w:left w:val="nil"/>
              <w:bottom w:val="single" w:sz="4" w:space="0" w:color="auto"/>
              <w:right w:val="single" w:sz="4" w:space="0" w:color="auto"/>
            </w:tcBorders>
            <w:vAlign w:val="center"/>
          </w:tcPr>
          <w:p w14:paraId="52F4C00B" w14:textId="6A10AF2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304</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D1B6" w14:textId="51BAFA3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198</w:t>
            </w:r>
          </w:p>
        </w:tc>
        <w:tc>
          <w:tcPr>
            <w:tcW w:w="933" w:type="dxa"/>
            <w:tcBorders>
              <w:top w:val="nil"/>
              <w:left w:val="nil"/>
              <w:bottom w:val="single" w:sz="4" w:space="0" w:color="auto"/>
              <w:right w:val="single" w:sz="4" w:space="0" w:color="auto"/>
            </w:tcBorders>
            <w:shd w:val="clear" w:color="auto" w:fill="auto"/>
            <w:noWrap/>
            <w:vAlign w:val="center"/>
          </w:tcPr>
          <w:p w14:paraId="73031FE9" w14:textId="718048C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744</w:t>
            </w:r>
          </w:p>
        </w:tc>
        <w:tc>
          <w:tcPr>
            <w:tcW w:w="934" w:type="dxa"/>
            <w:tcBorders>
              <w:top w:val="nil"/>
              <w:left w:val="nil"/>
              <w:bottom w:val="single" w:sz="4" w:space="0" w:color="auto"/>
              <w:right w:val="single" w:sz="4" w:space="0" w:color="auto"/>
            </w:tcBorders>
            <w:shd w:val="clear" w:color="auto" w:fill="auto"/>
            <w:noWrap/>
            <w:vAlign w:val="center"/>
          </w:tcPr>
          <w:p w14:paraId="59EC23F4" w14:textId="64E210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80</w:t>
            </w:r>
          </w:p>
        </w:tc>
        <w:tc>
          <w:tcPr>
            <w:tcW w:w="933" w:type="dxa"/>
            <w:tcBorders>
              <w:top w:val="nil"/>
              <w:left w:val="nil"/>
              <w:bottom w:val="single" w:sz="4" w:space="0" w:color="auto"/>
              <w:right w:val="single" w:sz="4" w:space="0" w:color="auto"/>
            </w:tcBorders>
            <w:shd w:val="clear" w:color="auto" w:fill="auto"/>
            <w:noWrap/>
            <w:vAlign w:val="center"/>
          </w:tcPr>
          <w:p w14:paraId="532C40A6" w14:textId="42E665D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592</w:t>
            </w:r>
          </w:p>
        </w:tc>
        <w:tc>
          <w:tcPr>
            <w:tcW w:w="933" w:type="dxa"/>
            <w:tcBorders>
              <w:top w:val="nil"/>
              <w:left w:val="nil"/>
              <w:bottom w:val="single" w:sz="4" w:space="0" w:color="auto"/>
              <w:right w:val="single" w:sz="4" w:space="0" w:color="auto"/>
            </w:tcBorders>
            <w:shd w:val="clear" w:color="auto" w:fill="auto"/>
            <w:noWrap/>
            <w:vAlign w:val="center"/>
          </w:tcPr>
          <w:p w14:paraId="63B9078E" w14:textId="5C8AC55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C63B7F7" w14:textId="139A76D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1,919</w:t>
            </w:r>
          </w:p>
        </w:tc>
      </w:tr>
      <w:tr w:rsidR="003E2B9F" w:rsidRPr="00B469AB" w14:paraId="016E41C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3121A9F" w14:textId="1E7E768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Northern District Community Health</w:t>
            </w:r>
          </w:p>
        </w:tc>
        <w:tc>
          <w:tcPr>
            <w:tcW w:w="933" w:type="dxa"/>
            <w:tcBorders>
              <w:top w:val="single" w:sz="4" w:space="0" w:color="auto"/>
              <w:left w:val="nil"/>
              <w:bottom w:val="single" w:sz="4" w:space="0" w:color="auto"/>
              <w:right w:val="single" w:sz="4" w:space="0" w:color="auto"/>
            </w:tcBorders>
            <w:vAlign w:val="center"/>
          </w:tcPr>
          <w:p w14:paraId="4FC01347" w14:textId="0A4AC35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57D84" w14:textId="15E8E82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282</w:t>
            </w:r>
          </w:p>
        </w:tc>
        <w:tc>
          <w:tcPr>
            <w:tcW w:w="933" w:type="dxa"/>
            <w:tcBorders>
              <w:top w:val="nil"/>
              <w:left w:val="nil"/>
              <w:bottom w:val="single" w:sz="4" w:space="0" w:color="auto"/>
              <w:right w:val="single" w:sz="4" w:space="0" w:color="auto"/>
            </w:tcBorders>
            <w:shd w:val="clear" w:color="auto" w:fill="auto"/>
            <w:noWrap/>
            <w:vAlign w:val="center"/>
          </w:tcPr>
          <w:p w14:paraId="34DCF883" w14:textId="52700EC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C367EFA" w14:textId="19A3E3F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1B1F7F0" w14:textId="4D236DB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1,884</w:t>
            </w:r>
          </w:p>
        </w:tc>
        <w:tc>
          <w:tcPr>
            <w:tcW w:w="933" w:type="dxa"/>
            <w:tcBorders>
              <w:top w:val="nil"/>
              <w:left w:val="nil"/>
              <w:bottom w:val="single" w:sz="4" w:space="0" w:color="auto"/>
              <w:right w:val="single" w:sz="4" w:space="0" w:color="auto"/>
            </w:tcBorders>
            <w:shd w:val="clear" w:color="auto" w:fill="auto"/>
            <w:noWrap/>
            <w:vAlign w:val="center"/>
          </w:tcPr>
          <w:p w14:paraId="53819817" w14:textId="2D71100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DB48565" w14:textId="0DA0DE5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2,166</w:t>
            </w:r>
          </w:p>
        </w:tc>
      </w:tr>
      <w:tr w:rsidR="003E2B9F" w:rsidRPr="00B469AB" w14:paraId="2E8A213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DDDE061" w14:textId="52D9167B"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Nursing And Midwifery Health Program Victoria Ltd</w:t>
            </w:r>
          </w:p>
        </w:tc>
        <w:tc>
          <w:tcPr>
            <w:tcW w:w="933" w:type="dxa"/>
            <w:tcBorders>
              <w:top w:val="single" w:sz="4" w:space="0" w:color="auto"/>
              <w:left w:val="nil"/>
              <w:bottom w:val="single" w:sz="4" w:space="0" w:color="auto"/>
              <w:right w:val="single" w:sz="4" w:space="0" w:color="auto"/>
            </w:tcBorders>
            <w:vAlign w:val="center"/>
          </w:tcPr>
          <w:p w14:paraId="5488C602" w14:textId="56798D5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1,377</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DAF6" w14:textId="4A12372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2A9E9E1" w14:textId="704DC40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B7E46C3" w14:textId="3447CA5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66D8182" w14:textId="21FAE14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0E0377" w14:textId="186E658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EA79849" w14:textId="3CD2A25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1,377</w:t>
            </w:r>
          </w:p>
        </w:tc>
      </w:tr>
      <w:tr w:rsidR="003E2B9F" w:rsidRPr="00B469AB" w14:paraId="2100C367"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429B6D2" w14:textId="586C93D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Odyssey House, Victoria</w:t>
            </w:r>
          </w:p>
        </w:tc>
        <w:tc>
          <w:tcPr>
            <w:tcW w:w="933" w:type="dxa"/>
            <w:tcBorders>
              <w:top w:val="single" w:sz="4" w:space="0" w:color="auto"/>
              <w:left w:val="nil"/>
              <w:bottom w:val="single" w:sz="4" w:space="0" w:color="auto"/>
              <w:right w:val="single" w:sz="4" w:space="0" w:color="auto"/>
            </w:tcBorders>
            <w:vAlign w:val="center"/>
          </w:tcPr>
          <w:p w14:paraId="19713B8B" w14:textId="5D8929A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D375E" w14:textId="3AE3218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ED20A15" w14:textId="47FF62D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25,676</w:t>
            </w:r>
          </w:p>
        </w:tc>
        <w:tc>
          <w:tcPr>
            <w:tcW w:w="934" w:type="dxa"/>
            <w:tcBorders>
              <w:top w:val="nil"/>
              <w:left w:val="nil"/>
              <w:bottom w:val="single" w:sz="4" w:space="0" w:color="auto"/>
              <w:right w:val="single" w:sz="4" w:space="0" w:color="auto"/>
            </w:tcBorders>
            <w:shd w:val="clear" w:color="auto" w:fill="auto"/>
            <w:noWrap/>
            <w:vAlign w:val="center"/>
          </w:tcPr>
          <w:p w14:paraId="3AD9A7EA" w14:textId="3F0D417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B0B7F25" w14:textId="24986CA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3197EB1" w14:textId="4120E2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41E1462" w14:textId="5B74E698"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25,676</w:t>
            </w:r>
          </w:p>
        </w:tc>
      </w:tr>
      <w:tr w:rsidR="003E2B9F" w:rsidRPr="00B469AB" w14:paraId="78229D7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5550B0E" w14:textId="793D8FF1"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Penington Institute</w:t>
            </w:r>
          </w:p>
        </w:tc>
        <w:tc>
          <w:tcPr>
            <w:tcW w:w="933" w:type="dxa"/>
            <w:tcBorders>
              <w:top w:val="single" w:sz="4" w:space="0" w:color="auto"/>
              <w:left w:val="nil"/>
              <w:bottom w:val="single" w:sz="4" w:space="0" w:color="auto"/>
              <w:right w:val="single" w:sz="4" w:space="0" w:color="auto"/>
            </w:tcBorders>
            <w:vAlign w:val="center"/>
          </w:tcPr>
          <w:p w14:paraId="31453136" w14:textId="1C8ABE9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28BA4" w14:textId="62B2B92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B13C381" w14:textId="61D2E20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1,135</w:t>
            </w:r>
          </w:p>
        </w:tc>
        <w:tc>
          <w:tcPr>
            <w:tcW w:w="934" w:type="dxa"/>
            <w:tcBorders>
              <w:top w:val="nil"/>
              <w:left w:val="nil"/>
              <w:bottom w:val="single" w:sz="4" w:space="0" w:color="auto"/>
              <w:right w:val="single" w:sz="4" w:space="0" w:color="auto"/>
            </w:tcBorders>
            <w:shd w:val="clear" w:color="auto" w:fill="auto"/>
            <w:noWrap/>
            <w:vAlign w:val="center"/>
          </w:tcPr>
          <w:p w14:paraId="70401D28" w14:textId="025671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6AB6AA9" w14:textId="25C2795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927BB39" w14:textId="4EF691E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4464DC6" w14:textId="301B406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1,135</w:t>
            </w:r>
          </w:p>
        </w:tc>
      </w:tr>
      <w:tr w:rsidR="003E2B9F" w:rsidRPr="00B469AB" w14:paraId="2377ADCA"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300A836" w14:textId="495FEB97"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Peninsula Home Hospice</w:t>
            </w:r>
          </w:p>
        </w:tc>
        <w:tc>
          <w:tcPr>
            <w:tcW w:w="933" w:type="dxa"/>
            <w:tcBorders>
              <w:top w:val="single" w:sz="4" w:space="0" w:color="auto"/>
              <w:left w:val="nil"/>
              <w:bottom w:val="single" w:sz="4" w:space="0" w:color="auto"/>
              <w:right w:val="single" w:sz="4" w:space="0" w:color="auto"/>
            </w:tcBorders>
            <w:vAlign w:val="center"/>
          </w:tcPr>
          <w:p w14:paraId="616313C1" w14:textId="7D4E6F5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5,135</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B1096" w14:textId="538C224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637FDD1" w14:textId="088E0AF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D112507" w14:textId="0E3E01E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5C638CF" w14:textId="2C0A4AD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07E510B" w14:textId="58EC8B0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8F7BF6F" w14:textId="5383048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5,135</w:t>
            </w:r>
          </w:p>
        </w:tc>
      </w:tr>
      <w:tr w:rsidR="003E2B9F" w:rsidRPr="00B469AB" w14:paraId="7A15B2AA"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152E0A8" w14:textId="6B2382B9"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People Living With H</w:t>
            </w:r>
            <w:r w:rsidR="00DD6007">
              <w:rPr>
                <w:rFonts w:cs="Arial"/>
                <w:color w:val="000000"/>
                <w:sz w:val="15"/>
                <w:szCs w:val="15"/>
              </w:rPr>
              <w:t>IV</w:t>
            </w:r>
            <w:r>
              <w:rPr>
                <w:rFonts w:cs="Arial"/>
                <w:color w:val="000000"/>
                <w:sz w:val="15"/>
                <w:szCs w:val="15"/>
              </w:rPr>
              <w:t>/A</w:t>
            </w:r>
            <w:r w:rsidR="00DD6007">
              <w:rPr>
                <w:rFonts w:cs="Arial"/>
                <w:color w:val="000000"/>
                <w:sz w:val="15"/>
                <w:szCs w:val="15"/>
              </w:rPr>
              <w:t>IDS</w:t>
            </w:r>
            <w:r>
              <w:rPr>
                <w:rFonts w:cs="Arial"/>
                <w:color w:val="000000"/>
                <w:sz w:val="15"/>
                <w:szCs w:val="15"/>
              </w:rPr>
              <w:t xml:space="preserve"> Victoria Inc</w:t>
            </w:r>
          </w:p>
        </w:tc>
        <w:tc>
          <w:tcPr>
            <w:tcW w:w="933" w:type="dxa"/>
            <w:tcBorders>
              <w:top w:val="single" w:sz="4" w:space="0" w:color="auto"/>
              <w:left w:val="nil"/>
              <w:bottom w:val="single" w:sz="4" w:space="0" w:color="auto"/>
              <w:right w:val="single" w:sz="4" w:space="0" w:color="auto"/>
            </w:tcBorders>
            <w:vAlign w:val="center"/>
          </w:tcPr>
          <w:p w14:paraId="033D864F" w14:textId="7331A18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16FFA" w14:textId="0C00B8E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471A502" w14:textId="69BBFE8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6D419BC" w14:textId="3BCDBD3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1EC4399" w14:textId="5A05292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FEA19A1" w14:textId="4668439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1,967</w:t>
            </w:r>
          </w:p>
        </w:tc>
        <w:tc>
          <w:tcPr>
            <w:tcW w:w="934" w:type="dxa"/>
            <w:tcBorders>
              <w:top w:val="nil"/>
              <w:left w:val="nil"/>
              <w:bottom w:val="single" w:sz="4" w:space="0" w:color="auto"/>
              <w:right w:val="single" w:sz="4" w:space="0" w:color="auto"/>
            </w:tcBorders>
            <w:shd w:val="clear" w:color="auto" w:fill="auto"/>
            <w:noWrap/>
            <w:vAlign w:val="center"/>
          </w:tcPr>
          <w:p w14:paraId="72E5EF2E" w14:textId="18136AE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1,967</w:t>
            </w:r>
          </w:p>
        </w:tc>
      </w:tr>
      <w:tr w:rsidR="003E2B9F" w:rsidRPr="00B469AB" w14:paraId="24132545"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D7426CF" w14:textId="77D51C9D"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Ramahyuck District Aboriginal Corporation</w:t>
            </w:r>
          </w:p>
        </w:tc>
        <w:tc>
          <w:tcPr>
            <w:tcW w:w="933" w:type="dxa"/>
            <w:tcBorders>
              <w:top w:val="single" w:sz="4" w:space="0" w:color="auto"/>
              <w:left w:val="nil"/>
              <w:bottom w:val="single" w:sz="4" w:space="0" w:color="auto"/>
              <w:right w:val="single" w:sz="4" w:space="0" w:color="auto"/>
            </w:tcBorders>
            <w:vAlign w:val="center"/>
          </w:tcPr>
          <w:p w14:paraId="19F2538B" w14:textId="306FFED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303</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1FEBD" w14:textId="6AABFE7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144</w:t>
            </w:r>
          </w:p>
        </w:tc>
        <w:tc>
          <w:tcPr>
            <w:tcW w:w="933" w:type="dxa"/>
            <w:tcBorders>
              <w:top w:val="nil"/>
              <w:left w:val="nil"/>
              <w:bottom w:val="single" w:sz="4" w:space="0" w:color="auto"/>
              <w:right w:val="single" w:sz="4" w:space="0" w:color="auto"/>
            </w:tcBorders>
            <w:shd w:val="clear" w:color="auto" w:fill="auto"/>
            <w:noWrap/>
            <w:vAlign w:val="center"/>
          </w:tcPr>
          <w:p w14:paraId="0CE67101" w14:textId="3F74F41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754</w:t>
            </w:r>
          </w:p>
        </w:tc>
        <w:tc>
          <w:tcPr>
            <w:tcW w:w="934" w:type="dxa"/>
            <w:tcBorders>
              <w:top w:val="nil"/>
              <w:left w:val="nil"/>
              <w:bottom w:val="single" w:sz="4" w:space="0" w:color="auto"/>
              <w:right w:val="single" w:sz="4" w:space="0" w:color="auto"/>
            </w:tcBorders>
            <w:shd w:val="clear" w:color="auto" w:fill="auto"/>
            <w:noWrap/>
            <w:vAlign w:val="center"/>
          </w:tcPr>
          <w:p w14:paraId="7F89ECC1" w14:textId="08B70DA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189</w:t>
            </w:r>
          </w:p>
        </w:tc>
        <w:tc>
          <w:tcPr>
            <w:tcW w:w="933" w:type="dxa"/>
            <w:tcBorders>
              <w:top w:val="nil"/>
              <w:left w:val="nil"/>
              <w:bottom w:val="single" w:sz="4" w:space="0" w:color="auto"/>
              <w:right w:val="single" w:sz="4" w:space="0" w:color="auto"/>
            </w:tcBorders>
            <w:shd w:val="clear" w:color="auto" w:fill="auto"/>
            <w:noWrap/>
            <w:vAlign w:val="center"/>
          </w:tcPr>
          <w:p w14:paraId="694CAD8F" w14:textId="317584E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380</w:t>
            </w:r>
          </w:p>
        </w:tc>
        <w:tc>
          <w:tcPr>
            <w:tcW w:w="933" w:type="dxa"/>
            <w:tcBorders>
              <w:top w:val="nil"/>
              <w:left w:val="nil"/>
              <w:bottom w:val="single" w:sz="4" w:space="0" w:color="auto"/>
              <w:right w:val="single" w:sz="4" w:space="0" w:color="auto"/>
            </w:tcBorders>
            <w:shd w:val="clear" w:color="auto" w:fill="auto"/>
            <w:noWrap/>
            <w:vAlign w:val="center"/>
          </w:tcPr>
          <w:p w14:paraId="3DAB341F" w14:textId="40EE07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BFB55B0" w14:textId="338723F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1,770</w:t>
            </w:r>
          </w:p>
        </w:tc>
      </w:tr>
      <w:tr w:rsidR="003E2B9F" w:rsidRPr="00B469AB" w14:paraId="2B1C8B1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D8983F0" w14:textId="19C70A8A"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 xml:space="preserve">Red Cliffs </w:t>
            </w:r>
            <w:r w:rsidR="00DF6D66">
              <w:rPr>
                <w:rFonts w:cs="Arial"/>
                <w:color w:val="000000"/>
                <w:sz w:val="15"/>
                <w:szCs w:val="15"/>
              </w:rPr>
              <w:t>a</w:t>
            </w:r>
            <w:r>
              <w:rPr>
                <w:rFonts w:cs="Arial"/>
                <w:color w:val="000000"/>
                <w:sz w:val="15"/>
                <w:szCs w:val="15"/>
              </w:rPr>
              <w:t>nd Community Aged Care Services Inc</w:t>
            </w:r>
          </w:p>
        </w:tc>
        <w:tc>
          <w:tcPr>
            <w:tcW w:w="933" w:type="dxa"/>
            <w:tcBorders>
              <w:top w:val="single" w:sz="4" w:space="0" w:color="auto"/>
              <w:left w:val="nil"/>
              <w:bottom w:val="single" w:sz="4" w:space="0" w:color="auto"/>
              <w:right w:val="single" w:sz="4" w:space="0" w:color="auto"/>
            </w:tcBorders>
            <w:vAlign w:val="center"/>
          </w:tcPr>
          <w:p w14:paraId="60468969" w14:textId="3DC6DF2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F7FC4" w14:textId="5923392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1,237</w:t>
            </w:r>
          </w:p>
        </w:tc>
        <w:tc>
          <w:tcPr>
            <w:tcW w:w="933" w:type="dxa"/>
            <w:tcBorders>
              <w:top w:val="nil"/>
              <w:left w:val="nil"/>
              <w:bottom w:val="single" w:sz="4" w:space="0" w:color="auto"/>
              <w:right w:val="single" w:sz="4" w:space="0" w:color="auto"/>
            </w:tcBorders>
            <w:shd w:val="clear" w:color="auto" w:fill="auto"/>
            <w:noWrap/>
            <w:vAlign w:val="center"/>
          </w:tcPr>
          <w:p w14:paraId="4B555419" w14:textId="6957BF2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3883161" w14:textId="5FABE16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ADB181A" w14:textId="78FDCDE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386A53" w14:textId="3BE7D61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953B391" w14:textId="0D0F185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1,237</w:t>
            </w:r>
          </w:p>
        </w:tc>
      </w:tr>
      <w:tr w:rsidR="003E2B9F" w:rsidRPr="00B469AB" w14:paraId="6419D5D8"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1117BF4" w14:textId="3628E3C5"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Royal District Nursing Service Limited</w:t>
            </w:r>
          </w:p>
        </w:tc>
        <w:tc>
          <w:tcPr>
            <w:tcW w:w="933" w:type="dxa"/>
            <w:tcBorders>
              <w:top w:val="single" w:sz="4" w:space="0" w:color="auto"/>
              <w:left w:val="nil"/>
              <w:bottom w:val="single" w:sz="4" w:space="0" w:color="auto"/>
              <w:right w:val="single" w:sz="4" w:space="0" w:color="auto"/>
            </w:tcBorders>
            <w:vAlign w:val="center"/>
          </w:tcPr>
          <w:p w14:paraId="40B369E1" w14:textId="5623E74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C535" w14:textId="57CC48C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32,821</w:t>
            </w:r>
          </w:p>
        </w:tc>
        <w:tc>
          <w:tcPr>
            <w:tcW w:w="933" w:type="dxa"/>
            <w:tcBorders>
              <w:top w:val="nil"/>
              <w:left w:val="nil"/>
              <w:bottom w:val="single" w:sz="4" w:space="0" w:color="auto"/>
              <w:right w:val="single" w:sz="4" w:space="0" w:color="auto"/>
            </w:tcBorders>
            <w:shd w:val="clear" w:color="auto" w:fill="auto"/>
            <w:noWrap/>
            <w:vAlign w:val="center"/>
          </w:tcPr>
          <w:p w14:paraId="30AD5D68" w14:textId="5E2D2A9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5E5242B" w14:textId="633E670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2A940BD" w14:textId="610261D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121</w:t>
            </w:r>
          </w:p>
        </w:tc>
        <w:tc>
          <w:tcPr>
            <w:tcW w:w="933" w:type="dxa"/>
            <w:tcBorders>
              <w:top w:val="nil"/>
              <w:left w:val="nil"/>
              <w:bottom w:val="single" w:sz="4" w:space="0" w:color="auto"/>
              <w:right w:val="single" w:sz="4" w:space="0" w:color="auto"/>
            </w:tcBorders>
            <w:shd w:val="clear" w:color="auto" w:fill="auto"/>
            <w:noWrap/>
            <w:vAlign w:val="center"/>
          </w:tcPr>
          <w:p w14:paraId="7225788F" w14:textId="0B9D15F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868</w:t>
            </w:r>
          </w:p>
        </w:tc>
        <w:tc>
          <w:tcPr>
            <w:tcW w:w="934" w:type="dxa"/>
            <w:tcBorders>
              <w:top w:val="nil"/>
              <w:left w:val="nil"/>
              <w:bottom w:val="single" w:sz="4" w:space="0" w:color="auto"/>
              <w:right w:val="single" w:sz="4" w:space="0" w:color="auto"/>
            </w:tcBorders>
            <w:shd w:val="clear" w:color="auto" w:fill="auto"/>
            <w:noWrap/>
            <w:vAlign w:val="center"/>
          </w:tcPr>
          <w:p w14:paraId="228F075A" w14:textId="00945AF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33,810</w:t>
            </w:r>
          </w:p>
        </w:tc>
      </w:tr>
      <w:tr w:rsidR="003E2B9F" w:rsidRPr="00B469AB" w14:paraId="6D14FE9E"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E2DAA9E" w14:textId="6F3A94B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Rumbalara Aboriginal Co-Operative Limited</w:t>
            </w:r>
          </w:p>
        </w:tc>
        <w:tc>
          <w:tcPr>
            <w:tcW w:w="933" w:type="dxa"/>
            <w:tcBorders>
              <w:top w:val="single" w:sz="4" w:space="0" w:color="auto"/>
              <w:left w:val="nil"/>
              <w:bottom w:val="single" w:sz="4" w:space="0" w:color="auto"/>
              <w:right w:val="single" w:sz="4" w:space="0" w:color="auto"/>
            </w:tcBorders>
            <w:vAlign w:val="center"/>
          </w:tcPr>
          <w:p w14:paraId="7C3CD03B" w14:textId="66BEEF1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242</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BCBA5" w14:textId="610BDED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211</w:t>
            </w:r>
          </w:p>
        </w:tc>
        <w:tc>
          <w:tcPr>
            <w:tcW w:w="933" w:type="dxa"/>
            <w:tcBorders>
              <w:top w:val="nil"/>
              <w:left w:val="nil"/>
              <w:bottom w:val="single" w:sz="4" w:space="0" w:color="auto"/>
              <w:right w:val="single" w:sz="4" w:space="0" w:color="auto"/>
            </w:tcBorders>
            <w:shd w:val="clear" w:color="auto" w:fill="auto"/>
            <w:noWrap/>
            <w:vAlign w:val="center"/>
          </w:tcPr>
          <w:p w14:paraId="06D050FC" w14:textId="6FDB63E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1,903</w:t>
            </w:r>
          </w:p>
        </w:tc>
        <w:tc>
          <w:tcPr>
            <w:tcW w:w="934" w:type="dxa"/>
            <w:tcBorders>
              <w:top w:val="nil"/>
              <w:left w:val="nil"/>
              <w:bottom w:val="single" w:sz="4" w:space="0" w:color="auto"/>
              <w:right w:val="single" w:sz="4" w:space="0" w:color="auto"/>
            </w:tcBorders>
            <w:shd w:val="clear" w:color="auto" w:fill="auto"/>
            <w:noWrap/>
            <w:vAlign w:val="center"/>
          </w:tcPr>
          <w:p w14:paraId="00BF9770" w14:textId="3BEEEA1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81</w:t>
            </w:r>
          </w:p>
        </w:tc>
        <w:tc>
          <w:tcPr>
            <w:tcW w:w="933" w:type="dxa"/>
            <w:tcBorders>
              <w:top w:val="nil"/>
              <w:left w:val="nil"/>
              <w:bottom w:val="single" w:sz="4" w:space="0" w:color="auto"/>
              <w:right w:val="single" w:sz="4" w:space="0" w:color="auto"/>
            </w:tcBorders>
            <w:shd w:val="clear" w:color="auto" w:fill="auto"/>
            <w:noWrap/>
            <w:vAlign w:val="center"/>
          </w:tcPr>
          <w:p w14:paraId="51214687" w14:textId="17BB03B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460</w:t>
            </w:r>
          </w:p>
        </w:tc>
        <w:tc>
          <w:tcPr>
            <w:tcW w:w="933" w:type="dxa"/>
            <w:tcBorders>
              <w:top w:val="nil"/>
              <w:left w:val="nil"/>
              <w:bottom w:val="single" w:sz="4" w:space="0" w:color="auto"/>
              <w:right w:val="single" w:sz="4" w:space="0" w:color="auto"/>
            </w:tcBorders>
            <w:shd w:val="clear" w:color="auto" w:fill="auto"/>
            <w:noWrap/>
            <w:vAlign w:val="center"/>
          </w:tcPr>
          <w:p w14:paraId="049B94A5" w14:textId="0AA00E0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FA23696" w14:textId="70BACAE3"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2,897</w:t>
            </w:r>
          </w:p>
        </w:tc>
      </w:tr>
      <w:tr w:rsidR="003E2B9F" w:rsidRPr="00B469AB" w14:paraId="74D6E1E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978E357" w14:textId="133EFB15"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Rural Workforce Agency, Victoria Limited</w:t>
            </w:r>
          </w:p>
        </w:tc>
        <w:tc>
          <w:tcPr>
            <w:tcW w:w="933" w:type="dxa"/>
            <w:tcBorders>
              <w:top w:val="single" w:sz="4" w:space="0" w:color="auto"/>
              <w:left w:val="nil"/>
              <w:bottom w:val="single" w:sz="4" w:space="0" w:color="auto"/>
              <w:right w:val="single" w:sz="4" w:space="0" w:color="auto"/>
            </w:tcBorders>
            <w:vAlign w:val="center"/>
          </w:tcPr>
          <w:p w14:paraId="378167E8" w14:textId="2E8DBA2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849</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08042" w14:textId="32A24FE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4A52564" w14:textId="2F0627D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E9836C1" w14:textId="5A09B8C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0798A9D" w14:textId="7E006C1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1C796A8" w14:textId="2886460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0EB7AE7" w14:textId="17C972B8"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849</w:t>
            </w:r>
          </w:p>
        </w:tc>
      </w:tr>
      <w:tr w:rsidR="003E2B9F" w:rsidRPr="00B469AB" w14:paraId="146DA861"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2A47F81" w14:textId="68AF3D3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Sacred Heart Mission Inc.</w:t>
            </w:r>
          </w:p>
        </w:tc>
        <w:tc>
          <w:tcPr>
            <w:tcW w:w="933" w:type="dxa"/>
            <w:tcBorders>
              <w:top w:val="single" w:sz="4" w:space="0" w:color="auto"/>
              <w:left w:val="nil"/>
              <w:bottom w:val="single" w:sz="4" w:space="0" w:color="auto"/>
              <w:right w:val="single" w:sz="4" w:space="0" w:color="auto"/>
            </w:tcBorders>
            <w:vAlign w:val="center"/>
          </w:tcPr>
          <w:p w14:paraId="68D0CE09" w14:textId="459B338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19DC1" w14:textId="084228A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599</w:t>
            </w:r>
          </w:p>
        </w:tc>
        <w:tc>
          <w:tcPr>
            <w:tcW w:w="933" w:type="dxa"/>
            <w:tcBorders>
              <w:top w:val="nil"/>
              <w:left w:val="nil"/>
              <w:bottom w:val="single" w:sz="4" w:space="0" w:color="auto"/>
              <w:right w:val="single" w:sz="4" w:space="0" w:color="auto"/>
            </w:tcBorders>
            <w:shd w:val="clear" w:color="auto" w:fill="auto"/>
            <w:noWrap/>
            <w:vAlign w:val="center"/>
          </w:tcPr>
          <w:p w14:paraId="0E6DD8C5" w14:textId="1D8E3FA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721C786" w14:textId="70DCB8C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1,649</w:t>
            </w:r>
          </w:p>
        </w:tc>
        <w:tc>
          <w:tcPr>
            <w:tcW w:w="933" w:type="dxa"/>
            <w:tcBorders>
              <w:top w:val="nil"/>
              <w:left w:val="nil"/>
              <w:bottom w:val="single" w:sz="4" w:space="0" w:color="auto"/>
              <w:right w:val="single" w:sz="4" w:space="0" w:color="auto"/>
            </w:tcBorders>
            <w:shd w:val="clear" w:color="auto" w:fill="auto"/>
            <w:noWrap/>
            <w:vAlign w:val="center"/>
          </w:tcPr>
          <w:p w14:paraId="55F01DDF" w14:textId="52000CD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7B6C4B5" w14:textId="324957F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9A545A5" w14:textId="48C1EA9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2,248</w:t>
            </w:r>
          </w:p>
        </w:tc>
      </w:tr>
      <w:tr w:rsidR="003E2B9F" w:rsidRPr="00B469AB" w14:paraId="2D4CE127"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DE1581F" w14:textId="4BC81A5B"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Self Help Addiction Resource Centre Inc</w:t>
            </w:r>
          </w:p>
        </w:tc>
        <w:tc>
          <w:tcPr>
            <w:tcW w:w="933" w:type="dxa"/>
            <w:tcBorders>
              <w:top w:val="single" w:sz="4" w:space="0" w:color="auto"/>
              <w:left w:val="nil"/>
              <w:bottom w:val="single" w:sz="4" w:space="0" w:color="auto"/>
              <w:right w:val="single" w:sz="4" w:space="0" w:color="auto"/>
            </w:tcBorders>
            <w:vAlign w:val="center"/>
          </w:tcPr>
          <w:p w14:paraId="10A8DB87" w14:textId="02AA490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4BD3D" w14:textId="6F02C6A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64CAFB0" w14:textId="35AFA3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953</w:t>
            </w:r>
          </w:p>
        </w:tc>
        <w:tc>
          <w:tcPr>
            <w:tcW w:w="934" w:type="dxa"/>
            <w:tcBorders>
              <w:top w:val="nil"/>
              <w:left w:val="nil"/>
              <w:bottom w:val="single" w:sz="4" w:space="0" w:color="auto"/>
              <w:right w:val="single" w:sz="4" w:space="0" w:color="auto"/>
            </w:tcBorders>
            <w:shd w:val="clear" w:color="auto" w:fill="auto"/>
            <w:noWrap/>
            <w:vAlign w:val="center"/>
          </w:tcPr>
          <w:p w14:paraId="26FCEDAC" w14:textId="19D96C2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684</w:t>
            </w:r>
          </w:p>
        </w:tc>
        <w:tc>
          <w:tcPr>
            <w:tcW w:w="933" w:type="dxa"/>
            <w:tcBorders>
              <w:top w:val="nil"/>
              <w:left w:val="nil"/>
              <w:bottom w:val="single" w:sz="4" w:space="0" w:color="auto"/>
              <w:right w:val="single" w:sz="4" w:space="0" w:color="auto"/>
            </w:tcBorders>
            <w:shd w:val="clear" w:color="auto" w:fill="auto"/>
            <w:noWrap/>
            <w:vAlign w:val="center"/>
          </w:tcPr>
          <w:p w14:paraId="5036A731" w14:textId="2C59AC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BB8D61F" w14:textId="25A7C82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CFB3C80" w14:textId="0A7537E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1,637</w:t>
            </w:r>
          </w:p>
        </w:tc>
      </w:tr>
      <w:tr w:rsidR="003E2B9F" w:rsidRPr="00B469AB" w14:paraId="1E844074"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9666929" w14:textId="4996B4A1"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Sexual Health Victoria Incorporated</w:t>
            </w:r>
          </w:p>
        </w:tc>
        <w:tc>
          <w:tcPr>
            <w:tcW w:w="933" w:type="dxa"/>
            <w:tcBorders>
              <w:top w:val="single" w:sz="4" w:space="0" w:color="auto"/>
              <w:left w:val="nil"/>
              <w:bottom w:val="single" w:sz="4" w:space="0" w:color="auto"/>
              <w:right w:val="single" w:sz="4" w:space="0" w:color="auto"/>
            </w:tcBorders>
            <w:vAlign w:val="center"/>
          </w:tcPr>
          <w:p w14:paraId="28346C6B" w14:textId="4DEC4A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FEBFA" w14:textId="3F8A3A9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14C86D3" w14:textId="7A8D321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FDD1E8C" w14:textId="2DE38E9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0E9CF27" w14:textId="45EF1EF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3,984</w:t>
            </w:r>
          </w:p>
        </w:tc>
        <w:tc>
          <w:tcPr>
            <w:tcW w:w="933" w:type="dxa"/>
            <w:tcBorders>
              <w:top w:val="nil"/>
              <w:left w:val="nil"/>
              <w:bottom w:val="single" w:sz="4" w:space="0" w:color="auto"/>
              <w:right w:val="single" w:sz="4" w:space="0" w:color="auto"/>
            </w:tcBorders>
            <w:shd w:val="clear" w:color="auto" w:fill="auto"/>
            <w:noWrap/>
            <w:vAlign w:val="center"/>
          </w:tcPr>
          <w:p w14:paraId="04BCF366" w14:textId="7C8FED6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958</w:t>
            </w:r>
          </w:p>
        </w:tc>
        <w:tc>
          <w:tcPr>
            <w:tcW w:w="934" w:type="dxa"/>
            <w:tcBorders>
              <w:top w:val="nil"/>
              <w:left w:val="nil"/>
              <w:bottom w:val="single" w:sz="4" w:space="0" w:color="auto"/>
              <w:right w:val="single" w:sz="4" w:space="0" w:color="auto"/>
            </w:tcBorders>
            <w:shd w:val="clear" w:color="auto" w:fill="auto"/>
            <w:noWrap/>
            <w:vAlign w:val="center"/>
          </w:tcPr>
          <w:p w14:paraId="5FD23691" w14:textId="024B3F1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4,942</w:t>
            </w:r>
          </w:p>
        </w:tc>
      </w:tr>
      <w:tr w:rsidR="003E2B9F" w:rsidRPr="00B469AB" w14:paraId="1CF51721"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2A96B92" w14:textId="21087E61"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South Eastern Melbourne Primary Health Network</w:t>
            </w:r>
          </w:p>
        </w:tc>
        <w:tc>
          <w:tcPr>
            <w:tcW w:w="933" w:type="dxa"/>
            <w:tcBorders>
              <w:top w:val="single" w:sz="4" w:space="0" w:color="auto"/>
              <w:left w:val="nil"/>
              <w:bottom w:val="single" w:sz="4" w:space="0" w:color="auto"/>
              <w:right w:val="single" w:sz="4" w:space="0" w:color="auto"/>
            </w:tcBorders>
            <w:vAlign w:val="center"/>
          </w:tcPr>
          <w:p w14:paraId="4484F601" w14:textId="38A855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79DE4" w14:textId="5A7E378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DF12318" w14:textId="12CDE75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975</w:t>
            </w:r>
          </w:p>
        </w:tc>
        <w:tc>
          <w:tcPr>
            <w:tcW w:w="934" w:type="dxa"/>
            <w:tcBorders>
              <w:top w:val="nil"/>
              <w:left w:val="nil"/>
              <w:bottom w:val="single" w:sz="4" w:space="0" w:color="auto"/>
              <w:right w:val="single" w:sz="4" w:space="0" w:color="auto"/>
            </w:tcBorders>
            <w:shd w:val="clear" w:color="auto" w:fill="auto"/>
            <w:noWrap/>
            <w:vAlign w:val="center"/>
          </w:tcPr>
          <w:p w14:paraId="26DC45E2" w14:textId="7878E6C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B71B3CF" w14:textId="51A56C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w:t>
            </w:r>
          </w:p>
        </w:tc>
        <w:tc>
          <w:tcPr>
            <w:tcW w:w="933" w:type="dxa"/>
            <w:tcBorders>
              <w:top w:val="nil"/>
              <w:left w:val="nil"/>
              <w:bottom w:val="single" w:sz="4" w:space="0" w:color="auto"/>
              <w:right w:val="single" w:sz="4" w:space="0" w:color="auto"/>
            </w:tcBorders>
            <w:shd w:val="clear" w:color="auto" w:fill="auto"/>
            <w:noWrap/>
            <w:vAlign w:val="center"/>
          </w:tcPr>
          <w:p w14:paraId="040BFBB2" w14:textId="68E452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AC399EE" w14:textId="799C6566"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1,019</w:t>
            </w:r>
          </w:p>
        </w:tc>
      </w:tr>
      <w:tr w:rsidR="003E2B9F" w:rsidRPr="00B469AB" w14:paraId="49B9118A"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1851466" w14:textId="72817F5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Tandem Inc</w:t>
            </w:r>
          </w:p>
        </w:tc>
        <w:tc>
          <w:tcPr>
            <w:tcW w:w="933" w:type="dxa"/>
            <w:tcBorders>
              <w:top w:val="single" w:sz="4" w:space="0" w:color="auto"/>
              <w:left w:val="nil"/>
              <w:bottom w:val="single" w:sz="4" w:space="0" w:color="auto"/>
              <w:right w:val="single" w:sz="4" w:space="0" w:color="auto"/>
            </w:tcBorders>
            <w:vAlign w:val="center"/>
          </w:tcPr>
          <w:p w14:paraId="7A64C601" w14:textId="6A2339B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CCC39" w14:textId="6505E2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9839753" w14:textId="388FE05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851254B" w14:textId="39333BE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7,724</w:t>
            </w:r>
          </w:p>
        </w:tc>
        <w:tc>
          <w:tcPr>
            <w:tcW w:w="933" w:type="dxa"/>
            <w:tcBorders>
              <w:top w:val="nil"/>
              <w:left w:val="nil"/>
              <w:bottom w:val="single" w:sz="4" w:space="0" w:color="auto"/>
              <w:right w:val="single" w:sz="4" w:space="0" w:color="auto"/>
            </w:tcBorders>
            <w:shd w:val="clear" w:color="auto" w:fill="auto"/>
            <w:noWrap/>
            <w:vAlign w:val="center"/>
          </w:tcPr>
          <w:p w14:paraId="1C10756E" w14:textId="3245CB2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E75C5DE" w14:textId="7F971DD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734A55F" w14:textId="24603094"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7,724</w:t>
            </w:r>
          </w:p>
        </w:tc>
      </w:tr>
      <w:tr w:rsidR="003E2B9F" w:rsidRPr="00B469AB" w14:paraId="74F6FC59"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BE2C7C7" w14:textId="0925D1CA"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The Goulburn Valley Hospice Care Service Inc</w:t>
            </w:r>
          </w:p>
        </w:tc>
        <w:tc>
          <w:tcPr>
            <w:tcW w:w="933" w:type="dxa"/>
            <w:tcBorders>
              <w:top w:val="single" w:sz="4" w:space="0" w:color="auto"/>
              <w:left w:val="nil"/>
              <w:bottom w:val="single" w:sz="4" w:space="0" w:color="auto"/>
              <w:right w:val="single" w:sz="4" w:space="0" w:color="auto"/>
            </w:tcBorders>
            <w:vAlign w:val="center"/>
          </w:tcPr>
          <w:p w14:paraId="3D0DC27B" w14:textId="66B9F68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1,973</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14BEF" w14:textId="44E6017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00AEF5B" w14:textId="2F623C9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E8D669A" w14:textId="2178620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1A5F50B" w14:textId="7156F87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6B66B54" w14:textId="0DFFFFA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F406888" w14:textId="68A6A61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1,973</w:t>
            </w:r>
          </w:p>
        </w:tc>
      </w:tr>
      <w:tr w:rsidR="003E2B9F" w:rsidRPr="00B469AB" w14:paraId="41BF3F0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23BE575" w14:textId="7E4BA8E1"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The Salvation Army (Victoria) Property Trust</w:t>
            </w:r>
          </w:p>
        </w:tc>
        <w:tc>
          <w:tcPr>
            <w:tcW w:w="933" w:type="dxa"/>
            <w:tcBorders>
              <w:top w:val="single" w:sz="4" w:space="0" w:color="auto"/>
              <w:left w:val="nil"/>
              <w:bottom w:val="single" w:sz="4" w:space="0" w:color="auto"/>
              <w:right w:val="single" w:sz="4" w:space="0" w:color="auto"/>
            </w:tcBorders>
            <w:vAlign w:val="center"/>
          </w:tcPr>
          <w:p w14:paraId="268CEB60" w14:textId="47EA650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F70EC" w14:textId="020B5BF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3,254</w:t>
            </w:r>
          </w:p>
        </w:tc>
        <w:tc>
          <w:tcPr>
            <w:tcW w:w="933" w:type="dxa"/>
            <w:tcBorders>
              <w:top w:val="nil"/>
              <w:left w:val="nil"/>
              <w:bottom w:val="single" w:sz="4" w:space="0" w:color="auto"/>
              <w:right w:val="single" w:sz="4" w:space="0" w:color="auto"/>
            </w:tcBorders>
            <w:shd w:val="clear" w:color="auto" w:fill="auto"/>
            <w:noWrap/>
            <w:vAlign w:val="center"/>
          </w:tcPr>
          <w:p w14:paraId="6A6BBBF6" w14:textId="51C93D3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15,243</w:t>
            </w:r>
          </w:p>
        </w:tc>
        <w:tc>
          <w:tcPr>
            <w:tcW w:w="934" w:type="dxa"/>
            <w:tcBorders>
              <w:top w:val="nil"/>
              <w:left w:val="nil"/>
              <w:bottom w:val="single" w:sz="4" w:space="0" w:color="auto"/>
              <w:right w:val="single" w:sz="4" w:space="0" w:color="auto"/>
            </w:tcBorders>
            <w:shd w:val="clear" w:color="auto" w:fill="auto"/>
            <w:noWrap/>
            <w:vAlign w:val="center"/>
          </w:tcPr>
          <w:p w14:paraId="4216CF58" w14:textId="69477AD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275</w:t>
            </w:r>
          </w:p>
        </w:tc>
        <w:tc>
          <w:tcPr>
            <w:tcW w:w="933" w:type="dxa"/>
            <w:tcBorders>
              <w:top w:val="nil"/>
              <w:left w:val="nil"/>
              <w:bottom w:val="single" w:sz="4" w:space="0" w:color="auto"/>
              <w:right w:val="single" w:sz="4" w:space="0" w:color="auto"/>
            </w:tcBorders>
            <w:shd w:val="clear" w:color="auto" w:fill="auto"/>
            <w:noWrap/>
            <w:vAlign w:val="center"/>
          </w:tcPr>
          <w:p w14:paraId="001D29EE" w14:textId="67C40DA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9DE4375" w14:textId="075570C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ECEE1F4" w14:textId="23A01CAC"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18,772</w:t>
            </w:r>
          </w:p>
        </w:tc>
      </w:tr>
      <w:tr w:rsidR="003E2B9F" w:rsidRPr="00B469AB" w14:paraId="634DDAE7"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0E102BF" w14:textId="3F78208F"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The University Of Melbourne</w:t>
            </w:r>
          </w:p>
        </w:tc>
        <w:tc>
          <w:tcPr>
            <w:tcW w:w="933" w:type="dxa"/>
            <w:tcBorders>
              <w:top w:val="single" w:sz="4" w:space="0" w:color="auto"/>
              <w:left w:val="nil"/>
              <w:bottom w:val="single" w:sz="4" w:space="0" w:color="auto"/>
              <w:right w:val="single" w:sz="4" w:space="0" w:color="auto"/>
            </w:tcBorders>
            <w:vAlign w:val="center"/>
          </w:tcPr>
          <w:p w14:paraId="06B99323" w14:textId="6EC1689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1,709</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C78AC" w14:textId="1889363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C6E30FC" w14:textId="52146AC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A59E67F" w14:textId="72D5134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4,788</w:t>
            </w:r>
          </w:p>
        </w:tc>
        <w:tc>
          <w:tcPr>
            <w:tcW w:w="933" w:type="dxa"/>
            <w:tcBorders>
              <w:top w:val="nil"/>
              <w:left w:val="nil"/>
              <w:bottom w:val="single" w:sz="4" w:space="0" w:color="auto"/>
              <w:right w:val="single" w:sz="4" w:space="0" w:color="auto"/>
            </w:tcBorders>
            <w:shd w:val="clear" w:color="auto" w:fill="auto"/>
            <w:noWrap/>
            <w:vAlign w:val="center"/>
          </w:tcPr>
          <w:p w14:paraId="65EC83C1" w14:textId="7B5B4F9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287</w:t>
            </w:r>
          </w:p>
        </w:tc>
        <w:tc>
          <w:tcPr>
            <w:tcW w:w="933" w:type="dxa"/>
            <w:tcBorders>
              <w:top w:val="nil"/>
              <w:left w:val="nil"/>
              <w:bottom w:val="single" w:sz="4" w:space="0" w:color="auto"/>
              <w:right w:val="single" w:sz="4" w:space="0" w:color="auto"/>
            </w:tcBorders>
            <w:shd w:val="clear" w:color="auto" w:fill="auto"/>
            <w:noWrap/>
            <w:vAlign w:val="center"/>
          </w:tcPr>
          <w:p w14:paraId="3D87796D" w14:textId="710808D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8,173</w:t>
            </w:r>
          </w:p>
        </w:tc>
        <w:tc>
          <w:tcPr>
            <w:tcW w:w="934" w:type="dxa"/>
            <w:tcBorders>
              <w:top w:val="nil"/>
              <w:left w:val="nil"/>
              <w:bottom w:val="single" w:sz="4" w:space="0" w:color="auto"/>
              <w:right w:val="single" w:sz="4" w:space="0" w:color="auto"/>
            </w:tcBorders>
            <w:shd w:val="clear" w:color="auto" w:fill="auto"/>
            <w:noWrap/>
            <w:vAlign w:val="center"/>
          </w:tcPr>
          <w:p w14:paraId="114A1D2C" w14:textId="4BF13CD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14,956</w:t>
            </w:r>
          </w:p>
        </w:tc>
      </w:tr>
      <w:tr w:rsidR="003E2B9F" w:rsidRPr="00B469AB" w14:paraId="2CADD32E"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D3B96B" w14:textId="27ED088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The Victorian Foundation For Survivors Of Torture Inc</w:t>
            </w:r>
          </w:p>
        </w:tc>
        <w:tc>
          <w:tcPr>
            <w:tcW w:w="933" w:type="dxa"/>
            <w:tcBorders>
              <w:top w:val="single" w:sz="4" w:space="0" w:color="auto"/>
              <w:left w:val="nil"/>
              <w:bottom w:val="single" w:sz="4" w:space="0" w:color="auto"/>
              <w:right w:val="single" w:sz="4" w:space="0" w:color="auto"/>
            </w:tcBorders>
            <w:vAlign w:val="center"/>
          </w:tcPr>
          <w:p w14:paraId="56D221F1" w14:textId="47AB8D3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38357" w14:textId="3385F46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72296C5" w14:textId="08E3586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4FEC834" w14:textId="3C9B3C6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4,461</w:t>
            </w:r>
          </w:p>
        </w:tc>
        <w:tc>
          <w:tcPr>
            <w:tcW w:w="933" w:type="dxa"/>
            <w:tcBorders>
              <w:top w:val="nil"/>
              <w:left w:val="nil"/>
              <w:bottom w:val="single" w:sz="4" w:space="0" w:color="auto"/>
              <w:right w:val="single" w:sz="4" w:space="0" w:color="auto"/>
            </w:tcBorders>
            <w:shd w:val="clear" w:color="auto" w:fill="auto"/>
            <w:noWrap/>
            <w:vAlign w:val="center"/>
          </w:tcPr>
          <w:p w14:paraId="5D53350D" w14:textId="29169EA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2,358</w:t>
            </w:r>
          </w:p>
        </w:tc>
        <w:tc>
          <w:tcPr>
            <w:tcW w:w="933" w:type="dxa"/>
            <w:tcBorders>
              <w:top w:val="nil"/>
              <w:left w:val="nil"/>
              <w:bottom w:val="single" w:sz="4" w:space="0" w:color="auto"/>
              <w:right w:val="single" w:sz="4" w:space="0" w:color="auto"/>
            </w:tcBorders>
            <w:shd w:val="clear" w:color="auto" w:fill="auto"/>
            <w:noWrap/>
            <w:vAlign w:val="center"/>
          </w:tcPr>
          <w:p w14:paraId="5C271C79" w14:textId="0D34D3A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37C253F" w14:textId="69FD6058"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6,819</w:t>
            </w:r>
          </w:p>
        </w:tc>
      </w:tr>
      <w:tr w:rsidR="003E2B9F" w:rsidRPr="00B469AB" w14:paraId="44A74F2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38B57C4" w14:textId="3A4B8A6A"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The Victorian Healthcare Association Limited</w:t>
            </w:r>
          </w:p>
        </w:tc>
        <w:tc>
          <w:tcPr>
            <w:tcW w:w="933" w:type="dxa"/>
            <w:tcBorders>
              <w:top w:val="single" w:sz="4" w:space="0" w:color="auto"/>
              <w:left w:val="nil"/>
              <w:bottom w:val="single" w:sz="4" w:space="0" w:color="auto"/>
              <w:right w:val="single" w:sz="4" w:space="0" w:color="auto"/>
            </w:tcBorders>
            <w:vAlign w:val="center"/>
          </w:tcPr>
          <w:p w14:paraId="63AC9A58" w14:textId="35AFD00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745B2" w14:textId="130B95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F99BA0B" w14:textId="1483BD3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78325EB" w14:textId="6A287DD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D526DC1" w14:textId="060F8FD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1,154</w:t>
            </w:r>
          </w:p>
        </w:tc>
        <w:tc>
          <w:tcPr>
            <w:tcW w:w="933" w:type="dxa"/>
            <w:tcBorders>
              <w:top w:val="nil"/>
              <w:left w:val="nil"/>
              <w:bottom w:val="single" w:sz="4" w:space="0" w:color="auto"/>
              <w:right w:val="single" w:sz="4" w:space="0" w:color="auto"/>
            </w:tcBorders>
            <w:shd w:val="clear" w:color="auto" w:fill="auto"/>
            <w:noWrap/>
            <w:vAlign w:val="center"/>
          </w:tcPr>
          <w:p w14:paraId="0E496699" w14:textId="45A0833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0F1BB33" w14:textId="2C79918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1,154</w:t>
            </w:r>
          </w:p>
        </w:tc>
      </w:tr>
      <w:tr w:rsidR="003E2B9F" w:rsidRPr="00B469AB" w14:paraId="5155A7F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19514F0" w14:textId="4039813F"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Thorne Harbour Health Ltd</w:t>
            </w:r>
          </w:p>
        </w:tc>
        <w:tc>
          <w:tcPr>
            <w:tcW w:w="933" w:type="dxa"/>
            <w:tcBorders>
              <w:top w:val="single" w:sz="4" w:space="0" w:color="auto"/>
              <w:left w:val="nil"/>
              <w:bottom w:val="single" w:sz="4" w:space="0" w:color="auto"/>
              <w:right w:val="single" w:sz="4" w:space="0" w:color="auto"/>
            </w:tcBorders>
            <w:vAlign w:val="center"/>
          </w:tcPr>
          <w:p w14:paraId="094974F4" w14:textId="63168B6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B8CB8" w14:textId="75E60C9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59260BC" w14:textId="1BAD0DD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543</w:t>
            </w:r>
          </w:p>
        </w:tc>
        <w:tc>
          <w:tcPr>
            <w:tcW w:w="934" w:type="dxa"/>
            <w:tcBorders>
              <w:top w:val="nil"/>
              <w:left w:val="nil"/>
              <w:bottom w:val="single" w:sz="4" w:space="0" w:color="auto"/>
              <w:right w:val="single" w:sz="4" w:space="0" w:color="auto"/>
            </w:tcBorders>
            <w:shd w:val="clear" w:color="auto" w:fill="auto"/>
            <w:noWrap/>
            <w:vAlign w:val="center"/>
          </w:tcPr>
          <w:p w14:paraId="1B95E9BC" w14:textId="6FAAAFF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128</w:t>
            </w:r>
          </w:p>
        </w:tc>
        <w:tc>
          <w:tcPr>
            <w:tcW w:w="933" w:type="dxa"/>
            <w:tcBorders>
              <w:top w:val="nil"/>
              <w:left w:val="nil"/>
              <w:bottom w:val="single" w:sz="4" w:space="0" w:color="auto"/>
              <w:right w:val="single" w:sz="4" w:space="0" w:color="auto"/>
            </w:tcBorders>
            <w:shd w:val="clear" w:color="auto" w:fill="auto"/>
            <w:noWrap/>
            <w:vAlign w:val="center"/>
          </w:tcPr>
          <w:p w14:paraId="6134982D" w14:textId="24E9F56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9BEF01B" w14:textId="56A3BB7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6,738</w:t>
            </w:r>
          </w:p>
        </w:tc>
        <w:tc>
          <w:tcPr>
            <w:tcW w:w="934" w:type="dxa"/>
            <w:tcBorders>
              <w:top w:val="nil"/>
              <w:left w:val="nil"/>
              <w:bottom w:val="single" w:sz="4" w:space="0" w:color="auto"/>
              <w:right w:val="single" w:sz="4" w:space="0" w:color="auto"/>
            </w:tcBorders>
            <w:shd w:val="clear" w:color="auto" w:fill="auto"/>
            <w:noWrap/>
            <w:vAlign w:val="center"/>
          </w:tcPr>
          <w:p w14:paraId="6D0E1C04" w14:textId="091546F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7,409</w:t>
            </w:r>
          </w:p>
        </w:tc>
      </w:tr>
      <w:tr w:rsidR="003E2B9F" w:rsidRPr="00B469AB" w14:paraId="16F0313F"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E1A42FD" w14:textId="799CEA9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Uniting (Victoria And Tasmania) Limited</w:t>
            </w:r>
          </w:p>
        </w:tc>
        <w:tc>
          <w:tcPr>
            <w:tcW w:w="933" w:type="dxa"/>
            <w:tcBorders>
              <w:top w:val="single" w:sz="4" w:space="0" w:color="auto"/>
              <w:left w:val="nil"/>
              <w:bottom w:val="single" w:sz="4" w:space="0" w:color="auto"/>
              <w:right w:val="single" w:sz="4" w:space="0" w:color="auto"/>
            </w:tcBorders>
            <w:vAlign w:val="center"/>
          </w:tcPr>
          <w:p w14:paraId="135D34FB" w14:textId="1A13150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7B17B" w14:textId="58674B9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5,998</w:t>
            </w:r>
          </w:p>
        </w:tc>
        <w:tc>
          <w:tcPr>
            <w:tcW w:w="933" w:type="dxa"/>
            <w:tcBorders>
              <w:top w:val="nil"/>
              <w:left w:val="nil"/>
              <w:bottom w:val="single" w:sz="4" w:space="0" w:color="auto"/>
              <w:right w:val="single" w:sz="4" w:space="0" w:color="auto"/>
            </w:tcBorders>
            <w:shd w:val="clear" w:color="auto" w:fill="auto"/>
            <w:noWrap/>
            <w:vAlign w:val="center"/>
          </w:tcPr>
          <w:p w14:paraId="15606EF0" w14:textId="6D26C97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27,010</w:t>
            </w:r>
          </w:p>
        </w:tc>
        <w:tc>
          <w:tcPr>
            <w:tcW w:w="934" w:type="dxa"/>
            <w:tcBorders>
              <w:top w:val="nil"/>
              <w:left w:val="nil"/>
              <w:bottom w:val="single" w:sz="4" w:space="0" w:color="auto"/>
              <w:right w:val="single" w:sz="4" w:space="0" w:color="auto"/>
            </w:tcBorders>
            <w:shd w:val="clear" w:color="auto" w:fill="auto"/>
            <w:noWrap/>
            <w:vAlign w:val="center"/>
          </w:tcPr>
          <w:p w14:paraId="2F8CA9F5" w14:textId="4645F8B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3,959</w:t>
            </w:r>
          </w:p>
        </w:tc>
        <w:tc>
          <w:tcPr>
            <w:tcW w:w="933" w:type="dxa"/>
            <w:tcBorders>
              <w:top w:val="nil"/>
              <w:left w:val="nil"/>
              <w:bottom w:val="single" w:sz="4" w:space="0" w:color="auto"/>
              <w:right w:val="single" w:sz="4" w:space="0" w:color="auto"/>
            </w:tcBorders>
            <w:shd w:val="clear" w:color="auto" w:fill="auto"/>
            <w:noWrap/>
            <w:vAlign w:val="center"/>
          </w:tcPr>
          <w:p w14:paraId="4260DB65" w14:textId="5907FFA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8CD7ECC" w14:textId="74CB72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E860811" w14:textId="606B032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36,966</w:t>
            </w:r>
          </w:p>
        </w:tc>
      </w:tr>
      <w:tr w:rsidR="003E2B9F" w:rsidRPr="00B469AB" w14:paraId="07401626"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79DF2CA" w14:textId="3B2F77B6"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Uniting Agewell Victoria</w:t>
            </w:r>
          </w:p>
        </w:tc>
        <w:tc>
          <w:tcPr>
            <w:tcW w:w="933" w:type="dxa"/>
            <w:tcBorders>
              <w:top w:val="single" w:sz="4" w:space="0" w:color="auto"/>
              <w:left w:val="nil"/>
              <w:bottom w:val="single" w:sz="4" w:space="0" w:color="auto"/>
              <w:right w:val="single" w:sz="4" w:space="0" w:color="auto"/>
            </w:tcBorders>
            <w:vAlign w:val="center"/>
          </w:tcPr>
          <w:p w14:paraId="4D7D3081" w14:textId="385627F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593D2" w14:textId="00C9258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1,369</w:t>
            </w:r>
          </w:p>
        </w:tc>
        <w:tc>
          <w:tcPr>
            <w:tcW w:w="933" w:type="dxa"/>
            <w:tcBorders>
              <w:top w:val="nil"/>
              <w:left w:val="nil"/>
              <w:bottom w:val="single" w:sz="4" w:space="0" w:color="auto"/>
              <w:right w:val="single" w:sz="4" w:space="0" w:color="auto"/>
            </w:tcBorders>
            <w:shd w:val="clear" w:color="auto" w:fill="auto"/>
            <w:noWrap/>
            <w:vAlign w:val="center"/>
          </w:tcPr>
          <w:p w14:paraId="3B248E45" w14:textId="70AD2A7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472C2A3" w14:textId="204277B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1A1AB53" w14:textId="244A9CA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72366D42" w14:textId="20DC342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D0A8293" w14:textId="4B6846F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1,369</w:t>
            </w:r>
          </w:p>
        </w:tc>
      </w:tr>
      <w:tr w:rsidR="003E2B9F" w:rsidRPr="00B469AB" w14:paraId="2A60219F"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09E73FD" w14:textId="279307BD"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Very Special Kids</w:t>
            </w:r>
          </w:p>
        </w:tc>
        <w:tc>
          <w:tcPr>
            <w:tcW w:w="933" w:type="dxa"/>
            <w:tcBorders>
              <w:top w:val="single" w:sz="4" w:space="0" w:color="auto"/>
              <w:left w:val="nil"/>
              <w:bottom w:val="single" w:sz="4" w:space="0" w:color="auto"/>
              <w:right w:val="single" w:sz="4" w:space="0" w:color="auto"/>
            </w:tcBorders>
            <w:vAlign w:val="center"/>
          </w:tcPr>
          <w:p w14:paraId="6292E9CC" w14:textId="6C3B868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2,452</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AE607" w14:textId="6ADD3F5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AA74939" w14:textId="7F5340A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EB0EFC4" w14:textId="22A9213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4EB06CC" w14:textId="0056EA0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7709CB8" w14:textId="02BC797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16392C2B" w14:textId="187E95B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2,452</w:t>
            </w:r>
          </w:p>
        </w:tc>
      </w:tr>
      <w:tr w:rsidR="003E2B9F" w:rsidRPr="00B469AB" w14:paraId="3D8AED36"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4F6ACD9" w14:textId="1EFA9E64"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 Legal Aid</w:t>
            </w:r>
          </w:p>
        </w:tc>
        <w:tc>
          <w:tcPr>
            <w:tcW w:w="933" w:type="dxa"/>
            <w:tcBorders>
              <w:top w:val="single" w:sz="4" w:space="0" w:color="auto"/>
              <w:left w:val="nil"/>
              <w:bottom w:val="single" w:sz="4" w:space="0" w:color="auto"/>
              <w:right w:val="single" w:sz="4" w:space="0" w:color="auto"/>
            </w:tcBorders>
            <w:vAlign w:val="center"/>
          </w:tcPr>
          <w:p w14:paraId="2477A454" w14:textId="4C7507F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A9A82" w14:textId="6216C7A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C2646B2" w14:textId="4185C3C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0372C980" w14:textId="14EB859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17,635</w:t>
            </w:r>
          </w:p>
        </w:tc>
        <w:tc>
          <w:tcPr>
            <w:tcW w:w="933" w:type="dxa"/>
            <w:tcBorders>
              <w:top w:val="nil"/>
              <w:left w:val="nil"/>
              <w:bottom w:val="single" w:sz="4" w:space="0" w:color="auto"/>
              <w:right w:val="single" w:sz="4" w:space="0" w:color="auto"/>
            </w:tcBorders>
            <w:shd w:val="clear" w:color="auto" w:fill="auto"/>
            <w:noWrap/>
            <w:vAlign w:val="center"/>
          </w:tcPr>
          <w:p w14:paraId="65A8D4C4" w14:textId="634E2E3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8F755EC" w14:textId="276E659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63A7F5BB" w14:textId="1E3FA6B7"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17,635</w:t>
            </w:r>
          </w:p>
        </w:tc>
      </w:tr>
      <w:tr w:rsidR="003E2B9F" w:rsidRPr="00B469AB" w14:paraId="43EC3C46"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5BB0823" w14:textId="049E44EA"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Aboriginal Community Controlled Health Organisation Inc</w:t>
            </w:r>
          </w:p>
        </w:tc>
        <w:tc>
          <w:tcPr>
            <w:tcW w:w="933" w:type="dxa"/>
            <w:tcBorders>
              <w:top w:val="single" w:sz="4" w:space="0" w:color="auto"/>
              <w:left w:val="nil"/>
              <w:bottom w:val="single" w:sz="4" w:space="0" w:color="auto"/>
              <w:right w:val="single" w:sz="4" w:space="0" w:color="auto"/>
            </w:tcBorders>
            <w:vAlign w:val="center"/>
          </w:tcPr>
          <w:p w14:paraId="49BFC5BA" w14:textId="4528F45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2,350</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C5121" w14:textId="3D9A242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351</w:t>
            </w:r>
          </w:p>
        </w:tc>
        <w:tc>
          <w:tcPr>
            <w:tcW w:w="933" w:type="dxa"/>
            <w:tcBorders>
              <w:top w:val="nil"/>
              <w:left w:val="nil"/>
              <w:bottom w:val="single" w:sz="4" w:space="0" w:color="auto"/>
              <w:right w:val="single" w:sz="4" w:space="0" w:color="auto"/>
            </w:tcBorders>
            <w:shd w:val="clear" w:color="auto" w:fill="auto"/>
            <w:noWrap/>
            <w:vAlign w:val="center"/>
          </w:tcPr>
          <w:p w14:paraId="1731219A" w14:textId="4926EA6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177</w:t>
            </w:r>
          </w:p>
        </w:tc>
        <w:tc>
          <w:tcPr>
            <w:tcW w:w="934" w:type="dxa"/>
            <w:tcBorders>
              <w:top w:val="nil"/>
              <w:left w:val="nil"/>
              <w:bottom w:val="single" w:sz="4" w:space="0" w:color="auto"/>
              <w:right w:val="single" w:sz="4" w:space="0" w:color="auto"/>
            </w:tcBorders>
            <w:shd w:val="clear" w:color="auto" w:fill="auto"/>
            <w:noWrap/>
            <w:vAlign w:val="center"/>
          </w:tcPr>
          <w:p w14:paraId="52E2D6C7" w14:textId="0A2C856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2,745</w:t>
            </w:r>
          </w:p>
        </w:tc>
        <w:tc>
          <w:tcPr>
            <w:tcW w:w="933" w:type="dxa"/>
            <w:tcBorders>
              <w:top w:val="nil"/>
              <w:left w:val="nil"/>
              <w:bottom w:val="single" w:sz="4" w:space="0" w:color="auto"/>
              <w:right w:val="single" w:sz="4" w:space="0" w:color="auto"/>
            </w:tcBorders>
            <w:shd w:val="clear" w:color="auto" w:fill="auto"/>
            <w:noWrap/>
            <w:vAlign w:val="center"/>
          </w:tcPr>
          <w:p w14:paraId="63567538" w14:textId="509534A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2,597</w:t>
            </w:r>
          </w:p>
        </w:tc>
        <w:tc>
          <w:tcPr>
            <w:tcW w:w="933" w:type="dxa"/>
            <w:tcBorders>
              <w:top w:val="nil"/>
              <w:left w:val="nil"/>
              <w:bottom w:val="single" w:sz="4" w:space="0" w:color="auto"/>
              <w:right w:val="single" w:sz="4" w:space="0" w:color="auto"/>
            </w:tcBorders>
            <w:shd w:val="clear" w:color="auto" w:fill="auto"/>
            <w:noWrap/>
            <w:vAlign w:val="center"/>
          </w:tcPr>
          <w:p w14:paraId="06DBD8E3" w14:textId="2A8E35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1,833</w:t>
            </w:r>
          </w:p>
        </w:tc>
        <w:tc>
          <w:tcPr>
            <w:tcW w:w="934" w:type="dxa"/>
            <w:tcBorders>
              <w:top w:val="nil"/>
              <w:left w:val="nil"/>
              <w:bottom w:val="single" w:sz="4" w:space="0" w:color="auto"/>
              <w:right w:val="single" w:sz="4" w:space="0" w:color="auto"/>
            </w:tcBorders>
            <w:shd w:val="clear" w:color="auto" w:fill="auto"/>
            <w:noWrap/>
            <w:vAlign w:val="center"/>
          </w:tcPr>
          <w:p w14:paraId="3B1C3363" w14:textId="1C33305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10,052</w:t>
            </w:r>
          </w:p>
        </w:tc>
      </w:tr>
      <w:tr w:rsidR="003E2B9F" w:rsidRPr="00B469AB" w14:paraId="260995D7"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8D12511" w14:textId="135DA06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Aboriginal Health Service Co-Operative Limited</w:t>
            </w:r>
          </w:p>
        </w:tc>
        <w:tc>
          <w:tcPr>
            <w:tcW w:w="933" w:type="dxa"/>
            <w:tcBorders>
              <w:top w:val="single" w:sz="4" w:space="0" w:color="auto"/>
              <w:left w:val="nil"/>
              <w:bottom w:val="single" w:sz="4" w:space="0" w:color="auto"/>
              <w:right w:val="single" w:sz="4" w:space="0" w:color="auto"/>
            </w:tcBorders>
            <w:vAlign w:val="center"/>
          </w:tcPr>
          <w:p w14:paraId="4BB67554" w14:textId="713F588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305</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81C6C" w14:textId="222D2EB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217</w:t>
            </w:r>
          </w:p>
        </w:tc>
        <w:tc>
          <w:tcPr>
            <w:tcW w:w="933" w:type="dxa"/>
            <w:tcBorders>
              <w:top w:val="nil"/>
              <w:left w:val="nil"/>
              <w:bottom w:val="single" w:sz="4" w:space="0" w:color="auto"/>
              <w:right w:val="single" w:sz="4" w:space="0" w:color="auto"/>
            </w:tcBorders>
            <w:shd w:val="clear" w:color="auto" w:fill="auto"/>
            <w:noWrap/>
            <w:vAlign w:val="center"/>
          </w:tcPr>
          <w:p w14:paraId="12D758D1" w14:textId="4AF0F24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498</w:t>
            </w:r>
          </w:p>
        </w:tc>
        <w:tc>
          <w:tcPr>
            <w:tcW w:w="934" w:type="dxa"/>
            <w:tcBorders>
              <w:top w:val="nil"/>
              <w:left w:val="nil"/>
              <w:bottom w:val="single" w:sz="4" w:space="0" w:color="auto"/>
              <w:right w:val="single" w:sz="4" w:space="0" w:color="auto"/>
            </w:tcBorders>
            <w:shd w:val="clear" w:color="auto" w:fill="auto"/>
            <w:noWrap/>
            <w:vAlign w:val="center"/>
          </w:tcPr>
          <w:p w14:paraId="6A770DE2" w14:textId="129847B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2,673</w:t>
            </w:r>
          </w:p>
        </w:tc>
        <w:tc>
          <w:tcPr>
            <w:tcW w:w="933" w:type="dxa"/>
            <w:tcBorders>
              <w:top w:val="nil"/>
              <w:left w:val="nil"/>
              <w:bottom w:val="single" w:sz="4" w:space="0" w:color="auto"/>
              <w:right w:val="single" w:sz="4" w:space="0" w:color="auto"/>
            </w:tcBorders>
            <w:shd w:val="clear" w:color="auto" w:fill="auto"/>
            <w:noWrap/>
            <w:vAlign w:val="center"/>
          </w:tcPr>
          <w:p w14:paraId="745C8DA3" w14:textId="4B7A43E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632</w:t>
            </w:r>
          </w:p>
        </w:tc>
        <w:tc>
          <w:tcPr>
            <w:tcW w:w="933" w:type="dxa"/>
            <w:tcBorders>
              <w:top w:val="nil"/>
              <w:left w:val="nil"/>
              <w:bottom w:val="single" w:sz="4" w:space="0" w:color="auto"/>
              <w:right w:val="single" w:sz="4" w:space="0" w:color="auto"/>
            </w:tcBorders>
            <w:shd w:val="clear" w:color="auto" w:fill="auto"/>
            <w:noWrap/>
            <w:vAlign w:val="center"/>
          </w:tcPr>
          <w:p w14:paraId="1DB28DB1" w14:textId="2ECD9AD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266</w:t>
            </w:r>
          </w:p>
        </w:tc>
        <w:tc>
          <w:tcPr>
            <w:tcW w:w="934" w:type="dxa"/>
            <w:tcBorders>
              <w:top w:val="nil"/>
              <w:left w:val="nil"/>
              <w:bottom w:val="single" w:sz="4" w:space="0" w:color="auto"/>
              <w:right w:val="single" w:sz="4" w:space="0" w:color="auto"/>
            </w:tcBorders>
            <w:shd w:val="clear" w:color="auto" w:fill="auto"/>
            <w:noWrap/>
            <w:vAlign w:val="center"/>
          </w:tcPr>
          <w:p w14:paraId="65F2934B" w14:textId="06B558BD"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4,591</w:t>
            </w:r>
          </w:p>
        </w:tc>
      </w:tr>
      <w:tr w:rsidR="003E2B9F" w:rsidRPr="00B469AB" w14:paraId="08C8FBE8"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58C61AAB" w14:textId="5F064D13"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Assisted Reproductive Treatment Authority</w:t>
            </w:r>
          </w:p>
        </w:tc>
        <w:tc>
          <w:tcPr>
            <w:tcW w:w="933" w:type="dxa"/>
            <w:tcBorders>
              <w:top w:val="single" w:sz="4" w:space="0" w:color="auto"/>
              <w:left w:val="nil"/>
              <w:bottom w:val="single" w:sz="4" w:space="0" w:color="auto"/>
              <w:right w:val="single" w:sz="4" w:space="0" w:color="auto"/>
            </w:tcBorders>
            <w:vAlign w:val="center"/>
          </w:tcPr>
          <w:p w14:paraId="2D63252A" w14:textId="7B8FD89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F324F" w14:textId="4C33612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2B9C8A2" w14:textId="577A657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C52B0B6" w14:textId="4B06E73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B52295C" w14:textId="21ED165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A096FFB" w14:textId="3711B37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1,901</w:t>
            </w:r>
          </w:p>
        </w:tc>
        <w:tc>
          <w:tcPr>
            <w:tcW w:w="934" w:type="dxa"/>
            <w:tcBorders>
              <w:top w:val="nil"/>
              <w:left w:val="nil"/>
              <w:bottom w:val="single" w:sz="4" w:space="0" w:color="auto"/>
              <w:right w:val="single" w:sz="4" w:space="0" w:color="auto"/>
            </w:tcBorders>
            <w:shd w:val="clear" w:color="auto" w:fill="auto"/>
            <w:noWrap/>
            <w:vAlign w:val="center"/>
          </w:tcPr>
          <w:p w14:paraId="0719EDEB" w14:textId="01976AF8"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1,901</w:t>
            </w:r>
          </w:p>
        </w:tc>
      </w:tr>
      <w:tr w:rsidR="003E2B9F" w:rsidRPr="00B469AB" w14:paraId="579E633D"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174BB37" w14:textId="00916878"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Clinical Genetics Services Limited</w:t>
            </w:r>
          </w:p>
        </w:tc>
        <w:tc>
          <w:tcPr>
            <w:tcW w:w="933" w:type="dxa"/>
            <w:tcBorders>
              <w:top w:val="single" w:sz="4" w:space="0" w:color="auto"/>
              <w:left w:val="nil"/>
              <w:bottom w:val="single" w:sz="4" w:space="0" w:color="auto"/>
              <w:right w:val="single" w:sz="4" w:space="0" w:color="auto"/>
            </w:tcBorders>
            <w:vAlign w:val="center"/>
          </w:tcPr>
          <w:p w14:paraId="489595A5" w14:textId="6659F83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5,550</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DA159" w14:textId="4E72150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E0394BF" w14:textId="5EC355C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A6E2CD1" w14:textId="723D2BD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FBA2810" w14:textId="14279C7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339FDB5C" w14:textId="79E4D04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3,799</w:t>
            </w:r>
          </w:p>
        </w:tc>
        <w:tc>
          <w:tcPr>
            <w:tcW w:w="934" w:type="dxa"/>
            <w:tcBorders>
              <w:top w:val="nil"/>
              <w:left w:val="nil"/>
              <w:bottom w:val="single" w:sz="4" w:space="0" w:color="auto"/>
              <w:right w:val="single" w:sz="4" w:space="0" w:color="auto"/>
            </w:tcBorders>
            <w:shd w:val="clear" w:color="auto" w:fill="auto"/>
            <w:noWrap/>
            <w:vAlign w:val="center"/>
          </w:tcPr>
          <w:p w14:paraId="16AF2154" w14:textId="34162B7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9,348</w:t>
            </w:r>
          </w:p>
        </w:tc>
      </w:tr>
      <w:tr w:rsidR="003E2B9F" w:rsidRPr="00B469AB" w14:paraId="789FF0C2"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251FF30" w14:textId="0956A85E"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Cytology Service Limited</w:t>
            </w:r>
          </w:p>
        </w:tc>
        <w:tc>
          <w:tcPr>
            <w:tcW w:w="933" w:type="dxa"/>
            <w:tcBorders>
              <w:top w:val="single" w:sz="4" w:space="0" w:color="auto"/>
              <w:left w:val="nil"/>
              <w:bottom w:val="single" w:sz="4" w:space="0" w:color="auto"/>
              <w:right w:val="single" w:sz="4" w:space="0" w:color="auto"/>
            </w:tcBorders>
            <w:vAlign w:val="center"/>
          </w:tcPr>
          <w:p w14:paraId="0DF18C73" w14:textId="141860B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72B27" w14:textId="2E40375C"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8BF5FEB" w14:textId="259294D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0CF91CF" w14:textId="49E16B1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619B16D" w14:textId="5F15D88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02B88CED" w14:textId="1921A20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3,467</w:t>
            </w:r>
          </w:p>
        </w:tc>
        <w:tc>
          <w:tcPr>
            <w:tcW w:w="934" w:type="dxa"/>
            <w:tcBorders>
              <w:top w:val="nil"/>
              <w:left w:val="nil"/>
              <w:bottom w:val="single" w:sz="4" w:space="0" w:color="auto"/>
              <w:right w:val="single" w:sz="4" w:space="0" w:color="auto"/>
            </w:tcBorders>
            <w:shd w:val="clear" w:color="auto" w:fill="auto"/>
            <w:noWrap/>
            <w:vAlign w:val="center"/>
          </w:tcPr>
          <w:p w14:paraId="7D0309E7" w14:textId="6F5F297A"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3,467</w:t>
            </w:r>
          </w:p>
        </w:tc>
      </w:tr>
      <w:tr w:rsidR="003E2B9F" w:rsidRPr="00B469AB" w14:paraId="045A4233"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AE42D67" w14:textId="5FB232E6"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lastRenderedPageBreak/>
              <w:t>Victorian Health Promotion Foundation</w:t>
            </w:r>
          </w:p>
        </w:tc>
        <w:tc>
          <w:tcPr>
            <w:tcW w:w="933" w:type="dxa"/>
            <w:tcBorders>
              <w:top w:val="single" w:sz="4" w:space="0" w:color="auto"/>
              <w:left w:val="nil"/>
              <w:bottom w:val="single" w:sz="4" w:space="0" w:color="auto"/>
              <w:right w:val="single" w:sz="4" w:space="0" w:color="auto"/>
            </w:tcBorders>
            <w:vAlign w:val="center"/>
          </w:tcPr>
          <w:p w14:paraId="51F2CF5A" w14:textId="00B5886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EC46A" w14:textId="39E854A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3C1E94D" w14:textId="54C0F85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2120242A" w14:textId="02EA0EB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9181607" w14:textId="3424921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5C120247" w14:textId="30DB864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46,632</w:t>
            </w:r>
          </w:p>
        </w:tc>
        <w:tc>
          <w:tcPr>
            <w:tcW w:w="934" w:type="dxa"/>
            <w:tcBorders>
              <w:top w:val="nil"/>
              <w:left w:val="nil"/>
              <w:bottom w:val="single" w:sz="4" w:space="0" w:color="auto"/>
              <w:right w:val="single" w:sz="4" w:space="0" w:color="auto"/>
            </w:tcBorders>
            <w:shd w:val="clear" w:color="auto" w:fill="auto"/>
            <w:noWrap/>
            <w:vAlign w:val="center"/>
          </w:tcPr>
          <w:p w14:paraId="39EE41AC" w14:textId="38D5B8F9"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46,632</w:t>
            </w:r>
          </w:p>
        </w:tc>
      </w:tr>
      <w:tr w:rsidR="003E2B9F" w:rsidRPr="00B469AB" w14:paraId="1937791C"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5AA426C" w14:textId="1CC04B7A"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Victorian Mental Illness Awareness Council Inc</w:t>
            </w:r>
          </w:p>
        </w:tc>
        <w:tc>
          <w:tcPr>
            <w:tcW w:w="933" w:type="dxa"/>
            <w:tcBorders>
              <w:top w:val="single" w:sz="4" w:space="0" w:color="auto"/>
              <w:left w:val="nil"/>
              <w:bottom w:val="single" w:sz="4" w:space="0" w:color="auto"/>
              <w:right w:val="single" w:sz="4" w:space="0" w:color="auto"/>
            </w:tcBorders>
            <w:vAlign w:val="center"/>
          </w:tcPr>
          <w:p w14:paraId="687CFE39" w14:textId="105E5A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2A367" w14:textId="10CEEBC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47637372" w14:textId="006A9068"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4D50ABC3" w14:textId="192833E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2,535</w:t>
            </w:r>
          </w:p>
        </w:tc>
        <w:tc>
          <w:tcPr>
            <w:tcW w:w="933" w:type="dxa"/>
            <w:tcBorders>
              <w:top w:val="nil"/>
              <w:left w:val="nil"/>
              <w:bottom w:val="single" w:sz="4" w:space="0" w:color="auto"/>
              <w:right w:val="single" w:sz="4" w:space="0" w:color="auto"/>
            </w:tcBorders>
            <w:shd w:val="clear" w:color="auto" w:fill="auto"/>
            <w:noWrap/>
            <w:vAlign w:val="center"/>
          </w:tcPr>
          <w:p w14:paraId="2ADA3F64" w14:textId="37119CF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11BEBA38" w14:textId="392AF5D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5CFAB67B" w14:textId="7FD3F652"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2,535</w:t>
            </w:r>
          </w:p>
        </w:tc>
      </w:tr>
      <w:tr w:rsidR="003E2B9F" w:rsidRPr="00B469AB" w14:paraId="0EED381F"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02DD448" w14:textId="63059209"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Vincent</w:t>
            </w:r>
            <w:r w:rsidR="00DD6007">
              <w:rPr>
                <w:rFonts w:cs="Arial"/>
                <w:color w:val="000000"/>
                <w:sz w:val="15"/>
                <w:szCs w:val="15"/>
              </w:rPr>
              <w:t>C</w:t>
            </w:r>
            <w:r>
              <w:rPr>
                <w:rFonts w:cs="Arial"/>
                <w:color w:val="000000"/>
                <w:sz w:val="15"/>
                <w:szCs w:val="15"/>
              </w:rPr>
              <w:t>are Victoria</w:t>
            </w:r>
          </w:p>
        </w:tc>
        <w:tc>
          <w:tcPr>
            <w:tcW w:w="933" w:type="dxa"/>
            <w:tcBorders>
              <w:top w:val="single" w:sz="4" w:space="0" w:color="auto"/>
              <w:left w:val="nil"/>
              <w:bottom w:val="single" w:sz="4" w:space="0" w:color="auto"/>
              <w:right w:val="single" w:sz="4" w:space="0" w:color="auto"/>
            </w:tcBorders>
            <w:vAlign w:val="center"/>
          </w:tcPr>
          <w:p w14:paraId="6A8267B1" w14:textId="6C91F7BE"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9E82" w14:textId="699CE31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1,246</w:t>
            </w:r>
          </w:p>
        </w:tc>
        <w:tc>
          <w:tcPr>
            <w:tcW w:w="933" w:type="dxa"/>
            <w:tcBorders>
              <w:top w:val="nil"/>
              <w:left w:val="nil"/>
              <w:bottom w:val="single" w:sz="4" w:space="0" w:color="auto"/>
              <w:right w:val="single" w:sz="4" w:space="0" w:color="auto"/>
            </w:tcBorders>
            <w:shd w:val="clear" w:color="auto" w:fill="auto"/>
            <w:noWrap/>
            <w:vAlign w:val="center"/>
          </w:tcPr>
          <w:p w14:paraId="105F9DFF" w14:textId="52C2F454"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F3CFF07" w14:textId="2DA9AA3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22107CA5" w14:textId="6C38674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D8A9C42" w14:textId="2CA258E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79997367" w14:textId="7669BD4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1,246</w:t>
            </w:r>
          </w:p>
        </w:tc>
      </w:tr>
      <w:tr w:rsidR="003E2B9F" w:rsidRPr="00B469AB" w14:paraId="6CFE479E"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D8EC0EC" w14:textId="561558E0"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Wathaurong Aboriginal Co-Operative Limited</w:t>
            </w:r>
          </w:p>
        </w:tc>
        <w:tc>
          <w:tcPr>
            <w:tcW w:w="933" w:type="dxa"/>
            <w:tcBorders>
              <w:top w:val="single" w:sz="4" w:space="0" w:color="auto"/>
              <w:left w:val="nil"/>
              <w:bottom w:val="single" w:sz="4" w:space="0" w:color="auto"/>
              <w:right w:val="single" w:sz="4" w:space="0" w:color="auto"/>
            </w:tcBorders>
            <w:vAlign w:val="center"/>
          </w:tcPr>
          <w:p w14:paraId="285D2FB1" w14:textId="5EEFEDC3"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296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532A7" w14:textId="3C9CE886"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104</w:t>
            </w:r>
          </w:p>
        </w:tc>
        <w:tc>
          <w:tcPr>
            <w:tcW w:w="933" w:type="dxa"/>
            <w:tcBorders>
              <w:top w:val="nil"/>
              <w:left w:val="nil"/>
              <w:bottom w:val="single" w:sz="4" w:space="0" w:color="auto"/>
              <w:right w:val="single" w:sz="4" w:space="0" w:color="auto"/>
            </w:tcBorders>
            <w:shd w:val="clear" w:color="auto" w:fill="auto"/>
            <w:noWrap/>
            <w:vAlign w:val="center"/>
          </w:tcPr>
          <w:p w14:paraId="54350317" w14:textId="5E10D3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1,823</w:t>
            </w:r>
          </w:p>
        </w:tc>
        <w:tc>
          <w:tcPr>
            <w:tcW w:w="934" w:type="dxa"/>
            <w:tcBorders>
              <w:top w:val="nil"/>
              <w:left w:val="nil"/>
              <w:bottom w:val="single" w:sz="4" w:space="0" w:color="auto"/>
              <w:right w:val="single" w:sz="4" w:space="0" w:color="auto"/>
            </w:tcBorders>
            <w:shd w:val="clear" w:color="auto" w:fill="auto"/>
            <w:noWrap/>
            <w:vAlign w:val="center"/>
          </w:tcPr>
          <w:p w14:paraId="10C45BB4" w14:textId="6FA32325"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259</w:t>
            </w:r>
          </w:p>
        </w:tc>
        <w:tc>
          <w:tcPr>
            <w:tcW w:w="933" w:type="dxa"/>
            <w:tcBorders>
              <w:top w:val="nil"/>
              <w:left w:val="nil"/>
              <w:bottom w:val="single" w:sz="4" w:space="0" w:color="auto"/>
              <w:right w:val="single" w:sz="4" w:space="0" w:color="auto"/>
            </w:tcBorders>
            <w:shd w:val="clear" w:color="auto" w:fill="auto"/>
            <w:noWrap/>
            <w:vAlign w:val="center"/>
          </w:tcPr>
          <w:p w14:paraId="57FED3C4" w14:textId="6FAE4A7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332</w:t>
            </w:r>
          </w:p>
        </w:tc>
        <w:tc>
          <w:tcPr>
            <w:tcW w:w="933" w:type="dxa"/>
            <w:tcBorders>
              <w:top w:val="nil"/>
              <w:left w:val="nil"/>
              <w:bottom w:val="single" w:sz="4" w:space="0" w:color="auto"/>
              <w:right w:val="single" w:sz="4" w:space="0" w:color="auto"/>
            </w:tcBorders>
            <w:shd w:val="clear" w:color="auto" w:fill="auto"/>
            <w:noWrap/>
            <w:vAlign w:val="center"/>
          </w:tcPr>
          <w:p w14:paraId="660EFC10" w14:textId="2C3196DA"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42</w:t>
            </w:r>
          </w:p>
        </w:tc>
        <w:tc>
          <w:tcPr>
            <w:tcW w:w="934" w:type="dxa"/>
            <w:tcBorders>
              <w:top w:val="nil"/>
              <w:left w:val="nil"/>
              <w:bottom w:val="single" w:sz="4" w:space="0" w:color="auto"/>
              <w:right w:val="single" w:sz="4" w:space="0" w:color="auto"/>
            </w:tcBorders>
            <w:shd w:val="clear" w:color="auto" w:fill="auto"/>
            <w:noWrap/>
            <w:vAlign w:val="center"/>
          </w:tcPr>
          <w:p w14:paraId="67E8E74C" w14:textId="72E8C5A0"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2,856</w:t>
            </w:r>
          </w:p>
        </w:tc>
      </w:tr>
      <w:tr w:rsidR="003E2B9F" w:rsidRPr="00B469AB" w14:paraId="52CDBCC0" w14:textId="77777777" w:rsidTr="4878A108">
        <w:trPr>
          <w:trHeight w:val="284"/>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20E5FA6" w14:textId="7EBA3B1C"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Wellways Australia Limited</w:t>
            </w:r>
          </w:p>
        </w:tc>
        <w:tc>
          <w:tcPr>
            <w:tcW w:w="933" w:type="dxa"/>
            <w:tcBorders>
              <w:top w:val="single" w:sz="4" w:space="0" w:color="auto"/>
              <w:left w:val="nil"/>
              <w:bottom w:val="single" w:sz="4" w:space="0" w:color="auto"/>
              <w:right w:val="single" w:sz="4" w:space="0" w:color="auto"/>
            </w:tcBorders>
            <w:vAlign w:val="center"/>
          </w:tcPr>
          <w:p w14:paraId="6F538497" w14:textId="7FE9D911"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F204" w14:textId="36545AD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88</w:t>
            </w:r>
          </w:p>
        </w:tc>
        <w:tc>
          <w:tcPr>
            <w:tcW w:w="933" w:type="dxa"/>
            <w:tcBorders>
              <w:top w:val="nil"/>
              <w:left w:val="nil"/>
              <w:bottom w:val="single" w:sz="4" w:space="0" w:color="auto"/>
              <w:right w:val="single" w:sz="4" w:space="0" w:color="auto"/>
            </w:tcBorders>
            <w:shd w:val="clear" w:color="auto" w:fill="auto"/>
            <w:noWrap/>
            <w:vAlign w:val="center"/>
          </w:tcPr>
          <w:p w14:paraId="0FE746BE" w14:textId="4CAF77BB"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6919ED9" w14:textId="15B9B8B7"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42,472</w:t>
            </w:r>
          </w:p>
        </w:tc>
        <w:tc>
          <w:tcPr>
            <w:tcW w:w="933" w:type="dxa"/>
            <w:tcBorders>
              <w:top w:val="nil"/>
              <w:left w:val="nil"/>
              <w:bottom w:val="single" w:sz="4" w:space="0" w:color="auto"/>
              <w:right w:val="single" w:sz="4" w:space="0" w:color="auto"/>
            </w:tcBorders>
            <w:shd w:val="clear" w:color="auto" w:fill="auto"/>
            <w:noWrap/>
            <w:vAlign w:val="center"/>
          </w:tcPr>
          <w:p w14:paraId="0B87AAAD" w14:textId="709B6E7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nil"/>
              <w:left w:val="nil"/>
              <w:bottom w:val="single" w:sz="4" w:space="0" w:color="auto"/>
              <w:right w:val="single" w:sz="4" w:space="0" w:color="auto"/>
            </w:tcBorders>
            <w:shd w:val="clear" w:color="auto" w:fill="auto"/>
            <w:noWrap/>
            <w:vAlign w:val="center"/>
          </w:tcPr>
          <w:p w14:paraId="6EAB5908" w14:textId="1314653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nil"/>
              <w:left w:val="nil"/>
              <w:bottom w:val="single" w:sz="4" w:space="0" w:color="auto"/>
              <w:right w:val="single" w:sz="4" w:space="0" w:color="auto"/>
            </w:tcBorders>
            <w:shd w:val="clear" w:color="auto" w:fill="auto"/>
            <w:noWrap/>
            <w:vAlign w:val="center"/>
          </w:tcPr>
          <w:p w14:paraId="3E836BDC" w14:textId="48D90F0F"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42,560</w:t>
            </w:r>
          </w:p>
        </w:tc>
      </w:tr>
      <w:tr w:rsidR="003E2B9F" w:rsidRPr="00B469AB" w14:paraId="2AC8A1D9"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EE5D2" w14:textId="53536753" w:rsidR="003E2B9F" w:rsidRPr="00B469AB" w:rsidRDefault="003E2B9F" w:rsidP="00C667A7">
            <w:pPr>
              <w:spacing w:after="0" w:line="240" w:lineRule="auto"/>
              <w:rPr>
                <w:rFonts w:cs="Arial"/>
                <w:color w:val="000000"/>
                <w:sz w:val="16"/>
                <w:szCs w:val="16"/>
                <w:lang w:eastAsia="en-AU"/>
              </w:rPr>
            </w:pPr>
            <w:r>
              <w:rPr>
                <w:rFonts w:cs="Arial"/>
                <w:color w:val="000000"/>
                <w:sz w:val="15"/>
                <w:szCs w:val="15"/>
              </w:rPr>
              <w:t>Western Region Alcohol And Drug Centre Inc</w:t>
            </w:r>
          </w:p>
        </w:tc>
        <w:tc>
          <w:tcPr>
            <w:tcW w:w="933" w:type="dxa"/>
            <w:tcBorders>
              <w:top w:val="single" w:sz="4" w:space="0" w:color="auto"/>
              <w:left w:val="nil"/>
              <w:bottom w:val="single" w:sz="4" w:space="0" w:color="auto"/>
              <w:right w:val="single" w:sz="4" w:space="0" w:color="auto"/>
            </w:tcBorders>
            <w:vAlign w:val="center"/>
          </w:tcPr>
          <w:p w14:paraId="01865DBD" w14:textId="10D596E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527DB" w14:textId="29DE3E5F"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2C6ADEF" w14:textId="29FC2E19"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2,803</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7B0B9E8F" w14:textId="5D7E4840"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7CED401" w14:textId="343781B2"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4A7EE2D" w14:textId="24A5958D" w:rsidR="003E2B9F" w:rsidRPr="00B469AB" w:rsidRDefault="003E2B9F" w:rsidP="00C667A7">
            <w:pPr>
              <w:spacing w:after="0" w:line="240" w:lineRule="auto"/>
              <w:jc w:val="right"/>
              <w:rPr>
                <w:rFonts w:cs="Arial"/>
                <w:color w:val="000000"/>
                <w:sz w:val="16"/>
                <w:szCs w:val="16"/>
                <w:lang w:eastAsia="en-AU"/>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5968F695" w14:textId="2C8D9E75" w:rsidR="003E2B9F" w:rsidRPr="00B469AB" w:rsidRDefault="003E2B9F" w:rsidP="00C667A7">
            <w:pPr>
              <w:spacing w:after="0" w:line="240" w:lineRule="auto"/>
              <w:jc w:val="right"/>
              <w:rPr>
                <w:rFonts w:cs="Arial"/>
                <w:b/>
                <w:bCs/>
                <w:color w:val="000000"/>
                <w:sz w:val="16"/>
                <w:szCs w:val="16"/>
                <w:lang w:eastAsia="en-AU"/>
              </w:rPr>
            </w:pPr>
            <w:r>
              <w:rPr>
                <w:rFonts w:cs="Arial"/>
                <w:color w:val="000000"/>
                <w:sz w:val="15"/>
                <w:szCs w:val="15"/>
              </w:rPr>
              <w:t>2,803</w:t>
            </w:r>
          </w:p>
        </w:tc>
      </w:tr>
      <w:tr w:rsidR="003E2B9F" w:rsidRPr="00B469AB" w14:paraId="75E8405E"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F74366D" w14:textId="1F587EF5" w:rsidR="003E2B9F" w:rsidRDefault="003E2B9F" w:rsidP="00507EBA">
            <w:pPr>
              <w:spacing w:after="0" w:line="240" w:lineRule="auto"/>
              <w:rPr>
                <w:rFonts w:cs="Arial"/>
                <w:color w:val="000000"/>
                <w:sz w:val="15"/>
                <w:szCs w:val="15"/>
              </w:rPr>
            </w:pPr>
            <w:r>
              <w:rPr>
                <w:rFonts w:cs="Arial"/>
                <w:color w:val="000000"/>
                <w:sz w:val="15"/>
                <w:szCs w:val="15"/>
              </w:rPr>
              <w:t>Western Victoria Primary Health Network Limited</w:t>
            </w:r>
          </w:p>
        </w:tc>
        <w:tc>
          <w:tcPr>
            <w:tcW w:w="933" w:type="dxa"/>
            <w:tcBorders>
              <w:top w:val="single" w:sz="4" w:space="0" w:color="auto"/>
              <w:left w:val="nil"/>
              <w:bottom w:val="single" w:sz="4" w:space="0" w:color="auto"/>
              <w:right w:val="single" w:sz="4" w:space="0" w:color="auto"/>
            </w:tcBorders>
            <w:vAlign w:val="center"/>
          </w:tcPr>
          <w:p w14:paraId="2858E62A" w14:textId="210B3979"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2A8C1" w14:textId="46A8A0D6"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090E99A" w14:textId="4E2F0F54" w:rsidR="003E2B9F" w:rsidRDefault="003E2B9F" w:rsidP="00507EBA">
            <w:pPr>
              <w:spacing w:after="0" w:line="240" w:lineRule="auto"/>
              <w:jc w:val="right"/>
              <w:rPr>
                <w:rFonts w:cs="Arial"/>
                <w:color w:val="000000"/>
                <w:sz w:val="15"/>
                <w:szCs w:val="15"/>
              </w:rPr>
            </w:pPr>
            <w:r>
              <w:rPr>
                <w:rFonts w:cs="Arial"/>
                <w:color w:val="000000"/>
                <w:sz w:val="15"/>
                <w:szCs w:val="15"/>
              </w:rPr>
              <w:t>583</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425E8B97" w14:textId="7E6BDE55"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01E071B" w14:textId="54D35F34" w:rsidR="003E2B9F" w:rsidRDefault="003E2B9F" w:rsidP="00507EBA">
            <w:pPr>
              <w:spacing w:after="0" w:line="240" w:lineRule="auto"/>
              <w:jc w:val="right"/>
              <w:rPr>
                <w:rFonts w:cs="Arial"/>
                <w:color w:val="000000"/>
                <w:sz w:val="15"/>
                <w:szCs w:val="15"/>
              </w:rPr>
            </w:pPr>
            <w:r>
              <w:rPr>
                <w:rFonts w:cs="Arial"/>
                <w:color w:val="000000"/>
                <w:sz w:val="15"/>
                <w:szCs w:val="15"/>
              </w:rPr>
              <w:t>44</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B037C2F" w14:textId="4ADB87B9"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2FC00E10" w14:textId="62F2A6A9" w:rsidR="003E2B9F" w:rsidRDefault="003E2B9F" w:rsidP="00507EBA">
            <w:pPr>
              <w:spacing w:after="0" w:line="240" w:lineRule="auto"/>
              <w:jc w:val="right"/>
              <w:rPr>
                <w:rFonts w:cs="Arial"/>
                <w:color w:val="000000"/>
                <w:sz w:val="15"/>
                <w:szCs w:val="15"/>
              </w:rPr>
            </w:pPr>
            <w:r>
              <w:rPr>
                <w:rFonts w:cs="Arial"/>
                <w:color w:val="000000"/>
                <w:sz w:val="15"/>
                <w:szCs w:val="15"/>
              </w:rPr>
              <w:t>627</w:t>
            </w:r>
          </w:p>
        </w:tc>
      </w:tr>
      <w:tr w:rsidR="003E2B9F" w:rsidRPr="00B469AB" w14:paraId="0A673BF1"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69FA5E11" w14:textId="11F09529" w:rsidR="003E2B9F" w:rsidRDefault="003E2B9F" w:rsidP="00507EBA">
            <w:pPr>
              <w:spacing w:after="0" w:line="240" w:lineRule="auto"/>
              <w:rPr>
                <w:rFonts w:cs="Arial"/>
                <w:color w:val="000000"/>
                <w:sz w:val="15"/>
                <w:szCs w:val="15"/>
              </w:rPr>
            </w:pPr>
            <w:r>
              <w:rPr>
                <w:rFonts w:cs="Arial"/>
                <w:color w:val="000000"/>
                <w:sz w:val="15"/>
                <w:szCs w:val="15"/>
              </w:rPr>
              <w:t>Windana Drug &amp; Alcohol Recovery Inc.</w:t>
            </w:r>
          </w:p>
        </w:tc>
        <w:tc>
          <w:tcPr>
            <w:tcW w:w="933" w:type="dxa"/>
            <w:tcBorders>
              <w:top w:val="single" w:sz="4" w:space="0" w:color="auto"/>
              <w:left w:val="nil"/>
              <w:bottom w:val="single" w:sz="4" w:space="0" w:color="auto"/>
              <w:right w:val="single" w:sz="4" w:space="0" w:color="auto"/>
            </w:tcBorders>
            <w:vAlign w:val="center"/>
          </w:tcPr>
          <w:p w14:paraId="44F79F32" w14:textId="559711B9"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32604" w14:textId="1F8FB928"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FF65407" w14:textId="67BEE9ED" w:rsidR="003E2B9F" w:rsidRDefault="003E2B9F" w:rsidP="00507EBA">
            <w:pPr>
              <w:spacing w:after="0" w:line="240" w:lineRule="auto"/>
              <w:jc w:val="right"/>
              <w:rPr>
                <w:rFonts w:cs="Arial"/>
                <w:color w:val="000000"/>
                <w:sz w:val="15"/>
                <w:szCs w:val="15"/>
              </w:rPr>
            </w:pPr>
            <w:r>
              <w:rPr>
                <w:rFonts w:cs="Arial"/>
                <w:color w:val="000000"/>
                <w:sz w:val="15"/>
                <w:szCs w:val="15"/>
              </w:rPr>
              <w:t>22,996</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78024B95" w14:textId="2221245B"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B1A986E" w14:textId="607CD55E"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6566CD6" w14:textId="00A7868D"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0C99FC0D" w14:textId="35E184CC" w:rsidR="003E2B9F" w:rsidRDefault="003E2B9F" w:rsidP="00507EBA">
            <w:pPr>
              <w:spacing w:after="0" w:line="240" w:lineRule="auto"/>
              <w:jc w:val="right"/>
              <w:rPr>
                <w:rFonts w:cs="Arial"/>
                <w:color w:val="000000"/>
                <w:sz w:val="15"/>
                <w:szCs w:val="15"/>
              </w:rPr>
            </w:pPr>
            <w:r>
              <w:rPr>
                <w:rFonts w:cs="Arial"/>
                <w:color w:val="000000"/>
                <w:sz w:val="15"/>
                <w:szCs w:val="15"/>
              </w:rPr>
              <w:t>22,996</w:t>
            </w:r>
          </w:p>
        </w:tc>
      </w:tr>
      <w:tr w:rsidR="003E2B9F" w:rsidRPr="00B469AB" w14:paraId="675EF574"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5734F63" w14:textId="27B05B15" w:rsidR="003E2B9F" w:rsidRDefault="003E2B9F" w:rsidP="00507EBA">
            <w:pPr>
              <w:spacing w:after="0" w:line="240" w:lineRule="auto"/>
              <w:rPr>
                <w:rFonts w:cs="Arial"/>
                <w:color w:val="000000"/>
                <w:sz w:val="15"/>
                <w:szCs w:val="15"/>
              </w:rPr>
            </w:pPr>
            <w:r>
              <w:rPr>
                <w:rFonts w:cs="Arial"/>
                <w:color w:val="000000"/>
                <w:sz w:val="15"/>
                <w:szCs w:val="15"/>
              </w:rPr>
              <w:t>Wintringham</w:t>
            </w:r>
          </w:p>
        </w:tc>
        <w:tc>
          <w:tcPr>
            <w:tcW w:w="933" w:type="dxa"/>
            <w:tcBorders>
              <w:top w:val="single" w:sz="4" w:space="0" w:color="auto"/>
              <w:left w:val="nil"/>
              <w:bottom w:val="single" w:sz="4" w:space="0" w:color="auto"/>
              <w:right w:val="single" w:sz="4" w:space="0" w:color="auto"/>
            </w:tcBorders>
            <w:vAlign w:val="center"/>
          </w:tcPr>
          <w:p w14:paraId="23B963B4" w14:textId="33A2F2D2"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C8F5" w14:textId="0D4A32FE" w:rsidR="003E2B9F" w:rsidRDefault="003E2B9F" w:rsidP="00507EBA">
            <w:pPr>
              <w:spacing w:after="0" w:line="240" w:lineRule="auto"/>
              <w:jc w:val="right"/>
              <w:rPr>
                <w:rFonts w:cs="Arial"/>
                <w:color w:val="000000"/>
                <w:sz w:val="15"/>
                <w:szCs w:val="15"/>
              </w:rPr>
            </w:pPr>
            <w:r>
              <w:rPr>
                <w:rFonts w:cs="Arial"/>
                <w:color w:val="000000"/>
                <w:sz w:val="15"/>
                <w:szCs w:val="15"/>
              </w:rPr>
              <w:t>1,075</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9542D4E" w14:textId="7292DF6F"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1D5ADC0F" w14:textId="0792A920"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1B8F34E" w14:textId="46BF91AA"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F5AD897" w14:textId="5C1CE97E"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0B341038" w14:textId="5C3662DC" w:rsidR="003E2B9F" w:rsidRDefault="003E2B9F" w:rsidP="00507EBA">
            <w:pPr>
              <w:spacing w:after="0" w:line="240" w:lineRule="auto"/>
              <w:jc w:val="right"/>
              <w:rPr>
                <w:rFonts w:cs="Arial"/>
                <w:color w:val="000000"/>
                <w:sz w:val="15"/>
                <w:szCs w:val="15"/>
              </w:rPr>
            </w:pPr>
            <w:r>
              <w:rPr>
                <w:rFonts w:cs="Arial"/>
                <w:color w:val="000000"/>
                <w:sz w:val="15"/>
                <w:szCs w:val="15"/>
              </w:rPr>
              <w:t>1,075</w:t>
            </w:r>
          </w:p>
        </w:tc>
      </w:tr>
      <w:tr w:rsidR="003E2B9F" w:rsidRPr="00B469AB" w14:paraId="7D71526E"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14530B2" w14:textId="50CFEB29" w:rsidR="003E2B9F" w:rsidRDefault="1B4621A6" w:rsidP="00507EBA">
            <w:pPr>
              <w:spacing w:after="0" w:line="240" w:lineRule="auto"/>
              <w:rPr>
                <w:rFonts w:cs="Arial"/>
                <w:color w:val="000000"/>
                <w:sz w:val="15"/>
                <w:szCs w:val="15"/>
              </w:rPr>
            </w:pPr>
            <w:r w:rsidRPr="4878A108">
              <w:rPr>
                <w:rFonts w:cs="Arial"/>
                <w:color w:val="000000" w:themeColor="text1"/>
                <w:sz w:val="15"/>
                <w:szCs w:val="15"/>
              </w:rPr>
              <w:t>Women's</w:t>
            </w:r>
            <w:r w:rsidR="1D93136B" w:rsidRPr="4878A108">
              <w:rPr>
                <w:rFonts w:cs="Arial"/>
                <w:color w:val="000000" w:themeColor="text1"/>
                <w:sz w:val="15"/>
                <w:szCs w:val="15"/>
              </w:rPr>
              <w:t xml:space="preserve"> Health Victoria Inc</w:t>
            </w:r>
          </w:p>
        </w:tc>
        <w:tc>
          <w:tcPr>
            <w:tcW w:w="933" w:type="dxa"/>
            <w:tcBorders>
              <w:top w:val="single" w:sz="4" w:space="0" w:color="auto"/>
              <w:left w:val="nil"/>
              <w:bottom w:val="single" w:sz="4" w:space="0" w:color="auto"/>
              <w:right w:val="single" w:sz="4" w:space="0" w:color="auto"/>
            </w:tcBorders>
            <w:vAlign w:val="center"/>
          </w:tcPr>
          <w:p w14:paraId="2669DB88" w14:textId="743DB9DC" w:rsidR="003E2B9F" w:rsidRDefault="003E2B9F" w:rsidP="00507EBA">
            <w:pPr>
              <w:spacing w:after="0" w:line="240" w:lineRule="auto"/>
              <w:jc w:val="right"/>
              <w:rPr>
                <w:rFonts w:cs="Arial"/>
                <w:color w:val="000000"/>
                <w:sz w:val="15"/>
                <w:szCs w:val="15"/>
              </w:rPr>
            </w:pPr>
            <w:r>
              <w:rPr>
                <w:rFonts w:cs="Arial"/>
                <w:color w:val="000000"/>
                <w:sz w:val="15"/>
                <w:szCs w:val="15"/>
              </w:rPr>
              <w:t>986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7B318" w14:textId="7F102CBF"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63E6C86" w14:textId="2A919718"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73D60B1F" w14:textId="2E5E495D"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575982C" w14:textId="27B04AB4" w:rsidR="003E2B9F" w:rsidRDefault="003E2B9F" w:rsidP="00507EBA">
            <w:pPr>
              <w:spacing w:after="0" w:line="240" w:lineRule="auto"/>
              <w:jc w:val="right"/>
              <w:rPr>
                <w:rFonts w:cs="Arial"/>
                <w:color w:val="000000"/>
                <w:sz w:val="15"/>
                <w:szCs w:val="15"/>
              </w:rPr>
            </w:pPr>
            <w:r>
              <w:rPr>
                <w:rFonts w:cs="Arial"/>
                <w:color w:val="000000"/>
                <w:sz w:val="15"/>
                <w:szCs w:val="15"/>
              </w:rPr>
              <w:t>1,605</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B5BD030" w14:textId="666BDB46" w:rsidR="003E2B9F" w:rsidRDefault="003E2B9F" w:rsidP="00507EBA">
            <w:pPr>
              <w:spacing w:after="0" w:line="240" w:lineRule="auto"/>
              <w:jc w:val="right"/>
              <w:rPr>
                <w:rFonts w:cs="Arial"/>
                <w:color w:val="000000"/>
                <w:sz w:val="15"/>
                <w:szCs w:val="15"/>
              </w:rPr>
            </w:pPr>
            <w:r>
              <w:rPr>
                <w:rFonts w:cs="Arial"/>
                <w:color w:val="000000"/>
                <w:sz w:val="15"/>
                <w:szCs w:val="15"/>
              </w:rPr>
              <w:t>523</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4C4E932F" w14:textId="52C7EC1D" w:rsidR="003E2B9F" w:rsidRDefault="003E2B9F" w:rsidP="00507EBA">
            <w:pPr>
              <w:spacing w:after="0" w:line="240" w:lineRule="auto"/>
              <w:jc w:val="right"/>
              <w:rPr>
                <w:rFonts w:cs="Arial"/>
                <w:color w:val="000000"/>
                <w:sz w:val="15"/>
                <w:szCs w:val="15"/>
              </w:rPr>
            </w:pPr>
            <w:r>
              <w:rPr>
                <w:rFonts w:cs="Arial"/>
                <w:color w:val="000000"/>
                <w:sz w:val="15"/>
                <w:szCs w:val="15"/>
              </w:rPr>
              <w:t>3,113</w:t>
            </w:r>
          </w:p>
        </w:tc>
      </w:tr>
      <w:tr w:rsidR="003E2B9F" w:rsidRPr="00B469AB" w14:paraId="74A0B3C9"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59263E2" w14:textId="07273538" w:rsidR="003E2B9F" w:rsidRDefault="1D93136B" w:rsidP="00507EBA">
            <w:pPr>
              <w:spacing w:after="0" w:line="240" w:lineRule="auto"/>
              <w:rPr>
                <w:rFonts w:cs="Arial"/>
                <w:color w:val="000000"/>
                <w:sz w:val="15"/>
                <w:szCs w:val="15"/>
              </w:rPr>
            </w:pPr>
            <w:r w:rsidRPr="4878A108">
              <w:rPr>
                <w:rFonts w:cs="Arial"/>
                <w:color w:val="000000" w:themeColor="text1"/>
                <w:sz w:val="15"/>
                <w:szCs w:val="15"/>
              </w:rPr>
              <w:t>Women'</w:t>
            </w:r>
            <w:r w:rsidR="0D6CA5A0" w:rsidRPr="4878A108">
              <w:rPr>
                <w:rFonts w:cs="Arial"/>
                <w:color w:val="000000" w:themeColor="text1"/>
                <w:sz w:val="15"/>
                <w:szCs w:val="15"/>
              </w:rPr>
              <w:t>s</w:t>
            </w:r>
            <w:r w:rsidRPr="4878A108">
              <w:rPr>
                <w:rFonts w:cs="Arial"/>
                <w:color w:val="000000" w:themeColor="text1"/>
                <w:sz w:val="15"/>
                <w:szCs w:val="15"/>
              </w:rPr>
              <w:t xml:space="preserve"> Health West Inc</w:t>
            </w:r>
          </w:p>
        </w:tc>
        <w:tc>
          <w:tcPr>
            <w:tcW w:w="933" w:type="dxa"/>
            <w:tcBorders>
              <w:top w:val="single" w:sz="4" w:space="0" w:color="auto"/>
              <w:left w:val="nil"/>
              <w:bottom w:val="single" w:sz="4" w:space="0" w:color="auto"/>
              <w:right w:val="single" w:sz="4" w:space="0" w:color="auto"/>
            </w:tcBorders>
            <w:vAlign w:val="center"/>
          </w:tcPr>
          <w:p w14:paraId="4C0EA799" w14:textId="29B88D86"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071E5" w14:textId="281A12C4" w:rsidR="003E2B9F" w:rsidRDefault="003E2B9F" w:rsidP="00507EBA">
            <w:pPr>
              <w:spacing w:after="0" w:line="240" w:lineRule="auto"/>
              <w:jc w:val="right"/>
              <w:rPr>
                <w:rFonts w:cs="Arial"/>
                <w:color w:val="000000"/>
                <w:sz w:val="15"/>
                <w:szCs w:val="15"/>
              </w:rPr>
            </w:pPr>
            <w:r>
              <w:rPr>
                <w:rFonts w:cs="Arial"/>
                <w:color w:val="000000"/>
                <w:sz w:val="15"/>
                <w:szCs w:val="15"/>
              </w:rPr>
              <w:t>121</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85E4BCF" w14:textId="0B4EAED1"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048F3A71" w14:textId="64953196"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5C1A64B" w14:textId="19F00A32" w:rsidR="003E2B9F" w:rsidRDefault="003E2B9F" w:rsidP="00507EBA">
            <w:pPr>
              <w:spacing w:after="0" w:line="240" w:lineRule="auto"/>
              <w:jc w:val="right"/>
              <w:rPr>
                <w:rFonts w:cs="Arial"/>
                <w:color w:val="000000"/>
                <w:sz w:val="15"/>
                <w:szCs w:val="15"/>
              </w:rPr>
            </w:pPr>
            <w:r>
              <w:rPr>
                <w:rFonts w:cs="Arial"/>
                <w:color w:val="000000"/>
                <w:sz w:val="15"/>
                <w:szCs w:val="15"/>
              </w:rPr>
              <w:t>1,332</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1154949" w14:textId="62AC0C11"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58A95EA5" w14:textId="7D57D20C" w:rsidR="003E2B9F" w:rsidRDefault="003E2B9F" w:rsidP="00507EBA">
            <w:pPr>
              <w:spacing w:after="0" w:line="240" w:lineRule="auto"/>
              <w:jc w:val="right"/>
              <w:rPr>
                <w:rFonts w:cs="Arial"/>
                <w:color w:val="000000"/>
                <w:sz w:val="15"/>
                <w:szCs w:val="15"/>
              </w:rPr>
            </w:pPr>
            <w:r>
              <w:rPr>
                <w:rFonts w:cs="Arial"/>
                <w:color w:val="000000"/>
                <w:sz w:val="15"/>
                <w:szCs w:val="15"/>
              </w:rPr>
              <w:t>1,453</w:t>
            </w:r>
          </w:p>
        </w:tc>
      </w:tr>
      <w:tr w:rsidR="003E2B9F" w:rsidRPr="00B469AB" w14:paraId="49EF3F25"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41E09AC" w14:textId="2D220973" w:rsidR="003E2B9F" w:rsidRDefault="003E2B9F" w:rsidP="00507EBA">
            <w:pPr>
              <w:spacing w:after="0" w:line="240" w:lineRule="auto"/>
              <w:rPr>
                <w:rFonts w:cs="Arial"/>
                <w:color w:val="000000"/>
                <w:sz w:val="15"/>
                <w:szCs w:val="15"/>
              </w:rPr>
            </w:pPr>
            <w:r>
              <w:rPr>
                <w:rFonts w:cs="Arial"/>
                <w:color w:val="000000"/>
                <w:sz w:val="15"/>
                <w:szCs w:val="15"/>
              </w:rPr>
              <w:t>Youth Projects Limited</w:t>
            </w:r>
          </w:p>
        </w:tc>
        <w:tc>
          <w:tcPr>
            <w:tcW w:w="933" w:type="dxa"/>
            <w:tcBorders>
              <w:top w:val="single" w:sz="4" w:space="0" w:color="auto"/>
              <w:left w:val="nil"/>
              <w:bottom w:val="single" w:sz="4" w:space="0" w:color="auto"/>
              <w:right w:val="single" w:sz="4" w:space="0" w:color="auto"/>
            </w:tcBorders>
            <w:vAlign w:val="center"/>
          </w:tcPr>
          <w:p w14:paraId="1F65FBCE" w14:textId="0DD15A9F"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9CC07" w14:textId="338E3112"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994F93E" w14:textId="70FD58ED" w:rsidR="003E2B9F" w:rsidRDefault="003E2B9F" w:rsidP="00507EBA">
            <w:pPr>
              <w:spacing w:after="0" w:line="240" w:lineRule="auto"/>
              <w:jc w:val="right"/>
              <w:rPr>
                <w:rFonts w:cs="Arial"/>
                <w:color w:val="000000"/>
                <w:sz w:val="15"/>
                <w:szCs w:val="15"/>
              </w:rPr>
            </w:pPr>
            <w:r>
              <w:rPr>
                <w:rFonts w:cs="Arial"/>
                <w:color w:val="000000"/>
                <w:sz w:val="15"/>
                <w:szCs w:val="15"/>
              </w:rPr>
              <w:t>3,182</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532A8B0D" w14:textId="424970B0" w:rsidR="003E2B9F" w:rsidRDefault="003E2B9F" w:rsidP="00507EBA">
            <w:pPr>
              <w:spacing w:after="0" w:line="240" w:lineRule="auto"/>
              <w:jc w:val="right"/>
              <w:rPr>
                <w:rFonts w:cs="Arial"/>
                <w:color w:val="000000"/>
                <w:sz w:val="15"/>
                <w:szCs w:val="15"/>
              </w:rPr>
            </w:pPr>
            <w:r>
              <w:rPr>
                <w:rFonts w:cs="Arial"/>
                <w:color w:val="000000"/>
                <w:sz w:val="15"/>
                <w:szCs w:val="15"/>
              </w:rPr>
              <w:t>120</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2254F29" w14:textId="66219726"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C5A9EC8" w14:textId="1C1CE148"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0B8A0BB1" w14:textId="1AFB41AE" w:rsidR="003E2B9F" w:rsidRDefault="003E2B9F" w:rsidP="00507EBA">
            <w:pPr>
              <w:spacing w:after="0" w:line="240" w:lineRule="auto"/>
              <w:jc w:val="right"/>
              <w:rPr>
                <w:rFonts w:cs="Arial"/>
                <w:color w:val="000000"/>
                <w:sz w:val="15"/>
                <w:szCs w:val="15"/>
              </w:rPr>
            </w:pPr>
            <w:r>
              <w:rPr>
                <w:rFonts w:cs="Arial"/>
                <w:color w:val="000000"/>
                <w:sz w:val="15"/>
                <w:szCs w:val="15"/>
              </w:rPr>
              <w:t>3,302</w:t>
            </w:r>
          </w:p>
        </w:tc>
      </w:tr>
      <w:tr w:rsidR="003E2B9F" w:rsidRPr="00B469AB" w14:paraId="080712F0"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A5650F8" w14:textId="34135E5E" w:rsidR="003E2B9F" w:rsidRDefault="003E2B9F" w:rsidP="00507EBA">
            <w:pPr>
              <w:spacing w:after="0" w:line="240" w:lineRule="auto"/>
              <w:rPr>
                <w:rFonts w:cs="Arial"/>
                <w:color w:val="000000"/>
                <w:sz w:val="15"/>
                <w:szCs w:val="15"/>
              </w:rPr>
            </w:pPr>
            <w:r>
              <w:rPr>
                <w:rFonts w:cs="Arial"/>
                <w:color w:val="000000"/>
                <w:sz w:val="15"/>
                <w:szCs w:val="15"/>
              </w:rPr>
              <w:t>Ysas Pty Ltd</w:t>
            </w:r>
          </w:p>
        </w:tc>
        <w:tc>
          <w:tcPr>
            <w:tcW w:w="933" w:type="dxa"/>
            <w:tcBorders>
              <w:top w:val="single" w:sz="4" w:space="0" w:color="auto"/>
              <w:left w:val="nil"/>
              <w:bottom w:val="single" w:sz="4" w:space="0" w:color="auto"/>
              <w:right w:val="single" w:sz="4" w:space="0" w:color="auto"/>
            </w:tcBorders>
            <w:vAlign w:val="center"/>
          </w:tcPr>
          <w:p w14:paraId="5C6D34D3" w14:textId="661811CA"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070DF" w14:textId="446F63D3"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446FC46" w14:textId="00556FA5" w:rsidR="003E2B9F" w:rsidRDefault="003E2B9F" w:rsidP="00507EBA">
            <w:pPr>
              <w:spacing w:after="0" w:line="240" w:lineRule="auto"/>
              <w:jc w:val="right"/>
              <w:rPr>
                <w:rFonts w:cs="Arial"/>
                <w:color w:val="000000"/>
                <w:sz w:val="15"/>
                <w:szCs w:val="15"/>
              </w:rPr>
            </w:pPr>
            <w:r>
              <w:rPr>
                <w:rFonts w:cs="Arial"/>
                <w:color w:val="000000"/>
                <w:sz w:val="15"/>
                <w:szCs w:val="15"/>
              </w:rPr>
              <w:t>22,404</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0248B411" w14:textId="68A8C62F" w:rsidR="003E2B9F" w:rsidRDefault="003E2B9F" w:rsidP="00507EBA">
            <w:pPr>
              <w:spacing w:after="0" w:line="240" w:lineRule="auto"/>
              <w:jc w:val="right"/>
              <w:rPr>
                <w:rFonts w:cs="Arial"/>
                <w:color w:val="000000"/>
                <w:sz w:val="15"/>
                <w:szCs w:val="15"/>
              </w:rPr>
            </w:pPr>
            <w:r>
              <w:rPr>
                <w:rFonts w:cs="Arial"/>
                <w:color w:val="000000"/>
                <w:sz w:val="15"/>
                <w:szCs w:val="15"/>
              </w:rPr>
              <w:t>150</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A30B137" w14:textId="1CACADD7"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90B57EE" w14:textId="6A6587DA" w:rsidR="003E2B9F" w:rsidRDefault="003E2B9F" w:rsidP="00507EBA">
            <w:pPr>
              <w:spacing w:after="0" w:line="240" w:lineRule="auto"/>
              <w:jc w:val="right"/>
              <w:rPr>
                <w:rFonts w:cs="Arial"/>
                <w:color w:val="000000"/>
                <w:sz w:val="15"/>
                <w:szCs w:val="15"/>
              </w:rPr>
            </w:pPr>
            <w:r>
              <w:rPr>
                <w:rFonts w:cs="Arial"/>
                <w:color w:val="000000"/>
                <w:sz w:val="15"/>
                <w:szCs w:val="15"/>
              </w:rPr>
              <w:t> </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43394B35" w14:textId="54199C79" w:rsidR="003E2B9F" w:rsidRDefault="003E2B9F" w:rsidP="00507EBA">
            <w:pPr>
              <w:spacing w:after="0" w:line="240" w:lineRule="auto"/>
              <w:jc w:val="right"/>
              <w:rPr>
                <w:rFonts w:cs="Arial"/>
                <w:color w:val="000000"/>
                <w:sz w:val="15"/>
                <w:szCs w:val="15"/>
              </w:rPr>
            </w:pPr>
            <w:r>
              <w:rPr>
                <w:rFonts w:cs="Arial"/>
                <w:color w:val="000000"/>
                <w:sz w:val="15"/>
                <w:szCs w:val="15"/>
              </w:rPr>
              <w:t>22,555</w:t>
            </w:r>
          </w:p>
        </w:tc>
      </w:tr>
      <w:tr w:rsidR="003E2B9F" w:rsidRPr="00B469AB" w14:paraId="2E8599DD"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26E3D22" w14:textId="7594A578" w:rsidR="003E2B9F" w:rsidRDefault="003E2B9F" w:rsidP="00507EBA">
            <w:pPr>
              <w:spacing w:after="0" w:line="240" w:lineRule="auto"/>
              <w:rPr>
                <w:rFonts w:cs="Arial"/>
                <w:color w:val="000000"/>
                <w:sz w:val="15"/>
                <w:szCs w:val="15"/>
              </w:rPr>
            </w:pPr>
            <w:r>
              <w:rPr>
                <w:rFonts w:cs="Arial"/>
                <w:color w:val="000000"/>
                <w:sz w:val="15"/>
                <w:szCs w:val="15"/>
              </w:rPr>
              <w:t>All other organisations (&lt;$1 m)</w:t>
            </w:r>
          </w:p>
        </w:tc>
        <w:tc>
          <w:tcPr>
            <w:tcW w:w="933" w:type="dxa"/>
            <w:tcBorders>
              <w:top w:val="single" w:sz="4" w:space="0" w:color="auto"/>
              <w:left w:val="nil"/>
              <w:bottom w:val="single" w:sz="4" w:space="0" w:color="auto"/>
              <w:right w:val="single" w:sz="4" w:space="0" w:color="auto"/>
            </w:tcBorders>
            <w:vAlign w:val="center"/>
          </w:tcPr>
          <w:p w14:paraId="2A2C00D1" w14:textId="629CF2CA" w:rsidR="003E2B9F" w:rsidRDefault="003E2B9F" w:rsidP="00507EBA">
            <w:pPr>
              <w:spacing w:after="0" w:line="240" w:lineRule="auto"/>
              <w:jc w:val="right"/>
              <w:rPr>
                <w:rFonts w:cs="Arial"/>
                <w:color w:val="000000"/>
                <w:sz w:val="15"/>
                <w:szCs w:val="15"/>
              </w:rPr>
            </w:pPr>
            <w:r>
              <w:rPr>
                <w:rFonts w:cs="Arial"/>
                <w:color w:val="000000"/>
                <w:sz w:val="15"/>
                <w:szCs w:val="15"/>
              </w:rPr>
              <w:t>10,606</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825FE" w14:textId="3A1B1583" w:rsidR="003E2B9F" w:rsidRDefault="003E2B9F" w:rsidP="00507EBA">
            <w:pPr>
              <w:spacing w:after="0" w:line="240" w:lineRule="auto"/>
              <w:jc w:val="right"/>
              <w:rPr>
                <w:rFonts w:cs="Arial"/>
                <w:color w:val="000000"/>
                <w:sz w:val="15"/>
                <w:szCs w:val="15"/>
              </w:rPr>
            </w:pPr>
            <w:r>
              <w:rPr>
                <w:rFonts w:cs="Arial"/>
                <w:color w:val="000000"/>
                <w:sz w:val="15"/>
                <w:szCs w:val="15"/>
              </w:rPr>
              <w:t>22,870</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04679D6" w14:textId="3C150C2C" w:rsidR="003E2B9F" w:rsidRDefault="003E2B9F" w:rsidP="00507EBA">
            <w:pPr>
              <w:spacing w:after="0" w:line="240" w:lineRule="auto"/>
              <w:jc w:val="right"/>
              <w:rPr>
                <w:rFonts w:cs="Arial"/>
                <w:color w:val="000000"/>
                <w:sz w:val="15"/>
                <w:szCs w:val="15"/>
              </w:rPr>
            </w:pPr>
            <w:r>
              <w:rPr>
                <w:rFonts w:cs="Arial"/>
                <w:color w:val="000000"/>
                <w:sz w:val="15"/>
                <w:szCs w:val="15"/>
              </w:rPr>
              <w:t>3,568</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4ABCC442" w14:textId="0E80B5B3" w:rsidR="003E2B9F" w:rsidRDefault="003E2B9F" w:rsidP="00507EBA">
            <w:pPr>
              <w:spacing w:after="0" w:line="240" w:lineRule="auto"/>
              <w:jc w:val="right"/>
              <w:rPr>
                <w:rFonts w:cs="Arial"/>
                <w:color w:val="000000"/>
                <w:sz w:val="15"/>
                <w:szCs w:val="15"/>
              </w:rPr>
            </w:pPr>
            <w:r>
              <w:rPr>
                <w:rFonts w:cs="Arial"/>
                <w:color w:val="000000"/>
                <w:sz w:val="15"/>
                <w:szCs w:val="15"/>
              </w:rPr>
              <w:t>7,899</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6C1F6B0" w14:textId="57C35D63" w:rsidR="003E2B9F" w:rsidRDefault="003E2B9F" w:rsidP="00507EBA">
            <w:pPr>
              <w:spacing w:after="0" w:line="240" w:lineRule="auto"/>
              <w:jc w:val="right"/>
              <w:rPr>
                <w:rFonts w:cs="Arial"/>
                <w:color w:val="000000"/>
                <w:sz w:val="15"/>
                <w:szCs w:val="15"/>
              </w:rPr>
            </w:pPr>
            <w:r>
              <w:rPr>
                <w:rFonts w:cs="Arial"/>
                <w:color w:val="000000"/>
                <w:sz w:val="15"/>
                <w:szCs w:val="15"/>
              </w:rPr>
              <w:t>11,460</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A218832" w14:textId="4BC6BDBF" w:rsidR="003E2B9F" w:rsidRDefault="003E2B9F" w:rsidP="00507EBA">
            <w:pPr>
              <w:spacing w:after="0" w:line="240" w:lineRule="auto"/>
              <w:jc w:val="right"/>
              <w:rPr>
                <w:rFonts w:cs="Arial"/>
                <w:color w:val="000000"/>
                <w:sz w:val="15"/>
                <w:szCs w:val="15"/>
              </w:rPr>
            </w:pPr>
            <w:r>
              <w:rPr>
                <w:rFonts w:cs="Arial"/>
                <w:color w:val="000000"/>
                <w:sz w:val="15"/>
                <w:szCs w:val="15"/>
              </w:rPr>
              <w:t>1,307</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137299DE" w14:textId="226A3782" w:rsidR="003E2B9F" w:rsidRDefault="003E2B9F" w:rsidP="00507EBA">
            <w:pPr>
              <w:spacing w:after="0" w:line="240" w:lineRule="auto"/>
              <w:jc w:val="right"/>
              <w:rPr>
                <w:rFonts w:cs="Arial"/>
                <w:color w:val="000000"/>
                <w:sz w:val="15"/>
                <w:szCs w:val="15"/>
              </w:rPr>
            </w:pPr>
            <w:r>
              <w:rPr>
                <w:rFonts w:cs="Arial"/>
                <w:color w:val="000000"/>
                <w:sz w:val="15"/>
                <w:szCs w:val="15"/>
              </w:rPr>
              <w:t>57,710</w:t>
            </w:r>
          </w:p>
        </w:tc>
      </w:tr>
      <w:tr w:rsidR="003E2B9F" w:rsidRPr="00B469AB" w14:paraId="09750620" w14:textId="77777777" w:rsidTr="4878A108">
        <w:trPr>
          <w:trHeight w:val="28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66C804F" w14:textId="5FE03803" w:rsidR="003E2B9F" w:rsidRDefault="003E2B9F" w:rsidP="00507EBA">
            <w:pPr>
              <w:spacing w:after="0" w:line="240" w:lineRule="auto"/>
              <w:rPr>
                <w:rFonts w:cs="Arial"/>
                <w:color w:val="000000"/>
                <w:sz w:val="15"/>
                <w:szCs w:val="15"/>
              </w:rPr>
            </w:pPr>
            <w:r>
              <w:rPr>
                <w:rFonts w:cs="Arial"/>
                <w:b/>
                <w:bCs/>
                <w:color w:val="000000"/>
                <w:sz w:val="15"/>
                <w:szCs w:val="15"/>
              </w:rPr>
              <w:t>Grand Total</w:t>
            </w:r>
          </w:p>
        </w:tc>
        <w:tc>
          <w:tcPr>
            <w:tcW w:w="933" w:type="dxa"/>
            <w:tcBorders>
              <w:top w:val="single" w:sz="4" w:space="0" w:color="auto"/>
              <w:left w:val="nil"/>
              <w:bottom w:val="single" w:sz="4" w:space="0" w:color="auto"/>
              <w:right w:val="single" w:sz="4" w:space="0" w:color="auto"/>
            </w:tcBorders>
            <w:vAlign w:val="center"/>
          </w:tcPr>
          <w:p w14:paraId="1B834C6A" w14:textId="37D1B75D" w:rsidR="003E2B9F" w:rsidRDefault="003E2B9F" w:rsidP="00507EBA">
            <w:pPr>
              <w:spacing w:after="0" w:line="240" w:lineRule="auto"/>
              <w:jc w:val="right"/>
              <w:rPr>
                <w:rFonts w:cs="Arial"/>
                <w:color w:val="000000"/>
                <w:sz w:val="15"/>
                <w:szCs w:val="15"/>
              </w:rPr>
            </w:pPr>
            <w:r>
              <w:rPr>
                <w:rFonts w:cs="Arial"/>
                <w:b/>
                <w:bCs/>
                <w:color w:val="000000"/>
                <w:sz w:val="15"/>
                <w:szCs w:val="15"/>
              </w:rPr>
              <w:t>103,118</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73FB3" w14:textId="03743053" w:rsidR="003E2B9F" w:rsidRDefault="003E2B9F" w:rsidP="00507EBA">
            <w:pPr>
              <w:spacing w:after="0" w:line="240" w:lineRule="auto"/>
              <w:jc w:val="right"/>
              <w:rPr>
                <w:rFonts w:cs="Arial"/>
                <w:color w:val="000000"/>
                <w:sz w:val="15"/>
                <w:szCs w:val="15"/>
              </w:rPr>
            </w:pPr>
            <w:r>
              <w:rPr>
                <w:rFonts w:cs="Arial"/>
                <w:b/>
                <w:bCs/>
                <w:color w:val="000000"/>
                <w:sz w:val="15"/>
                <w:szCs w:val="15"/>
              </w:rPr>
              <w:t>101,345</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1F36A8D" w14:textId="1B6E82D9" w:rsidR="003E2B9F" w:rsidRDefault="003E2B9F" w:rsidP="00507EBA">
            <w:pPr>
              <w:spacing w:after="0" w:line="240" w:lineRule="auto"/>
              <w:jc w:val="right"/>
              <w:rPr>
                <w:rFonts w:cs="Arial"/>
                <w:color w:val="000000"/>
                <w:sz w:val="15"/>
                <w:szCs w:val="15"/>
              </w:rPr>
            </w:pPr>
            <w:r>
              <w:rPr>
                <w:rFonts w:cs="Arial"/>
                <w:b/>
                <w:bCs/>
                <w:color w:val="000000"/>
                <w:sz w:val="15"/>
                <w:szCs w:val="15"/>
              </w:rPr>
              <w:t>160,618</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224B89BA" w14:textId="799E7620" w:rsidR="003E2B9F" w:rsidRDefault="003E2B9F" w:rsidP="00507EBA">
            <w:pPr>
              <w:spacing w:after="0" w:line="240" w:lineRule="auto"/>
              <w:jc w:val="right"/>
              <w:rPr>
                <w:rFonts w:cs="Arial"/>
                <w:color w:val="000000"/>
                <w:sz w:val="15"/>
                <w:szCs w:val="15"/>
              </w:rPr>
            </w:pPr>
            <w:r>
              <w:rPr>
                <w:rFonts w:cs="Arial"/>
                <w:b/>
                <w:bCs/>
                <w:color w:val="000000"/>
                <w:sz w:val="15"/>
                <w:szCs w:val="15"/>
              </w:rPr>
              <w:t>175,118</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6EF6AA1" w14:textId="66F13724" w:rsidR="003E2B9F" w:rsidRDefault="003E2B9F" w:rsidP="00507EBA">
            <w:pPr>
              <w:spacing w:after="0" w:line="240" w:lineRule="auto"/>
              <w:jc w:val="right"/>
              <w:rPr>
                <w:rFonts w:cs="Arial"/>
                <w:color w:val="000000"/>
                <w:sz w:val="15"/>
                <w:szCs w:val="15"/>
              </w:rPr>
            </w:pPr>
            <w:r>
              <w:rPr>
                <w:rFonts w:cs="Arial"/>
                <w:b/>
                <w:bCs/>
                <w:color w:val="000000"/>
                <w:sz w:val="15"/>
                <w:szCs w:val="15"/>
              </w:rPr>
              <w:t>35,210</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9DA75F5" w14:textId="1998B867" w:rsidR="003E2B9F" w:rsidRDefault="003E2B9F" w:rsidP="00507EBA">
            <w:pPr>
              <w:spacing w:after="0" w:line="240" w:lineRule="auto"/>
              <w:jc w:val="right"/>
              <w:rPr>
                <w:rFonts w:cs="Arial"/>
                <w:color w:val="000000"/>
                <w:sz w:val="15"/>
                <w:szCs w:val="15"/>
              </w:rPr>
            </w:pPr>
            <w:r>
              <w:rPr>
                <w:rFonts w:cs="Arial"/>
                <w:b/>
                <w:bCs/>
                <w:color w:val="000000"/>
                <w:sz w:val="15"/>
                <w:szCs w:val="15"/>
              </w:rPr>
              <w:t>156,712</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7CEC1F2D" w14:textId="12E7095C" w:rsidR="003E2B9F" w:rsidRDefault="003E2B9F" w:rsidP="00507EBA">
            <w:pPr>
              <w:spacing w:after="0" w:line="240" w:lineRule="auto"/>
              <w:jc w:val="right"/>
              <w:rPr>
                <w:rFonts w:cs="Arial"/>
                <w:color w:val="000000"/>
                <w:sz w:val="15"/>
                <w:szCs w:val="15"/>
              </w:rPr>
            </w:pPr>
            <w:r>
              <w:rPr>
                <w:rFonts w:cs="Arial"/>
                <w:b/>
                <w:bCs/>
                <w:color w:val="000000"/>
                <w:sz w:val="15"/>
                <w:szCs w:val="15"/>
              </w:rPr>
              <w:t>732,121</w:t>
            </w:r>
          </w:p>
        </w:tc>
      </w:tr>
    </w:tbl>
    <w:p w14:paraId="45FA7C2B" w14:textId="77777777" w:rsidR="005B699B" w:rsidRPr="00E00C4E" w:rsidRDefault="005B699B" w:rsidP="00E00C4E">
      <w:pPr>
        <w:pStyle w:val="Body"/>
      </w:pPr>
    </w:p>
    <w:p w14:paraId="357A4E3F" w14:textId="77777777" w:rsidR="005B699B" w:rsidRPr="00E00C4E" w:rsidRDefault="005B699B" w:rsidP="000723BA">
      <w:pPr>
        <w:pStyle w:val="Body"/>
      </w:pPr>
      <w:r w:rsidRPr="00E00C4E">
        <w:br w:type="page"/>
      </w:r>
    </w:p>
    <w:p w14:paraId="30188B73" w14:textId="13B02CA5" w:rsidR="005B699B" w:rsidRPr="00340815" w:rsidRDefault="005B699B" w:rsidP="001E4292">
      <w:pPr>
        <w:pStyle w:val="Heading2"/>
        <w:numPr>
          <w:ilvl w:val="1"/>
          <w:numId w:val="13"/>
        </w:numPr>
        <w:ind w:left="993" w:hanging="993"/>
      </w:pPr>
      <w:bookmarkStart w:id="2526" w:name="_Toc144905677"/>
      <w:bookmarkStart w:id="2527" w:name="_Toc12780663"/>
      <w:bookmarkStart w:id="2528" w:name="_Toc14172304"/>
      <w:bookmarkStart w:id="2529" w:name="_Toc33703978"/>
      <w:bookmarkStart w:id="2530" w:name="_Toc55381166"/>
      <w:bookmarkStart w:id="2531" w:name="_Toc100263372"/>
      <w:bookmarkStart w:id="2532" w:name="_Toc165961868"/>
      <w:bookmarkStart w:id="2533" w:name="_Toc178963654"/>
      <w:bookmarkStart w:id="2534" w:name="_Hlk170302258"/>
      <w:bookmarkEnd w:id="2525"/>
      <w:bookmarkEnd w:id="2526"/>
      <w:r>
        <w:lastRenderedPageBreak/>
        <w:t xml:space="preserve">Other </w:t>
      </w:r>
      <w:r w:rsidRPr="00295CB9">
        <w:t>Funded</w:t>
      </w:r>
      <w:r>
        <w:t xml:space="preserve"> </w:t>
      </w:r>
      <w:r w:rsidRPr="00340815">
        <w:t xml:space="preserve">Organisations </w:t>
      </w:r>
      <w:bookmarkEnd w:id="2527"/>
      <w:bookmarkEnd w:id="2528"/>
      <w:bookmarkEnd w:id="2529"/>
      <w:bookmarkEnd w:id="2530"/>
      <w:bookmarkEnd w:id="2531"/>
      <w:r w:rsidRPr="00340815">
        <w:t>202</w:t>
      </w:r>
      <w:r>
        <w:t>4</w:t>
      </w:r>
      <w:r w:rsidRPr="00340815">
        <w:t>–2</w:t>
      </w:r>
      <w:r>
        <w:t>5</w:t>
      </w:r>
      <w:bookmarkEnd w:id="2532"/>
      <w:bookmarkEnd w:id="2533"/>
    </w:p>
    <w:bookmarkEnd w:id="2534"/>
    <w:p w14:paraId="5E265BFA"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00DF67E8" w14:textId="77777777" w:rsidR="00541C64" w:rsidRPr="00494D61" w:rsidRDefault="00541C64" w:rsidP="008E4F36">
      <w:pPr>
        <w:pStyle w:val="Tablenoteroman"/>
        <w:numPr>
          <w:ilvl w:val="0"/>
          <w:numId w:val="58"/>
        </w:numPr>
        <w:tabs>
          <w:tab w:val="clear" w:pos="720"/>
        </w:tabs>
      </w:pPr>
      <w:r w:rsidRPr="00494D61">
        <w:t>This table shows the health funding to local government authorities that receive &gt; $1 million from specific health outputs.</w:t>
      </w:r>
    </w:p>
    <w:p w14:paraId="00A36DFA" w14:textId="77777777" w:rsidR="00541C64" w:rsidRPr="00A67ABC" w:rsidRDefault="00541C64" w:rsidP="008E4F36">
      <w:pPr>
        <w:pStyle w:val="Tablenoteroman"/>
        <w:numPr>
          <w:ilvl w:val="0"/>
          <w:numId w:val="58"/>
        </w:numPr>
        <w:tabs>
          <w:tab w:val="clear" w:pos="720"/>
        </w:tabs>
        <w:rPr>
          <w:b/>
          <w:lang w:eastAsia="en-AU"/>
        </w:rPr>
      </w:pPr>
      <w:r w:rsidRPr="00A67ABC">
        <w:rPr>
          <w:lang w:eastAsia="en-AU"/>
        </w:rPr>
        <w:t>Subtotals and totals may not add up due to rounding.</w:t>
      </w:r>
    </w:p>
    <w:p w14:paraId="38AA75F9" w14:textId="1FA89E52" w:rsidR="005B699B" w:rsidRDefault="00462DC7" w:rsidP="00297FC9">
      <w:pPr>
        <w:pStyle w:val="Tablecaption"/>
      </w:pPr>
      <w:bookmarkStart w:id="2535" w:name="_Toc12780567"/>
      <w:bookmarkStart w:id="2536" w:name="_Toc14194823"/>
      <w:bookmarkStart w:id="2537" w:name="_Toc33704004"/>
      <w:bookmarkStart w:id="2538" w:name="_Toc109894134"/>
      <w:bookmarkStart w:id="2539" w:name="_Toc176510420"/>
      <w:bookmarkStart w:id="2540" w:name="_Hlk170301134"/>
      <w:r w:rsidRPr="00340815">
        <w:t xml:space="preserve">Table </w:t>
      </w:r>
      <w:r w:rsidR="00D72666">
        <w:t>2</w:t>
      </w:r>
      <w:r w:rsidR="000E0ED2">
        <w:t>.</w:t>
      </w:r>
      <w:r>
        <w:fldChar w:fldCharType="begin"/>
      </w:r>
      <w:r>
        <w:instrText>SEQ Table \* ARABIC \s 1</w:instrText>
      </w:r>
      <w:r>
        <w:fldChar w:fldCharType="separate"/>
      </w:r>
      <w:r w:rsidR="00F30C16">
        <w:rPr>
          <w:noProof/>
        </w:rPr>
        <w:t>8</w:t>
      </w:r>
      <w:r>
        <w:fldChar w:fldCharType="end"/>
      </w:r>
      <w:r w:rsidRPr="00340815">
        <w:t xml:space="preserve">: </w:t>
      </w:r>
      <w:r w:rsidR="005B699B" w:rsidRPr="00340815">
        <w:t xml:space="preserve">Other funded organisations expenditure budgets </w:t>
      </w:r>
      <w:bookmarkEnd w:id="2535"/>
      <w:bookmarkEnd w:id="2536"/>
      <w:bookmarkEnd w:id="2537"/>
      <w:bookmarkEnd w:id="2538"/>
      <w:r w:rsidR="005B699B" w:rsidRPr="00340815">
        <w:t>202</w:t>
      </w:r>
      <w:r w:rsidR="005B699B">
        <w:t>4</w:t>
      </w:r>
      <w:r w:rsidR="005B699B" w:rsidRPr="00340815">
        <w:t>–2</w:t>
      </w:r>
      <w:r w:rsidR="005B699B">
        <w:t>5 – $’000s</w:t>
      </w:r>
      <w:bookmarkEnd w:id="2539"/>
      <w:r w:rsidR="00037B46" w:rsidRPr="00037B46">
        <w:rPr>
          <w:color w:val="FF0000"/>
        </w:rPr>
        <w:t xml:space="preserve"> </w:t>
      </w:r>
    </w:p>
    <w:tbl>
      <w:tblPr>
        <w:tblW w:w="9781" w:type="dxa"/>
        <w:tblInd w:w="-147" w:type="dxa"/>
        <w:tblLayout w:type="fixed"/>
        <w:tblLook w:val="04A0" w:firstRow="1" w:lastRow="0" w:firstColumn="1" w:lastColumn="0" w:noHBand="0" w:noVBand="1"/>
      </w:tblPr>
      <w:tblGrid>
        <w:gridCol w:w="1985"/>
        <w:gridCol w:w="974"/>
        <w:gridCol w:w="975"/>
        <w:gridCol w:w="974"/>
        <w:gridCol w:w="975"/>
        <w:gridCol w:w="974"/>
        <w:gridCol w:w="975"/>
        <w:gridCol w:w="974"/>
        <w:gridCol w:w="975"/>
      </w:tblGrid>
      <w:tr w:rsidR="00F14D84" w:rsidRPr="00A47C7D" w14:paraId="2EDC4ADC" w14:textId="77777777" w:rsidTr="000674C4">
        <w:trPr>
          <w:trHeight w:val="1125"/>
          <w:tblHeader/>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473AAF7" w14:textId="77777777" w:rsidR="00F14D84" w:rsidRPr="00414F21" w:rsidRDefault="00F14D84">
            <w:pPr>
              <w:spacing w:after="0" w:line="240" w:lineRule="auto"/>
              <w:rPr>
                <w:rFonts w:cs="Arial"/>
                <w:b/>
                <w:bCs/>
                <w:color w:val="53565A"/>
                <w:sz w:val="16"/>
                <w:szCs w:val="16"/>
                <w:lang w:eastAsia="en-AU"/>
              </w:rPr>
            </w:pPr>
            <w:r w:rsidRPr="00414F21">
              <w:rPr>
                <w:rFonts w:cs="Arial"/>
                <w:b/>
                <w:bCs/>
                <w:color w:val="53565A"/>
                <w:sz w:val="16"/>
                <w:szCs w:val="16"/>
                <w:lang w:eastAsia="en-AU"/>
              </w:rPr>
              <w:t>Health service</w:t>
            </w:r>
          </w:p>
        </w:tc>
        <w:tc>
          <w:tcPr>
            <w:tcW w:w="974" w:type="dxa"/>
            <w:tcBorders>
              <w:top w:val="single" w:sz="4" w:space="0" w:color="auto"/>
              <w:left w:val="nil"/>
              <w:bottom w:val="single" w:sz="4" w:space="0" w:color="auto"/>
              <w:right w:val="single" w:sz="4" w:space="0" w:color="auto"/>
            </w:tcBorders>
            <w:shd w:val="clear" w:color="auto" w:fill="auto"/>
            <w:hideMark/>
          </w:tcPr>
          <w:p w14:paraId="1472AE7C"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Acute health services</w:t>
            </w:r>
          </w:p>
        </w:tc>
        <w:tc>
          <w:tcPr>
            <w:tcW w:w="975" w:type="dxa"/>
            <w:tcBorders>
              <w:top w:val="single" w:sz="4" w:space="0" w:color="auto"/>
              <w:left w:val="nil"/>
              <w:bottom w:val="single" w:sz="4" w:space="0" w:color="auto"/>
              <w:right w:val="single" w:sz="4" w:space="0" w:color="auto"/>
            </w:tcBorders>
            <w:shd w:val="clear" w:color="auto" w:fill="auto"/>
            <w:hideMark/>
          </w:tcPr>
          <w:p w14:paraId="0E9C7C21"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Ageing, aged and home care</w:t>
            </w:r>
          </w:p>
        </w:tc>
        <w:tc>
          <w:tcPr>
            <w:tcW w:w="974" w:type="dxa"/>
            <w:tcBorders>
              <w:top w:val="single" w:sz="4" w:space="0" w:color="auto"/>
              <w:left w:val="nil"/>
              <w:bottom w:val="single" w:sz="4" w:space="0" w:color="auto"/>
              <w:right w:val="single" w:sz="4" w:space="0" w:color="auto"/>
            </w:tcBorders>
            <w:shd w:val="clear" w:color="auto" w:fill="auto"/>
            <w:hideMark/>
          </w:tcPr>
          <w:p w14:paraId="2452B07E"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Ambulance services</w:t>
            </w:r>
          </w:p>
        </w:tc>
        <w:tc>
          <w:tcPr>
            <w:tcW w:w="975" w:type="dxa"/>
            <w:tcBorders>
              <w:top w:val="single" w:sz="4" w:space="0" w:color="auto"/>
              <w:left w:val="nil"/>
              <w:bottom w:val="single" w:sz="4" w:space="0" w:color="auto"/>
              <w:right w:val="single" w:sz="4" w:space="0" w:color="auto"/>
            </w:tcBorders>
            <w:shd w:val="clear" w:color="auto" w:fill="auto"/>
            <w:hideMark/>
          </w:tcPr>
          <w:p w14:paraId="13499596"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Drugs services</w:t>
            </w:r>
          </w:p>
        </w:tc>
        <w:tc>
          <w:tcPr>
            <w:tcW w:w="974" w:type="dxa"/>
            <w:tcBorders>
              <w:top w:val="single" w:sz="4" w:space="0" w:color="auto"/>
              <w:left w:val="nil"/>
              <w:bottom w:val="single" w:sz="4" w:space="0" w:color="auto"/>
              <w:right w:val="single" w:sz="4" w:space="0" w:color="auto"/>
            </w:tcBorders>
            <w:shd w:val="clear" w:color="auto" w:fill="auto"/>
            <w:hideMark/>
          </w:tcPr>
          <w:p w14:paraId="08FC5DBC"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Mental health</w:t>
            </w:r>
          </w:p>
        </w:tc>
        <w:tc>
          <w:tcPr>
            <w:tcW w:w="975" w:type="dxa"/>
            <w:tcBorders>
              <w:top w:val="single" w:sz="4" w:space="0" w:color="auto"/>
              <w:left w:val="nil"/>
              <w:bottom w:val="single" w:sz="4" w:space="0" w:color="auto"/>
              <w:right w:val="single" w:sz="4" w:space="0" w:color="auto"/>
            </w:tcBorders>
            <w:shd w:val="clear" w:color="auto" w:fill="auto"/>
            <w:hideMark/>
          </w:tcPr>
          <w:p w14:paraId="54A4984A"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Primary and dental health</w:t>
            </w:r>
          </w:p>
        </w:tc>
        <w:tc>
          <w:tcPr>
            <w:tcW w:w="974" w:type="dxa"/>
            <w:tcBorders>
              <w:top w:val="single" w:sz="4" w:space="0" w:color="auto"/>
              <w:left w:val="nil"/>
              <w:bottom w:val="single" w:sz="4" w:space="0" w:color="auto"/>
              <w:right w:val="single" w:sz="4" w:space="0" w:color="auto"/>
            </w:tcBorders>
            <w:shd w:val="clear" w:color="auto" w:fill="auto"/>
            <w:hideMark/>
          </w:tcPr>
          <w:p w14:paraId="4973220E"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Public health</w:t>
            </w:r>
          </w:p>
        </w:tc>
        <w:tc>
          <w:tcPr>
            <w:tcW w:w="975" w:type="dxa"/>
            <w:tcBorders>
              <w:top w:val="single" w:sz="4" w:space="0" w:color="auto"/>
              <w:left w:val="nil"/>
              <w:bottom w:val="single" w:sz="4" w:space="0" w:color="auto"/>
              <w:right w:val="single" w:sz="4" w:space="0" w:color="auto"/>
            </w:tcBorders>
            <w:shd w:val="clear" w:color="auto" w:fill="auto"/>
            <w:hideMark/>
          </w:tcPr>
          <w:p w14:paraId="60EE3E63" w14:textId="77777777" w:rsidR="00F14D84" w:rsidRPr="00414F21" w:rsidRDefault="00F14D84">
            <w:pPr>
              <w:spacing w:after="0" w:line="240" w:lineRule="auto"/>
              <w:jc w:val="right"/>
              <w:rPr>
                <w:rFonts w:cs="Arial"/>
                <w:b/>
                <w:bCs/>
                <w:color w:val="53565A"/>
                <w:sz w:val="16"/>
                <w:szCs w:val="16"/>
                <w:lang w:eastAsia="en-AU"/>
              </w:rPr>
            </w:pPr>
            <w:r w:rsidRPr="00AB625A">
              <w:rPr>
                <w:rFonts w:cs="Arial"/>
                <w:b/>
                <w:bCs/>
                <w:color w:val="53565A"/>
                <w:sz w:val="16"/>
                <w:szCs w:val="16"/>
                <w:lang w:eastAsia="en-AU"/>
              </w:rPr>
              <w:t>2024</w:t>
            </w:r>
            <w:r>
              <w:rPr>
                <w:rFonts w:cs="Arial"/>
                <w:b/>
                <w:bCs/>
                <w:color w:val="53565A"/>
                <w:sz w:val="16"/>
                <w:szCs w:val="16"/>
                <w:lang w:eastAsia="en-AU"/>
              </w:rPr>
              <w:t>-25</w:t>
            </w:r>
            <w:r w:rsidRPr="00414F21">
              <w:rPr>
                <w:rFonts w:cs="Arial"/>
                <w:b/>
                <w:bCs/>
                <w:color w:val="53565A"/>
                <w:sz w:val="16"/>
                <w:szCs w:val="16"/>
                <w:lang w:eastAsia="en-AU"/>
              </w:rPr>
              <w:br/>
              <w:t>Total</w:t>
            </w:r>
          </w:p>
        </w:tc>
      </w:tr>
      <w:tr w:rsidR="009B613F" w:rsidRPr="00B469AB" w14:paraId="57B4990E"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30AD2B" w14:textId="4620E885"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Ambulance Victoria</w:t>
            </w:r>
          </w:p>
        </w:tc>
        <w:tc>
          <w:tcPr>
            <w:tcW w:w="974" w:type="dxa"/>
            <w:tcBorders>
              <w:top w:val="nil"/>
              <w:left w:val="nil"/>
              <w:bottom w:val="single" w:sz="4" w:space="0" w:color="auto"/>
              <w:right w:val="single" w:sz="4" w:space="0" w:color="auto"/>
            </w:tcBorders>
            <w:shd w:val="clear" w:color="auto" w:fill="auto"/>
            <w:noWrap/>
            <w:vAlign w:val="center"/>
          </w:tcPr>
          <w:p w14:paraId="6A701CE4" w14:textId="4919C59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24,258</w:t>
            </w:r>
          </w:p>
        </w:tc>
        <w:tc>
          <w:tcPr>
            <w:tcW w:w="975" w:type="dxa"/>
            <w:tcBorders>
              <w:top w:val="nil"/>
              <w:left w:val="nil"/>
              <w:bottom w:val="single" w:sz="4" w:space="0" w:color="auto"/>
              <w:right w:val="single" w:sz="4" w:space="0" w:color="auto"/>
            </w:tcBorders>
            <w:shd w:val="clear" w:color="auto" w:fill="auto"/>
            <w:noWrap/>
            <w:vAlign w:val="center"/>
          </w:tcPr>
          <w:p w14:paraId="6A114199" w14:textId="78C6562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330E8491" w14:textId="20E8E09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1,052,893</w:t>
            </w:r>
          </w:p>
        </w:tc>
        <w:tc>
          <w:tcPr>
            <w:tcW w:w="975" w:type="dxa"/>
            <w:tcBorders>
              <w:top w:val="nil"/>
              <w:left w:val="nil"/>
              <w:bottom w:val="single" w:sz="4" w:space="0" w:color="auto"/>
              <w:right w:val="single" w:sz="4" w:space="0" w:color="auto"/>
            </w:tcBorders>
            <w:shd w:val="clear" w:color="auto" w:fill="auto"/>
            <w:noWrap/>
            <w:vAlign w:val="center"/>
          </w:tcPr>
          <w:p w14:paraId="4F007D6D" w14:textId="0F55E90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0D894C3" w14:textId="38FF2F8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FCFF8B2" w14:textId="149BED6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884A82C" w14:textId="3DBA75D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4345BDA" w14:textId="728436B3"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1,077,151</w:t>
            </w:r>
          </w:p>
        </w:tc>
      </w:tr>
      <w:tr w:rsidR="009B613F" w:rsidRPr="00B469AB" w14:paraId="6521C717"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608647" w14:textId="326BEC18"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Australian College Of Rural And Remote Medicine Limited</w:t>
            </w:r>
          </w:p>
        </w:tc>
        <w:tc>
          <w:tcPr>
            <w:tcW w:w="974" w:type="dxa"/>
            <w:tcBorders>
              <w:top w:val="nil"/>
              <w:left w:val="nil"/>
              <w:bottom w:val="single" w:sz="4" w:space="0" w:color="auto"/>
              <w:right w:val="single" w:sz="4" w:space="0" w:color="auto"/>
            </w:tcBorders>
            <w:shd w:val="clear" w:color="auto" w:fill="auto"/>
            <w:noWrap/>
            <w:vAlign w:val="center"/>
          </w:tcPr>
          <w:p w14:paraId="000C239E" w14:textId="37CC637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CBF255C" w14:textId="0C09369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C0926C4" w14:textId="24C16C9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6212DDC" w14:textId="0DFC1C4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1E8FFC1" w14:textId="65092E8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2A856BF" w14:textId="73DC4A8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1,800</w:t>
            </w:r>
          </w:p>
        </w:tc>
        <w:tc>
          <w:tcPr>
            <w:tcW w:w="974" w:type="dxa"/>
            <w:tcBorders>
              <w:top w:val="nil"/>
              <w:left w:val="nil"/>
              <w:bottom w:val="single" w:sz="4" w:space="0" w:color="auto"/>
              <w:right w:val="single" w:sz="4" w:space="0" w:color="auto"/>
            </w:tcBorders>
            <w:shd w:val="clear" w:color="auto" w:fill="auto"/>
            <w:noWrap/>
            <w:vAlign w:val="center"/>
          </w:tcPr>
          <w:p w14:paraId="2F14A9BD" w14:textId="4BB88BD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6C09505" w14:textId="7F9220CA"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1,800</w:t>
            </w:r>
          </w:p>
        </w:tc>
      </w:tr>
      <w:tr w:rsidR="009B613F" w:rsidRPr="00B469AB" w14:paraId="32B4E8A2"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BDFBB3C" w14:textId="6317A800"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Children</w:t>
            </w:r>
            <w:r w:rsidR="00544284">
              <w:rPr>
                <w:rFonts w:cs="Arial"/>
                <w:color w:val="000000"/>
                <w:sz w:val="15"/>
                <w:szCs w:val="15"/>
              </w:rPr>
              <w:t>’</w:t>
            </w:r>
            <w:r>
              <w:rPr>
                <w:rFonts w:cs="Arial"/>
                <w:color w:val="000000"/>
                <w:sz w:val="15"/>
                <w:szCs w:val="15"/>
              </w:rPr>
              <w:t>s Health Partnership Pty Ltd</w:t>
            </w:r>
          </w:p>
        </w:tc>
        <w:tc>
          <w:tcPr>
            <w:tcW w:w="974" w:type="dxa"/>
            <w:tcBorders>
              <w:top w:val="nil"/>
              <w:left w:val="nil"/>
              <w:bottom w:val="single" w:sz="4" w:space="0" w:color="auto"/>
              <w:right w:val="single" w:sz="4" w:space="0" w:color="auto"/>
            </w:tcBorders>
            <w:shd w:val="clear" w:color="auto" w:fill="auto"/>
            <w:noWrap/>
            <w:vAlign w:val="center"/>
          </w:tcPr>
          <w:p w14:paraId="311ECCA2" w14:textId="205744F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196,474</w:t>
            </w:r>
          </w:p>
        </w:tc>
        <w:tc>
          <w:tcPr>
            <w:tcW w:w="975" w:type="dxa"/>
            <w:tcBorders>
              <w:top w:val="nil"/>
              <w:left w:val="nil"/>
              <w:bottom w:val="single" w:sz="4" w:space="0" w:color="auto"/>
              <w:right w:val="single" w:sz="4" w:space="0" w:color="auto"/>
            </w:tcBorders>
            <w:shd w:val="clear" w:color="auto" w:fill="auto"/>
            <w:noWrap/>
            <w:vAlign w:val="center"/>
          </w:tcPr>
          <w:p w14:paraId="059D228B" w14:textId="5C3CEC3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842F11B" w14:textId="3DF8209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B288501" w14:textId="75A2ED4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C835C4B" w14:textId="78AD97F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678766B" w14:textId="7F59F18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663EA86" w14:textId="1A61749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228CFB3" w14:textId="75F4C348"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196,474</w:t>
            </w:r>
          </w:p>
        </w:tc>
      </w:tr>
      <w:tr w:rsidR="009B613F" w:rsidRPr="00B469AB" w14:paraId="393C188C"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14D6A30" w14:textId="489CFB11"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Dental Health Services Victoria</w:t>
            </w:r>
          </w:p>
        </w:tc>
        <w:tc>
          <w:tcPr>
            <w:tcW w:w="974" w:type="dxa"/>
            <w:tcBorders>
              <w:top w:val="nil"/>
              <w:left w:val="nil"/>
              <w:bottom w:val="single" w:sz="4" w:space="0" w:color="auto"/>
              <w:right w:val="single" w:sz="4" w:space="0" w:color="auto"/>
            </w:tcBorders>
            <w:shd w:val="clear" w:color="auto" w:fill="auto"/>
            <w:noWrap/>
            <w:vAlign w:val="center"/>
          </w:tcPr>
          <w:p w14:paraId="71EF9D62" w14:textId="68FD0DB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3,072</w:t>
            </w:r>
          </w:p>
        </w:tc>
        <w:tc>
          <w:tcPr>
            <w:tcW w:w="975" w:type="dxa"/>
            <w:tcBorders>
              <w:top w:val="nil"/>
              <w:left w:val="nil"/>
              <w:bottom w:val="single" w:sz="4" w:space="0" w:color="auto"/>
              <w:right w:val="single" w:sz="4" w:space="0" w:color="auto"/>
            </w:tcBorders>
            <w:shd w:val="clear" w:color="auto" w:fill="auto"/>
            <w:noWrap/>
            <w:vAlign w:val="center"/>
          </w:tcPr>
          <w:p w14:paraId="1075B2AA" w14:textId="02ACE45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E53D331" w14:textId="146444B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0D9B174" w14:textId="4506D7F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A7980E2" w14:textId="044E599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25264D3" w14:textId="69D60AC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203,511</w:t>
            </w:r>
          </w:p>
        </w:tc>
        <w:tc>
          <w:tcPr>
            <w:tcW w:w="974" w:type="dxa"/>
            <w:tcBorders>
              <w:top w:val="nil"/>
              <w:left w:val="nil"/>
              <w:bottom w:val="single" w:sz="4" w:space="0" w:color="auto"/>
              <w:right w:val="single" w:sz="4" w:space="0" w:color="auto"/>
            </w:tcBorders>
            <w:shd w:val="clear" w:color="auto" w:fill="auto"/>
            <w:noWrap/>
            <w:vAlign w:val="center"/>
          </w:tcPr>
          <w:p w14:paraId="4DF2BCE8" w14:textId="5028DF3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304</w:t>
            </w:r>
          </w:p>
        </w:tc>
        <w:tc>
          <w:tcPr>
            <w:tcW w:w="975" w:type="dxa"/>
            <w:tcBorders>
              <w:top w:val="nil"/>
              <w:left w:val="nil"/>
              <w:bottom w:val="single" w:sz="4" w:space="0" w:color="auto"/>
              <w:right w:val="single" w:sz="4" w:space="0" w:color="auto"/>
            </w:tcBorders>
            <w:shd w:val="clear" w:color="auto" w:fill="auto"/>
            <w:noWrap/>
            <w:vAlign w:val="center"/>
          </w:tcPr>
          <w:p w14:paraId="7445EA58" w14:textId="35C2944A"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206,888</w:t>
            </w:r>
          </w:p>
        </w:tc>
      </w:tr>
      <w:tr w:rsidR="009B613F" w:rsidRPr="00B469AB" w14:paraId="0E230D13"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1867FF6" w14:textId="49F229F7"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Department Of Health And Ageing</w:t>
            </w:r>
          </w:p>
        </w:tc>
        <w:tc>
          <w:tcPr>
            <w:tcW w:w="974" w:type="dxa"/>
            <w:tcBorders>
              <w:top w:val="nil"/>
              <w:left w:val="nil"/>
              <w:bottom w:val="single" w:sz="4" w:space="0" w:color="auto"/>
              <w:right w:val="single" w:sz="4" w:space="0" w:color="auto"/>
            </w:tcBorders>
            <w:shd w:val="clear" w:color="auto" w:fill="auto"/>
            <w:noWrap/>
            <w:vAlign w:val="center"/>
          </w:tcPr>
          <w:p w14:paraId="2FE7D6B0" w14:textId="50EB32E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1,371</w:t>
            </w:r>
          </w:p>
        </w:tc>
        <w:tc>
          <w:tcPr>
            <w:tcW w:w="975" w:type="dxa"/>
            <w:tcBorders>
              <w:top w:val="nil"/>
              <w:left w:val="nil"/>
              <w:bottom w:val="single" w:sz="4" w:space="0" w:color="auto"/>
              <w:right w:val="single" w:sz="4" w:space="0" w:color="auto"/>
            </w:tcBorders>
            <w:shd w:val="clear" w:color="auto" w:fill="auto"/>
            <w:noWrap/>
            <w:vAlign w:val="center"/>
          </w:tcPr>
          <w:p w14:paraId="6C23DB00" w14:textId="197A0EB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369590A0" w14:textId="0842C2A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2DA2D42" w14:textId="256084D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706FC5E" w14:textId="1C6C4F8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20C6F40" w14:textId="39E4060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214C091" w14:textId="573E72E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12C5E1B" w14:textId="4362B966"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1,371</w:t>
            </w:r>
          </w:p>
        </w:tc>
      </w:tr>
      <w:tr w:rsidR="009B613F" w:rsidRPr="00B469AB" w14:paraId="6585FF31"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1B94E84" w14:textId="709A9FBE"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Epilepsy Foundation</w:t>
            </w:r>
          </w:p>
        </w:tc>
        <w:tc>
          <w:tcPr>
            <w:tcW w:w="974" w:type="dxa"/>
            <w:tcBorders>
              <w:top w:val="nil"/>
              <w:left w:val="nil"/>
              <w:bottom w:val="single" w:sz="4" w:space="0" w:color="auto"/>
              <w:right w:val="single" w:sz="4" w:space="0" w:color="auto"/>
            </w:tcBorders>
            <w:shd w:val="clear" w:color="auto" w:fill="auto"/>
            <w:noWrap/>
            <w:vAlign w:val="center"/>
          </w:tcPr>
          <w:p w14:paraId="6D061C21" w14:textId="53A9C60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1,432</w:t>
            </w:r>
          </w:p>
        </w:tc>
        <w:tc>
          <w:tcPr>
            <w:tcW w:w="975" w:type="dxa"/>
            <w:tcBorders>
              <w:top w:val="nil"/>
              <w:left w:val="nil"/>
              <w:bottom w:val="single" w:sz="4" w:space="0" w:color="auto"/>
              <w:right w:val="single" w:sz="4" w:space="0" w:color="auto"/>
            </w:tcBorders>
            <w:shd w:val="clear" w:color="auto" w:fill="auto"/>
            <w:noWrap/>
            <w:vAlign w:val="center"/>
          </w:tcPr>
          <w:p w14:paraId="1E7219B3" w14:textId="3A43504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A50974F" w14:textId="17943BE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0C97CC8" w14:textId="09CAF60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CC4B848" w14:textId="627E100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1DE81C4" w14:textId="7000F4C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0250D59" w14:textId="11936F9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87E04AC" w14:textId="1A92438F"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1,432</w:t>
            </w:r>
          </w:p>
        </w:tc>
      </w:tr>
      <w:tr w:rsidR="009B613F" w:rsidRPr="00B469AB" w14:paraId="00F0AE5B"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09BEA4B" w14:textId="61348B8A"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Exemplar Health Partnership</w:t>
            </w:r>
          </w:p>
        </w:tc>
        <w:tc>
          <w:tcPr>
            <w:tcW w:w="974" w:type="dxa"/>
            <w:tcBorders>
              <w:top w:val="nil"/>
              <w:left w:val="nil"/>
              <w:bottom w:val="single" w:sz="4" w:space="0" w:color="auto"/>
              <w:right w:val="single" w:sz="4" w:space="0" w:color="auto"/>
            </w:tcBorders>
            <w:shd w:val="clear" w:color="auto" w:fill="auto"/>
            <w:noWrap/>
            <w:vAlign w:val="center"/>
          </w:tcPr>
          <w:p w14:paraId="587823E0" w14:textId="426CCE9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104,434</w:t>
            </w:r>
          </w:p>
        </w:tc>
        <w:tc>
          <w:tcPr>
            <w:tcW w:w="975" w:type="dxa"/>
            <w:tcBorders>
              <w:top w:val="nil"/>
              <w:left w:val="nil"/>
              <w:bottom w:val="single" w:sz="4" w:space="0" w:color="auto"/>
              <w:right w:val="single" w:sz="4" w:space="0" w:color="auto"/>
            </w:tcBorders>
            <w:shd w:val="clear" w:color="auto" w:fill="auto"/>
            <w:noWrap/>
            <w:vAlign w:val="center"/>
          </w:tcPr>
          <w:p w14:paraId="1405200B" w14:textId="55B0A8E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3AB0D68" w14:textId="0A5C686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42E063A" w14:textId="193B71A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4B1C8CC" w14:textId="1510CA5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370F8F9" w14:textId="1A6415F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300C5182" w14:textId="21A09AB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39FB507" w14:textId="76C94AC0"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104,434</w:t>
            </w:r>
          </w:p>
        </w:tc>
      </w:tr>
      <w:tr w:rsidR="009B613F" w:rsidRPr="00B469AB" w14:paraId="27E8C05B"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C5D803F" w14:textId="43853F29"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Healthshare Victoria</w:t>
            </w:r>
          </w:p>
        </w:tc>
        <w:tc>
          <w:tcPr>
            <w:tcW w:w="974" w:type="dxa"/>
            <w:tcBorders>
              <w:top w:val="nil"/>
              <w:left w:val="nil"/>
              <w:bottom w:val="single" w:sz="4" w:space="0" w:color="auto"/>
              <w:right w:val="single" w:sz="4" w:space="0" w:color="auto"/>
            </w:tcBorders>
            <w:shd w:val="clear" w:color="auto" w:fill="auto"/>
            <w:noWrap/>
            <w:vAlign w:val="center"/>
          </w:tcPr>
          <w:p w14:paraId="1A0DCAA8" w14:textId="28ED039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52,943</w:t>
            </w:r>
          </w:p>
        </w:tc>
        <w:tc>
          <w:tcPr>
            <w:tcW w:w="975" w:type="dxa"/>
            <w:tcBorders>
              <w:top w:val="nil"/>
              <w:left w:val="nil"/>
              <w:bottom w:val="single" w:sz="4" w:space="0" w:color="auto"/>
              <w:right w:val="single" w:sz="4" w:space="0" w:color="auto"/>
            </w:tcBorders>
            <w:shd w:val="clear" w:color="auto" w:fill="auto"/>
            <w:noWrap/>
            <w:vAlign w:val="center"/>
          </w:tcPr>
          <w:p w14:paraId="1E243EE0" w14:textId="6A9938F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F8CDD2B" w14:textId="074C4E1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A0DAF40" w14:textId="4624F8E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A08E66B" w14:textId="7793BF8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27C6B3D" w14:textId="4F44661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A2AF13C" w14:textId="3D47F7B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C7537C1" w14:textId="7C7BA721"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52,943</w:t>
            </w:r>
          </w:p>
        </w:tc>
      </w:tr>
      <w:tr w:rsidR="009B613F" w:rsidRPr="00B469AB" w14:paraId="6D8742DD"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7282359" w14:textId="38904D73"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Karingal St Laurence Limited</w:t>
            </w:r>
          </w:p>
        </w:tc>
        <w:tc>
          <w:tcPr>
            <w:tcW w:w="974" w:type="dxa"/>
            <w:tcBorders>
              <w:top w:val="nil"/>
              <w:left w:val="nil"/>
              <w:bottom w:val="single" w:sz="4" w:space="0" w:color="auto"/>
              <w:right w:val="single" w:sz="4" w:space="0" w:color="auto"/>
            </w:tcBorders>
            <w:shd w:val="clear" w:color="auto" w:fill="auto"/>
            <w:noWrap/>
            <w:vAlign w:val="center"/>
          </w:tcPr>
          <w:p w14:paraId="49E0E154" w14:textId="4E89D54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3311EBE" w14:textId="3F70F23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1,322</w:t>
            </w:r>
          </w:p>
        </w:tc>
        <w:tc>
          <w:tcPr>
            <w:tcW w:w="974" w:type="dxa"/>
            <w:tcBorders>
              <w:top w:val="nil"/>
              <w:left w:val="nil"/>
              <w:bottom w:val="single" w:sz="4" w:space="0" w:color="auto"/>
              <w:right w:val="single" w:sz="4" w:space="0" w:color="auto"/>
            </w:tcBorders>
            <w:shd w:val="clear" w:color="auto" w:fill="auto"/>
            <w:noWrap/>
            <w:vAlign w:val="center"/>
          </w:tcPr>
          <w:p w14:paraId="1E7546F4" w14:textId="39AA719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42FAFA6" w14:textId="0F8FD06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4721ED8" w14:textId="21B7B5A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275</w:t>
            </w:r>
          </w:p>
        </w:tc>
        <w:tc>
          <w:tcPr>
            <w:tcW w:w="975" w:type="dxa"/>
            <w:tcBorders>
              <w:top w:val="nil"/>
              <w:left w:val="nil"/>
              <w:bottom w:val="single" w:sz="4" w:space="0" w:color="auto"/>
              <w:right w:val="single" w:sz="4" w:space="0" w:color="auto"/>
            </w:tcBorders>
            <w:shd w:val="clear" w:color="auto" w:fill="auto"/>
            <w:noWrap/>
            <w:vAlign w:val="center"/>
          </w:tcPr>
          <w:p w14:paraId="2915E60A" w14:textId="3840B51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826CF7F" w14:textId="5BB34F6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3F30804" w14:textId="0C3DA79C"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1,597</w:t>
            </w:r>
          </w:p>
        </w:tc>
      </w:tr>
      <w:tr w:rsidR="009B613F" w:rsidRPr="00B469AB" w14:paraId="76044284"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91D0813" w14:textId="0B20EEC2"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Lifeline Australia</w:t>
            </w:r>
          </w:p>
        </w:tc>
        <w:tc>
          <w:tcPr>
            <w:tcW w:w="974" w:type="dxa"/>
            <w:tcBorders>
              <w:top w:val="nil"/>
              <w:left w:val="nil"/>
              <w:bottom w:val="single" w:sz="4" w:space="0" w:color="auto"/>
              <w:right w:val="single" w:sz="4" w:space="0" w:color="auto"/>
            </w:tcBorders>
            <w:shd w:val="clear" w:color="auto" w:fill="auto"/>
            <w:noWrap/>
            <w:vAlign w:val="center"/>
          </w:tcPr>
          <w:p w14:paraId="69CBC167" w14:textId="4A639A5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8C77A0A" w14:textId="4787192C"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7A1A182" w14:textId="61E05A7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EBDC3D3" w14:textId="06B01BC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10E806B" w14:textId="5FE0514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1,115</w:t>
            </w:r>
          </w:p>
        </w:tc>
        <w:tc>
          <w:tcPr>
            <w:tcW w:w="975" w:type="dxa"/>
            <w:tcBorders>
              <w:top w:val="nil"/>
              <w:left w:val="nil"/>
              <w:bottom w:val="single" w:sz="4" w:space="0" w:color="auto"/>
              <w:right w:val="single" w:sz="4" w:space="0" w:color="auto"/>
            </w:tcBorders>
            <w:shd w:val="clear" w:color="auto" w:fill="auto"/>
            <w:noWrap/>
            <w:vAlign w:val="center"/>
          </w:tcPr>
          <w:p w14:paraId="346171FF" w14:textId="43A63DD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95F1769" w14:textId="5F35EDC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011CD77" w14:textId="34E02A36"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1,115</w:t>
            </w:r>
          </w:p>
        </w:tc>
      </w:tr>
      <w:tr w:rsidR="009B613F" w:rsidRPr="00B469AB" w14:paraId="61C844F7"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C78BE90" w14:textId="66A55F9F"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Lyndoch Living Inc</w:t>
            </w:r>
          </w:p>
        </w:tc>
        <w:tc>
          <w:tcPr>
            <w:tcW w:w="974" w:type="dxa"/>
            <w:tcBorders>
              <w:top w:val="nil"/>
              <w:left w:val="nil"/>
              <w:bottom w:val="single" w:sz="4" w:space="0" w:color="auto"/>
              <w:right w:val="single" w:sz="4" w:space="0" w:color="auto"/>
            </w:tcBorders>
            <w:shd w:val="clear" w:color="auto" w:fill="auto"/>
            <w:noWrap/>
            <w:vAlign w:val="center"/>
          </w:tcPr>
          <w:p w14:paraId="5F33507C" w14:textId="7D24675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2,211</w:t>
            </w:r>
          </w:p>
        </w:tc>
        <w:tc>
          <w:tcPr>
            <w:tcW w:w="975" w:type="dxa"/>
            <w:tcBorders>
              <w:top w:val="nil"/>
              <w:left w:val="nil"/>
              <w:bottom w:val="single" w:sz="4" w:space="0" w:color="auto"/>
              <w:right w:val="single" w:sz="4" w:space="0" w:color="auto"/>
            </w:tcBorders>
            <w:shd w:val="clear" w:color="auto" w:fill="auto"/>
            <w:noWrap/>
            <w:vAlign w:val="center"/>
          </w:tcPr>
          <w:p w14:paraId="4EA38B66" w14:textId="2666A74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3,685</w:t>
            </w:r>
          </w:p>
        </w:tc>
        <w:tc>
          <w:tcPr>
            <w:tcW w:w="974" w:type="dxa"/>
            <w:tcBorders>
              <w:top w:val="nil"/>
              <w:left w:val="nil"/>
              <w:bottom w:val="single" w:sz="4" w:space="0" w:color="auto"/>
              <w:right w:val="single" w:sz="4" w:space="0" w:color="auto"/>
            </w:tcBorders>
            <w:shd w:val="clear" w:color="auto" w:fill="auto"/>
            <w:noWrap/>
            <w:vAlign w:val="center"/>
          </w:tcPr>
          <w:p w14:paraId="7327A689" w14:textId="721AE5D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32CD7D8" w14:textId="7B86AA2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A615FE4" w14:textId="7B5ADF0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418</w:t>
            </w:r>
          </w:p>
        </w:tc>
        <w:tc>
          <w:tcPr>
            <w:tcW w:w="975" w:type="dxa"/>
            <w:tcBorders>
              <w:top w:val="nil"/>
              <w:left w:val="nil"/>
              <w:bottom w:val="single" w:sz="4" w:space="0" w:color="auto"/>
              <w:right w:val="single" w:sz="4" w:space="0" w:color="auto"/>
            </w:tcBorders>
            <w:shd w:val="clear" w:color="auto" w:fill="auto"/>
            <w:noWrap/>
            <w:vAlign w:val="center"/>
          </w:tcPr>
          <w:p w14:paraId="04A8B9A6" w14:textId="45EB293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7E6C6AE" w14:textId="3DB7B73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B60F5F3" w14:textId="257656C9"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6,314</w:t>
            </w:r>
          </w:p>
        </w:tc>
      </w:tr>
      <w:tr w:rsidR="009B613F" w:rsidRPr="00B469AB" w14:paraId="421E7C13"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B0AA1D4" w14:textId="4797BA6B"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Mallee District Aboriginal Services Limited</w:t>
            </w:r>
          </w:p>
        </w:tc>
        <w:tc>
          <w:tcPr>
            <w:tcW w:w="974" w:type="dxa"/>
            <w:tcBorders>
              <w:top w:val="nil"/>
              <w:left w:val="nil"/>
              <w:bottom w:val="single" w:sz="4" w:space="0" w:color="auto"/>
              <w:right w:val="single" w:sz="4" w:space="0" w:color="auto"/>
            </w:tcBorders>
            <w:shd w:val="clear" w:color="auto" w:fill="auto"/>
            <w:noWrap/>
            <w:vAlign w:val="center"/>
          </w:tcPr>
          <w:p w14:paraId="41EF23A6" w14:textId="3FD30E3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545</w:t>
            </w:r>
          </w:p>
        </w:tc>
        <w:tc>
          <w:tcPr>
            <w:tcW w:w="975" w:type="dxa"/>
            <w:tcBorders>
              <w:top w:val="nil"/>
              <w:left w:val="nil"/>
              <w:bottom w:val="single" w:sz="4" w:space="0" w:color="auto"/>
              <w:right w:val="single" w:sz="4" w:space="0" w:color="auto"/>
            </w:tcBorders>
            <w:shd w:val="clear" w:color="auto" w:fill="auto"/>
            <w:noWrap/>
            <w:vAlign w:val="center"/>
          </w:tcPr>
          <w:p w14:paraId="0E3764C9" w14:textId="6BDF987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55</w:t>
            </w:r>
          </w:p>
        </w:tc>
        <w:tc>
          <w:tcPr>
            <w:tcW w:w="974" w:type="dxa"/>
            <w:tcBorders>
              <w:top w:val="nil"/>
              <w:left w:val="nil"/>
              <w:bottom w:val="single" w:sz="4" w:space="0" w:color="auto"/>
              <w:right w:val="single" w:sz="4" w:space="0" w:color="auto"/>
            </w:tcBorders>
            <w:shd w:val="clear" w:color="auto" w:fill="auto"/>
            <w:noWrap/>
            <w:vAlign w:val="center"/>
          </w:tcPr>
          <w:p w14:paraId="7E221F73" w14:textId="142E1AA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E1D73F6" w14:textId="7D11B72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1,587</w:t>
            </w:r>
          </w:p>
        </w:tc>
        <w:tc>
          <w:tcPr>
            <w:tcW w:w="974" w:type="dxa"/>
            <w:tcBorders>
              <w:top w:val="nil"/>
              <w:left w:val="nil"/>
              <w:bottom w:val="single" w:sz="4" w:space="0" w:color="auto"/>
              <w:right w:val="single" w:sz="4" w:space="0" w:color="auto"/>
            </w:tcBorders>
            <w:shd w:val="clear" w:color="auto" w:fill="auto"/>
            <w:noWrap/>
            <w:vAlign w:val="center"/>
          </w:tcPr>
          <w:p w14:paraId="4AF6A7DE" w14:textId="69638FB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395</w:t>
            </w:r>
          </w:p>
        </w:tc>
        <w:tc>
          <w:tcPr>
            <w:tcW w:w="975" w:type="dxa"/>
            <w:tcBorders>
              <w:top w:val="nil"/>
              <w:left w:val="nil"/>
              <w:bottom w:val="single" w:sz="4" w:space="0" w:color="auto"/>
              <w:right w:val="single" w:sz="4" w:space="0" w:color="auto"/>
            </w:tcBorders>
            <w:shd w:val="clear" w:color="auto" w:fill="auto"/>
            <w:noWrap/>
            <w:vAlign w:val="center"/>
          </w:tcPr>
          <w:p w14:paraId="7392C118" w14:textId="07161AC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1,091</w:t>
            </w:r>
          </w:p>
        </w:tc>
        <w:tc>
          <w:tcPr>
            <w:tcW w:w="974" w:type="dxa"/>
            <w:tcBorders>
              <w:top w:val="nil"/>
              <w:left w:val="nil"/>
              <w:bottom w:val="single" w:sz="4" w:space="0" w:color="auto"/>
              <w:right w:val="single" w:sz="4" w:space="0" w:color="auto"/>
            </w:tcBorders>
            <w:shd w:val="clear" w:color="auto" w:fill="auto"/>
            <w:noWrap/>
            <w:vAlign w:val="center"/>
          </w:tcPr>
          <w:p w14:paraId="6006A091" w14:textId="0570364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129</w:t>
            </w:r>
          </w:p>
        </w:tc>
        <w:tc>
          <w:tcPr>
            <w:tcW w:w="975" w:type="dxa"/>
            <w:tcBorders>
              <w:top w:val="nil"/>
              <w:left w:val="nil"/>
              <w:bottom w:val="single" w:sz="4" w:space="0" w:color="auto"/>
              <w:right w:val="single" w:sz="4" w:space="0" w:color="auto"/>
            </w:tcBorders>
            <w:shd w:val="clear" w:color="auto" w:fill="auto"/>
            <w:noWrap/>
            <w:vAlign w:val="center"/>
          </w:tcPr>
          <w:p w14:paraId="794AB569" w14:textId="5A0AFB4B"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3,801</w:t>
            </w:r>
          </w:p>
        </w:tc>
      </w:tr>
      <w:tr w:rsidR="009B613F" w:rsidRPr="00B469AB" w14:paraId="0D5C2876"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68AB35B" w14:textId="1A987B1D"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Murray Primary Health Network</w:t>
            </w:r>
          </w:p>
        </w:tc>
        <w:tc>
          <w:tcPr>
            <w:tcW w:w="974" w:type="dxa"/>
            <w:tcBorders>
              <w:top w:val="nil"/>
              <w:left w:val="nil"/>
              <w:bottom w:val="single" w:sz="4" w:space="0" w:color="auto"/>
              <w:right w:val="single" w:sz="4" w:space="0" w:color="auto"/>
            </w:tcBorders>
            <w:shd w:val="clear" w:color="auto" w:fill="auto"/>
            <w:noWrap/>
            <w:vAlign w:val="center"/>
          </w:tcPr>
          <w:p w14:paraId="320F645B" w14:textId="32F2A3B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389B6AD" w14:textId="424E13C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531C67E" w14:textId="535CB32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19899BB" w14:textId="51D0341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64E591F" w14:textId="41B6781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6BDF154" w14:textId="34A2472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44</w:t>
            </w:r>
          </w:p>
        </w:tc>
        <w:tc>
          <w:tcPr>
            <w:tcW w:w="974" w:type="dxa"/>
            <w:tcBorders>
              <w:top w:val="nil"/>
              <w:left w:val="nil"/>
              <w:bottom w:val="single" w:sz="4" w:space="0" w:color="auto"/>
              <w:right w:val="single" w:sz="4" w:space="0" w:color="auto"/>
            </w:tcBorders>
            <w:shd w:val="clear" w:color="auto" w:fill="auto"/>
            <w:noWrap/>
            <w:vAlign w:val="center"/>
          </w:tcPr>
          <w:p w14:paraId="0FDFD426" w14:textId="2AA94D9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8DA64DD" w14:textId="2C62F486"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44</w:t>
            </w:r>
          </w:p>
        </w:tc>
      </w:tr>
      <w:tr w:rsidR="009B613F" w:rsidRPr="00B469AB" w14:paraId="308913C7"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388F6DC" w14:textId="4D634870"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National Blood Authority</w:t>
            </w:r>
          </w:p>
        </w:tc>
        <w:tc>
          <w:tcPr>
            <w:tcW w:w="974" w:type="dxa"/>
            <w:tcBorders>
              <w:top w:val="nil"/>
              <w:left w:val="nil"/>
              <w:bottom w:val="single" w:sz="4" w:space="0" w:color="auto"/>
              <w:right w:val="single" w:sz="4" w:space="0" w:color="auto"/>
            </w:tcBorders>
            <w:shd w:val="clear" w:color="auto" w:fill="auto"/>
            <w:noWrap/>
            <w:vAlign w:val="center"/>
          </w:tcPr>
          <w:p w14:paraId="58730E0B" w14:textId="2057826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206,301</w:t>
            </w:r>
          </w:p>
        </w:tc>
        <w:tc>
          <w:tcPr>
            <w:tcW w:w="975" w:type="dxa"/>
            <w:tcBorders>
              <w:top w:val="nil"/>
              <w:left w:val="nil"/>
              <w:bottom w:val="single" w:sz="4" w:space="0" w:color="auto"/>
              <w:right w:val="single" w:sz="4" w:space="0" w:color="auto"/>
            </w:tcBorders>
            <w:shd w:val="clear" w:color="auto" w:fill="auto"/>
            <w:noWrap/>
            <w:vAlign w:val="center"/>
          </w:tcPr>
          <w:p w14:paraId="50EE97B5" w14:textId="78BBC92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C3EE12E" w14:textId="24FB7EB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351872A" w14:textId="00FAB6E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9BB2E00" w14:textId="0173298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CE08461" w14:textId="3CE2FAE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C433091" w14:textId="5F69CF7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8AAEE69" w14:textId="771957A1"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206,301</w:t>
            </w:r>
          </w:p>
        </w:tc>
      </w:tr>
      <w:tr w:rsidR="009B613F" w:rsidRPr="00B469AB" w14:paraId="0D01E20A"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5C886C6" w14:textId="19B85BBE"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Ngwala Willumbong Aboriginal Corporation</w:t>
            </w:r>
          </w:p>
        </w:tc>
        <w:tc>
          <w:tcPr>
            <w:tcW w:w="974" w:type="dxa"/>
            <w:tcBorders>
              <w:top w:val="nil"/>
              <w:left w:val="nil"/>
              <w:bottom w:val="single" w:sz="4" w:space="0" w:color="auto"/>
              <w:right w:val="single" w:sz="4" w:space="0" w:color="auto"/>
            </w:tcBorders>
            <w:shd w:val="clear" w:color="auto" w:fill="auto"/>
            <w:noWrap/>
            <w:vAlign w:val="center"/>
          </w:tcPr>
          <w:p w14:paraId="48E7065D" w14:textId="4999778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1EBEC9C" w14:textId="1DEBBA3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127</w:t>
            </w:r>
          </w:p>
        </w:tc>
        <w:tc>
          <w:tcPr>
            <w:tcW w:w="974" w:type="dxa"/>
            <w:tcBorders>
              <w:top w:val="nil"/>
              <w:left w:val="nil"/>
              <w:bottom w:val="single" w:sz="4" w:space="0" w:color="auto"/>
              <w:right w:val="single" w:sz="4" w:space="0" w:color="auto"/>
            </w:tcBorders>
            <w:shd w:val="clear" w:color="auto" w:fill="auto"/>
            <w:noWrap/>
            <w:vAlign w:val="center"/>
          </w:tcPr>
          <w:p w14:paraId="32E0F9CF" w14:textId="5332DE6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BDC4B91" w14:textId="0DFD0BB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8,541</w:t>
            </w:r>
          </w:p>
        </w:tc>
        <w:tc>
          <w:tcPr>
            <w:tcW w:w="974" w:type="dxa"/>
            <w:tcBorders>
              <w:top w:val="nil"/>
              <w:left w:val="nil"/>
              <w:bottom w:val="single" w:sz="4" w:space="0" w:color="auto"/>
              <w:right w:val="single" w:sz="4" w:space="0" w:color="auto"/>
            </w:tcBorders>
            <w:shd w:val="clear" w:color="auto" w:fill="auto"/>
            <w:noWrap/>
            <w:vAlign w:val="center"/>
          </w:tcPr>
          <w:p w14:paraId="4D4C03EB" w14:textId="658EDD6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83F2D27" w14:textId="1DB310D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102</w:t>
            </w:r>
          </w:p>
        </w:tc>
        <w:tc>
          <w:tcPr>
            <w:tcW w:w="974" w:type="dxa"/>
            <w:tcBorders>
              <w:top w:val="nil"/>
              <w:left w:val="nil"/>
              <w:bottom w:val="single" w:sz="4" w:space="0" w:color="auto"/>
              <w:right w:val="single" w:sz="4" w:space="0" w:color="auto"/>
            </w:tcBorders>
            <w:shd w:val="clear" w:color="auto" w:fill="auto"/>
            <w:noWrap/>
            <w:vAlign w:val="center"/>
          </w:tcPr>
          <w:p w14:paraId="2AB428C1" w14:textId="7E35D1E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C8C4A0E" w14:textId="519EDC24"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8,769</w:t>
            </w:r>
          </w:p>
        </w:tc>
      </w:tr>
      <w:tr w:rsidR="009B613F" w:rsidRPr="00B469AB" w14:paraId="13526F1F"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C496324" w14:textId="2C1F1D86"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Orygen Research Centre</w:t>
            </w:r>
          </w:p>
        </w:tc>
        <w:tc>
          <w:tcPr>
            <w:tcW w:w="974" w:type="dxa"/>
            <w:tcBorders>
              <w:top w:val="nil"/>
              <w:left w:val="nil"/>
              <w:bottom w:val="single" w:sz="4" w:space="0" w:color="auto"/>
              <w:right w:val="single" w:sz="4" w:space="0" w:color="auto"/>
            </w:tcBorders>
            <w:shd w:val="clear" w:color="auto" w:fill="auto"/>
            <w:noWrap/>
            <w:vAlign w:val="center"/>
          </w:tcPr>
          <w:p w14:paraId="466D16D2" w14:textId="1484F19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2115FB6" w14:textId="260E43A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F91B8C2" w14:textId="5C6FFC9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469DD0B" w14:textId="25F0F8C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C51BE6C" w14:textId="783F97F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11,848</w:t>
            </w:r>
          </w:p>
        </w:tc>
        <w:tc>
          <w:tcPr>
            <w:tcW w:w="975" w:type="dxa"/>
            <w:tcBorders>
              <w:top w:val="nil"/>
              <w:left w:val="nil"/>
              <w:bottom w:val="single" w:sz="4" w:space="0" w:color="auto"/>
              <w:right w:val="single" w:sz="4" w:space="0" w:color="auto"/>
            </w:tcBorders>
            <w:shd w:val="clear" w:color="auto" w:fill="auto"/>
            <w:noWrap/>
            <w:vAlign w:val="center"/>
          </w:tcPr>
          <w:p w14:paraId="3702FD64" w14:textId="135B1CC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8BFBC19" w14:textId="114516E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E9FCB99" w14:textId="0CEE4225"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11,848</w:t>
            </w:r>
          </w:p>
        </w:tc>
      </w:tr>
      <w:tr w:rsidR="009B613F" w:rsidRPr="00B469AB" w14:paraId="721A3A1C"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C7DB720" w14:textId="7DDFFD5F"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Plenary Health Casey Pty Ltd (Non G</w:t>
            </w:r>
            <w:r w:rsidR="00544284">
              <w:rPr>
                <w:rFonts w:cs="Arial"/>
                <w:color w:val="000000"/>
                <w:sz w:val="15"/>
                <w:szCs w:val="15"/>
              </w:rPr>
              <w:t>ST</w:t>
            </w:r>
            <w:r>
              <w:rPr>
                <w:rFonts w:cs="Arial"/>
                <w:color w:val="000000"/>
                <w:sz w:val="15"/>
                <w:szCs w:val="15"/>
              </w:rPr>
              <w:t>)</w:t>
            </w:r>
          </w:p>
        </w:tc>
        <w:tc>
          <w:tcPr>
            <w:tcW w:w="974" w:type="dxa"/>
            <w:tcBorders>
              <w:top w:val="nil"/>
              <w:left w:val="nil"/>
              <w:bottom w:val="single" w:sz="4" w:space="0" w:color="auto"/>
              <w:right w:val="single" w:sz="4" w:space="0" w:color="auto"/>
            </w:tcBorders>
            <w:shd w:val="clear" w:color="auto" w:fill="auto"/>
            <w:noWrap/>
            <w:vAlign w:val="center"/>
          </w:tcPr>
          <w:p w14:paraId="5DE72FAC" w14:textId="486231D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26,220</w:t>
            </w:r>
          </w:p>
        </w:tc>
        <w:tc>
          <w:tcPr>
            <w:tcW w:w="975" w:type="dxa"/>
            <w:tcBorders>
              <w:top w:val="nil"/>
              <w:left w:val="nil"/>
              <w:bottom w:val="single" w:sz="4" w:space="0" w:color="auto"/>
              <w:right w:val="single" w:sz="4" w:space="0" w:color="auto"/>
            </w:tcBorders>
            <w:shd w:val="clear" w:color="auto" w:fill="auto"/>
            <w:noWrap/>
            <w:vAlign w:val="center"/>
          </w:tcPr>
          <w:p w14:paraId="091CCCA7" w14:textId="7FD3F76C"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30E3DD1D" w14:textId="6A3801F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0A66F16" w14:textId="3A5FF5E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C0078C1" w14:textId="5CF45EA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925752E" w14:textId="7D5517C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D0D434B" w14:textId="1CE246F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0DB8F6E" w14:textId="007DC3E4"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26,220</w:t>
            </w:r>
          </w:p>
        </w:tc>
      </w:tr>
      <w:tr w:rsidR="009B613F" w:rsidRPr="00B469AB" w14:paraId="59B7113B"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3344B7D" w14:textId="2AFE8989"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Plenary Health Ccc Pty Ltd</w:t>
            </w:r>
          </w:p>
        </w:tc>
        <w:tc>
          <w:tcPr>
            <w:tcW w:w="974" w:type="dxa"/>
            <w:tcBorders>
              <w:top w:val="nil"/>
              <w:left w:val="nil"/>
              <w:bottom w:val="single" w:sz="4" w:space="0" w:color="auto"/>
              <w:right w:val="single" w:sz="4" w:space="0" w:color="auto"/>
            </w:tcBorders>
            <w:shd w:val="clear" w:color="auto" w:fill="auto"/>
            <w:noWrap/>
            <w:vAlign w:val="center"/>
          </w:tcPr>
          <w:p w14:paraId="3840FC69" w14:textId="49A6FA0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203,317</w:t>
            </w:r>
          </w:p>
        </w:tc>
        <w:tc>
          <w:tcPr>
            <w:tcW w:w="975" w:type="dxa"/>
            <w:tcBorders>
              <w:top w:val="nil"/>
              <w:left w:val="nil"/>
              <w:bottom w:val="single" w:sz="4" w:space="0" w:color="auto"/>
              <w:right w:val="single" w:sz="4" w:space="0" w:color="auto"/>
            </w:tcBorders>
            <w:shd w:val="clear" w:color="auto" w:fill="auto"/>
            <w:noWrap/>
            <w:vAlign w:val="center"/>
          </w:tcPr>
          <w:p w14:paraId="302027AE" w14:textId="19A3393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C9F0863" w14:textId="3E6DAF9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C11B76C" w14:textId="470B7EC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EB694EF" w14:textId="1979023C"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D7C617A" w14:textId="025BA45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7B45832" w14:textId="19AC357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CA82597" w14:textId="571E8FE3"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203,317</w:t>
            </w:r>
          </w:p>
        </w:tc>
      </w:tr>
      <w:tr w:rsidR="009B613F" w:rsidRPr="00B469AB" w14:paraId="2CA8BCF3"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F1CFC8B" w14:textId="3D1C467C"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Plenary Health Chep Pty Ltd (Non G</w:t>
            </w:r>
            <w:r w:rsidR="00544284">
              <w:rPr>
                <w:rFonts w:cs="Arial"/>
                <w:color w:val="000000"/>
                <w:sz w:val="15"/>
                <w:szCs w:val="15"/>
              </w:rPr>
              <w:t>ST</w:t>
            </w:r>
            <w:r>
              <w:rPr>
                <w:rFonts w:cs="Arial"/>
                <w:color w:val="000000"/>
                <w:sz w:val="15"/>
                <w:szCs w:val="15"/>
              </w:rPr>
              <w:t>)</w:t>
            </w:r>
          </w:p>
        </w:tc>
        <w:tc>
          <w:tcPr>
            <w:tcW w:w="974" w:type="dxa"/>
            <w:tcBorders>
              <w:top w:val="nil"/>
              <w:left w:val="nil"/>
              <w:bottom w:val="single" w:sz="4" w:space="0" w:color="auto"/>
              <w:right w:val="single" w:sz="4" w:space="0" w:color="auto"/>
            </w:tcBorders>
            <w:shd w:val="clear" w:color="auto" w:fill="auto"/>
            <w:noWrap/>
            <w:vAlign w:val="center"/>
          </w:tcPr>
          <w:p w14:paraId="761140DA" w14:textId="01F67FB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8,550</w:t>
            </w:r>
          </w:p>
        </w:tc>
        <w:tc>
          <w:tcPr>
            <w:tcW w:w="975" w:type="dxa"/>
            <w:tcBorders>
              <w:top w:val="nil"/>
              <w:left w:val="nil"/>
              <w:bottom w:val="single" w:sz="4" w:space="0" w:color="auto"/>
              <w:right w:val="single" w:sz="4" w:space="0" w:color="auto"/>
            </w:tcBorders>
            <w:shd w:val="clear" w:color="auto" w:fill="auto"/>
            <w:noWrap/>
            <w:vAlign w:val="center"/>
          </w:tcPr>
          <w:p w14:paraId="0EF1DBAA" w14:textId="1665DF5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F84D4F5" w14:textId="78F8C80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5EAB0CA" w14:textId="5955707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78D23E7" w14:textId="3DE21DB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CA72BAF" w14:textId="4A367AE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443BF73" w14:textId="34F0F99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61487C1" w14:textId="60704563"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8,550</w:t>
            </w:r>
          </w:p>
        </w:tc>
      </w:tr>
      <w:tr w:rsidR="009B613F" w:rsidRPr="00B469AB" w14:paraId="068AC647"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06574D7" w14:textId="2B47B717"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Postgraduate Medical Council Of Victoria</w:t>
            </w:r>
          </w:p>
        </w:tc>
        <w:tc>
          <w:tcPr>
            <w:tcW w:w="974" w:type="dxa"/>
            <w:tcBorders>
              <w:top w:val="nil"/>
              <w:left w:val="nil"/>
              <w:bottom w:val="single" w:sz="4" w:space="0" w:color="auto"/>
              <w:right w:val="single" w:sz="4" w:space="0" w:color="auto"/>
            </w:tcBorders>
            <w:shd w:val="clear" w:color="auto" w:fill="auto"/>
            <w:noWrap/>
            <w:vAlign w:val="center"/>
          </w:tcPr>
          <w:p w14:paraId="2F404FA5" w14:textId="4DA109A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2,320</w:t>
            </w:r>
          </w:p>
        </w:tc>
        <w:tc>
          <w:tcPr>
            <w:tcW w:w="975" w:type="dxa"/>
            <w:tcBorders>
              <w:top w:val="nil"/>
              <w:left w:val="nil"/>
              <w:bottom w:val="single" w:sz="4" w:space="0" w:color="auto"/>
              <w:right w:val="single" w:sz="4" w:space="0" w:color="auto"/>
            </w:tcBorders>
            <w:shd w:val="clear" w:color="auto" w:fill="auto"/>
            <w:noWrap/>
            <w:vAlign w:val="center"/>
          </w:tcPr>
          <w:p w14:paraId="513C4A3A" w14:textId="247FC62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0F87262" w14:textId="10797A2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648CEE1" w14:textId="6A216C5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23546D5" w14:textId="664723F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0EB42F4" w14:textId="79A4B6B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3C7461DC" w14:textId="6A5C70E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7DAF8E1" w14:textId="62DB75F8"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2,320</w:t>
            </w:r>
          </w:p>
        </w:tc>
      </w:tr>
      <w:tr w:rsidR="009B613F" w:rsidRPr="00B469AB" w14:paraId="5CF903B4"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4E552E9" w14:textId="26845E9B"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R</w:t>
            </w:r>
            <w:r w:rsidR="005D0C54">
              <w:rPr>
                <w:rFonts w:cs="Arial"/>
                <w:color w:val="000000"/>
                <w:sz w:val="15"/>
                <w:szCs w:val="15"/>
              </w:rPr>
              <w:t>W</w:t>
            </w:r>
            <w:r>
              <w:rPr>
                <w:rFonts w:cs="Arial"/>
                <w:color w:val="000000"/>
                <w:sz w:val="15"/>
                <w:szCs w:val="15"/>
              </w:rPr>
              <w:t xml:space="preserve"> Health Partnerships Pty Ltd</w:t>
            </w:r>
          </w:p>
        </w:tc>
        <w:tc>
          <w:tcPr>
            <w:tcW w:w="974" w:type="dxa"/>
            <w:tcBorders>
              <w:top w:val="nil"/>
              <w:left w:val="nil"/>
              <w:bottom w:val="single" w:sz="4" w:space="0" w:color="auto"/>
              <w:right w:val="single" w:sz="4" w:space="0" w:color="auto"/>
            </w:tcBorders>
            <w:shd w:val="clear" w:color="auto" w:fill="auto"/>
            <w:noWrap/>
            <w:vAlign w:val="center"/>
          </w:tcPr>
          <w:p w14:paraId="3CAA6234" w14:textId="3BBA6F2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51,586</w:t>
            </w:r>
          </w:p>
        </w:tc>
        <w:tc>
          <w:tcPr>
            <w:tcW w:w="975" w:type="dxa"/>
            <w:tcBorders>
              <w:top w:val="nil"/>
              <w:left w:val="nil"/>
              <w:bottom w:val="single" w:sz="4" w:space="0" w:color="auto"/>
              <w:right w:val="single" w:sz="4" w:space="0" w:color="auto"/>
            </w:tcBorders>
            <w:shd w:val="clear" w:color="auto" w:fill="auto"/>
            <w:noWrap/>
            <w:vAlign w:val="center"/>
          </w:tcPr>
          <w:p w14:paraId="6F862926" w14:textId="05327E2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8E582DB" w14:textId="350BC48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7D9BC56" w14:textId="6FC2E74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71B1299" w14:textId="031A9FC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4A54BE0" w14:textId="69AB735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45CB779" w14:textId="349926D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3F79AC3" w14:textId="60523061"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51,586</w:t>
            </w:r>
          </w:p>
        </w:tc>
      </w:tr>
      <w:tr w:rsidR="009B613F" w:rsidRPr="00B469AB" w14:paraId="084CEB8F"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80FFA90" w14:textId="2707C5C3"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Satellite Foundation</w:t>
            </w:r>
          </w:p>
        </w:tc>
        <w:tc>
          <w:tcPr>
            <w:tcW w:w="974" w:type="dxa"/>
            <w:tcBorders>
              <w:top w:val="nil"/>
              <w:left w:val="nil"/>
              <w:bottom w:val="single" w:sz="4" w:space="0" w:color="auto"/>
              <w:right w:val="single" w:sz="4" w:space="0" w:color="auto"/>
            </w:tcBorders>
            <w:shd w:val="clear" w:color="auto" w:fill="auto"/>
            <w:noWrap/>
            <w:vAlign w:val="center"/>
          </w:tcPr>
          <w:p w14:paraId="780C4EE9" w14:textId="10AC89A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B3C305E" w14:textId="5815763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F183308" w14:textId="24B4C036"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7E6A8C2D" w14:textId="10952DE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890851F" w14:textId="3EF8D05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3,980</w:t>
            </w:r>
          </w:p>
        </w:tc>
        <w:tc>
          <w:tcPr>
            <w:tcW w:w="975" w:type="dxa"/>
            <w:tcBorders>
              <w:top w:val="nil"/>
              <w:left w:val="nil"/>
              <w:bottom w:val="single" w:sz="4" w:space="0" w:color="auto"/>
              <w:right w:val="single" w:sz="4" w:space="0" w:color="auto"/>
            </w:tcBorders>
            <w:shd w:val="clear" w:color="auto" w:fill="auto"/>
            <w:noWrap/>
            <w:vAlign w:val="center"/>
          </w:tcPr>
          <w:p w14:paraId="3B4FC9F5" w14:textId="2078933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F0391B8" w14:textId="1928B70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46FA3841" w14:textId="3339EA16"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3,980</w:t>
            </w:r>
          </w:p>
        </w:tc>
      </w:tr>
      <w:tr w:rsidR="009B613F" w:rsidRPr="00B469AB" w14:paraId="6DEE8918" w14:textId="77777777" w:rsidTr="000674C4">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9F58D8B" w14:textId="61F753C3"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South East Palliative Care Ltd</w:t>
            </w:r>
          </w:p>
        </w:tc>
        <w:tc>
          <w:tcPr>
            <w:tcW w:w="974" w:type="dxa"/>
            <w:tcBorders>
              <w:top w:val="nil"/>
              <w:left w:val="nil"/>
              <w:bottom w:val="single" w:sz="4" w:space="0" w:color="auto"/>
              <w:right w:val="single" w:sz="4" w:space="0" w:color="auto"/>
            </w:tcBorders>
            <w:shd w:val="clear" w:color="auto" w:fill="auto"/>
            <w:noWrap/>
            <w:vAlign w:val="center"/>
          </w:tcPr>
          <w:p w14:paraId="2C43B0A4" w14:textId="2A47863A"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6,852</w:t>
            </w:r>
          </w:p>
        </w:tc>
        <w:tc>
          <w:tcPr>
            <w:tcW w:w="975" w:type="dxa"/>
            <w:tcBorders>
              <w:top w:val="nil"/>
              <w:left w:val="nil"/>
              <w:bottom w:val="single" w:sz="4" w:space="0" w:color="auto"/>
              <w:right w:val="single" w:sz="4" w:space="0" w:color="auto"/>
            </w:tcBorders>
            <w:shd w:val="clear" w:color="auto" w:fill="auto"/>
            <w:noWrap/>
            <w:vAlign w:val="center"/>
          </w:tcPr>
          <w:p w14:paraId="3BDC3E53" w14:textId="1CA0EAD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0B4FB937" w14:textId="6999DCD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C813C44" w14:textId="7C0946F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4F1A28A" w14:textId="7F7636F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4F57DEB" w14:textId="1449E5C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8EC8EE3" w14:textId="13308DD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6329798" w14:textId="4B9DC5ED"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6,852</w:t>
            </w:r>
          </w:p>
        </w:tc>
      </w:tr>
      <w:tr w:rsidR="009B613F" w:rsidRPr="00B469AB" w14:paraId="35E11BCB"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30E469E" w14:textId="7C601030"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The Florey Institute Of Neuroscience And Mental Health</w:t>
            </w:r>
          </w:p>
        </w:tc>
        <w:tc>
          <w:tcPr>
            <w:tcW w:w="974" w:type="dxa"/>
            <w:tcBorders>
              <w:top w:val="nil"/>
              <w:left w:val="nil"/>
              <w:bottom w:val="single" w:sz="4" w:space="0" w:color="auto"/>
              <w:right w:val="single" w:sz="4" w:space="0" w:color="auto"/>
            </w:tcBorders>
            <w:shd w:val="clear" w:color="auto" w:fill="auto"/>
            <w:noWrap/>
            <w:vAlign w:val="center"/>
          </w:tcPr>
          <w:p w14:paraId="05B800A1" w14:textId="70716B3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88</w:t>
            </w:r>
          </w:p>
        </w:tc>
        <w:tc>
          <w:tcPr>
            <w:tcW w:w="975" w:type="dxa"/>
            <w:tcBorders>
              <w:top w:val="nil"/>
              <w:left w:val="nil"/>
              <w:bottom w:val="single" w:sz="4" w:space="0" w:color="auto"/>
              <w:right w:val="single" w:sz="4" w:space="0" w:color="auto"/>
            </w:tcBorders>
            <w:shd w:val="clear" w:color="auto" w:fill="auto"/>
            <w:noWrap/>
            <w:vAlign w:val="center"/>
          </w:tcPr>
          <w:p w14:paraId="7EFCE33F" w14:textId="4B76CDC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6A6E205" w14:textId="2C4EFE8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B39B6A8" w14:textId="1AD0E70E"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0210088" w14:textId="434F618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1,739</w:t>
            </w:r>
          </w:p>
        </w:tc>
        <w:tc>
          <w:tcPr>
            <w:tcW w:w="975" w:type="dxa"/>
            <w:tcBorders>
              <w:top w:val="nil"/>
              <w:left w:val="nil"/>
              <w:bottom w:val="single" w:sz="4" w:space="0" w:color="auto"/>
              <w:right w:val="single" w:sz="4" w:space="0" w:color="auto"/>
            </w:tcBorders>
            <w:shd w:val="clear" w:color="auto" w:fill="auto"/>
            <w:noWrap/>
            <w:vAlign w:val="center"/>
          </w:tcPr>
          <w:p w14:paraId="4D1E2F68" w14:textId="0C44109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1A0D85FF" w14:textId="1DA699B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13DA399E" w14:textId="3E51F887"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1,827</w:t>
            </w:r>
          </w:p>
        </w:tc>
      </w:tr>
      <w:tr w:rsidR="009B613F" w:rsidRPr="00B469AB" w14:paraId="53915B45" w14:textId="77777777" w:rsidTr="000674C4">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F419D5" w14:textId="515AD512"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The N</w:t>
            </w:r>
            <w:r w:rsidR="00714AF9">
              <w:rPr>
                <w:rFonts w:cs="Arial"/>
                <w:color w:val="000000"/>
                <w:sz w:val="15"/>
                <w:szCs w:val="15"/>
              </w:rPr>
              <w:t>SW</w:t>
            </w:r>
            <w:r>
              <w:rPr>
                <w:rFonts w:cs="Arial"/>
                <w:color w:val="000000"/>
                <w:sz w:val="15"/>
                <w:szCs w:val="15"/>
              </w:rPr>
              <w:t xml:space="preserve"> Ministry Of Health</w:t>
            </w:r>
          </w:p>
        </w:tc>
        <w:tc>
          <w:tcPr>
            <w:tcW w:w="974" w:type="dxa"/>
            <w:tcBorders>
              <w:top w:val="nil"/>
              <w:left w:val="nil"/>
              <w:bottom w:val="single" w:sz="4" w:space="0" w:color="auto"/>
              <w:right w:val="single" w:sz="4" w:space="0" w:color="auto"/>
            </w:tcBorders>
            <w:shd w:val="clear" w:color="auto" w:fill="auto"/>
            <w:noWrap/>
            <w:vAlign w:val="center"/>
          </w:tcPr>
          <w:p w14:paraId="0A8FC71D" w14:textId="7411C5E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20,940</w:t>
            </w:r>
          </w:p>
        </w:tc>
        <w:tc>
          <w:tcPr>
            <w:tcW w:w="975" w:type="dxa"/>
            <w:tcBorders>
              <w:top w:val="nil"/>
              <w:left w:val="nil"/>
              <w:bottom w:val="single" w:sz="4" w:space="0" w:color="auto"/>
              <w:right w:val="single" w:sz="4" w:space="0" w:color="auto"/>
            </w:tcBorders>
            <w:shd w:val="clear" w:color="auto" w:fill="auto"/>
            <w:noWrap/>
            <w:vAlign w:val="center"/>
          </w:tcPr>
          <w:p w14:paraId="48D668FE" w14:textId="365657E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6486C0B9" w14:textId="4DA9064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209C5AFE" w14:textId="421F1D0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295B7753" w14:textId="7921FE85"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34FD75B5" w14:textId="0E9C0FC3"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7A997053" w14:textId="119AA7C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6B771C9B" w14:textId="39C077A6"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20,940</w:t>
            </w:r>
          </w:p>
        </w:tc>
      </w:tr>
      <w:tr w:rsidR="009B613F" w:rsidRPr="00B469AB" w14:paraId="5622551F" w14:textId="77777777" w:rsidTr="000674C4">
        <w:trPr>
          <w:trHeight w:val="58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6754BD" w14:textId="48DFEF2F"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The Queen Elizabeth Centre</w:t>
            </w:r>
          </w:p>
        </w:tc>
        <w:tc>
          <w:tcPr>
            <w:tcW w:w="974" w:type="dxa"/>
            <w:tcBorders>
              <w:top w:val="nil"/>
              <w:left w:val="nil"/>
              <w:bottom w:val="single" w:sz="4" w:space="0" w:color="auto"/>
              <w:right w:val="single" w:sz="4" w:space="0" w:color="auto"/>
            </w:tcBorders>
            <w:shd w:val="clear" w:color="auto" w:fill="auto"/>
            <w:noWrap/>
            <w:vAlign w:val="center"/>
          </w:tcPr>
          <w:p w14:paraId="392A9500" w14:textId="427E928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802</w:t>
            </w:r>
          </w:p>
        </w:tc>
        <w:tc>
          <w:tcPr>
            <w:tcW w:w="975" w:type="dxa"/>
            <w:tcBorders>
              <w:top w:val="nil"/>
              <w:left w:val="nil"/>
              <w:bottom w:val="single" w:sz="4" w:space="0" w:color="auto"/>
              <w:right w:val="single" w:sz="4" w:space="0" w:color="auto"/>
            </w:tcBorders>
            <w:shd w:val="clear" w:color="auto" w:fill="auto"/>
            <w:noWrap/>
            <w:vAlign w:val="center"/>
          </w:tcPr>
          <w:p w14:paraId="31A2FFA3" w14:textId="20E3949C"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5535D380" w14:textId="19578A98"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0CFFB3B0" w14:textId="39F790F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nil"/>
              <w:left w:val="nil"/>
              <w:bottom w:val="single" w:sz="4" w:space="0" w:color="auto"/>
              <w:right w:val="single" w:sz="4" w:space="0" w:color="auto"/>
            </w:tcBorders>
            <w:shd w:val="clear" w:color="auto" w:fill="auto"/>
            <w:noWrap/>
            <w:vAlign w:val="center"/>
          </w:tcPr>
          <w:p w14:paraId="489D26C7" w14:textId="3DDAC2D2"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150</w:t>
            </w:r>
          </w:p>
        </w:tc>
        <w:tc>
          <w:tcPr>
            <w:tcW w:w="975" w:type="dxa"/>
            <w:tcBorders>
              <w:top w:val="nil"/>
              <w:left w:val="nil"/>
              <w:bottom w:val="single" w:sz="4" w:space="0" w:color="auto"/>
              <w:right w:val="single" w:sz="4" w:space="0" w:color="auto"/>
            </w:tcBorders>
            <w:shd w:val="clear" w:color="auto" w:fill="auto"/>
            <w:noWrap/>
            <w:vAlign w:val="center"/>
          </w:tcPr>
          <w:p w14:paraId="4FE570D7" w14:textId="5C42F774"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5,293</w:t>
            </w:r>
          </w:p>
        </w:tc>
        <w:tc>
          <w:tcPr>
            <w:tcW w:w="974" w:type="dxa"/>
            <w:tcBorders>
              <w:top w:val="nil"/>
              <w:left w:val="nil"/>
              <w:bottom w:val="single" w:sz="4" w:space="0" w:color="auto"/>
              <w:right w:val="single" w:sz="4" w:space="0" w:color="auto"/>
            </w:tcBorders>
            <w:shd w:val="clear" w:color="auto" w:fill="auto"/>
            <w:noWrap/>
            <w:vAlign w:val="center"/>
          </w:tcPr>
          <w:p w14:paraId="3026CC10" w14:textId="20345AF0"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nil"/>
              <w:left w:val="nil"/>
              <w:bottom w:val="single" w:sz="4" w:space="0" w:color="auto"/>
              <w:right w:val="single" w:sz="4" w:space="0" w:color="auto"/>
            </w:tcBorders>
            <w:shd w:val="clear" w:color="auto" w:fill="auto"/>
            <w:noWrap/>
            <w:vAlign w:val="center"/>
          </w:tcPr>
          <w:p w14:paraId="5B6F4120" w14:textId="4D9F14C5"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6,245</w:t>
            </w:r>
          </w:p>
        </w:tc>
      </w:tr>
      <w:tr w:rsidR="009B613F" w:rsidRPr="00B469AB" w14:paraId="6127E944" w14:textId="77777777" w:rsidTr="000674C4">
        <w:trPr>
          <w:trHeight w:val="58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60B2" w14:textId="146AD144"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t>The Royal Australian College Of General Practitioners Limited</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6E129614" w14:textId="2B95A151"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A148290" w14:textId="73DE44BD"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FE1AD8B" w14:textId="6A05932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6FCBA887" w14:textId="5801C0D7"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30D269F" w14:textId="4ED446FB"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A8F8B09" w14:textId="5414BE6F"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14,200</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4FD5BA0D" w14:textId="6A562739" w:rsidR="009B613F" w:rsidRPr="00970F2D" w:rsidRDefault="009B613F" w:rsidP="009B613F">
            <w:pPr>
              <w:spacing w:after="0" w:line="240" w:lineRule="auto"/>
              <w:jc w:val="right"/>
              <w:rPr>
                <w:rFonts w:cs="Arial"/>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54F6022" w14:textId="53311CDF" w:rsidR="009B613F" w:rsidRPr="00970F2D" w:rsidRDefault="009B613F" w:rsidP="009B613F">
            <w:pPr>
              <w:spacing w:after="0" w:line="240" w:lineRule="auto"/>
              <w:jc w:val="right"/>
              <w:rPr>
                <w:rFonts w:cs="Arial"/>
                <w:b/>
                <w:bCs/>
                <w:color w:val="000000"/>
                <w:sz w:val="16"/>
                <w:szCs w:val="16"/>
                <w:lang w:eastAsia="en-AU"/>
              </w:rPr>
            </w:pPr>
            <w:r>
              <w:rPr>
                <w:rFonts w:cs="Arial"/>
                <w:color w:val="000000"/>
                <w:sz w:val="15"/>
                <w:szCs w:val="15"/>
              </w:rPr>
              <w:t>14,200</w:t>
            </w:r>
          </w:p>
        </w:tc>
      </w:tr>
      <w:tr w:rsidR="009B613F" w:rsidRPr="00B469AB" w14:paraId="03A86A1C"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CCBA4" w14:textId="51745FAD" w:rsidR="009B613F" w:rsidRPr="00970F2D" w:rsidRDefault="009B613F" w:rsidP="009B613F">
            <w:pPr>
              <w:spacing w:after="0" w:line="240" w:lineRule="auto"/>
              <w:rPr>
                <w:rFonts w:cs="Arial"/>
                <w:color w:val="000000"/>
                <w:sz w:val="16"/>
                <w:szCs w:val="16"/>
                <w:lang w:eastAsia="en-AU"/>
              </w:rPr>
            </w:pPr>
            <w:r>
              <w:rPr>
                <w:rFonts w:cs="Arial"/>
                <w:color w:val="000000"/>
                <w:sz w:val="15"/>
                <w:szCs w:val="15"/>
              </w:rPr>
              <w:lastRenderedPageBreak/>
              <w:t>The Walter &amp; Eliza Hall Institute Of Medical Research</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88D28AB" w14:textId="7950B489"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829</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A5E1D02" w14:textId="133DEF1A"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678BBD5A" w14:textId="0D9BA5BF"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76EC078C" w14:textId="4D2EB4CB"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7EA8E9A" w14:textId="496EB138"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C6D96D1" w14:textId="0B331D9E"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33FA6D7" w14:textId="07F3AAC4"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6BF07AEB" w14:textId="325538B8" w:rsidR="009B613F" w:rsidRPr="00DC20E2" w:rsidRDefault="009B613F" w:rsidP="009B613F">
            <w:pPr>
              <w:spacing w:after="0" w:line="240" w:lineRule="auto"/>
              <w:jc w:val="right"/>
              <w:rPr>
                <w:rFonts w:cs="Arial"/>
                <w:b/>
                <w:bCs/>
                <w:color w:val="000000"/>
                <w:sz w:val="16"/>
                <w:szCs w:val="16"/>
                <w:lang w:eastAsia="en-AU"/>
              </w:rPr>
            </w:pPr>
            <w:r>
              <w:rPr>
                <w:rFonts w:cs="Arial"/>
                <w:color w:val="000000"/>
                <w:sz w:val="15"/>
                <w:szCs w:val="15"/>
              </w:rPr>
              <w:t>829</w:t>
            </w:r>
          </w:p>
        </w:tc>
      </w:tr>
      <w:tr w:rsidR="009B613F" w:rsidRPr="00B469AB" w14:paraId="1A241E4C"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E74EBB" w14:textId="0A6DB3D4" w:rsidR="009B613F" w:rsidRPr="00970F2D" w:rsidRDefault="009B613F" w:rsidP="009B613F">
            <w:pPr>
              <w:spacing w:after="0" w:line="240" w:lineRule="auto"/>
              <w:rPr>
                <w:rFonts w:cs="Arial"/>
                <w:b/>
                <w:bCs/>
                <w:color w:val="000000"/>
                <w:sz w:val="16"/>
                <w:szCs w:val="16"/>
              </w:rPr>
            </w:pPr>
            <w:r>
              <w:rPr>
                <w:rFonts w:cs="Arial"/>
                <w:color w:val="000000"/>
                <w:sz w:val="15"/>
                <w:szCs w:val="15"/>
              </w:rPr>
              <w:t>Tweddle Child &amp; Family Health Service</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3AC45013" w14:textId="2D987C59"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354</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1840B15C" w14:textId="4DE71BE0"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04E0E2B4" w14:textId="36254D66"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265C36B" w14:textId="5017008B"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506CA45" w14:textId="1D7CC112"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154</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008A9036" w14:textId="56078A95"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7,059</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ECB249B" w14:textId="7A5C550F"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324848F8" w14:textId="433825F9"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7,567</w:t>
            </w:r>
          </w:p>
        </w:tc>
      </w:tr>
      <w:tr w:rsidR="009B613F" w:rsidRPr="00B469AB" w14:paraId="2EBB9F9E"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45D8BD" w14:textId="5C158F4E" w:rsidR="009B613F" w:rsidRPr="00970F2D" w:rsidRDefault="009B613F" w:rsidP="009B613F">
            <w:pPr>
              <w:spacing w:after="0" w:line="240" w:lineRule="auto"/>
              <w:rPr>
                <w:rFonts w:cs="Arial"/>
                <w:b/>
                <w:bCs/>
                <w:color w:val="000000"/>
                <w:sz w:val="16"/>
                <w:szCs w:val="16"/>
              </w:rPr>
            </w:pPr>
            <w:r>
              <w:rPr>
                <w:rFonts w:cs="Arial"/>
                <w:color w:val="000000"/>
                <w:sz w:val="15"/>
                <w:szCs w:val="15"/>
              </w:rPr>
              <w:t>Victorian Comprehensive Cancer Centre Ltd</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D98A147" w14:textId="422798F9"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4,502</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36FF9BC" w14:textId="0424690B"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39CC6C13" w14:textId="03DE83A5"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725AF961" w14:textId="0A6D10B5"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271DEE55" w14:textId="1526B956"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24D0287" w14:textId="09A0D9F5"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1F66D21B" w14:textId="7AD64AF1"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45</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6972036" w14:textId="0A05EF92"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4,547</w:t>
            </w:r>
          </w:p>
        </w:tc>
      </w:tr>
      <w:tr w:rsidR="009B613F" w:rsidRPr="00B469AB" w14:paraId="659FE8BC"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7BB890" w14:textId="20C47CCC" w:rsidR="009B613F" w:rsidRPr="00970F2D" w:rsidRDefault="009B613F" w:rsidP="009B613F">
            <w:pPr>
              <w:spacing w:after="0" w:line="240" w:lineRule="auto"/>
              <w:rPr>
                <w:rFonts w:cs="Arial"/>
                <w:b/>
                <w:bCs/>
                <w:color w:val="000000"/>
                <w:sz w:val="16"/>
                <w:szCs w:val="16"/>
              </w:rPr>
            </w:pPr>
            <w:r>
              <w:rPr>
                <w:rFonts w:cs="Arial"/>
                <w:color w:val="000000"/>
                <w:sz w:val="15"/>
                <w:szCs w:val="15"/>
              </w:rPr>
              <w:t>Victorian Institute Of Forensic Mental Health</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396438E4" w14:textId="2CF45FE6"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8,580</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4E74EBB" w14:textId="360FC077"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48C435D9" w14:textId="15575AC4"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2A529E79" w14:textId="5341DA42"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3E965D3A" w14:textId="205EF3A4"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109,261</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298348AC" w14:textId="75B59000"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2C87B6B7" w14:textId="51623D65"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6D796837" w14:textId="40DA2D06"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117,841</w:t>
            </w:r>
          </w:p>
        </w:tc>
      </w:tr>
      <w:tr w:rsidR="009B613F" w:rsidRPr="00B469AB" w14:paraId="2969E245"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B05DB9" w14:textId="0CFE1726" w:rsidR="009B613F" w:rsidRPr="00970F2D" w:rsidRDefault="009B613F" w:rsidP="009B613F">
            <w:pPr>
              <w:spacing w:after="0" w:line="240" w:lineRule="auto"/>
              <w:rPr>
                <w:rFonts w:cs="Arial"/>
                <w:b/>
                <w:bCs/>
                <w:color w:val="000000"/>
                <w:sz w:val="16"/>
                <w:szCs w:val="16"/>
              </w:rPr>
            </w:pPr>
            <w:r>
              <w:rPr>
                <w:rFonts w:cs="Arial"/>
                <w:color w:val="000000"/>
                <w:sz w:val="15"/>
                <w:szCs w:val="15"/>
              </w:rPr>
              <w:t>All other organisations (&lt;$1 m)</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03084B7E" w14:textId="0ACAC9BA"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2,471</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7044C69C" w14:textId="20A98B89"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867</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19844477" w14:textId="235ACBA1"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 </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0243421B" w14:textId="6D42B68D"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965</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694BB41D" w14:textId="336241F9"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3,673</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1849A01F" w14:textId="5B89C5F2"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3,474</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B9078BC" w14:textId="4F7BC29C"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256</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074BC55" w14:textId="59E5B183" w:rsidR="009B613F" w:rsidRPr="00DC20E2" w:rsidRDefault="009B613F" w:rsidP="009B613F">
            <w:pPr>
              <w:spacing w:after="0" w:line="240" w:lineRule="auto"/>
              <w:jc w:val="right"/>
              <w:rPr>
                <w:rFonts w:cs="Arial"/>
                <w:b/>
                <w:bCs/>
                <w:color w:val="000000"/>
                <w:sz w:val="16"/>
                <w:szCs w:val="16"/>
              </w:rPr>
            </w:pPr>
            <w:r>
              <w:rPr>
                <w:rFonts w:cs="Arial"/>
                <w:color w:val="000000"/>
                <w:sz w:val="15"/>
                <w:szCs w:val="15"/>
              </w:rPr>
              <w:t>11,704</w:t>
            </w:r>
          </w:p>
        </w:tc>
      </w:tr>
      <w:tr w:rsidR="009B613F" w:rsidRPr="00B469AB" w14:paraId="1554BA24" w14:textId="77777777" w:rsidTr="000674C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1A3F4A" w14:textId="5BD7DC6F" w:rsidR="009B613F" w:rsidRPr="00970F2D" w:rsidRDefault="009B613F" w:rsidP="009B613F">
            <w:pPr>
              <w:spacing w:after="0" w:line="240" w:lineRule="auto"/>
              <w:rPr>
                <w:rFonts w:cs="Arial"/>
                <w:b/>
                <w:bCs/>
                <w:color w:val="000000"/>
                <w:sz w:val="16"/>
                <w:szCs w:val="16"/>
              </w:rPr>
            </w:pPr>
            <w:r>
              <w:rPr>
                <w:rFonts w:cs="Arial"/>
                <w:b/>
                <w:bCs/>
                <w:color w:val="000000"/>
                <w:sz w:val="15"/>
                <w:szCs w:val="15"/>
              </w:rPr>
              <w:t>Grand Total</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2FFAEC00" w14:textId="0330731B"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930,454</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483C87FA" w14:textId="74BC920C"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6,055</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53962B4" w14:textId="013BBBE5"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1,052,893</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158C67EA" w14:textId="6BA3E906"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11,093</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467B2B4A" w14:textId="0A2F8B29"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133,005</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7E3880F5" w14:textId="5CFA6C33"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236,574</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8B8375B" w14:textId="0E15C53C"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734</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2E307DBE" w14:textId="743C4711" w:rsidR="009B613F" w:rsidRPr="00DC20E2" w:rsidRDefault="009B613F" w:rsidP="009B613F">
            <w:pPr>
              <w:spacing w:after="0" w:line="240" w:lineRule="auto"/>
              <w:jc w:val="right"/>
              <w:rPr>
                <w:rFonts w:cs="Arial"/>
                <w:b/>
                <w:bCs/>
                <w:color w:val="000000"/>
                <w:sz w:val="16"/>
                <w:szCs w:val="16"/>
              </w:rPr>
            </w:pPr>
            <w:r>
              <w:rPr>
                <w:rFonts w:cs="Arial"/>
                <w:b/>
                <w:bCs/>
                <w:color w:val="000000"/>
                <w:sz w:val="15"/>
                <w:szCs w:val="15"/>
              </w:rPr>
              <w:t>2,370,808</w:t>
            </w:r>
          </w:p>
        </w:tc>
      </w:tr>
      <w:bookmarkEnd w:id="2540"/>
    </w:tbl>
    <w:p w14:paraId="7E7C97F6" w14:textId="77777777" w:rsidR="005B699B" w:rsidRPr="00B62340" w:rsidRDefault="005B699B" w:rsidP="005B699B">
      <w:pPr>
        <w:pStyle w:val="Body"/>
      </w:pPr>
    </w:p>
    <w:p w14:paraId="212B1FC6" w14:textId="359E2D2E" w:rsidR="005B699B" w:rsidRDefault="005B699B" w:rsidP="001E4292">
      <w:pPr>
        <w:pStyle w:val="Heading2"/>
        <w:numPr>
          <w:ilvl w:val="1"/>
          <w:numId w:val="13"/>
        </w:numPr>
        <w:ind w:left="1134" w:hanging="1134"/>
      </w:pPr>
      <w:bookmarkStart w:id="2541" w:name="_Toc12780664"/>
      <w:bookmarkStart w:id="2542" w:name="_Toc14172305"/>
      <w:bookmarkStart w:id="2543" w:name="_Toc33703979"/>
      <w:bookmarkStart w:id="2544" w:name="_Toc55381167"/>
      <w:bookmarkStart w:id="2545" w:name="_Toc100263373"/>
      <w:bookmarkStart w:id="2546" w:name="_Toc165961869"/>
      <w:bookmarkStart w:id="2547" w:name="_Toc178963655"/>
      <w:bookmarkStart w:id="2548" w:name="_Hlk170302197"/>
      <w:r>
        <w:t xml:space="preserve">Health </w:t>
      </w:r>
      <w:bookmarkEnd w:id="2541"/>
      <w:bookmarkEnd w:id="2542"/>
      <w:bookmarkEnd w:id="2543"/>
      <w:bookmarkEnd w:id="2544"/>
      <w:r>
        <w:t>o</w:t>
      </w:r>
      <w:r w:rsidRPr="00B6080E">
        <w:t xml:space="preserve">perations </w:t>
      </w:r>
      <w:bookmarkEnd w:id="2545"/>
      <w:r w:rsidRPr="00B6080E">
        <w:t>202</w:t>
      </w:r>
      <w:r>
        <w:t>4</w:t>
      </w:r>
      <w:r w:rsidRPr="00B6080E">
        <w:t>–2</w:t>
      </w:r>
      <w:r>
        <w:t>5</w:t>
      </w:r>
      <w:bookmarkEnd w:id="2546"/>
      <w:bookmarkEnd w:id="2547"/>
    </w:p>
    <w:p w14:paraId="394C3083"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3AEDDB18" w14:textId="77777777" w:rsidR="00541C64" w:rsidRPr="00A67ABC" w:rsidRDefault="00541C64" w:rsidP="008E4F36">
      <w:pPr>
        <w:pStyle w:val="Tablenoteroman"/>
        <w:numPr>
          <w:ilvl w:val="0"/>
          <w:numId w:val="59"/>
        </w:numPr>
        <w:tabs>
          <w:tab w:val="clear" w:pos="720"/>
        </w:tabs>
        <w:rPr>
          <w:b/>
          <w:lang w:eastAsia="en-AU"/>
        </w:rPr>
      </w:pPr>
      <w:r w:rsidRPr="00A67ABC">
        <w:rPr>
          <w:lang w:eastAsia="en-AU"/>
        </w:rPr>
        <w:t>Subtotals and totals may not add up due to rounding.</w:t>
      </w:r>
    </w:p>
    <w:p w14:paraId="51FB08D3" w14:textId="77777777" w:rsidR="00541C64" w:rsidRPr="00A67ABC" w:rsidRDefault="00541C64" w:rsidP="008E4F36">
      <w:pPr>
        <w:pStyle w:val="Tablenoteroman"/>
        <w:numPr>
          <w:ilvl w:val="0"/>
          <w:numId w:val="59"/>
        </w:numPr>
        <w:tabs>
          <w:tab w:val="clear" w:pos="720"/>
        </w:tabs>
        <w:rPr>
          <w:lang w:eastAsia="en-AU"/>
        </w:rPr>
      </w:pPr>
      <w:r w:rsidRPr="00A67ABC">
        <w:rPr>
          <w:lang w:eastAsia="en-AU"/>
        </w:rPr>
        <w:t>When published, Statement of Priorities Part C supersede these tables.</w:t>
      </w:r>
    </w:p>
    <w:p w14:paraId="5F3A687A" w14:textId="1A2B21EB" w:rsidR="005B699B" w:rsidRDefault="00462DC7" w:rsidP="00297FC9">
      <w:pPr>
        <w:pStyle w:val="Tablecaption"/>
      </w:pPr>
      <w:bookmarkStart w:id="2549" w:name="_Toc12780568"/>
      <w:bookmarkStart w:id="2550" w:name="_Toc14194824"/>
      <w:bookmarkStart w:id="2551" w:name="_Toc33704005"/>
      <w:bookmarkStart w:id="2552" w:name="_Toc109894135"/>
      <w:bookmarkStart w:id="2553" w:name="_Toc176510421"/>
      <w:bookmarkStart w:id="2554" w:name="_Hlk170301497"/>
      <w:bookmarkEnd w:id="2548"/>
      <w:r w:rsidRPr="00B6080E">
        <w:t xml:space="preserve">Table </w:t>
      </w:r>
      <w:r w:rsidR="00D72666">
        <w:t>2</w:t>
      </w:r>
      <w:r w:rsidR="000E0ED2">
        <w:t>.</w:t>
      </w:r>
      <w:r>
        <w:fldChar w:fldCharType="begin"/>
      </w:r>
      <w:r>
        <w:instrText>SEQ Table \* ARABIC \s 1</w:instrText>
      </w:r>
      <w:r>
        <w:fldChar w:fldCharType="separate"/>
      </w:r>
      <w:r w:rsidR="00F30C16">
        <w:rPr>
          <w:noProof/>
        </w:rPr>
        <w:t>9</w:t>
      </w:r>
      <w:r>
        <w:fldChar w:fldCharType="end"/>
      </w:r>
      <w:r w:rsidRPr="00B6080E">
        <w:t xml:space="preserve"> </w:t>
      </w:r>
      <w:r w:rsidR="005B699B" w:rsidRPr="00B6080E">
        <w:t xml:space="preserve">Health operations expenditure budgets </w:t>
      </w:r>
      <w:bookmarkEnd w:id="2549"/>
      <w:bookmarkEnd w:id="2550"/>
      <w:bookmarkEnd w:id="2551"/>
      <w:bookmarkEnd w:id="2552"/>
      <w:r w:rsidR="005B699B" w:rsidRPr="00B6080E">
        <w:t>202</w:t>
      </w:r>
      <w:r w:rsidR="005B699B">
        <w:t>4</w:t>
      </w:r>
      <w:r w:rsidR="005B699B" w:rsidRPr="00B6080E">
        <w:t>–2</w:t>
      </w:r>
      <w:r w:rsidR="005B699B">
        <w:t>5 – $’000s</w:t>
      </w:r>
      <w:bookmarkEnd w:id="2553"/>
      <w:r w:rsidR="00037B46">
        <w:t xml:space="preserve"> </w:t>
      </w:r>
    </w:p>
    <w:tbl>
      <w:tblPr>
        <w:tblW w:w="9923" w:type="dxa"/>
        <w:tblInd w:w="-289" w:type="dxa"/>
        <w:tblLayout w:type="fixed"/>
        <w:tblLook w:val="04A0" w:firstRow="1" w:lastRow="0" w:firstColumn="1" w:lastColumn="0" w:noHBand="0" w:noVBand="1"/>
      </w:tblPr>
      <w:tblGrid>
        <w:gridCol w:w="1702"/>
        <w:gridCol w:w="1027"/>
        <w:gridCol w:w="1028"/>
        <w:gridCol w:w="1027"/>
        <w:gridCol w:w="1028"/>
        <w:gridCol w:w="1028"/>
        <w:gridCol w:w="1027"/>
        <w:gridCol w:w="1028"/>
        <w:gridCol w:w="1028"/>
      </w:tblGrid>
      <w:tr w:rsidR="00C16BF6" w:rsidRPr="00A47C7D" w14:paraId="5089C2A9" w14:textId="77777777" w:rsidTr="000674C4">
        <w:trPr>
          <w:trHeight w:val="900"/>
          <w:tblHeader/>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14:paraId="268524A9" w14:textId="77777777" w:rsidR="00C16BF6" w:rsidRPr="00BF2219" w:rsidRDefault="00C16BF6">
            <w:pPr>
              <w:spacing w:after="0" w:line="240" w:lineRule="auto"/>
              <w:rPr>
                <w:rFonts w:cs="Arial"/>
                <w:b/>
                <w:bCs/>
                <w:color w:val="53565A"/>
                <w:sz w:val="16"/>
                <w:szCs w:val="16"/>
                <w:lang w:eastAsia="en-AU"/>
              </w:rPr>
            </w:pPr>
            <w:r w:rsidRPr="00BF2219">
              <w:rPr>
                <w:rFonts w:cs="Arial"/>
                <w:b/>
                <w:bCs/>
                <w:color w:val="53565A"/>
                <w:sz w:val="16"/>
                <w:szCs w:val="16"/>
                <w:lang w:eastAsia="en-AU"/>
              </w:rPr>
              <w:t>Provider type</w:t>
            </w:r>
          </w:p>
        </w:tc>
        <w:tc>
          <w:tcPr>
            <w:tcW w:w="1027" w:type="dxa"/>
            <w:tcBorders>
              <w:top w:val="single" w:sz="4" w:space="0" w:color="auto"/>
              <w:left w:val="nil"/>
              <w:bottom w:val="single" w:sz="4" w:space="0" w:color="auto"/>
              <w:right w:val="single" w:sz="4" w:space="0" w:color="auto"/>
            </w:tcBorders>
            <w:shd w:val="clear" w:color="auto" w:fill="auto"/>
            <w:hideMark/>
          </w:tcPr>
          <w:p w14:paraId="5CDC39F7"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Acute health services</w:t>
            </w:r>
          </w:p>
        </w:tc>
        <w:tc>
          <w:tcPr>
            <w:tcW w:w="1028" w:type="dxa"/>
            <w:tcBorders>
              <w:top w:val="single" w:sz="4" w:space="0" w:color="auto"/>
              <w:left w:val="nil"/>
              <w:bottom w:val="single" w:sz="4" w:space="0" w:color="auto"/>
              <w:right w:val="single" w:sz="4" w:space="0" w:color="auto"/>
            </w:tcBorders>
            <w:shd w:val="clear" w:color="auto" w:fill="auto"/>
            <w:hideMark/>
          </w:tcPr>
          <w:p w14:paraId="07A89904"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Ageing, aged and home care</w:t>
            </w:r>
          </w:p>
        </w:tc>
        <w:tc>
          <w:tcPr>
            <w:tcW w:w="1027" w:type="dxa"/>
            <w:tcBorders>
              <w:top w:val="single" w:sz="4" w:space="0" w:color="auto"/>
              <w:left w:val="nil"/>
              <w:bottom w:val="single" w:sz="4" w:space="0" w:color="auto"/>
              <w:right w:val="single" w:sz="4" w:space="0" w:color="auto"/>
            </w:tcBorders>
            <w:shd w:val="clear" w:color="auto" w:fill="auto"/>
            <w:hideMark/>
          </w:tcPr>
          <w:p w14:paraId="6A02F196"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Ambulance services</w:t>
            </w:r>
          </w:p>
        </w:tc>
        <w:tc>
          <w:tcPr>
            <w:tcW w:w="1028" w:type="dxa"/>
            <w:tcBorders>
              <w:top w:val="single" w:sz="4" w:space="0" w:color="auto"/>
              <w:left w:val="nil"/>
              <w:bottom w:val="single" w:sz="4" w:space="0" w:color="auto"/>
              <w:right w:val="single" w:sz="4" w:space="0" w:color="auto"/>
            </w:tcBorders>
            <w:shd w:val="clear" w:color="auto" w:fill="auto"/>
            <w:hideMark/>
          </w:tcPr>
          <w:p w14:paraId="0DFAFE1B"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Drugs services</w:t>
            </w:r>
          </w:p>
        </w:tc>
        <w:tc>
          <w:tcPr>
            <w:tcW w:w="1028" w:type="dxa"/>
            <w:tcBorders>
              <w:top w:val="single" w:sz="4" w:space="0" w:color="auto"/>
              <w:left w:val="nil"/>
              <w:bottom w:val="single" w:sz="4" w:space="0" w:color="auto"/>
              <w:right w:val="single" w:sz="4" w:space="0" w:color="auto"/>
            </w:tcBorders>
            <w:shd w:val="clear" w:color="auto" w:fill="auto"/>
            <w:hideMark/>
          </w:tcPr>
          <w:p w14:paraId="70F319E3"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Mental health</w:t>
            </w:r>
          </w:p>
        </w:tc>
        <w:tc>
          <w:tcPr>
            <w:tcW w:w="1027" w:type="dxa"/>
            <w:tcBorders>
              <w:top w:val="single" w:sz="4" w:space="0" w:color="auto"/>
              <w:left w:val="nil"/>
              <w:bottom w:val="single" w:sz="4" w:space="0" w:color="auto"/>
              <w:right w:val="single" w:sz="4" w:space="0" w:color="auto"/>
            </w:tcBorders>
            <w:shd w:val="clear" w:color="auto" w:fill="auto"/>
            <w:hideMark/>
          </w:tcPr>
          <w:p w14:paraId="39350FA1"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Primary and dental health</w:t>
            </w:r>
          </w:p>
        </w:tc>
        <w:tc>
          <w:tcPr>
            <w:tcW w:w="1028" w:type="dxa"/>
            <w:tcBorders>
              <w:top w:val="single" w:sz="4" w:space="0" w:color="auto"/>
              <w:left w:val="nil"/>
              <w:bottom w:val="single" w:sz="4" w:space="0" w:color="auto"/>
              <w:right w:val="single" w:sz="4" w:space="0" w:color="auto"/>
            </w:tcBorders>
            <w:shd w:val="clear" w:color="auto" w:fill="auto"/>
            <w:hideMark/>
          </w:tcPr>
          <w:p w14:paraId="43A55833"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Public health</w:t>
            </w:r>
          </w:p>
        </w:tc>
        <w:tc>
          <w:tcPr>
            <w:tcW w:w="1028" w:type="dxa"/>
            <w:tcBorders>
              <w:top w:val="single" w:sz="4" w:space="0" w:color="auto"/>
              <w:left w:val="nil"/>
              <w:bottom w:val="single" w:sz="4" w:space="0" w:color="auto"/>
              <w:right w:val="single" w:sz="4" w:space="0" w:color="auto"/>
            </w:tcBorders>
            <w:shd w:val="clear" w:color="auto" w:fill="auto"/>
            <w:hideMark/>
          </w:tcPr>
          <w:p w14:paraId="393565A8" w14:textId="77777777" w:rsidR="00C16BF6" w:rsidRPr="00BF2219" w:rsidRDefault="00C16BF6">
            <w:pPr>
              <w:spacing w:after="0" w:line="240" w:lineRule="auto"/>
              <w:jc w:val="right"/>
              <w:rPr>
                <w:rFonts w:cs="Arial"/>
                <w:b/>
                <w:bCs/>
                <w:color w:val="53565A"/>
                <w:sz w:val="16"/>
                <w:szCs w:val="16"/>
                <w:lang w:eastAsia="en-AU"/>
              </w:rPr>
            </w:pPr>
            <w:r w:rsidRPr="00BF2219">
              <w:rPr>
                <w:rFonts w:cs="Arial"/>
                <w:b/>
                <w:bCs/>
                <w:color w:val="53565A"/>
                <w:sz w:val="16"/>
                <w:szCs w:val="16"/>
                <w:lang w:eastAsia="en-AU"/>
              </w:rPr>
              <w:t>202</w:t>
            </w:r>
            <w:r>
              <w:rPr>
                <w:rFonts w:cs="Arial"/>
                <w:b/>
                <w:bCs/>
                <w:color w:val="53565A"/>
                <w:sz w:val="16"/>
                <w:szCs w:val="16"/>
                <w:lang w:eastAsia="en-AU"/>
              </w:rPr>
              <w:t>4</w:t>
            </w:r>
            <w:r w:rsidRPr="00BF2219">
              <w:rPr>
                <w:rFonts w:cs="Arial"/>
                <w:b/>
                <w:bCs/>
                <w:color w:val="53565A"/>
                <w:sz w:val="16"/>
                <w:szCs w:val="16"/>
                <w:lang w:eastAsia="en-AU"/>
              </w:rPr>
              <w:t>–2</w:t>
            </w:r>
            <w:r>
              <w:rPr>
                <w:rFonts w:cs="Arial"/>
                <w:b/>
                <w:bCs/>
                <w:color w:val="53565A"/>
                <w:sz w:val="16"/>
                <w:szCs w:val="16"/>
                <w:lang w:eastAsia="en-AU"/>
              </w:rPr>
              <w:t>5</w:t>
            </w:r>
            <w:r w:rsidRPr="00BF2219">
              <w:rPr>
                <w:rFonts w:cs="Arial"/>
                <w:b/>
                <w:bCs/>
                <w:color w:val="53565A"/>
                <w:sz w:val="16"/>
                <w:szCs w:val="16"/>
                <w:lang w:eastAsia="en-AU"/>
              </w:rPr>
              <w:br/>
              <w:t>Total</w:t>
            </w:r>
          </w:p>
        </w:tc>
      </w:tr>
      <w:tr w:rsidR="00037B46" w:rsidRPr="00A47C7D" w14:paraId="40F27330"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FFDA50F" w14:textId="77777777"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Health Service</w:t>
            </w:r>
          </w:p>
        </w:tc>
        <w:tc>
          <w:tcPr>
            <w:tcW w:w="1027" w:type="dxa"/>
            <w:tcBorders>
              <w:top w:val="nil"/>
              <w:left w:val="nil"/>
              <w:bottom w:val="single" w:sz="4" w:space="0" w:color="auto"/>
              <w:right w:val="single" w:sz="4" w:space="0" w:color="auto"/>
            </w:tcBorders>
            <w:shd w:val="clear" w:color="auto" w:fill="auto"/>
            <w:noWrap/>
            <w:vAlign w:val="center"/>
          </w:tcPr>
          <w:p w14:paraId="50B21E38" w14:textId="6D7DBF55"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16,535,306</w:t>
            </w:r>
          </w:p>
        </w:tc>
        <w:tc>
          <w:tcPr>
            <w:tcW w:w="1028" w:type="dxa"/>
            <w:tcBorders>
              <w:top w:val="nil"/>
              <w:left w:val="nil"/>
              <w:bottom w:val="single" w:sz="4" w:space="0" w:color="auto"/>
              <w:right w:val="single" w:sz="4" w:space="0" w:color="auto"/>
            </w:tcBorders>
            <w:shd w:val="clear" w:color="auto" w:fill="auto"/>
            <w:noWrap/>
            <w:vAlign w:val="center"/>
          </w:tcPr>
          <w:p w14:paraId="5C3E2827" w14:textId="10C8DEE6"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141,660</w:t>
            </w:r>
          </w:p>
        </w:tc>
        <w:tc>
          <w:tcPr>
            <w:tcW w:w="1027" w:type="dxa"/>
            <w:tcBorders>
              <w:top w:val="nil"/>
              <w:left w:val="nil"/>
              <w:bottom w:val="single" w:sz="4" w:space="0" w:color="auto"/>
              <w:right w:val="single" w:sz="4" w:space="0" w:color="auto"/>
            </w:tcBorders>
            <w:shd w:val="clear" w:color="auto" w:fill="auto"/>
            <w:noWrap/>
            <w:vAlign w:val="center"/>
          </w:tcPr>
          <w:p w14:paraId="579749E4" w14:textId="17D889F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1,276</w:t>
            </w:r>
          </w:p>
        </w:tc>
        <w:tc>
          <w:tcPr>
            <w:tcW w:w="1028" w:type="dxa"/>
            <w:tcBorders>
              <w:top w:val="nil"/>
              <w:left w:val="nil"/>
              <w:bottom w:val="single" w:sz="4" w:space="0" w:color="auto"/>
              <w:right w:val="single" w:sz="4" w:space="0" w:color="auto"/>
            </w:tcBorders>
            <w:shd w:val="clear" w:color="auto" w:fill="auto"/>
            <w:noWrap/>
            <w:vAlign w:val="center"/>
          </w:tcPr>
          <w:p w14:paraId="61FA94FB" w14:textId="17350CB9"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80,054</w:t>
            </w:r>
          </w:p>
        </w:tc>
        <w:tc>
          <w:tcPr>
            <w:tcW w:w="1028" w:type="dxa"/>
            <w:tcBorders>
              <w:top w:val="nil"/>
              <w:left w:val="nil"/>
              <w:bottom w:val="single" w:sz="4" w:space="0" w:color="auto"/>
              <w:right w:val="single" w:sz="4" w:space="0" w:color="auto"/>
            </w:tcBorders>
            <w:shd w:val="clear" w:color="auto" w:fill="auto"/>
            <w:noWrap/>
            <w:vAlign w:val="center"/>
          </w:tcPr>
          <w:p w14:paraId="65324343" w14:textId="509FC4E4"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2,122,688</w:t>
            </w:r>
          </w:p>
        </w:tc>
        <w:tc>
          <w:tcPr>
            <w:tcW w:w="1027" w:type="dxa"/>
            <w:tcBorders>
              <w:top w:val="nil"/>
              <w:left w:val="nil"/>
              <w:bottom w:val="single" w:sz="4" w:space="0" w:color="auto"/>
              <w:right w:val="single" w:sz="4" w:space="0" w:color="auto"/>
            </w:tcBorders>
            <w:shd w:val="clear" w:color="auto" w:fill="auto"/>
            <w:noWrap/>
            <w:vAlign w:val="center"/>
          </w:tcPr>
          <w:p w14:paraId="544B58A0" w14:textId="7356A586"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85,764</w:t>
            </w:r>
          </w:p>
        </w:tc>
        <w:tc>
          <w:tcPr>
            <w:tcW w:w="1028" w:type="dxa"/>
            <w:tcBorders>
              <w:top w:val="nil"/>
              <w:left w:val="nil"/>
              <w:bottom w:val="single" w:sz="4" w:space="0" w:color="auto"/>
              <w:right w:val="single" w:sz="4" w:space="0" w:color="auto"/>
            </w:tcBorders>
            <w:shd w:val="clear" w:color="auto" w:fill="auto"/>
            <w:noWrap/>
            <w:vAlign w:val="center"/>
          </w:tcPr>
          <w:p w14:paraId="6993D28E" w14:textId="7DD045C7"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81,382</w:t>
            </w:r>
          </w:p>
        </w:tc>
        <w:tc>
          <w:tcPr>
            <w:tcW w:w="1028" w:type="dxa"/>
            <w:tcBorders>
              <w:top w:val="nil"/>
              <w:left w:val="nil"/>
              <w:bottom w:val="single" w:sz="4" w:space="0" w:color="auto"/>
              <w:right w:val="single" w:sz="4" w:space="0" w:color="auto"/>
            </w:tcBorders>
            <w:shd w:val="clear" w:color="auto" w:fill="auto"/>
            <w:noWrap/>
            <w:vAlign w:val="center"/>
          </w:tcPr>
          <w:p w14:paraId="67018905" w14:textId="5B207328"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19,048,131</w:t>
            </w:r>
          </w:p>
        </w:tc>
      </w:tr>
      <w:tr w:rsidR="00037B46" w:rsidRPr="00A47C7D" w14:paraId="53E729A1"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3039C145" w14:textId="77777777"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Small Rural Health Service</w:t>
            </w:r>
          </w:p>
        </w:tc>
        <w:tc>
          <w:tcPr>
            <w:tcW w:w="1027" w:type="dxa"/>
            <w:tcBorders>
              <w:top w:val="nil"/>
              <w:left w:val="nil"/>
              <w:bottom w:val="single" w:sz="4" w:space="0" w:color="auto"/>
              <w:right w:val="single" w:sz="4" w:space="0" w:color="auto"/>
            </w:tcBorders>
            <w:shd w:val="clear" w:color="auto" w:fill="auto"/>
            <w:noWrap/>
            <w:vAlign w:val="center"/>
          </w:tcPr>
          <w:p w14:paraId="32B83CD3" w14:textId="0C6A656B"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330,828</w:t>
            </w:r>
          </w:p>
        </w:tc>
        <w:tc>
          <w:tcPr>
            <w:tcW w:w="1028" w:type="dxa"/>
            <w:tcBorders>
              <w:top w:val="nil"/>
              <w:left w:val="nil"/>
              <w:bottom w:val="single" w:sz="4" w:space="0" w:color="auto"/>
              <w:right w:val="single" w:sz="4" w:space="0" w:color="auto"/>
            </w:tcBorders>
            <w:shd w:val="clear" w:color="auto" w:fill="auto"/>
            <w:noWrap/>
            <w:vAlign w:val="center"/>
          </w:tcPr>
          <w:p w14:paraId="61022C70" w14:textId="60C612E8"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42,959</w:t>
            </w:r>
          </w:p>
        </w:tc>
        <w:tc>
          <w:tcPr>
            <w:tcW w:w="1027" w:type="dxa"/>
            <w:tcBorders>
              <w:top w:val="nil"/>
              <w:left w:val="nil"/>
              <w:bottom w:val="single" w:sz="4" w:space="0" w:color="auto"/>
              <w:right w:val="single" w:sz="4" w:space="0" w:color="auto"/>
            </w:tcBorders>
            <w:shd w:val="clear" w:color="auto" w:fill="auto"/>
            <w:noWrap/>
            <w:vAlign w:val="center"/>
          </w:tcPr>
          <w:p w14:paraId="2B6FB0F6" w14:textId="333B0C71"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76E492E6" w14:textId="23C40934"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39E470F9" w14:textId="05BC1D3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293</w:t>
            </w:r>
          </w:p>
        </w:tc>
        <w:tc>
          <w:tcPr>
            <w:tcW w:w="1027" w:type="dxa"/>
            <w:tcBorders>
              <w:top w:val="nil"/>
              <w:left w:val="nil"/>
              <w:bottom w:val="single" w:sz="4" w:space="0" w:color="auto"/>
              <w:right w:val="single" w:sz="4" w:space="0" w:color="auto"/>
            </w:tcBorders>
            <w:shd w:val="clear" w:color="auto" w:fill="auto"/>
            <w:noWrap/>
            <w:vAlign w:val="center"/>
          </w:tcPr>
          <w:p w14:paraId="0BCEDE32" w14:textId="7BF2F127"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14,295</w:t>
            </w:r>
          </w:p>
        </w:tc>
        <w:tc>
          <w:tcPr>
            <w:tcW w:w="1028" w:type="dxa"/>
            <w:tcBorders>
              <w:top w:val="nil"/>
              <w:left w:val="nil"/>
              <w:bottom w:val="single" w:sz="4" w:space="0" w:color="auto"/>
              <w:right w:val="single" w:sz="4" w:space="0" w:color="auto"/>
            </w:tcBorders>
            <w:shd w:val="clear" w:color="auto" w:fill="auto"/>
            <w:noWrap/>
            <w:vAlign w:val="center"/>
          </w:tcPr>
          <w:p w14:paraId="1A2EE08F" w14:textId="3856CEC7"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136990DD" w14:textId="53B14003"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388,375</w:t>
            </w:r>
          </w:p>
        </w:tc>
      </w:tr>
      <w:tr w:rsidR="00037B46" w:rsidRPr="00A47C7D" w14:paraId="36F21E9C"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634D9EE" w14:textId="77777777"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Community Health Centres</w:t>
            </w:r>
          </w:p>
        </w:tc>
        <w:tc>
          <w:tcPr>
            <w:tcW w:w="1027" w:type="dxa"/>
            <w:tcBorders>
              <w:top w:val="nil"/>
              <w:left w:val="nil"/>
              <w:bottom w:val="single" w:sz="4" w:space="0" w:color="auto"/>
              <w:right w:val="single" w:sz="4" w:space="0" w:color="auto"/>
            </w:tcBorders>
            <w:shd w:val="clear" w:color="auto" w:fill="auto"/>
            <w:noWrap/>
            <w:vAlign w:val="center"/>
          </w:tcPr>
          <w:p w14:paraId="14997480" w14:textId="3E83EC6C"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8,847</w:t>
            </w:r>
          </w:p>
        </w:tc>
        <w:tc>
          <w:tcPr>
            <w:tcW w:w="1028" w:type="dxa"/>
            <w:tcBorders>
              <w:top w:val="nil"/>
              <w:left w:val="nil"/>
              <w:bottom w:val="single" w:sz="4" w:space="0" w:color="auto"/>
              <w:right w:val="single" w:sz="4" w:space="0" w:color="auto"/>
            </w:tcBorders>
            <w:shd w:val="clear" w:color="auto" w:fill="auto"/>
            <w:noWrap/>
            <w:vAlign w:val="center"/>
          </w:tcPr>
          <w:p w14:paraId="5E1721B3" w14:textId="50EAD0C8"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29,667</w:t>
            </w:r>
          </w:p>
        </w:tc>
        <w:tc>
          <w:tcPr>
            <w:tcW w:w="1027" w:type="dxa"/>
            <w:tcBorders>
              <w:top w:val="nil"/>
              <w:left w:val="nil"/>
              <w:bottom w:val="single" w:sz="4" w:space="0" w:color="auto"/>
              <w:right w:val="single" w:sz="4" w:space="0" w:color="auto"/>
            </w:tcBorders>
            <w:shd w:val="clear" w:color="auto" w:fill="auto"/>
            <w:noWrap/>
            <w:vAlign w:val="center"/>
          </w:tcPr>
          <w:p w14:paraId="3874A9A4" w14:textId="6C428BB7"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6E9CDBB5" w14:textId="4CF07F0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62,632</w:t>
            </w:r>
          </w:p>
        </w:tc>
        <w:tc>
          <w:tcPr>
            <w:tcW w:w="1028" w:type="dxa"/>
            <w:tcBorders>
              <w:top w:val="nil"/>
              <w:left w:val="nil"/>
              <w:bottom w:val="single" w:sz="4" w:space="0" w:color="auto"/>
              <w:right w:val="single" w:sz="4" w:space="0" w:color="auto"/>
            </w:tcBorders>
            <w:shd w:val="clear" w:color="auto" w:fill="auto"/>
            <w:noWrap/>
            <w:vAlign w:val="center"/>
          </w:tcPr>
          <w:p w14:paraId="12A59482" w14:textId="21F1D778"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32,982</w:t>
            </w:r>
          </w:p>
        </w:tc>
        <w:tc>
          <w:tcPr>
            <w:tcW w:w="1027" w:type="dxa"/>
            <w:tcBorders>
              <w:top w:val="nil"/>
              <w:left w:val="nil"/>
              <w:bottom w:val="single" w:sz="4" w:space="0" w:color="auto"/>
              <w:right w:val="single" w:sz="4" w:space="0" w:color="auto"/>
            </w:tcBorders>
            <w:shd w:val="clear" w:color="auto" w:fill="auto"/>
            <w:noWrap/>
            <w:vAlign w:val="center"/>
          </w:tcPr>
          <w:p w14:paraId="753F0C7A" w14:textId="20B1B05B"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124,379</w:t>
            </w:r>
          </w:p>
        </w:tc>
        <w:tc>
          <w:tcPr>
            <w:tcW w:w="1028" w:type="dxa"/>
            <w:tcBorders>
              <w:top w:val="nil"/>
              <w:left w:val="nil"/>
              <w:bottom w:val="single" w:sz="4" w:space="0" w:color="auto"/>
              <w:right w:val="single" w:sz="4" w:space="0" w:color="auto"/>
            </w:tcBorders>
            <w:shd w:val="clear" w:color="auto" w:fill="auto"/>
            <w:noWrap/>
            <w:vAlign w:val="center"/>
          </w:tcPr>
          <w:p w14:paraId="0ECE8894" w14:textId="0BB53039"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3,739</w:t>
            </w:r>
          </w:p>
        </w:tc>
        <w:tc>
          <w:tcPr>
            <w:tcW w:w="1028" w:type="dxa"/>
            <w:tcBorders>
              <w:top w:val="nil"/>
              <w:left w:val="nil"/>
              <w:bottom w:val="single" w:sz="4" w:space="0" w:color="auto"/>
              <w:right w:val="single" w:sz="4" w:space="0" w:color="auto"/>
            </w:tcBorders>
            <w:shd w:val="clear" w:color="auto" w:fill="auto"/>
            <w:noWrap/>
            <w:vAlign w:val="center"/>
          </w:tcPr>
          <w:p w14:paraId="245A4ABE" w14:textId="5F616ADB"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262,247</w:t>
            </w:r>
          </w:p>
        </w:tc>
      </w:tr>
      <w:tr w:rsidR="00037B46" w:rsidRPr="00A47C7D" w14:paraId="5DAB762A"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18D1A5F" w14:textId="77777777"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Local Government</w:t>
            </w:r>
          </w:p>
        </w:tc>
        <w:tc>
          <w:tcPr>
            <w:tcW w:w="1027" w:type="dxa"/>
            <w:tcBorders>
              <w:top w:val="nil"/>
              <w:left w:val="nil"/>
              <w:bottom w:val="single" w:sz="4" w:space="0" w:color="auto"/>
              <w:right w:val="single" w:sz="4" w:space="0" w:color="auto"/>
            </w:tcBorders>
            <w:shd w:val="clear" w:color="auto" w:fill="auto"/>
            <w:noWrap/>
            <w:vAlign w:val="center"/>
          </w:tcPr>
          <w:p w14:paraId="1D395DDE" w14:textId="295476E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3CD2DFB2" w14:textId="48B2ABCF"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15,518</w:t>
            </w:r>
          </w:p>
        </w:tc>
        <w:tc>
          <w:tcPr>
            <w:tcW w:w="1027" w:type="dxa"/>
            <w:tcBorders>
              <w:top w:val="nil"/>
              <w:left w:val="nil"/>
              <w:bottom w:val="single" w:sz="4" w:space="0" w:color="auto"/>
              <w:right w:val="single" w:sz="4" w:space="0" w:color="auto"/>
            </w:tcBorders>
            <w:shd w:val="clear" w:color="auto" w:fill="auto"/>
            <w:noWrap/>
            <w:vAlign w:val="center"/>
          </w:tcPr>
          <w:p w14:paraId="00DC910A" w14:textId="0F8E2C9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28B4CE81" w14:textId="1FEF02A1"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155</w:t>
            </w:r>
          </w:p>
        </w:tc>
        <w:tc>
          <w:tcPr>
            <w:tcW w:w="1028" w:type="dxa"/>
            <w:tcBorders>
              <w:top w:val="nil"/>
              <w:left w:val="nil"/>
              <w:bottom w:val="single" w:sz="4" w:space="0" w:color="auto"/>
              <w:right w:val="single" w:sz="4" w:space="0" w:color="auto"/>
            </w:tcBorders>
            <w:shd w:val="clear" w:color="auto" w:fill="auto"/>
            <w:noWrap/>
            <w:vAlign w:val="center"/>
          </w:tcPr>
          <w:p w14:paraId="3B62E23D" w14:textId="741B2D7F"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1,386</w:t>
            </w:r>
          </w:p>
        </w:tc>
        <w:tc>
          <w:tcPr>
            <w:tcW w:w="1027" w:type="dxa"/>
            <w:tcBorders>
              <w:top w:val="nil"/>
              <w:left w:val="nil"/>
              <w:bottom w:val="single" w:sz="4" w:space="0" w:color="auto"/>
              <w:right w:val="single" w:sz="4" w:space="0" w:color="auto"/>
            </w:tcBorders>
            <w:shd w:val="clear" w:color="auto" w:fill="auto"/>
            <w:noWrap/>
            <w:vAlign w:val="center"/>
          </w:tcPr>
          <w:p w14:paraId="5B8E060D" w14:textId="7F182AD7"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101,069</w:t>
            </w:r>
          </w:p>
        </w:tc>
        <w:tc>
          <w:tcPr>
            <w:tcW w:w="1028" w:type="dxa"/>
            <w:tcBorders>
              <w:top w:val="nil"/>
              <w:left w:val="nil"/>
              <w:bottom w:val="single" w:sz="4" w:space="0" w:color="auto"/>
              <w:right w:val="single" w:sz="4" w:space="0" w:color="auto"/>
            </w:tcBorders>
            <w:shd w:val="clear" w:color="auto" w:fill="auto"/>
            <w:noWrap/>
            <w:vAlign w:val="center"/>
          </w:tcPr>
          <w:p w14:paraId="728B189B" w14:textId="27C29B2B"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3,365</w:t>
            </w:r>
          </w:p>
        </w:tc>
        <w:tc>
          <w:tcPr>
            <w:tcW w:w="1028" w:type="dxa"/>
            <w:tcBorders>
              <w:top w:val="nil"/>
              <w:left w:val="nil"/>
              <w:bottom w:val="single" w:sz="4" w:space="0" w:color="auto"/>
              <w:right w:val="single" w:sz="4" w:space="0" w:color="auto"/>
            </w:tcBorders>
            <w:shd w:val="clear" w:color="auto" w:fill="auto"/>
            <w:noWrap/>
            <w:vAlign w:val="center"/>
          </w:tcPr>
          <w:p w14:paraId="5D3BE420" w14:textId="56D999E9"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121,493</w:t>
            </w:r>
          </w:p>
        </w:tc>
      </w:tr>
      <w:tr w:rsidR="00037B46" w:rsidRPr="00A47C7D" w14:paraId="7F18C585"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5E12198" w14:textId="192B5082"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Non Government Providers</w:t>
            </w:r>
          </w:p>
        </w:tc>
        <w:tc>
          <w:tcPr>
            <w:tcW w:w="1027" w:type="dxa"/>
            <w:tcBorders>
              <w:top w:val="nil"/>
              <w:left w:val="nil"/>
              <w:bottom w:val="single" w:sz="4" w:space="0" w:color="auto"/>
              <w:right w:val="single" w:sz="4" w:space="0" w:color="auto"/>
            </w:tcBorders>
            <w:shd w:val="clear" w:color="auto" w:fill="auto"/>
            <w:noWrap/>
            <w:vAlign w:val="center"/>
          </w:tcPr>
          <w:p w14:paraId="78D2931D" w14:textId="11067439"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103,118</w:t>
            </w:r>
          </w:p>
        </w:tc>
        <w:tc>
          <w:tcPr>
            <w:tcW w:w="1028" w:type="dxa"/>
            <w:tcBorders>
              <w:top w:val="nil"/>
              <w:left w:val="nil"/>
              <w:bottom w:val="single" w:sz="4" w:space="0" w:color="auto"/>
              <w:right w:val="single" w:sz="4" w:space="0" w:color="auto"/>
            </w:tcBorders>
            <w:shd w:val="clear" w:color="auto" w:fill="auto"/>
            <w:noWrap/>
            <w:vAlign w:val="center"/>
          </w:tcPr>
          <w:p w14:paraId="4162CA01" w14:textId="455006C8"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101,345</w:t>
            </w:r>
          </w:p>
        </w:tc>
        <w:tc>
          <w:tcPr>
            <w:tcW w:w="1027" w:type="dxa"/>
            <w:tcBorders>
              <w:top w:val="nil"/>
              <w:left w:val="nil"/>
              <w:bottom w:val="single" w:sz="4" w:space="0" w:color="auto"/>
              <w:right w:val="single" w:sz="4" w:space="0" w:color="auto"/>
            </w:tcBorders>
            <w:shd w:val="clear" w:color="auto" w:fill="auto"/>
            <w:noWrap/>
            <w:vAlign w:val="center"/>
          </w:tcPr>
          <w:p w14:paraId="05EC559E" w14:textId="50E30560"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 </w:t>
            </w:r>
          </w:p>
        </w:tc>
        <w:tc>
          <w:tcPr>
            <w:tcW w:w="1028" w:type="dxa"/>
            <w:tcBorders>
              <w:top w:val="nil"/>
              <w:left w:val="nil"/>
              <w:bottom w:val="single" w:sz="4" w:space="0" w:color="auto"/>
              <w:right w:val="single" w:sz="4" w:space="0" w:color="auto"/>
            </w:tcBorders>
            <w:shd w:val="clear" w:color="auto" w:fill="auto"/>
            <w:noWrap/>
            <w:vAlign w:val="center"/>
          </w:tcPr>
          <w:p w14:paraId="569D4C4A" w14:textId="56FBF61E"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160,618</w:t>
            </w:r>
          </w:p>
        </w:tc>
        <w:tc>
          <w:tcPr>
            <w:tcW w:w="1028" w:type="dxa"/>
            <w:tcBorders>
              <w:top w:val="nil"/>
              <w:left w:val="nil"/>
              <w:bottom w:val="single" w:sz="4" w:space="0" w:color="auto"/>
              <w:right w:val="single" w:sz="4" w:space="0" w:color="auto"/>
            </w:tcBorders>
            <w:shd w:val="clear" w:color="auto" w:fill="auto"/>
            <w:noWrap/>
            <w:vAlign w:val="center"/>
          </w:tcPr>
          <w:p w14:paraId="6B848E11" w14:textId="5EB5F9CC"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175,118</w:t>
            </w:r>
          </w:p>
        </w:tc>
        <w:tc>
          <w:tcPr>
            <w:tcW w:w="1027" w:type="dxa"/>
            <w:tcBorders>
              <w:top w:val="nil"/>
              <w:left w:val="nil"/>
              <w:bottom w:val="single" w:sz="4" w:space="0" w:color="auto"/>
              <w:right w:val="single" w:sz="4" w:space="0" w:color="auto"/>
            </w:tcBorders>
            <w:shd w:val="clear" w:color="auto" w:fill="auto"/>
            <w:noWrap/>
            <w:vAlign w:val="center"/>
          </w:tcPr>
          <w:p w14:paraId="574B248D" w14:textId="67F922AC"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35,210</w:t>
            </w:r>
          </w:p>
        </w:tc>
        <w:tc>
          <w:tcPr>
            <w:tcW w:w="1028" w:type="dxa"/>
            <w:tcBorders>
              <w:top w:val="nil"/>
              <w:left w:val="nil"/>
              <w:bottom w:val="single" w:sz="4" w:space="0" w:color="auto"/>
              <w:right w:val="single" w:sz="4" w:space="0" w:color="auto"/>
            </w:tcBorders>
            <w:shd w:val="clear" w:color="auto" w:fill="auto"/>
            <w:noWrap/>
            <w:vAlign w:val="center"/>
          </w:tcPr>
          <w:p w14:paraId="78C61128" w14:textId="25E42DCE"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156,712</w:t>
            </w:r>
          </w:p>
        </w:tc>
        <w:tc>
          <w:tcPr>
            <w:tcW w:w="1028" w:type="dxa"/>
            <w:tcBorders>
              <w:top w:val="nil"/>
              <w:left w:val="nil"/>
              <w:bottom w:val="single" w:sz="4" w:space="0" w:color="auto"/>
              <w:right w:val="single" w:sz="4" w:space="0" w:color="auto"/>
            </w:tcBorders>
            <w:shd w:val="clear" w:color="auto" w:fill="auto"/>
            <w:noWrap/>
            <w:vAlign w:val="center"/>
          </w:tcPr>
          <w:p w14:paraId="618D26DD" w14:textId="3C4F12D6"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732,121</w:t>
            </w:r>
          </w:p>
        </w:tc>
      </w:tr>
      <w:tr w:rsidR="00037B46" w:rsidRPr="00A47C7D" w14:paraId="470B9E6F"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45E8C54" w14:textId="77777777" w:rsidR="00037B46" w:rsidRPr="00C469BB" w:rsidRDefault="00037B46" w:rsidP="00037B46">
            <w:pPr>
              <w:spacing w:after="0" w:line="240" w:lineRule="auto"/>
              <w:rPr>
                <w:rFonts w:cs="Arial"/>
                <w:color w:val="000000"/>
                <w:sz w:val="16"/>
                <w:szCs w:val="16"/>
                <w:lang w:eastAsia="en-AU"/>
              </w:rPr>
            </w:pPr>
            <w:r w:rsidRPr="00C469BB">
              <w:rPr>
                <w:rFonts w:cs="Arial"/>
                <w:color w:val="000000"/>
                <w:sz w:val="16"/>
                <w:szCs w:val="16"/>
              </w:rPr>
              <w:t>Other</w:t>
            </w:r>
          </w:p>
        </w:tc>
        <w:tc>
          <w:tcPr>
            <w:tcW w:w="1027" w:type="dxa"/>
            <w:tcBorders>
              <w:top w:val="nil"/>
              <w:left w:val="nil"/>
              <w:bottom w:val="single" w:sz="4" w:space="0" w:color="auto"/>
              <w:right w:val="single" w:sz="4" w:space="0" w:color="auto"/>
            </w:tcBorders>
            <w:shd w:val="clear" w:color="auto" w:fill="auto"/>
            <w:noWrap/>
            <w:vAlign w:val="center"/>
          </w:tcPr>
          <w:p w14:paraId="6A3A6D05" w14:textId="4BAA7E56"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930,454</w:t>
            </w:r>
          </w:p>
        </w:tc>
        <w:tc>
          <w:tcPr>
            <w:tcW w:w="1028" w:type="dxa"/>
            <w:tcBorders>
              <w:top w:val="nil"/>
              <w:left w:val="nil"/>
              <w:bottom w:val="single" w:sz="4" w:space="0" w:color="auto"/>
              <w:right w:val="single" w:sz="4" w:space="0" w:color="auto"/>
            </w:tcBorders>
            <w:shd w:val="clear" w:color="auto" w:fill="auto"/>
            <w:noWrap/>
            <w:vAlign w:val="center"/>
          </w:tcPr>
          <w:p w14:paraId="5E75586B" w14:textId="1273EA9C"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6,055</w:t>
            </w:r>
          </w:p>
        </w:tc>
        <w:tc>
          <w:tcPr>
            <w:tcW w:w="1027" w:type="dxa"/>
            <w:tcBorders>
              <w:top w:val="nil"/>
              <w:left w:val="nil"/>
              <w:bottom w:val="single" w:sz="4" w:space="0" w:color="auto"/>
              <w:right w:val="single" w:sz="4" w:space="0" w:color="auto"/>
            </w:tcBorders>
            <w:shd w:val="clear" w:color="auto" w:fill="auto"/>
            <w:noWrap/>
            <w:vAlign w:val="center"/>
          </w:tcPr>
          <w:p w14:paraId="56CDE786" w14:textId="7ADEAAF8"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1,052,893</w:t>
            </w:r>
          </w:p>
        </w:tc>
        <w:tc>
          <w:tcPr>
            <w:tcW w:w="1028" w:type="dxa"/>
            <w:tcBorders>
              <w:top w:val="nil"/>
              <w:left w:val="nil"/>
              <w:bottom w:val="single" w:sz="4" w:space="0" w:color="auto"/>
              <w:right w:val="single" w:sz="4" w:space="0" w:color="auto"/>
            </w:tcBorders>
            <w:shd w:val="clear" w:color="auto" w:fill="auto"/>
            <w:noWrap/>
            <w:vAlign w:val="center"/>
          </w:tcPr>
          <w:p w14:paraId="3437D3AD" w14:textId="2297DDB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11,093</w:t>
            </w:r>
          </w:p>
        </w:tc>
        <w:tc>
          <w:tcPr>
            <w:tcW w:w="1028" w:type="dxa"/>
            <w:tcBorders>
              <w:top w:val="nil"/>
              <w:left w:val="nil"/>
              <w:bottom w:val="single" w:sz="4" w:space="0" w:color="auto"/>
              <w:right w:val="single" w:sz="4" w:space="0" w:color="auto"/>
            </w:tcBorders>
            <w:shd w:val="clear" w:color="auto" w:fill="auto"/>
            <w:noWrap/>
            <w:vAlign w:val="center"/>
          </w:tcPr>
          <w:p w14:paraId="5CC05F13" w14:textId="059C41CD"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133,005</w:t>
            </w:r>
          </w:p>
        </w:tc>
        <w:tc>
          <w:tcPr>
            <w:tcW w:w="1027" w:type="dxa"/>
            <w:tcBorders>
              <w:top w:val="nil"/>
              <w:left w:val="nil"/>
              <w:bottom w:val="single" w:sz="4" w:space="0" w:color="auto"/>
              <w:right w:val="single" w:sz="4" w:space="0" w:color="auto"/>
            </w:tcBorders>
            <w:shd w:val="clear" w:color="auto" w:fill="auto"/>
            <w:noWrap/>
            <w:vAlign w:val="center"/>
          </w:tcPr>
          <w:p w14:paraId="5B0C43D4" w14:textId="2CBC1883"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236,574</w:t>
            </w:r>
          </w:p>
        </w:tc>
        <w:tc>
          <w:tcPr>
            <w:tcW w:w="1028" w:type="dxa"/>
            <w:tcBorders>
              <w:top w:val="nil"/>
              <w:left w:val="nil"/>
              <w:bottom w:val="single" w:sz="4" w:space="0" w:color="auto"/>
              <w:right w:val="single" w:sz="4" w:space="0" w:color="auto"/>
            </w:tcBorders>
            <w:shd w:val="clear" w:color="auto" w:fill="auto"/>
            <w:noWrap/>
            <w:vAlign w:val="center"/>
          </w:tcPr>
          <w:p w14:paraId="0092F363" w14:textId="2DF7701C" w:rsidR="00037B46" w:rsidRPr="00C469BB" w:rsidRDefault="00037B46" w:rsidP="00037B46">
            <w:pPr>
              <w:spacing w:after="0" w:line="240" w:lineRule="auto"/>
              <w:jc w:val="right"/>
              <w:rPr>
                <w:rFonts w:cs="Arial"/>
                <w:color w:val="000000"/>
                <w:sz w:val="16"/>
                <w:szCs w:val="16"/>
                <w:lang w:eastAsia="en-AU"/>
              </w:rPr>
            </w:pPr>
            <w:r>
              <w:rPr>
                <w:rFonts w:cs="Arial"/>
                <w:color w:val="000000"/>
                <w:sz w:val="15"/>
                <w:szCs w:val="15"/>
              </w:rPr>
              <w:t>734</w:t>
            </w:r>
          </w:p>
        </w:tc>
        <w:tc>
          <w:tcPr>
            <w:tcW w:w="1028" w:type="dxa"/>
            <w:tcBorders>
              <w:top w:val="nil"/>
              <w:left w:val="nil"/>
              <w:bottom w:val="single" w:sz="4" w:space="0" w:color="auto"/>
              <w:right w:val="single" w:sz="4" w:space="0" w:color="auto"/>
            </w:tcBorders>
            <w:shd w:val="clear" w:color="auto" w:fill="auto"/>
            <w:noWrap/>
            <w:vAlign w:val="center"/>
          </w:tcPr>
          <w:p w14:paraId="208FC880" w14:textId="488E23D8" w:rsidR="00037B46" w:rsidRPr="00C469BB" w:rsidRDefault="00037B46" w:rsidP="00037B46">
            <w:pPr>
              <w:spacing w:after="0" w:line="240" w:lineRule="auto"/>
              <w:jc w:val="right"/>
              <w:rPr>
                <w:rFonts w:cs="Arial"/>
                <w:b/>
                <w:bCs/>
                <w:color w:val="000000"/>
                <w:sz w:val="16"/>
                <w:szCs w:val="16"/>
                <w:lang w:eastAsia="en-AU"/>
              </w:rPr>
            </w:pPr>
            <w:r>
              <w:rPr>
                <w:rFonts w:cs="Arial"/>
                <w:color w:val="000000"/>
                <w:sz w:val="15"/>
                <w:szCs w:val="15"/>
              </w:rPr>
              <w:t>2,370,808</w:t>
            </w:r>
          </w:p>
        </w:tc>
      </w:tr>
      <w:tr w:rsidR="00037B46" w:rsidRPr="00A47C7D" w14:paraId="37A3804C" w14:textId="77777777" w:rsidTr="000674C4">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3C9D5B1" w14:textId="2B971458" w:rsidR="00037B46" w:rsidRPr="00C469BB" w:rsidRDefault="00037B46" w:rsidP="00037B46">
            <w:pPr>
              <w:spacing w:after="0" w:line="240" w:lineRule="auto"/>
              <w:rPr>
                <w:rFonts w:cs="Arial"/>
                <w:b/>
                <w:bCs/>
                <w:color w:val="000000"/>
                <w:sz w:val="16"/>
                <w:szCs w:val="16"/>
                <w:lang w:eastAsia="en-AU"/>
              </w:rPr>
            </w:pPr>
            <w:r w:rsidRPr="00C469BB">
              <w:rPr>
                <w:rFonts w:cs="Arial"/>
                <w:b/>
                <w:bCs/>
                <w:color w:val="000000"/>
                <w:sz w:val="16"/>
                <w:szCs w:val="16"/>
              </w:rPr>
              <w:t>Total</w:t>
            </w:r>
          </w:p>
        </w:tc>
        <w:tc>
          <w:tcPr>
            <w:tcW w:w="1027" w:type="dxa"/>
            <w:tcBorders>
              <w:top w:val="nil"/>
              <w:left w:val="nil"/>
              <w:bottom w:val="single" w:sz="4" w:space="0" w:color="auto"/>
              <w:right w:val="single" w:sz="4" w:space="0" w:color="auto"/>
            </w:tcBorders>
            <w:shd w:val="clear" w:color="auto" w:fill="auto"/>
            <w:noWrap/>
            <w:vAlign w:val="center"/>
          </w:tcPr>
          <w:p w14:paraId="11179C81" w14:textId="37B07F91"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17,908,554</w:t>
            </w:r>
          </w:p>
        </w:tc>
        <w:tc>
          <w:tcPr>
            <w:tcW w:w="1028" w:type="dxa"/>
            <w:tcBorders>
              <w:top w:val="nil"/>
              <w:left w:val="nil"/>
              <w:bottom w:val="single" w:sz="4" w:space="0" w:color="auto"/>
              <w:right w:val="single" w:sz="4" w:space="0" w:color="auto"/>
            </w:tcBorders>
            <w:shd w:val="clear" w:color="auto" w:fill="auto"/>
            <w:noWrap/>
            <w:vAlign w:val="center"/>
          </w:tcPr>
          <w:p w14:paraId="51DBB2FD" w14:textId="6060FBBC"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337,204</w:t>
            </w:r>
          </w:p>
        </w:tc>
        <w:tc>
          <w:tcPr>
            <w:tcW w:w="1027" w:type="dxa"/>
            <w:tcBorders>
              <w:top w:val="nil"/>
              <w:left w:val="nil"/>
              <w:bottom w:val="single" w:sz="4" w:space="0" w:color="auto"/>
              <w:right w:val="single" w:sz="4" w:space="0" w:color="auto"/>
            </w:tcBorders>
            <w:shd w:val="clear" w:color="auto" w:fill="auto"/>
            <w:noWrap/>
            <w:vAlign w:val="center"/>
          </w:tcPr>
          <w:p w14:paraId="746E819A" w14:textId="1F78B607"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1,054,169</w:t>
            </w:r>
          </w:p>
        </w:tc>
        <w:tc>
          <w:tcPr>
            <w:tcW w:w="1028" w:type="dxa"/>
            <w:tcBorders>
              <w:top w:val="nil"/>
              <w:left w:val="nil"/>
              <w:bottom w:val="single" w:sz="4" w:space="0" w:color="auto"/>
              <w:right w:val="single" w:sz="4" w:space="0" w:color="auto"/>
            </w:tcBorders>
            <w:shd w:val="clear" w:color="auto" w:fill="auto"/>
            <w:noWrap/>
            <w:vAlign w:val="center"/>
          </w:tcPr>
          <w:p w14:paraId="4E6EEE26" w14:textId="1B9C6A5B"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314,553</w:t>
            </w:r>
          </w:p>
        </w:tc>
        <w:tc>
          <w:tcPr>
            <w:tcW w:w="1028" w:type="dxa"/>
            <w:tcBorders>
              <w:top w:val="nil"/>
              <w:left w:val="nil"/>
              <w:bottom w:val="single" w:sz="4" w:space="0" w:color="auto"/>
              <w:right w:val="single" w:sz="4" w:space="0" w:color="auto"/>
            </w:tcBorders>
            <w:shd w:val="clear" w:color="auto" w:fill="auto"/>
            <w:noWrap/>
            <w:vAlign w:val="center"/>
          </w:tcPr>
          <w:p w14:paraId="10B315BA" w14:textId="1D67B056"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2,465,472</w:t>
            </w:r>
          </w:p>
        </w:tc>
        <w:tc>
          <w:tcPr>
            <w:tcW w:w="1027" w:type="dxa"/>
            <w:tcBorders>
              <w:top w:val="nil"/>
              <w:left w:val="nil"/>
              <w:bottom w:val="single" w:sz="4" w:space="0" w:color="auto"/>
              <w:right w:val="single" w:sz="4" w:space="0" w:color="auto"/>
            </w:tcBorders>
            <w:shd w:val="clear" w:color="auto" w:fill="auto"/>
            <w:noWrap/>
            <w:vAlign w:val="center"/>
          </w:tcPr>
          <w:p w14:paraId="415545F4" w14:textId="35DFB22F"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597,291</w:t>
            </w:r>
          </w:p>
        </w:tc>
        <w:tc>
          <w:tcPr>
            <w:tcW w:w="1028" w:type="dxa"/>
            <w:tcBorders>
              <w:top w:val="nil"/>
              <w:left w:val="nil"/>
              <w:bottom w:val="single" w:sz="4" w:space="0" w:color="auto"/>
              <w:right w:val="single" w:sz="4" w:space="0" w:color="auto"/>
            </w:tcBorders>
            <w:shd w:val="clear" w:color="auto" w:fill="auto"/>
            <w:noWrap/>
            <w:vAlign w:val="center"/>
          </w:tcPr>
          <w:p w14:paraId="7F69831E" w14:textId="2711EFE3"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245,931</w:t>
            </w:r>
          </w:p>
        </w:tc>
        <w:tc>
          <w:tcPr>
            <w:tcW w:w="1028" w:type="dxa"/>
            <w:tcBorders>
              <w:top w:val="nil"/>
              <w:left w:val="nil"/>
              <w:bottom w:val="single" w:sz="4" w:space="0" w:color="auto"/>
              <w:right w:val="single" w:sz="4" w:space="0" w:color="auto"/>
            </w:tcBorders>
            <w:shd w:val="clear" w:color="auto" w:fill="auto"/>
            <w:noWrap/>
            <w:vAlign w:val="center"/>
          </w:tcPr>
          <w:p w14:paraId="0DD8222B" w14:textId="29C923F6" w:rsidR="00037B46" w:rsidRPr="00C469BB" w:rsidRDefault="00037B46" w:rsidP="00037B46">
            <w:pPr>
              <w:spacing w:after="0" w:line="240" w:lineRule="auto"/>
              <w:jc w:val="right"/>
              <w:rPr>
                <w:rFonts w:cs="Arial"/>
                <w:b/>
                <w:bCs/>
                <w:color w:val="000000"/>
                <w:sz w:val="16"/>
                <w:szCs w:val="16"/>
                <w:lang w:eastAsia="en-AU"/>
              </w:rPr>
            </w:pPr>
            <w:r>
              <w:rPr>
                <w:rFonts w:cs="Arial"/>
                <w:b/>
                <w:bCs/>
                <w:color w:val="000000"/>
                <w:sz w:val="15"/>
                <w:szCs w:val="15"/>
              </w:rPr>
              <w:t>22,923,174</w:t>
            </w:r>
          </w:p>
        </w:tc>
      </w:tr>
      <w:bookmarkEnd w:id="2554"/>
    </w:tbl>
    <w:p w14:paraId="5EC70761" w14:textId="77777777" w:rsidR="005B699B" w:rsidRPr="00E00C4E" w:rsidRDefault="005B699B" w:rsidP="00E00C4E">
      <w:pPr>
        <w:pStyle w:val="Body"/>
      </w:pPr>
    </w:p>
    <w:p w14:paraId="14730622" w14:textId="77777777" w:rsidR="005B699B" w:rsidRPr="00E00C4E" w:rsidRDefault="005B699B" w:rsidP="00E00C4E">
      <w:pPr>
        <w:pStyle w:val="Body"/>
      </w:pPr>
    </w:p>
    <w:p w14:paraId="1BBEFD6D" w14:textId="77777777" w:rsidR="005B699B" w:rsidRPr="00E00C4E" w:rsidRDefault="005B699B" w:rsidP="00E00C4E">
      <w:pPr>
        <w:pStyle w:val="Body"/>
      </w:pPr>
    </w:p>
    <w:p w14:paraId="090D057C" w14:textId="77777777" w:rsidR="005B699B" w:rsidRPr="006E208C" w:rsidRDefault="005B699B" w:rsidP="005B699B">
      <w:pPr>
        <w:sectPr w:rsidR="005B699B" w:rsidRPr="006E208C" w:rsidSect="00C469BB">
          <w:headerReference w:type="default" r:id="rId80"/>
          <w:pgSz w:w="11906" w:h="16838" w:code="9"/>
          <w:pgMar w:top="1418" w:right="1133" w:bottom="1134" w:left="1304" w:header="680" w:footer="567" w:gutter="0"/>
          <w:cols w:space="340"/>
          <w:docGrid w:linePitch="360"/>
        </w:sectPr>
      </w:pPr>
      <w:bookmarkStart w:id="2555" w:name="_Toc12780665"/>
      <w:bookmarkStart w:id="2556" w:name="_Toc14172306"/>
      <w:bookmarkStart w:id="2557" w:name="_Toc33703980"/>
      <w:bookmarkStart w:id="2558" w:name="_Toc55381168"/>
    </w:p>
    <w:p w14:paraId="53981314" w14:textId="7111C494" w:rsidR="005B699B" w:rsidRPr="00445B44" w:rsidRDefault="005B699B" w:rsidP="001E4292">
      <w:pPr>
        <w:pStyle w:val="Heading1"/>
        <w:numPr>
          <w:ilvl w:val="0"/>
          <w:numId w:val="13"/>
        </w:numPr>
        <w:ind w:left="1134" w:hanging="1134"/>
      </w:pPr>
      <w:bookmarkStart w:id="2559" w:name="_Toc100263374"/>
      <w:bookmarkStart w:id="2560" w:name="_Toc165961870"/>
      <w:bookmarkStart w:id="2561" w:name="_Toc178963656"/>
      <w:bookmarkEnd w:id="2555"/>
      <w:bookmarkEnd w:id="2556"/>
      <w:bookmarkEnd w:id="2557"/>
      <w:bookmarkEnd w:id="2558"/>
      <w:r w:rsidRPr="00445B44">
        <w:lastRenderedPageBreak/>
        <w:t>Ac</w:t>
      </w:r>
      <w:r w:rsidRPr="004903A7">
        <w:t xml:space="preserve">tivity </w:t>
      </w:r>
      <w:r>
        <w:t>t</w:t>
      </w:r>
      <w:r w:rsidRPr="004903A7">
        <w:t xml:space="preserve">arget </w:t>
      </w:r>
      <w:bookmarkEnd w:id="2559"/>
      <w:r w:rsidRPr="00295CB9">
        <w:t>tables</w:t>
      </w:r>
      <w:bookmarkEnd w:id="2560"/>
      <w:bookmarkEnd w:id="2561"/>
      <w:r w:rsidR="00F63A67">
        <w:t xml:space="preserve"> </w:t>
      </w:r>
    </w:p>
    <w:p w14:paraId="0C20C67A" w14:textId="77777777" w:rsidR="005B699B" w:rsidRPr="00043CAC" w:rsidRDefault="005B699B" w:rsidP="001E4292">
      <w:pPr>
        <w:pStyle w:val="Heading2"/>
        <w:numPr>
          <w:ilvl w:val="1"/>
          <w:numId w:val="13"/>
        </w:numPr>
        <w:ind w:left="1134" w:hanging="1134"/>
      </w:pPr>
      <w:bookmarkStart w:id="2562" w:name="_Victorian_Acute_Admitted"/>
      <w:bookmarkStart w:id="2563" w:name="_Toc12780666"/>
      <w:bookmarkStart w:id="2564" w:name="_Toc14172307"/>
      <w:bookmarkStart w:id="2565" w:name="_Toc33703981"/>
      <w:bookmarkStart w:id="2566" w:name="_Toc55381169"/>
      <w:bookmarkStart w:id="2567" w:name="_Toc100263375"/>
      <w:bookmarkStart w:id="2568" w:name="_Toc165961871"/>
      <w:bookmarkStart w:id="2569" w:name="_Toc178963657"/>
      <w:bookmarkEnd w:id="2562"/>
      <w:r w:rsidRPr="00FD0484">
        <w:t xml:space="preserve">Victorian </w:t>
      </w:r>
      <w:r>
        <w:t xml:space="preserve">activity </w:t>
      </w:r>
      <w:r w:rsidRPr="00295CB9">
        <w:t>targets</w:t>
      </w:r>
      <w:r>
        <w:t xml:space="preserve"> </w:t>
      </w:r>
      <w:r w:rsidRPr="00424E68">
        <w:t>(</w:t>
      </w:r>
      <w:r>
        <w:t>NWAU</w:t>
      </w:r>
      <w:r w:rsidRPr="00424E68">
        <w:t>)</w:t>
      </w:r>
      <w:r>
        <w:t xml:space="preserve"> </w:t>
      </w:r>
      <w:bookmarkEnd w:id="2563"/>
      <w:bookmarkEnd w:id="2564"/>
      <w:bookmarkEnd w:id="2565"/>
      <w:bookmarkEnd w:id="2566"/>
      <w:bookmarkEnd w:id="2567"/>
      <w:r w:rsidRPr="00043CAC">
        <w:t>202</w:t>
      </w:r>
      <w:r>
        <w:t>4</w:t>
      </w:r>
      <w:r w:rsidRPr="00043CAC">
        <w:t>–2</w:t>
      </w:r>
      <w:r>
        <w:t>5</w:t>
      </w:r>
      <w:bookmarkEnd w:id="2568"/>
      <w:bookmarkEnd w:id="2569"/>
    </w:p>
    <w:p w14:paraId="6C2159F5"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3693634E" w14:textId="1A76F2AB" w:rsidR="001102D6" w:rsidRPr="008532C0" w:rsidRDefault="00541C64" w:rsidP="00917E4B">
      <w:pPr>
        <w:pStyle w:val="Tablenoteroman"/>
        <w:numPr>
          <w:ilvl w:val="0"/>
          <w:numId w:val="60"/>
        </w:numPr>
        <w:tabs>
          <w:tab w:val="clear" w:pos="720"/>
        </w:tabs>
        <w:rPr>
          <w:b/>
          <w:lang w:eastAsia="en-AU"/>
        </w:rPr>
      </w:pPr>
      <w:r>
        <w:rPr>
          <w:lang w:eastAsia="en-AU"/>
        </w:rPr>
        <w:t>Note that</w:t>
      </w:r>
      <w:r w:rsidR="00C919E3">
        <w:rPr>
          <w:lang w:eastAsia="en-AU"/>
        </w:rPr>
        <w:t xml:space="preserve"> </w:t>
      </w:r>
      <w:r w:rsidR="00C919E3">
        <w:rPr>
          <w:rFonts w:ascii="ArialMT" w:hAnsi="ArialMT" w:cs="ArialMT"/>
          <w:szCs w:val="18"/>
          <w:lang w:eastAsia="en-AU"/>
        </w:rPr>
        <w:t>National Bowel screening program</w:t>
      </w:r>
      <w:r w:rsidRPr="00541C64">
        <w:rPr>
          <w:lang w:eastAsia="en-AU"/>
        </w:rPr>
        <w:t xml:space="preserve"> </w:t>
      </w:r>
      <w:r w:rsidR="00C919E3">
        <w:rPr>
          <w:lang w:eastAsia="en-AU"/>
        </w:rPr>
        <w:t>has</w:t>
      </w:r>
      <w:r w:rsidR="00C22DA3">
        <w:rPr>
          <w:lang w:eastAsia="en-AU"/>
        </w:rPr>
        <w:t xml:space="preserve"> been </w:t>
      </w:r>
      <w:r w:rsidRPr="00541C64">
        <w:rPr>
          <w:lang w:eastAsia="en-AU"/>
        </w:rPr>
        <w:t xml:space="preserve">consolidated into </w:t>
      </w:r>
      <w:r w:rsidR="00C22DA3">
        <w:rPr>
          <w:lang w:eastAsia="en-AU"/>
        </w:rPr>
        <w:t xml:space="preserve">the NWAU </w:t>
      </w:r>
      <w:r w:rsidRPr="00541C64">
        <w:rPr>
          <w:lang w:eastAsia="en-AU"/>
        </w:rPr>
        <w:t>target</w:t>
      </w:r>
    </w:p>
    <w:p w14:paraId="1780F6EC" w14:textId="4B981293" w:rsidR="008532C0" w:rsidRPr="00917E4B" w:rsidRDefault="00031575" w:rsidP="00917E4B">
      <w:pPr>
        <w:pStyle w:val="Tablenoteroman"/>
        <w:numPr>
          <w:ilvl w:val="0"/>
          <w:numId w:val="60"/>
        </w:numPr>
        <w:tabs>
          <w:tab w:val="clear" w:pos="720"/>
        </w:tabs>
        <w:rPr>
          <w:b/>
          <w:lang w:eastAsia="en-AU"/>
        </w:rPr>
      </w:pPr>
      <w:r>
        <w:rPr>
          <w:lang w:eastAsia="en-AU"/>
        </w:rPr>
        <w:t>Excludes NSW contribution</w:t>
      </w:r>
    </w:p>
    <w:p w14:paraId="1C0FF00E" w14:textId="21195314" w:rsidR="005B699B" w:rsidRDefault="00462DC7" w:rsidP="00297FC9">
      <w:pPr>
        <w:pStyle w:val="Tablecaption"/>
      </w:pPr>
      <w:bookmarkStart w:id="2570" w:name="_Toc12780569"/>
      <w:bookmarkStart w:id="2571" w:name="_Toc14194825"/>
      <w:bookmarkStart w:id="2572" w:name="_Toc33704006"/>
      <w:bookmarkStart w:id="2573" w:name="_Toc109894136"/>
      <w:bookmarkStart w:id="2574" w:name="_Ref144903552"/>
      <w:bookmarkStart w:id="2575" w:name="_Toc176510422"/>
      <w:r w:rsidRPr="00620874">
        <w:t xml:space="preserve">Table </w:t>
      </w:r>
      <w:r w:rsidR="00D72666">
        <w:t>2</w:t>
      </w:r>
      <w:r w:rsidR="000E0ED2">
        <w:t>.</w:t>
      </w:r>
      <w:r w:rsidR="00D72666">
        <w:fldChar w:fldCharType="begin"/>
      </w:r>
      <w:r w:rsidR="00D72666">
        <w:instrText xml:space="preserve"> SEQ Table \* ARABIC \r 10</w:instrText>
      </w:r>
      <w:r w:rsidR="00D72666">
        <w:fldChar w:fldCharType="separate"/>
      </w:r>
      <w:r w:rsidR="00F30C16">
        <w:rPr>
          <w:noProof/>
        </w:rPr>
        <w:t>10</w:t>
      </w:r>
      <w:r w:rsidR="00D72666">
        <w:fldChar w:fldCharType="end"/>
      </w:r>
      <w:r w:rsidRPr="00620874">
        <w:t xml:space="preserve">: </w:t>
      </w:r>
      <w:r w:rsidR="005B699B" w:rsidRPr="00FD0484">
        <w:t xml:space="preserve">Victorian </w:t>
      </w:r>
      <w:r w:rsidR="005B699B" w:rsidRPr="00620874">
        <w:t xml:space="preserve">activity targets (NWAU) </w:t>
      </w:r>
      <w:bookmarkEnd w:id="2570"/>
      <w:bookmarkEnd w:id="2571"/>
      <w:bookmarkEnd w:id="2572"/>
      <w:bookmarkEnd w:id="2573"/>
      <w:r w:rsidR="005B699B" w:rsidRPr="00620874">
        <w:t>202</w:t>
      </w:r>
      <w:r w:rsidR="005B699B">
        <w:t>4</w:t>
      </w:r>
      <w:r w:rsidR="005B699B" w:rsidRPr="00620874">
        <w:t>–2</w:t>
      </w:r>
      <w:bookmarkEnd w:id="2574"/>
      <w:r w:rsidR="005B699B">
        <w:t>5</w:t>
      </w:r>
      <w:bookmarkEnd w:id="2575"/>
    </w:p>
    <w:tbl>
      <w:tblPr>
        <w:tblW w:w="9688" w:type="dxa"/>
        <w:tblInd w:w="-289" w:type="dxa"/>
        <w:tblLayout w:type="fixed"/>
        <w:tblLook w:val="04A0" w:firstRow="1" w:lastRow="0" w:firstColumn="1" w:lastColumn="0" w:noHBand="0" w:noVBand="1"/>
      </w:tblPr>
      <w:tblGrid>
        <w:gridCol w:w="2269"/>
        <w:gridCol w:w="1236"/>
        <w:gridCol w:w="1237"/>
        <w:gridCol w:w="1236"/>
        <w:gridCol w:w="1237"/>
        <w:gridCol w:w="1236"/>
        <w:gridCol w:w="1237"/>
      </w:tblGrid>
      <w:tr w:rsidR="007C2D6E" w:rsidRPr="0034306F" w14:paraId="680BA706" w14:textId="77777777" w:rsidTr="000674C4">
        <w:trPr>
          <w:trHeight w:val="900"/>
          <w:tblHead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BC92" w14:textId="77777777" w:rsidR="00EB2527" w:rsidRPr="0034306F" w:rsidRDefault="00EB2527">
            <w:pPr>
              <w:spacing w:after="0" w:line="240" w:lineRule="auto"/>
              <w:rPr>
                <w:rFonts w:cs="Arial"/>
                <w:b/>
                <w:bCs/>
                <w:color w:val="53565A"/>
                <w:sz w:val="16"/>
                <w:szCs w:val="16"/>
                <w:lang w:eastAsia="en-AU"/>
              </w:rPr>
            </w:pPr>
            <w:bookmarkStart w:id="2576" w:name="_Ref167713843"/>
            <w:r w:rsidRPr="0034306F">
              <w:rPr>
                <w:rFonts w:cs="Arial"/>
                <w:b/>
                <w:bCs/>
                <w:color w:val="53565A"/>
                <w:sz w:val="16"/>
                <w:szCs w:val="16"/>
                <w:lang w:eastAsia="en-AU"/>
              </w:rPr>
              <w:t>Health Service</w:t>
            </w:r>
          </w:p>
        </w:tc>
        <w:tc>
          <w:tcPr>
            <w:tcW w:w="1236" w:type="dxa"/>
            <w:tcBorders>
              <w:top w:val="single" w:sz="4" w:space="0" w:color="auto"/>
              <w:left w:val="nil"/>
              <w:bottom w:val="single" w:sz="4" w:space="0" w:color="auto"/>
              <w:right w:val="single" w:sz="4" w:space="0" w:color="auto"/>
            </w:tcBorders>
            <w:shd w:val="clear" w:color="auto" w:fill="auto"/>
            <w:hideMark/>
          </w:tcPr>
          <w:p w14:paraId="503DF8B7" w14:textId="77777777" w:rsidR="00EB2527" w:rsidRPr="0034306F" w:rsidRDefault="00EB2527">
            <w:pPr>
              <w:spacing w:after="0" w:line="240" w:lineRule="auto"/>
              <w:jc w:val="right"/>
              <w:rPr>
                <w:rFonts w:cs="Arial"/>
                <w:b/>
                <w:bCs/>
                <w:color w:val="53565A"/>
                <w:sz w:val="16"/>
                <w:szCs w:val="16"/>
                <w:lang w:eastAsia="en-AU"/>
              </w:rPr>
            </w:pPr>
            <w:r w:rsidRPr="0034306F">
              <w:rPr>
                <w:rFonts w:cs="Arial"/>
                <w:b/>
                <w:bCs/>
                <w:color w:val="53565A"/>
                <w:sz w:val="16"/>
                <w:szCs w:val="16"/>
                <w:lang w:eastAsia="en-AU"/>
              </w:rPr>
              <w:t xml:space="preserve"> </w:t>
            </w:r>
            <w:r>
              <w:rPr>
                <w:rFonts w:cs="Arial"/>
                <w:b/>
                <w:bCs/>
                <w:color w:val="53565A"/>
                <w:sz w:val="16"/>
                <w:szCs w:val="16"/>
                <w:lang w:eastAsia="en-AU"/>
              </w:rPr>
              <w:t>Consolidated</w:t>
            </w:r>
            <w:r w:rsidRPr="0034306F">
              <w:rPr>
                <w:rFonts w:cs="Arial"/>
                <w:b/>
                <w:bCs/>
                <w:color w:val="53565A"/>
                <w:sz w:val="16"/>
                <w:szCs w:val="16"/>
                <w:lang w:eastAsia="en-AU"/>
              </w:rPr>
              <w:t xml:space="preserve"> NWAU</w:t>
            </w:r>
          </w:p>
        </w:tc>
        <w:tc>
          <w:tcPr>
            <w:tcW w:w="1237" w:type="dxa"/>
            <w:tcBorders>
              <w:top w:val="single" w:sz="4" w:space="0" w:color="auto"/>
              <w:left w:val="nil"/>
              <w:bottom w:val="single" w:sz="4" w:space="0" w:color="auto"/>
              <w:right w:val="single" w:sz="4" w:space="0" w:color="auto"/>
            </w:tcBorders>
          </w:tcPr>
          <w:p w14:paraId="747B6FDA" w14:textId="77777777" w:rsidR="00EB2527" w:rsidRPr="0034306F" w:rsidRDefault="00EB2527">
            <w:pPr>
              <w:spacing w:after="0" w:line="240" w:lineRule="auto"/>
              <w:jc w:val="right"/>
              <w:rPr>
                <w:rFonts w:cs="Arial"/>
                <w:b/>
                <w:bCs/>
                <w:color w:val="53565A"/>
                <w:sz w:val="16"/>
                <w:szCs w:val="16"/>
                <w:lang w:eastAsia="en-AU"/>
              </w:rPr>
            </w:pPr>
            <w:r>
              <w:rPr>
                <w:rFonts w:cs="Arial"/>
                <w:b/>
                <w:bCs/>
                <w:color w:val="53565A"/>
                <w:sz w:val="16"/>
                <w:szCs w:val="16"/>
                <w:lang w:eastAsia="en-AU"/>
              </w:rPr>
              <w:t>Acute Admitted Mental Health NWAU</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E7EE333" w14:textId="77777777" w:rsidR="00EB2527" w:rsidRPr="0034306F" w:rsidRDefault="00EB2527">
            <w:pPr>
              <w:spacing w:after="0" w:line="240" w:lineRule="auto"/>
              <w:jc w:val="right"/>
              <w:rPr>
                <w:rFonts w:cs="Arial"/>
                <w:b/>
                <w:bCs/>
                <w:color w:val="53565A"/>
                <w:sz w:val="16"/>
                <w:szCs w:val="16"/>
                <w:lang w:eastAsia="en-AU"/>
              </w:rPr>
            </w:pPr>
            <w:r w:rsidRPr="0034306F">
              <w:rPr>
                <w:rFonts w:cs="Arial"/>
                <w:b/>
                <w:bCs/>
                <w:color w:val="53565A"/>
                <w:sz w:val="16"/>
                <w:szCs w:val="16"/>
                <w:lang w:eastAsia="en-AU"/>
              </w:rPr>
              <w:t>Admitted DVA NWAU</w:t>
            </w:r>
          </w:p>
        </w:tc>
        <w:tc>
          <w:tcPr>
            <w:tcW w:w="1237" w:type="dxa"/>
            <w:tcBorders>
              <w:top w:val="single" w:sz="4" w:space="0" w:color="auto"/>
              <w:left w:val="nil"/>
              <w:bottom w:val="single" w:sz="4" w:space="0" w:color="auto"/>
              <w:right w:val="single" w:sz="4" w:space="0" w:color="auto"/>
            </w:tcBorders>
            <w:shd w:val="clear" w:color="auto" w:fill="auto"/>
            <w:hideMark/>
          </w:tcPr>
          <w:p w14:paraId="24DEEFAC" w14:textId="77777777" w:rsidR="00EB2527" w:rsidRPr="0034306F" w:rsidRDefault="00EB2527">
            <w:pPr>
              <w:spacing w:after="0" w:line="240" w:lineRule="auto"/>
              <w:jc w:val="right"/>
              <w:rPr>
                <w:rFonts w:cs="Arial"/>
                <w:b/>
                <w:bCs/>
                <w:color w:val="53565A"/>
                <w:sz w:val="16"/>
                <w:szCs w:val="16"/>
                <w:lang w:eastAsia="en-AU"/>
              </w:rPr>
            </w:pPr>
            <w:r w:rsidRPr="0034306F">
              <w:rPr>
                <w:rFonts w:cs="Arial"/>
                <w:b/>
                <w:bCs/>
                <w:color w:val="53565A"/>
                <w:sz w:val="16"/>
                <w:szCs w:val="16"/>
                <w:lang w:eastAsia="en-AU"/>
              </w:rPr>
              <w:t>Admitted TAC NWAU</w:t>
            </w:r>
          </w:p>
        </w:tc>
        <w:tc>
          <w:tcPr>
            <w:tcW w:w="1236" w:type="dxa"/>
            <w:tcBorders>
              <w:top w:val="single" w:sz="4" w:space="0" w:color="auto"/>
              <w:left w:val="nil"/>
              <w:bottom w:val="single" w:sz="4" w:space="0" w:color="auto"/>
              <w:right w:val="single" w:sz="4" w:space="0" w:color="auto"/>
            </w:tcBorders>
            <w:shd w:val="clear" w:color="auto" w:fill="auto"/>
            <w:hideMark/>
          </w:tcPr>
          <w:p w14:paraId="179D72A7" w14:textId="77777777" w:rsidR="00EB2527" w:rsidRPr="0034306F" w:rsidRDefault="00EB2527">
            <w:pPr>
              <w:spacing w:after="0" w:line="240" w:lineRule="auto"/>
              <w:jc w:val="right"/>
              <w:rPr>
                <w:rFonts w:cs="Arial"/>
                <w:b/>
                <w:bCs/>
                <w:color w:val="53565A"/>
                <w:sz w:val="16"/>
                <w:szCs w:val="16"/>
                <w:lang w:eastAsia="en-AU"/>
              </w:rPr>
            </w:pPr>
            <w:r w:rsidRPr="0034306F">
              <w:rPr>
                <w:rFonts w:cs="Arial"/>
                <w:b/>
                <w:bCs/>
                <w:color w:val="53565A"/>
                <w:sz w:val="16"/>
                <w:szCs w:val="16"/>
                <w:lang w:eastAsia="en-AU"/>
              </w:rPr>
              <w:t xml:space="preserve"> </w:t>
            </w:r>
            <w:r>
              <w:rPr>
                <w:rFonts w:cs="Arial"/>
                <w:b/>
                <w:bCs/>
                <w:color w:val="53565A"/>
                <w:sz w:val="16"/>
                <w:szCs w:val="16"/>
                <w:lang w:eastAsia="en-AU"/>
              </w:rPr>
              <w:t>S</w:t>
            </w:r>
            <w:r w:rsidRPr="0034306F">
              <w:rPr>
                <w:rFonts w:cs="Arial"/>
                <w:b/>
                <w:bCs/>
                <w:color w:val="53565A"/>
                <w:sz w:val="16"/>
                <w:szCs w:val="16"/>
                <w:lang w:eastAsia="en-AU"/>
              </w:rPr>
              <w:t>ubacute admitted DVA</w:t>
            </w:r>
            <w:r>
              <w:rPr>
                <w:rFonts w:cs="Arial"/>
                <w:b/>
                <w:bCs/>
                <w:color w:val="53565A"/>
                <w:sz w:val="16"/>
                <w:szCs w:val="16"/>
                <w:lang w:eastAsia="en-AU"/>
              </w:rPr>
              <w:t xml:space="preserve"> NWAU</w:t>
            </w:r>
          </w:p>
        </w:tc>
        <w:tc>
          <w:tcPr>
            <w:tcW w:w="1237" w:type="dxa"/>
            <w:tcBorders>
              <w:top w:val="single" w:sz="4" w:space="0" w:color="auto"/>
              <w:left w:val="nil"/>
              <w:bottom w:val="single" w:sz="4" w:space="0" w:color="auto"/>
              <w:right w:val="single" w:sz="4" w:space="0" w:color="auto"/>
            </w:tcBorders>
            <w:shd w:val="clear" w:color="auto" w:fill="auto"/>
            <w:hideMark/>
          </w:tcPr>
          <w:p w14:paraId="0E4429FE" w14:textId="77777777" w:rsidR="00EB2527" w:rsidRPr="0034306F" w:rsidRDefault="00EB2527">
            <w:pPr>
              <w:spacing w:after="0" w:line="240" w:lineRule="auto"/>
              <w:jc w:val="right"/>
              <w:rPr>
                <w:rFonts w:cs="Arial"/>
                <w:b/>
                <w:bCs/>
                <w:color w:val="53565A"/>
                <w:sz w:val="16"/>
                <w:szCs w:val="16"/>
                <w:lang w:eastAsia="en-AU"/>
              </w:rPr>
            </w:pPr>
            <w:r w:rsidRPr="0034306F">
              <w:rPr>
                <w:rFonts w:cs="Arial"/>
                <w:b/>
                <w:bCs/>
                <w:color w:val="53565A"/>
                <w:sz w:val="16"/>
                <w:szCs w:val="16"/>
                <w:lang w:eastAsia="en-AU"/>
              </w:rPr>
              <w:t>Total NWAU</w:t>
            </w:r>
          </w:p>
        </w:tc>
      </w:tr>
      <w:tr w:rsidR="00B52551" w:rsidRPr="0034306F" w14:paraId="6E293FE6"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2138266" w14:textId="39299D8E"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Albury Wodonga Health</w:t>
            </w:r>
          </w:p>
        </w:tc>
        <w:tc>
          <w:tcPr>
            <w:tcW w:w="1236" w:type="dxa"/>
            <w:tcBorders>
              <w:top w:val="nil"/>
              <w:left w:val="nil"/>
              <w:bottom w:val="single" w:sz="4" w:space="0" w:color="auto"/>
              <w:right w:val="single" w:sz="4" w:space="0" w:color="auto"/>
            </w:tcBorders>
            <w:shd w:val="clear" w:color="auto" w:fill="auto"/>
            <w:noWrap/>
            <w:vAlign w:val="center"/>
          </w:tcPr>
          <w:p w14:paraId="617E4823" w14:textId="429A24D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33,856</w:t>
            </w:r>
          </w:p>
        </w:tc>
        <w:tc>
          <w:tcPr>
            <w:tcW w:w="1237" w:type="dxa"/>
            <w:tcBorders>
              <w:top w:val="nil"/>
              <w:left w:val="nil"/>
              <w:bottom w:val="single" w:sz="4" w:space="0" w:color="auto"/>
              <w:right w:val="single" w:sz="4" w:space="0" w:color="auto"/>
            </w:tcBorders>
            <w:vAlign w:val="center"/>
          </w:tcPr>
          <w:p w14:paraId="44A252B0" w14:textId="7B717C8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1,626</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AF9F7" w14:textId="2A219CF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47</w:t>
            </w:r>
          </w:p>
        </w:tc>
        <w:tc>
          <w:tcPr>
            <w:tcW w:w="1237" w:type="dxa"/>
            <w:tcBorders>
              <w:top w:val="nil"/>
              <w:left w:val="nil"/>
              <w:bottom w:val="single" w:sz="4" w:space="0" w:color="auto"/>
              <w:right w:val="single" w:sz="4" w:space="0" w:color="auto"/>
            </w:tcBorders>
            <w:shd w:val="clear" w:color="auto" w:fill="auto"/>
            <w:noWrap/>
            <w:vAlign w:val="center"/>
          </w:tcPr>
          <w:p w14:paraId="31642BE8" w14:textId="54B33E8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18</w:t>
            </w:r>
          </w:p>
        </w:tc>
        <w:tc>
          <w:tcPr>
            <w:tcW w:w="1236" w:type="dxa"/>
            <w:tcBorders>
              <w:top w:val="nil"/>
              <w:left w:val="nil"/>
              <w:bottom w:val="single" w:sz="4" w:space="0" w:color="auto"/>
              <w:right w:val="single" w:sz="4" w:space="0" w:color="auto"/>
            </w:tcBorders>
            <w:shd w:val="clear" w:color="auto" w:fill="auto"/>
            <w:noWrap/>
            <w:vAlign w:val="center"/>
          </w:tcPr>
          <w:p w14:paraId="6AF53F71" w14:textId="5989515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76</w:t>
            </w:r>
          </w:p>
        </w:tc>
        <w:tc>
          <w:tcPr>
            <w:tcW w:w="1237" w:type="dxa"/>
            <w:tcBorders>
              <w:top w:val="nil"/>
              <w:left w:val="nil"/>
              <w:bottom w:val="single" w:sz="4" w:space="0" w:color="auto"/>
              <w:right w:val="single" w:sz="4" w:space="0" w:color="auto"/>
            </w:tcBorders>
            <w:shd w:val="clear" w:color="auto" w:fill="auto"/>
            <w:noWrap/>
            <w:vAlign w:val="center"/>
          </w:tcPr>
          <w:p w14:paraId="5D8FBBEC" w14:textId="1A22B3B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35,623</w:t>
            </w:r>
          </w:p>
        </w:tc>
      </w:tr>
      <w:tr w:rsidR="00B52551" w:rsidRPr="0034306F" w14:paraId="5C7C2547"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F853B5D" w14:textId="16836A39"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Alfred Health</w:t>
            </w:r>
          </w:p>
        </w:tc>
        <w:tc>
          <w:tcPr>
            <w:tcW w:w="1236" w:type="dxa"/>
            <w:tcBorders>
              <w:top w:val="nil"/>
              <w:left w:val="nil"/>
              <w:bottom w:val="single" w:sz="4" w:space="0" w:color="auto"/>
              <w:right w:val="single" w:sz="4" w:space="0" w:color="auto"/>
            </w:tcBorders>
            <w:shd w:val="clear" w:color="auto" w:fill="auto"/>
            <w:noWrap/>
            <w:vAlign w:val="center"/>
          </w:tcPr>
          <w:p w14:paraId="75432C55" w14:textId="63A3036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179,233</w:t>
            </w:r>
          </w:p>
        </w:tc>
        <w:tc>
          <w:tcPr>
            <w:tcW w:w="1237" w:type="dxa"/>
            <w:tcBorders>
              <w:top w:val="nil"/>
              <w:left w:val="nil"/>
              <w:bottom w:val="single" w:sz="4" w:space="0" w:color="auto"/>
              <w:right w:val="single" w:sz="4" w:space="0" w:color="auto"/>
            </w:tcBorders>
            <w:vAlign w:val="center"/>
          </w:tcPr>
          <w:p w14:paraId="2D08B902" w14:textId="72461C4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8,614</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E4C95" w14:textId="35E39E4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158</w:t>
            </w:r>
          </w:p>
        </w:tc>
        <w:tc>
          <w:tcPr>
            <w:tcW w:w="1237" w:type="dxa"/>
            <w:tcBorders>
              <w:top w:val="nil"/>
              <w:left w:val="nil"/>
              <w:bottom w:val="single" w:sz="4" w:space="0" w:color="auto"/>
              <w:right w:val="single" w:sz="4" w:space="0" w:color="auto"/>
            </w:tcBorders>
            <w:shd w:val="clear" w:color="auto" w:fill="auto"/>
            <w:noWrap/>
            <w:vAlign w:val="center"/>
          </w:tcPr>
          <w:p w14:paraId="33BCB537" w14:textId="09BB411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7,043</w:t>
            </w:r>
          </w:p>
        </w:tc>
        <w:tc>
          <w:tcPr>
            <w:tcW w:w="1236" w:type="dxa"/>
            <w:tcBorders>
              <w:top w:val="nil"/>
              <w:left w:val="nil"/>
              <w:bottom w:val="single" w:sz="4" w:space="0" w:color="auto"/>
              <w:right w:val="single" w:sz="4" w:space="0" w:color="auto"/>
            </w:tcBorders>
            <w:shd w:val="clear" w:color="auto" w:fill="auto"/>
            <w:noWrap/>
            <w:vAlign w:val="center"/>
          </w:tcPr>
          <w:p w14:paraId="6980C496" w14:textId="2F1F580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129</w:t>
            </w:r>
          </w:p>
        </w:tc>
        <w:tc>
          <w:tcPr>
            <w:tcW w:w="1237" w:type="dxa"/>
            <w:tcBorders>
              <w:top w:val="nil"/>
              <w:left w:val="nil"/>
              <w:bottom w:val="single" w:sz="4" w:space="0" w:color="auto"/>
              <w:right w:val="single" w:sz="4" w:space="0" w:color="auto"/>
            </w:tcBorders>
            <w:shd w:val="clear" w:color="auto" w:fill="auto"/>
            <w:noWrap/>
            <w:vAlign w:val="center"/>
          </w:tcPr>
          <w:p w14:paraId="0C02A4E2" w14:textId="650F79A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195,177</w:t>
            </w:r>
          </w:p>
        </w:tc>
      </w:tr>
      <w:tr w:rsidR="00B52551" w:rsidRPr="0034306F" w14:paraId="761FFF83"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1AEF0F5" w14:textId="545EBC5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Austin Health</w:t>
            </w:r>
          </w:p>
        </w:tc>
        <w:tc>
          <w:tcPr>
            <w:tcW w:w="1236" w:type="dxa"/>
            <w:tcBorders>
              <w:top w:val="nil"/>
              <w:left w:val="nil"/>
              <w:bottom w:val="single" w:sz="4" w:space="0" w:color="auto"/>
              <w:right w:val="single" w:sz="4" w:space="0" w:color="auto"/>
            </w:tcBorders>
            <w:shd w:val="clear" w:color="auto" w:fill="auto"/>
            <w:noWrap/>
            <w:vAlign w:val="center"/>
          </w:tcPr>
          <w:p w14:paraId="4F5EAA84" w14:textId="641F478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143,544</w:t>
            </w:r>
          </w:p>
        </w:tc>
        <w:tc>
          <w:tcPr>
            <w:tcW w:w="1237" w:type="dxa"/>
            <w:tcBorders>
              <w:top w:val="nil"/>
              <w:left w:val="nil"/>
              <w:bottom w:val="single" w:sz="4" w:space="0" w:color="auto"/>
              <w:right w:val="single" w:sz="4" w:space="0" w:color="auto"/>
            </w:tcBorders>
            <w:vAlign w:val="center"/>
          </w:tcPr>
          <w:p w14:paraId="7DC056AD" w14:textId="2EEDE22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6,758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2B0D" w14:textId="2105BF3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258</w:t>
            </w:r>
          </w:p>
        </w:tc>
        <w:tc>
          <w:tcPr>
            <w:tcW w:w="1237" w:type="dxa"/>
            <w:tcBorders>
              <w:top w:val="nil"/>
              <w:left w:val="nil"/>
              <w:bottom w:val="single" w:sz="4" w:space="0" w:color="auto"/>
              <w:right w:val="single" w:sz="4" w:space="0" w:color="auto"/>
            </w:tcBorders>
            <w:shd w:val="clear" w:color="auto" w:fill="auto"/>
            <w:noWrap/>
            <w:vAlign w:val="center"/>
          </w:tcPr>
          <w:p w14:paraId="24E26379" w14:textId="13379D2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598</w:t>
            </w:r>
          </w:p>
        </w:tc>
        <w:tc>
          <w:tcPr>
            <w:tcW w:w="1236" w:type="dxa"/>
            <w:tcBorders>
              <w:top w:val="nil"/>
              <w:left w:val="nil"/>
              <w:bottom w:val="single" w:sz="4" w:space="0" w:color="auto"/>
              <w:right w:val="single" w:sz="4" w:space="0" w:color="auto"/>
            </w:tcBorders>
            <w:shd w:val="clear" w:color="auto" w:fill="auto"/>
            <w:noWrap/>
            <w:vAlign w:val="center"/>
          </w:tcPr>
          <w:p w14:paraId="1C0ED2F4" w14:textId="58FD4CD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204</w:t>
            </w:r>
          </w:p>
        </w:tc>
        <w:tc>
          <w:tcPr>
            <w:tcW w:w="1237" w:type="dxa"/>
            <w:tcBorders>
              <w:top w:val="nil"/>
              <w:left w:val="nil"/>
              <w:bottom w:val="single" w:sz="4" w:space="0" w:color="auto"/>
              <w:right w:val="single" w:sz="4" w:space="0" w:color="auto"/>
            </w:tcBorders>
            <w:shd w:val="clear" w:color="auto" w:fill="auto"/>
            <w:noWrap/>
            <w:vAlign w:val="center"/>
          </w:tcPr>
          <w:p w14:paraId="7FBFA4BE" w14:textId="65687511"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151,361</w:t>
            </w:r>
          </w:p>
        </w:tc>
      </w:tr>
      <w:tr w:rsidR="00B52551" w:rsidRPr="0034306F" w14:paraId="767ED141" w14:textId="77777777" w:rsidTr="000674C4">
        <w:trPr>
          <w:trHeight w:val="33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49A3369" w14:textId="429E4592"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Bairnsdale Regional Health Service</w:t>
            </w:r>
          </w:p>
        </w:tc>
        <w:tc>
          <w:tcPr>
            <w:tcW w:w="1236" w:type="dxa"/>
            <w:tcBorders>
              <w:top w:val="nil"/>
              <w:left w:val="nil"/>
              <w:bottom w:val="single" w:sz="4" w:space="0" w:color="auto"/>
              <w:right w:val="single" w:sz="4" w:space="0" w:color="auto"/>
            </w:tcBorders>
            <w:shd w:val="clear" w:color="auto" w:fill="auto"/>
            <w:noWrap/>
            <w:vAlign w:val="center"/>
          </w:tcPr>
          <w:p w14:paraId="6AB30F7F" w14:textId="4201B86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16,371</w:t>
            </w:r>
          </w:p>
        </w:tc>
        <w:tc>
          <w:tcPr>
            <w:tcW w:w="1237" w:type="dxa"/>
            <w:tcBorders>
              <w:top w:val="nil"/>
              <w:left w:val="nil"/>
              <w:bottom w:val="single" w:sz="4" w:space="0" w:color="auto"/>
              <w:right w:val="single" w:sz="4" w:space="0" w:color="auto"/>
            </w:tcBorders>
            <w:vAlign w:val="center"/>
          </w:tcPr>
          <w:p w14:paraId="7266587F" w14:textId="5D3DD82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E66A" w14:textId="27BB58B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63</w:t>
            </w:r>
          </w:p>
        </w:tc>
        <w:tc>
          <w:tcPr>
            <w:tcW w:w="1237" w:type="dxa"/>
            <w:tcBorders>
              <w:top w:val="nil"/>
              <w:left w:val="nil"/>
              <w:bottom w:val="single" w:sz="4" w:space="0" w:color="auto"/>
              <w:right w:val="single" w:sz="4" w:space="0" w:color="auto"/>
            </w:tcBorders>
            <w:shd w:val="clear" w:color="auto" w:fill="auto"/>
            <w:noWrap/>
            <w:vAlign w:val="center"/>
          </w:tcPr>
          <w:p w14:paraId="3C5D4819" w14:textId="0D4E185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25</w:t>
            </w:r>
          </w:p>
        </w:tc>
        <w:tc>
          <w:tcPr>
            <w:tcW w:w="1236" w:type="dxa"/>
            <w:tcBorders>
              <w:top w:val="nil"/>
              <w:left w:val="nil"/>
              <w:bottom w:val="single" w:sz="4" w:space="0" w:color="auto"/>
              <w:right w:val="single" w:sz="4" w:space="0" w:color="auto"/>
            </w:tcBorders>
            <w:shd w:val="clear" w:color="auto" w:fill="auto"/>
            <w:noWrap/>
            <w:vAlign w:val="center"/>
          </w:tcPr>
          <w:p w14:paraId="61A3CDE2" w14:textId="3B54847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41</w:t>
            </w:r>
          </w:p>
        </w:tc>
        <w:tc>
          <w:tcPr>
            <w:tcW w:w="1237" w:type="dxa"/>
            <w:tcBorders>
              <w:top w:val="nil"/>
              <w:left w:val="nil"/>
              <w:bottom w:val="single" w:sz="4" w:space="0" w:color="auto"/>
              <w:right w:val="single" w:sz="4" w:space="0" w:color="auto"/>
            </w:tcBorders>
            <w:shd w:val="clear" w:color="auto" w:fill="auto"/>
            <w:noWrap/>
            <w:vAlign w:val="center"/>
          </w:tcPr>
          <w:p w14:paraId="641E3908" w14:textId="1EFB5137"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16,500</w:t>
            </w:r>
          </w:p>
        </w:tc>
      </w:tr>
      <w:tr w:rsidR="00B52551" w:rsidRPr="0034306F" w14:paraId="5A3B98C1"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A2E9349" w14:textId="5B6E76D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Barwon Health</w:t>
            </w:r>
          </w:p>
        </w:tc>
        <w:tc>
          <w:tcPr>
            <w:tcW w:w="1236" w:type="dxa"/>
            <w:tcBorders>
              <w:top w:val="nil"/>
              <w:left w:val="nil"/>
              <w:bottom w:val="single" w:sz="4" w:space="0" w:color="auto"/>
              <w:right w:val="single" w:sz="4" w:space="0" w:color="auto"/>
            </w:tcBorders>
            <w:shd w:val="clear" w:color="auto" w:fill="auto"/>
            <w:noWrap/>
            <w:vAlign w:val="center"/>
          </w:tcPr>
          <w:p w14:paraId="67D54E47" w14:textId="2FE30A7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119,350</w:t>
            </w:r>
          </w:p>
        </w:tc>
        <w:tc>
          <w:tcPr>
            <w:tcW w:w="1237" w:type="dxa"/>
            <w:tcBorders>
              <w:top w:val="nil"/>
              <w:left w:val="nil"/>
              <w:bottom w:val="single" w:sz="4" w:space="0" w:color="auto"/>
              <w:right w:val="single" w:sz="4" w:space="0" w:color="auto"/>
            </w:tcBorders>
            <w:vAlign w:val="center"/>
          </w:tcPr>
          <w:p w14:paraId="7D28F63F" w14:textId="4DB5249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6,362</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BC3C7" w14:textId="4E79AA7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176</w:t>
            </w:r>
          </w:p>
        </w:tc>
        <w:tc>
          <w:tcPr>
            <w:tcW w:w="1237" w:type="dxa"/>
            <w:tcBorders>
              <w:top w:val="nil"/>
              <w:left w:val="nil"/>
              <w:bottom w:val="single" w:sz="4" w:space="0" w:color="auto"/>
              <w:right w:val="single" w:sz="4" w:space="0" w:color="auto"/>
            </w:tcBorders>
            <w:shd w:val="clear" w:color="auto" w:fill="auto"/>
            <w:noWrap/>
            <w:vAlign w:val="center"/>
          </w:tcPr>
          <w:p w14:paraId="52126A8E" w14:textId="4C456E0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388</w:t>
            </w:r>
          </w:p>
        </w:tc>
        <w:tc>
          <w:tcPr>
            <w:tcW w:w="1236" w:type="dxa"/>
            <w:tcBorders>
              <w:top w:val="nil"/>
              <w:left w:val="nil"/>
              <w:bottom w:val="single" w:sz="4" w:space="0" w:color="auto"/>
              <w:right w:val="single" w:sz="4" w:space="0" w:color="auto"/>
            </w:tcBorders>
            <w:shd w:val="clear" w:color="auto" w:fill="auto"/>
            <w:noWrap/>
            <w:vAlign w:val="center"/>
          </w:tcPr>
          <w:p w14:paraId="278EAB72" w14:textId="4031B81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84</w:t>
            </w:r>
          </w:p>
        </w:tc>
        <w:tc>
          <w:tcPr>
            <w:tcW w:w="1237" w:type="dxa"/>
            <w:tcBorders>
              <w:top w:val="nil"/>
              <w:left w:val="nil"/>
              <w:bottom w:val="single" w:sz="4" w:space="0" w:color="auto"/>
              <w:right w:val="single" w:sz="4" w:space="0" w:color="auto"/>
            </w:tcBorders>
            <w:shd w:val="clear" w:color="auto" w:fill="auto"/>
            <w:noWrap/>
            <w:vAlign w:val="center"/>
          </w:tcPr>
          <w:p w14:paraId="2753F06F" w14:textId="5439F138"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126,359</w:t>
            </w:r>
          </w:p>
        </w:tc>
      </w:tr>
      <w:tr w:rsidR="00B52551" w:rsidRPr="0034306F" w14:paraId="5813D492"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B601A6D" w14:textId="5316BCF7"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Bass Coast Health</w:t>
            </w:r>
          </w:p>
        </w:tc>
        <w:tc>
          <w:tcPr>
            <w:tcW w:w="1236" w:type="dxa"/>
            <w:tcBorders>
              <w:top w:val="nil"/>
              <w:left w:val="nil"/>
              <w:bottom w:val="single" w:sz="4" w:space="0" w:color="auto"/>
              <w:right w:val="single" w:sz="4" w:space="0" w:color="auto"/>
            </w:tcBorders>
            <w:shd w:val="clear" w:color="auto" w:fill="auto"/>
            <w:noWrap/>
            <w:vAlign w:val="center"/>
          </w:tcPr>
          <w:p w14:paraId="70E29A2A" w14:textId="2F207BC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17,316</w:t>
            </w:r>
          </w:p>
        </w:tc>
        <w:tc>
          <w:tcPr>
            <w:tcW w:w="1237" w:type="dxa"/>
            <w:tcBorders>
              <w:top w:val="nil"/>
              <w:left w:val="nil"/>
              <w:bottom w:val="single" w:sz="4" w:space="0" w:color="auto"/>
              <w:right w:val="single" w:sz="4" w:space="0" w:color="auto"/>
            </w:tcBorders>
            <w:vAlign w:val="center"/>
          </w:tcPr>
          <w:p w14:paraId="404143E7" w14:textId="0E2DC74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6DE7E" w14:textId="2CBA1CF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32</w:t>
            </w:r>
          </w:p>
        </w:tc>
        <w:tc>
          <w:tcPr>
            <w:tcW w:w="1237" w:type="dxa"/>
            <w:tcBorders>
              <w:top w:val="nil"/>
              <w:left w:val="nil"/>
              <w:bottom w:val="single" w:sz="4" w:space="0" w:color="auto"/>
              <w:right w:val="single" w:sz="4" w:space="0" w:color="auto"/>
            </w:tcBorders>
            <w:shd w:val="clear" w:color="auto" w:fill="auto"/>
            <w:noWrap/>
            <w:vAlign w:val="center"/>
          </w:tcPr>
          <w:p w14:paraId="28225EFE" w14:textId="448D8BC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w:t>
            </w:r>
          </w:p>
        </w:tc>
        <w:tc>
          <w:tcPr>
            <w:tcW w:w="1236" w:type="dxa"/>
            <w:tcBorders>
              <w:top w:val="nil"/>
              <w:left w:val="nil"/>
              <w:bottom w:val="single" w:sz="4" w:space="0" w:color="auto"/>
              <w:right w:val="single" w:sz="4" w:space="0" w:color="auto"/>
            </w:tcBorders>
            <w:shd w:val="clear" w:color="auto" w:fill="auto"/>
            <w:noWrap/>
            <w:vAlign w:val="center"/>
          </w:tcPr>
          <w:p w14:paraId="49A2FA3C" w14:textId="5007D7A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45</w:t>
            </w:r>
          </w:p>
        </w:tc>
        <w:tc>
          <w:tcPr>
            <w:tcW w:w="1237" w:type="dxa"/>
            <w:tcBorders>
              <w:top w:val="nil"/>
              <w:left w:val="nil"/>
              <w:bottom w:val="single" w:sz="4" w:space="0" w:color="auto"/>
              <w:right w:val="single" w:sz="4" w:space="0" w:color="auto"/>
            </w:tcBorders>
            <w:shd w:val="clear" w:color="auto" w:fill="auto"/>
            <w:noWrap/>
            <w:vAlign w:val="center"/>
          </w:tcPr>
          <w:p w14:paraId="0C669FF9" w14:textId="21C027FC"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17,392</w:t>
            </w:r>
          </w:p>
        </w:tc>
      </w:tr>
      <w:tr w:rsidR="00B52551" w:rsidRPr="0034306F" w14:paraId="6E76E7EF"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BCEB8F6" w14:textId="7245F45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Beechworth Health Service</w:t>
            </w:r>
          </w:p>
        </w:tc>
        <w:tc>
          <w:tcPr>
            <w:tcW w:w="1236" w:type="dxa"/>
            <w:tcBorders>
              <w:top w:val="nil"/>
              <w:left w:val="nil"/>
              <w:bottom w:val="single" w:sz="4" w:space="0" w:color="auto"/>
              <w:right w:val="single" w:sz="4" w:space="0" w:color="auto"/>
            </w:tcBorders>
            <w:shd w:val="clear" w:color="auto" w:fill="auto"/>
            <w:noWrap/>
            <w:vAlign w:val="center"/>
          </w:tcPr>
          <w:p w14:paraId="149A79A1" w14:textId="5AA0840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vAlign w:val="center"/>
          </w:tcPr>
          <w:p w14:paraId="0538DB2D" w14:textId="1E5E689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CFDF9" w14:textId="533B750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4BE8353D" w14:textId="69FC959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w:t>
            </w:r>
          </w:p>
        </w:tc>
        <w:tc>
          <w:tcPr>
            <w:tcW w:w="1236" w:type="dxa"/>
            <w:tcBorders>
              <w:top w:val="nil"/>
              <w:left w:val="nil"/>
              <w:bottom w:val="single" w:sz="4" w:space="0" w:color="auto"/>
              <w:right w:val="single" w:sz="4" w:space="0" w:color="auto"/>
            </w:tcBorders>
            <w:shd w:val="clear" w:color="auto" w:fill="auto"/>
            <w:noWrap/>
            <w:vAlign w:val="center"/>
          </w:tcPr>
          <w:p w14:paraId="264F41B3" w14:textId="34EF79F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49983004" w14:textId="23CE6A23"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w:t>
            </w:r>
          </w:p>
        </w:tc>
      </w:tr>
      <w:tr w:rsidR="00B52551" w:rsidRPr="0034306F" w14:paraId="3729B186"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2ACBDE6" w14:textId="36339B4C"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Benalla Health</w:t>
            </w:r>
          </w:p>
        </w:tc>
        <w:tc>
          <w:tcPr>
            <w:tcW w:w="1236" w:type="dxa"/>
            <w:tcBorders>
              <w:top w:val="nil"/>
              <w:left w:val="nil"/>
              <w:bottom w:val="single" w:sz="4" w:space="0" w:color="auto"/>
              <w:right w:val="single" w:sz="4" w:space="0" w:color="auto"/>
            </w:tcBorders>
            <w:shd w:val="clear" w:color="auto" w:fill="auto"/>
            <w:noWrap/>
            <w:vAlign w:val="center"/>
          </w:tcPr>
          <w:p w14:paraId="17FE06FC" w14:textId="54F4573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3,598</w:t>
            </w:r>
          </w:p>
        </w:tc>
        <w:tc>
          <w:tcPr>
            <w:tcW w:w="1237" w:type="dxa"/>
            <w:tcBorders>
              <w:top w:val="nil"/>
              <w:left w:val="nil"/>
              <w:bottom w:val="single" w:sz="4" w:space="0" w:color="auto"/>
              <w:right w:val="single" w:sz="4" w:space="0" w:color="auto"/>
            </w:tcBorders>
            <w:vAlign w:val="center"/>
          </w:tcPr>
          <w:p w14:paraId="075EB0A4" w14:textId="2B68EA1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B34CE" w14:textId="59A8EA9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36</w:t>
            </w:r>
          </w:p>
        </w:tc>
        <w:tc>
          <w:tcPr>
            <w:tcW w:w="1237" w:type="dxa"/>
            <w:tcBorders>
              <w:top w:val="nil"/>
              <w:left w:val="nil"/>
              <w:bottom w:val="single" w:sz="4" w:space="0" w:color="auto"/>
              <w:right w:val="single" w:sz="4" w:space="0" w:color="auto"/>
            </w:tcBorders>
            <w:shd w:val="clear" w:color="auto" w:fill="auto"/>
            <w:noWrap/>
            <w:vAlign w:val="center"/>
          </w:tcPr>
          <w:p w14:paraId="0115A9A4" w14:textId="6AF3110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center"/>
          </w:tcPr>
          <w:p w14:paraId="3719B426" w14:textId="4BFC709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w:t>
            </w:r>
          </w:p>
        </w:tc>
        <w:tc>
          <w:tcPr>
            <w:tcW w:w="1237" w:type="dxa"/>
            <w:tcBorders>
              <w:top w:val="nil"/>
              <w:left w:val="nil"/>
              <w:bottom w:val="single" w:sz="4" w:space="0" w:color="auto"/>
              <w:right w:val="single" w:sz="4" w:space="0" w:color="auto"/>
            </w:tcBorders>
            <w:shd w:val="clear" w:color="auto" w:fill="auto"/>
            <w:noWrap/>
            <w:vAlign w:val="center"/>
          </w:tcPr>
          <w:p w14:paraId="7020D8CA" w14:textId="6D6AF08C"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3,648</w:t>
            </w:r>
          </w:p>
        </w:tc>
      </w:tr>
      <w:tr w:rsidR="00B52551" w:rsidRPr="0034306F" w14:paraId="34BB3B87"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58C2A22" w14:textId="6BD30D86"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Bendigo Health</w:t>
            </w:r>
          </w:p>
        </w:tc>
        <w:tc>
          <w:tcPr>
            <w:tcW w:w="1236" w:type="dxa"/>
            <w:tcBorders>
              <w:top w:val="nil"/>
              <w:left w:val="nil"/>
              <w:bottom w:val="single" w:sz="4" w:space="0" w:color="auto"/>
              <w:right w:val="single" w:sz="4" w:space="0" w:color="auto"/>
            </w:tcBorders>
            <w:shd w:val="clear" w:color="auto" w:fill="auto"/>
            <w:noWrap/>
            <w:vAlign w:val="center"/>
          </w:tcPr>
          <w:p w14:paraId="7D394CFD" w14:textId="07D2F2F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71,792</w:t>
            </w:r>
          </w:p>
        </w:tc>
        <w:tc>
          <w:tcPr>
            <w:tcW w:w="1237" w:type="dxa"/>
            <w:tcBorders>
              <w:top w:val="nil"/>
              <w:left w:val="nil"/>
              <w:bottom w:val="single" w:sz="4" w:space="0" w:color="auto"/>
              <w:right w:val="single" w:sz="4" w:space="0" w:color="auto"/>
            </w:tcBorders>
            <w:vAlign w:val="center"/>
          </w:tcPr>
          <w:p w14:paraId="1A4B82AB" w14:textId="429CD2E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4,919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09E3B" w14:textId="4089456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161</w:t>
            </w:r>
          </w:p>
        </w:tc>
        <w:tc>
          <w:tcPr>
            <w:tcW w:w="1237" w:type="dxa"/>
            <w:tcBorders>
              <w:top w:val="nil"/>
              <w:left w:val="nil"/>
              <w:bottom w:val="single" w:sz="4" w:space="0" w:color="auto"/>
              <w:right w:val="single" w:sz="4" w:space="0" w:color="auto"/>
            </w:tcBorders>
            <w:shd w:val="clear" w:color="auto" w:fill="auto"/>
            <w:noWrap/>
            <w:vAlign w:val="center"/>
          </w:tcPr>
          <w:p w14:paraId="0D231B8C" w14:textId="7F0EC73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293</w:t>
            </w:r>
          </w:p>
        </w:tc>
        <w:tc>
          <w:tcPr>
            <w:tcW w:w="1236" w:type="dxa"/>
            <w:tcBorders>
              <w:top w:val="nil"/>
              <w:left w:val="nil"/>
              <w:bottom w:val="single" w:sz="4" w:space="0" w:color="auto"/>
              <w:right w:val="single" w:sz="4" w:space="0" w:color="auto"/>
            </w:tcBorders>
            <w:shd w:val="clear" w:color="auto" w:fill="auto"/>
            <w:noWrap/>
            <w:vAlign w:val="center"/>
          </w:tcPr>
          <w:p w14:paraId="16E482BC" w14:textId="647B210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155</w:t>
            </w:r>
          </w:p>
        </w:tc>
        <w:tc>
          <w:tcPr>
            <w:tcW w:w="1237" w:type="dxa"/>
            <w:tcBorders>
              <w:top w:val="nil"/>
              <w:left w:val="nil"/>
              <w:bottom w:val="single" w:sz="4" w:space="0" w:color="auto"/>
              <w:right w:val="single" w:sz="4" w:space="0" w:color="auto"/>
            </w:tcBorders>
            <w:shd w:val="clear" w:color="auto" w:fill="auto"/>
            <w:noWrap/>
            <w:vAlign w:val="center"/>
          </w:tcPr>
          <w:p w14:paraId="5778149A" w14:textId="1ABB0AE2"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77,320</w:t>
            </w:r>
          </w:p>
        </w:tc>
      </w:tr>
      <w:tr w:rsidR="00B52551" w:rsidRPr="0034306F" w14:paraId="03588BE1"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DE76CE2" w14:textId="6DD0866F"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Calvary Health Care Bethlehem Limited</w:t>
            </w:r>
          </w:p>
        </w:tc>
        <w:tc>
          <w:tcPr>
            <w:tcW w:w="1236" w:type="dxa"/>
            <w:tcBorders>
              <w:top w:val="nil"/>
              <w:left w:val="nil"/>
              <w:bottom w:val="single" w:sz="4" w:space="0" w:color="auto"/>
              <w:right w:val="single" w:sz="4" w:space="0" w:color="auto"/>
            </w:tcBorders>
            <w:shd w:val="clear" w:color="auto" w:fill="auto"/>
            <w:noWrap/>
            <w:vAlign w:val="center"/>
          </w:tcPr>
          <w:p w14:paraId="0248CE7B" w14:textId="0086DD9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3,165</w:t>
            </w:r>
          </w:p>
        </w:tc>
        <w:tc>
          <w:tcPr>
            <w:tcW w:w="1237" w:type="dxa"/>
            <w:tcBorders>
              <w:top w:val="nil"/>
              <w:left w:val="nil"/>
              <w:bottom w:val="single" w:sz="4" w:space="0" w:color="auto"/>
              <w:right w:val="single" w:sz="4" w:space="0" w:color="auto"/>
            </w:tcBorders>
            <w:vAlign w:val="center"/>
          </w:tcPr>
          <w:p w14:paraId="3E25F6E3" w14:textId="75A6AEC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30C4" w14:textId="1765085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4AC4B8ED" w14:textId="2BF3560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center"/>
          </w:tcPr>
          <w:p w14:paraId="77F7413F" w14:textId="4F40932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638F1654" w14:textId="439C22AD"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3,165</w:t>
            </w:r>
          </w:p>
        </w:tc>
      </w:tr>
      <w:tr w:rsidR="00B52551" w:rsidRPr="0034306F" w14:paraId="4FC7E2E8"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6FAF7C6" w14:textId="71661C36"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Central Gippsland Health Service</w:t>
            </w:r>
          </w:p>
        </w:tc>
        <w:tc>
          <w:tcPr>
            <w:tcW w:w="1236" w:type="dxa"/>
            <w:tcBorders>
              <w:top w:val="nil"/>
              <w:left w:val="nil"/>
              <w:bottom w:val="single" w:sz="4" w:space="0" w:color="auto"/>
              <w:right w:val="single" w:sz="4" w:space="0" w:color="auto"/>
            </w:tcBorders>
            <w:shd w:val="clear" w:color="auto" w:fill="auto"/>
            <w:noWrap/>
            <w:vAlign w:val="center"/>
          </w:tcPr>
          <w:p w14:paraId="15005A3F" w14:textId="61ECAE7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11,560</w:t>
            </w:r>
          </w:p>
        </w:tc>
        <w:tc>
          <w:tcPr>
            <w:tcW w:w="1237" w:type="dxa"/>
            <w:tcBorders>
              <w:top w:val="nil"/>
              <w:left w:val="nil"/>
              <w:bottom w:val="single" w:sz="4" w:space="0" w:color="auto"/>
              <w:right w:val="single" w:sz="4" w:space="0" w:color="auto"/>
            </w:tcBorders>
            <w:vAlign w:val="center"/>
          </w:tcPr>
          <w:p w14:paraId="4992EB58" w14:textId="1332536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B5B3F" w14:textId="2637EFB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42</w:t>
            </w:r>
          </w:p>
        </w:tc>
        <w:tc>
          <w:tcPr>
            <w:tcW w:w="1237" w:type="dxa"/>
            <w:tcBorders>
              <w:top w:val="nil"/>
              <w:left w:val="nil"/>
              <w:bottom w:val="single" w:sz="4" w:space="0" w:color="auto"/>
              <w:right w:val="single" w:sz="4" w:space="0" w:color="auto"/>
            </w:tcBorders>
            <w:shd w:val="clear" w:color="auto" w:fill="auto"/>
            <w:noWrap/>
            <w:vAlign w:val="center"/>
          </w:tcPr>
          <w:p w14:paraId="5FC85647" w14:textId="19F94EB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w:t>
            </w:r>
          </w:p>
        </w:tc>
        <w:tc>
          <w:tcPr>
            <w:tcW w:w="1236" w:type="dxa"/>
            <w:tcBorders>
              <w:top w:val="nil"/>
              <w:left w:val="nil"/>
              <w:bottom w:val="single" w:sz="4" w:space="0" w:color="auto"/>
              <w:right w:val="single" w:sz="4" w:space="0" w:color="auto"/>
            </w:tcBorders>
            <w:shd w:val="clear" w:color="auto" w:fill="auto"/>
            <w:noWrap/>
            <w:vAlign w:val="center"/>
          </w:tcPr>
          <w:p w14:paraId="23A2CC31" w14:textId="74ACA37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12</w:t>
            </w:r>
          </w:p>
        </w:tc>
        <w:tc>
          <w:tcPr>
            <w:tcW w:w="1237" w:type="dxa"/>
            <w:tcBorders>
              <w:top w:val="nil"/>
              <w:left w:val="nil"/>
              <w:bottom w:val="single" w:sz="4" w:space="0" w:color="auto"/>
              <w:right w:val="single" w:sz="4" w:space="0" w:color="auto"/>
            </w:tcBorders>
            <w:shd w:val="clear" w:color="auto" w:fill="auto"/>
            <w:noWrap/>
            <w:vAlign w:val="center"/>
          </w:tcPr>
          <w:p w14:paraId="37804AF1" w14:textId="59A93343"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11,620</w:t>
            </w:r>
          </w:p>
        </w:tc>
      </w:tr>
      <w:tr w:rsidR="00B52551" w:rsidRPr="0034306F" w14:paraId="0000DCA5"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258B293" w14:textId="3757A2E4"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Colac Area Health</w:t>
            </w:r>
          </w:p>
        </w:tc>
        <w:tc>
          <w:tcPr>
            <w:tcW w:w="1236" w:type="dxa"/>
            <w:tcBorders>
              <w:top w:val="nil"/>
              <w:left w:val="nil"/>
              <w:bottom w:val="single" w:sz="4" w:space="0" w:color="auto"/>
              <w:right w:val="single" w:sz="4" w:space="0" w:color="auto"/>
            </w:tcBorders>
            <w:shd w:val="clear" w:color="auto" w:fill="auto"/>
            <w:noWrap/>
            <w:vAlign w:val="center"/>
          </w:tcPr>
          <w:p w14:paraId="5FC79881" w14:textId="7816107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6,088</w:t>
            </w:r>
          </w:p>
        </w:tc>
        <w:tc>
          <w:tcPr>
            <w:tcW w:w="1237" w:type="dxa"/>
            <w:tcBorders>
              <w:top w:val="nil"/>
              <w:left w:val="nil"/>
              <w:bottom w:val="single" w:sz="4" w:space="0" w:color="auto"/>
              <w:right w:val="single" w:sz="4" w:space="0" w:color="auto"/>
            </w:tcBorders>
            <w:vAlign w:val="center"/>
          </w:tcPr>
          <w:p w14:paraId="0732644F" w14:textId="3178565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EDD34" w14:textId="43FAA17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w:t>
            </w:r>
          </w:p>
        </w:tc>
        <w:tc>
          <w:tcPr>
            <w:tcW w:w="1237" w:type="dxa"/>
            <w:tcBorders>
              <w:top w:val="nil"/>
              <w:left w:val="nil"/>
              <w:bottom w:val="single" w:sz="4" w:space="0" w:color="auto"/>
              <w:right w:val="single" w:sz="4" w:space="0" w:color="auto"/>
            </w:tcBorders>
            <w:shd w:val="clear" w:color="auto" w:fill="auto"/>
            <w:noWrap/>
            <w:vAlign w:val="center"/>
          </w:tcPr>
          <w:p w14:paraId="0DB8D7B4" w14:textId="0C55AEE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w:t>
            </w:r>
          </w:p>
        </w:tc>
        <w:tc>
          <w:tcPr>
            <w:tcW w:w="1236" w:type="dxa"/>
            <w:tcBorders>
              <w:top w:val="nil"/>
              <w:left w:val="nil"/>
              <w:bottom w:val="single" w:sz="4" w:space="0" w:color="auto"/>
              <w:right w:val="single" w:sz="4" w:space="0" w:color="auto"/>
            </w:tcBorders>
            <w:shd w:val="clear" w:color="auto" w:fill="auto"/>
            <w:noWrap/>
            <w:vAlign w:val="center"/>
          </w:tcPr>
          <w:p w14:paraId="0737D6A2" w14:textId="2AB92EA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0431A7D9" w14:textId="01990D6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6,092</w:t>
            </w:r>
          </w:p>
        </w:tc>
      </w:tr>
      <w:tr w:rsidR="00B52551" w:rsidRPr="0034306F" w14:paraId="5DA8344A"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C1D4AE2" w14:textId="29F1D79F"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Corryong Health</w:t>
            </w:r>
          </w:p>
        </w:tc>
        <w:tc>
          <w:tcPr>
            <w:tcW w:w="1236" w:type="dxa"/>
            <w:tcBorders>
              <w:top w:val="nil"/>
              <w:left w:val="nil"/>
              <w:bottom w:val="single" w:sz="4" w:space="0" w:color="auto"/>
              <w:right w:val="single" w:sz="4" w:space="0" w:color="auto"/>
            </w:tcBorders>
            <w:shd w:val="clear" w:color="auto" w:fill="auto"/>
            <w:noWrap/>
            <w:vAlign w:val="center"/>
          </w:tcPr>
          <w:p w14:paraId="4ACE88A2" w14:textId="497473A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vAlign w:val="center"/>
          </w:tcPr>
          <w:p w14:paraId="705C8FE2" w14:textId="75C05AF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8B38F" w14:textId="2B56ED2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2ADD4280" w14:textId="444DDA6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w:t>
            </w:r>
          </w:p>
        </w:tc>
        <w:tc>
          <w:tcPr>
            <w:tcW w:w="1236" w:type="dxa"/>
            <w:tcBorders>
              <w:top w:val="nil"/>
              <w:left w:val="nil"/>
              <w:bottom w:val="single" w:sz="4" w:space="0" w:color="auto"/>
              <w:right w:val="single" w:sz="4" w:space="0" w:color="auto"/>
            </w:tcBorders>
            <w:shd w:val="clear" w:color="auto" w:fill="auto"/>
            <w:noWrap/>
            <w:vAlign w:val="center"/>
          </w:tcPr>
          <w:p w14:paraId="054D0245" w14:textId="6FFF0BA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765CB567" w14:textId="23BE7F3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5</w:t>
            </w:r>
          </w:p>
        </w:tc>
      </w:tr>
      <w:tr w:rsidR="00B52551" w:rsidRPr="0034306F" w14:paraId="0FE67C98"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8EAEF19" w14:textId="7FA16308"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Dhelkaya Health</w:t>
            </w:r>
          </w:p>
        </w:tc>
        <w:tc>
          <w:tcPr>
            <w:tcW w:w="1236" w:type="dxa"/>
            <w:tcBorders>
              <w:top w:val="nil"/>
              <w:left w:val="nil"/>
              <w:bottom w:val="single" w:sz="4" w:space="0" w:color="auto"/>
              <w:right w:val="single" w:sz="4" w:space="0" w:color="auto"/>
            </w:tcBorders>
            <w:shd w:val="clear" w:color="auto" w:fill="auto"/>
            <w:noWrap/>
            <w:vAlign w:val="center"/>
          </w:tcPr>
          <w:p w14:paraId="07E3615C" w14:textId="4151C01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5,300</w:t>
            </w:r>
          </w:p>
        </w:tc>
        <w:tc>
          <w:tcPr>
            <w:tcW w:w="1237" w:type="dxa"/>
            <w:tcBorders>
              <w:top w:val="nil"/>
              <w:left w:val="nil"/>
              <w:bottom w:val="single" w:sz="4" w:space="0" w:color="auto"/>
              <w:right w:val="single" w:sz="4" w:space="0" w:color="auto"/>
            </w:tcBorders>
            <w:vAlign w:val="center"/>
          </w:tcPr>
          <w:p w14:paraId="391AC0A4" w14:textId="498C34D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D3296" w14:textId="507F82D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10</w:t>
            </w:r>
          </w:p>
        </w:tc>
        <w:tc>
          <w:tcPr>
            <w:tcW w:w="1237" w:type="dxa"/>
            <w:tcBorders>
              <w:top w:val="nil"/>
              <w:left w:val="nil"/>
              <w:bottom w:val="single" w:sz="4" w:space="0" w:color="auto"/>
              <w:right w:val="single" w:sz="4" w:space="0" w:color="auto"/>
            </w:tcBorders>
            <w:shd w:val="clear" w:color="auto" w:fill="auto"/>
            <w:noWrap/>
            <w:vAlign w:val="center"/>
          </w:tcPr>
          <w:p w14:paraId="5C6A8A9E" w14:textId="227809A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center"/>
          </w:tcPr>
          <w:p w14:paraId="7E54BF56" w14:textId="5455929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32</w:t>
            </w:r>
          </w:p>
        </w:tc>
        <w:tc>
          <w:tcPr>
            <w:tcW w:w="1237" w:type="dxa"/>
            <w:tcBorders>
              <w:top w:val="nil"/>
              <w:left w:val="nil"/>
              <w:bottom w:val="single" w:sz="4" w:space="0" w:color="auto"/>
              <w:right w:val="single" w:sz="4" w:space="0" w:color="auto"/>
            </w:tcBorders>
            <w:shd w:val="clear" w:color="auto" w:fill="auto"/>
            <w:noWrap/>
            <w:vAlign w:val="center"/>
          </w:tcPr>
          <w:p w14:paraId="143D54AF" w14:textId="77CAE80D"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5,343</w:t>
            </w:r>
          </w:p>
        </w:tc>
      </w:tr>
      <w:tr w:rsidR="00B52551" w:rsidRPr="0034306F" w14:paraId="690E79AB"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8467D7B" w14:textId="1BAC61A4"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East Grampians Health Service</w:t>
            </w:r>
          </w:p>
        </w:tc>
        <w:tc>
          <w:tcPr>
            <w:tcW w:w="1236" w:type="dxa"/>
            <w:tcBorders>
              <w:top w:val="nil"/>
              <w:left w:val="nil"/>
              <w:bottom w:val="single" w:sz="4" w:space="0" w:color="auto"/>
              <w:right w:val="single" w:sz="4" w:space="0" w:color="auto"/>
            </w:tcBorders>
            <w:shd w:val="clear" w:color="auto" w:fill="auto"/>
            <w:noWrap/>
            <w:vAlign w:val="center"/>
          </w:tcPr>
          <w:p w14:paraId="63489C3E" w14:textId="5D2CFDDA"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5,013</w:t>
            </w:r>
          </w:p>
        </w:tc>
        <w:tc>
          <w:tcPr>
            <w:tcW w:w="1237" w:type="dxa"/>
            <w:tcBorders>
              <w:top w:val="nil"/>
              <w:left w:val="nil"/>
              <w:bottom w:val="single" w:sz="4" w:space="0" w:color="auto"/>
              <w:right w:val="single" w:sz="4" w:space="0" w:color="auto"/>
            </w:tcBorders>
            <w:vAlign w:val="center"/>
          </w:tcPr>
          <w:p w14:paraId="739ED814" w14:textId="5FCCF14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46423" w14:textId="5B02524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w:t>
            </w:r>
          </w:p>
        </w:tc>
        <w:tc>
          <w:tcPr>
            <w:tcW w:w="1237" w:type="dxa"/>
            <w:tcBorders>
              <w:top w:val="nil"/>
              <w:left w:val="nil"/>
              <w:bottom w:val="single" w:sz="4" w:space="0" w:color="auto"/>
              <w:right w:val="single" w:sz="4" w:space="0" w:color="auto"/>
            </w:tcBorders>
            <w:shd w:val="clear" w:color="auto" w:fill="auto"/>
            <w:noWrap/>
            <w:vAlign w:val="center"/>
          </w:tcPr>
          <w:p w14:paraId="021269B6" w14:textId="799B0F0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center"/>
          </w:tcPr>
          <w:p w14:paraId="176E1A2D" w14:textId="1465CDE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75EEE685" w14:textId="3CAE72E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5,024</w:t>
            </w:r>
          </w:p>
        </w:tc>
      </w:tr>
      <w:tr w:rsidR="00B52551" w:rsidRPr="0034306F" w14:paraId="7C63D7CA"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B5E90FA" w14:textId="1D12A2B2"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Eastern Health</w:t>
            </w:r>
          </w:p>
        </w:tc>
        <w:tc>
          <w:tcPr>
            <w:tcW w:w="1236" w:type="dxa"/>
            <w:tcBorders>
              <w:top w:val="nil"/>
              <w:left w:val="nil"/>
              <w:bottom w:val="single" w:sz="4" w:space="0" w:color="auto"/>
              <w:right w:val="single" w:sz="4" w:space="0" w:color="auto"/>
            </w:tcBorders>
            <w:shd w:val="clear" w:color="auto" w:fill="auto"/>
            <w:noWrap/>
            <w:vAlign w:val="center"/>
          </w:tcPr>
          <w:p w14:paraId="25ECAA54" w14:textId="4423258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176,654</w:t>
            </w:r>
          </w:p>
        </w:tc>
        <w:tc>
          <w:tcPr>
            <w:tcW w:w="1237" w:type="dxa"/>
            <w:tcBorders>
              <w:top w:val="nil"/>
              <w:left w:val="nil"/>
              <w:bottom w:val="single" w:sz="4" w:space="0" w:color="auto"/>
              <w:right w:val="single" w:sz="4" w:space="0" w:color="auto"/>
            </w:tcBorders>
            <w:vAlign w:val="center"/>
          </w:tcPr>
          <w:p w14:paraId="034F1463" w14:textId="5C95333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9,538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DD277" w14:textId="219D113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155</w:t>
            </w:r>
          </w:p>
        </w:tc>
        <w:tc>
          <w:tcPr>
            <w:tcW w:w="1237" w:type="dxa"/>
            <w:tcBorders>
              <w:top w:val="nil"/>
              <w:left w:val="nil"/>
              <w:bottom w:val="single" w:sz="4" w:space="0" w:color="auto"/>
              <w:right w:val="single" w:sz="4" w:space="0" w:color="auto"/>
            </w:tcBorders>
            <w:shd w:val="clear" w:color="auto" w:fill="auto"/>
            <w:noWrap/>
            <w:vAlign w:val="center"/>
          </w:tcPr>
          <w:p w14:paraId="720FD10F" w14:textId="012C345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157</w:t>
            </w:r>
          </w:p>
        </w:tc>
        <w:tc>
          <w:tcPr>
            <w:tcW w:w="1236" w:type="dxa"/>
            <w:tcBorders>
              <w:top w:val="nil"/>
              <w:left w:val="nil"/>
              <w:bottom w:val="single" w:sz="4" w:space="0" w:color="auto"/>
              <w:right w:val="single" w:sz="4" w:space="0" w:color="auto"/>
            </w:tcBorders>
            <w:shd w:val="clear" w:color="auto" w:fill="auto"/>
            <w:noWrap/>
            <w:vAlign w:val="center"/>
          </w:tcPr>
          <w:p w14:paraId="63D41543" w14:textId="29EABD1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231</w:t>
            </w:r>
          </w:p>
        </w:tc>
        <w:tc>
          <w:tcPr>
            <w:tcW w:w="1237" w:type="dxa"/>
            <w:tcBorders>
              <w:top w:val="nil"/>
              <w:left w:val="nil"/>
              <w:bottom w:val="single" w:sz="4" w:space="0" w:color="auto"/>
              <w:right w:val="single" w:sz="4" w:space="0" w:color="auto"/>
            </w:tcBorders>
            <w:shd w:val="clear" w:color="auto" w:fill="auto"/>
            <w:noWrap/>
            <w:vAlign w:val="center"/>
          </w:tcPr>
          <w:p w14:paraId="5A40A0C0" w14:textId="6E49E01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186,735</w:t>
            </w:r>
          </w:p>
        </w:tc>
      </w:tr>
      <w:tr w:rsidR="00B52551" w:rsidRPr="0034306F" w14:paraId="70F09763"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D5A4BC2" w14:textId="3A71906C"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Echuca Regional Health</w:t>
            </w:r>
          </w:p>
        </w:tc>
        <w:tc>
          <w:tcPr>
            <w:tcW w:w="1236" w:type="dxa"/>
            <w:tcBorders>
              <w:top w:val="nil"/>
              <w:left w:val="nil"/>
              <w:bottom w:val="single" w:sz="4" w:space="0" w:color="auto"/>
              <w:right w:val="single" w:sz="4" w:space="0" w:color="auto"/>
            </w:tcBorders>
            <w:shd w:val="clear" w:color="auto" w:fill="auto"/>
            <w:noWrap/>
            <w:vAlign w:val="center"/>
          </w:tcPr>
          <w:p w14:paraId="2C191031" w14:textId="6DC2673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17,411</w:t>
            </w:r>
          </w:p>
        </w:tc>
        <w:tc>
          <w:tcPr>
            <w:tcW w:w="1237" w:type="dxa"/>
            <w:tcBorders>
              <w:top w:val="nil"/>
              <w:left w:val="nil"/>
              <w:bottom w:val="single" w:sz="4" w:space="0" w:color="auto"/>
              <w:right w:val="single" w:sz="4" w:space="0" w:color="auto"/>
            </w:tcBorders>
            <w:vAlign w:val="center"/>
          </w:tcPr>
          <w:p w14:paraId="588F02EA" w14:textId="108E552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FA00E" w14:textId="3EE3C7E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29</w:t>
            </w:r>
          </w:p>
        </w:tc>
        <w:tc>
          <w:tcPr>
            <w:tcW w:w="1237" w:type="dxa"/>
            <w:tcBorders>
              <w:top w:val="nil"/>
              <w:left w:val="nil"/>
              <w:bottom w:val="single" w:sz="4" w:space="0" w:color="auto"/>
              <w:right w:val="single" w:sz="4" w:space="0" w:color="auto"/>
            </w:tcBorders>
            <w:shd w:val="clear" w:color="auto" w:fill="auto"/>
            <w:noWrap/>
            <w:vAlign w:val="center"/>
          </w:tcPr>
          <w:p w14:paraId="325BF2C8" w14:textId="012F2D3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12</w:t>
            </w:r>
          </w:p>
        </w:tc>
        <w:tc>
          <w:tcPr>
            <w:tcW w:w="1236" w:type="dxa"/>
            <w:tcBorders>
              <w:top w:val="nil"/>
              <w:left w:val="nil"/>
              <w:bottom w:val="single" w:sz="4" w:space="0" w:color="auto"/>
              <w:right w:val="single" w:sz="4" w:space="0" w:color="auto"/>
            </w:tcBorders>
            <w:shd w:val="clear" w:color="auto" w:fill="auto"/>
            <w:noWrap/>
            <w:vAlign w:val="center"/>
          </w:tcPr>
          <w:p w14:paraId="0C7DB741" w14:textId="0C857B3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20</w:t>
            </w:r>
          </w:p>
        </w:tc>
        <w:tc>
          <w:tcPr>
            <w:tcW w:w="1237" w:type="dxa"/>
            <w:tcBorders>
              <w:top w:val="nil"/>
              <w:left w:val="nil"/>
              <w:bottom w:val="single" w:sz="4" w:space="0" w:color="auto"/>
              <w:right w:val="single" w:sz="4" w:space="0" w:color="auto"/>
            </w:tcBorders>
            <w:shd w:val="clear" w:color="auto" w:fill="auto"/>
            <w:noWrap/>
            <w:vAlign w:val="center"/>
          </w:tcPr>
          <w:p w14:paraId="4DEBFA5D" w14:textId="37A1761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17,472</w:t>
            </w:r>
          </w:p>
        </w:tc>
      </w:tr>
      <w:tr w:rsidR="00B52551" w:rsidRPr="0034306F" w14:paraId="7852C2EE"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8ECB224" w14:textId="769F2F4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Gippsland Southern Health Service</w:t>
            </w:r>
          </w:p>
        </w:tc>
        <w:tc>
          <w:tcPr>
            <w:tcW w:w="1236" w:type="dxa"/>
            <w:tcBorders>
              <w:top w:val="nil"/>
              <w:left w:val="nil"/>
              <w:bottom w:val="single" w:sz="4" w:space="0" w:color="auto"/>
              <w:right w:val="single" w:sz="4" w:space="0" w:color="auto"/>
            </w:tcBorders>
            <w:shd w:val="clear" w:color="auto" w:fill="auto"/>
            <w:noWrap/>
            <w:vAlign w:val="center"/>
          </w:tcPr>
          <w:p w14:paraId="0B7AEE9D" w14:textId="514B178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3,708</w:t>
            </w:r>
          </w:p>
        </w:tc>
        <w:tc>
          <w:tcPr>
            <w:tcW w:w="1237" w:type="dxa"/>
            <w:tcBorders>
              <w:top w:val="nil"/>
              <w:left w:val="nil"/>
              <w:bottom w:val="single" w:sz="4" w:space="0" w:color="auto"/>
              <w:right w:val="single" w:sz="4" w:space="0" w:color="auto"/>
            </w:tcBorders>
            <w:vAlign w:val="center"/>
          </w:tcPr>
          <w:p w14:paraId="0620C738" w14:textId="626AA1C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75C14" w14:textId="124A7DEA"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w:t>
            </w:r>
          </w:p>
        </w:tc>
        <w:tc>
          <w:tcPr>
            <w:tcW w:w="1237" w:type="dxa"/>
            <w:tcBorders>
              <w:top w:val="nil"/>
              <w:left w:val="nil"/>
              <w:bottom w:val="single" w:sz="4" w:space="0" w:color="auto"/>
              <w:right w:val="single" w:sz="4" w:space="0" w:color="auto"/>
            </w:tcBorders>
            <w:shd w:val="clear" w:color="auto" w:fill="auto"/>
            <w:noWrap/>
            <w:vAlign w:val="center"/>
          </w:tcPr>
          <w:p w14:paraId="0DE42F9B" w14:textId="4ECD366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0</w:t>
            </w:r>
          </w:p>
        </w:tc>
        <w:tc>
          <w:tcPr>
            <w:tcW w:w="1236" w:type="dxa"/>
            <w:tcBorders>
              <w:top w:val="nil"/>
              <w:left w:val="nil"/>
              <w:bottom w:val="single" w:sz="4" w:space="0" w:color="auto"/>
              <w:right w:val="single" w:sz="4" w:space="0" w:color="auto"/>
            </w:tcBorders>
            <w:shd w:val="clear" w:color="auto" w:fill="auto"/>
            <w:noWrap/>
            <w:vAlign w:val="center"/>
          </w:tcPr>
          <w:p w14:paraId="0602F39A" w14:textId="4DC1083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22</w:t>
            </w:r>
          </w:p>
        </w:tc>
        <w:tc>
          <w:tcPr>
            <w:tcW w:w="1237" w:type="dxa"/>
            <w:tcBorders>
              <w:top w:val="nil"/>
              <w:left w:val="nil"/>
              <w:bottom w:val="single" w:sz="4" w:space="0" w:color="auto"/>
              <w:right w:val="single" w:sz="4" w:space="0" w:color="auto"/>
            </w:tcBorders>
            <w:shd w:val="clear" w:color="auto" w:fill="auto"/>
            <w:noWrap/>
            <w:vAlign w:val="center"/>
          </w:tcPr>
          <w:p w14:paraId="3A480774" w14:textId="256771D8"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3,744</w:t>
            </w:r>
          </w:p>
        </w:tc>
      </w:tr>
      <w:tr w:rsidR="00B52551" w:rsidRPr="0034306F" w14:paraId="63F48766"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A0D23D7" w14:textId="3AE2973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Goulburn Valley Health</w:t>
            </w:r>
          </w:p>
        </w:tc>
        <w:tc>
          <w:tcPr>
            <w:tcW w:w="1236" w:type="dxa"/>
            <w:tcBorders>
              <w:top w:val="nil"/>
              <w:left w:val="nil"/>
              <w:bottom w:val="single" w:sz="4" w:space="0" w:color="auto"/>
              <w:right w:val="single" w:sz="4" w:space="0" w:color="auto"/>
            </w:tcBorders>
            <w:shd w:val="clear" w:color="auto" w:fill="auto"/>
            <w:noWrap/>
            <w:vAlign w:val="center"/>
          </w:tcPr>
          <w:p w14:paraId="0524C0DB" w14:textId="61F84F9A"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42,269</w:t>
            </w:r>
          </w:p>
        </w:tc>
        <w:tc>
          <w:tcPr>
            <w:tcW w:w="1237" w:type="dxa"/>
            <w:tcBorders>
              <w:top w:val="nil"/>
              <w:left w:val="nil"/>
              <w:bottom w:val="single" w:sz="4" w:space="0" w:color="auto"/>
              <w:right w:val="single" w:sz="4" w:space="0" w:color="auto"/>
            </w:tcBorders>
            <w:vAlign w:val="center"/>
          </w:tcPr>
          <w:p w14:paraId="6E074B8D" w14:textId="000A5E8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1,494</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A50B1" w14:textId="1B7BF63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75</w:t>
            </w:r>
          </w:p>
        </w:tc>
        <w:tc>
          <w:tcPr>
            <w:tcW w:w="1237" w:type="dxa"/>
            <w:tcBorders>
              <w:top w:val="nil"/>
              <w:left w:val="nil"/>
              <w:bottom w:val="single" w:sz="4" w:space="0" w:color="auto"/>
              <w:right w:val="single" w:sz="4" w:space="0" w:color="auto"/>
            </w:tcBorders>
            <w:shd w:val="clear" w:color="auto" w:fill="auto"/>
            <w:noWrap/>
            <w:vAlign w:val="center"/>
          </w:tcPr>
          <w:p w14:paraId="40266281" w14:textId="2154FB4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125</w:t>
            </w:r>
          </w:p>
        </w:tc>
        <w:tc>
          <w:tcPr>
            <w:tcW w:w="1236" w:type="dxa"/>
            <w:tcBorders>
              <w:top w:val="nil"/>
              <w:left w:val="nil"/>
              <w:bottom w:val="single" w:sz="4" w:space="0" w:color="auto"/>
              <w:right w:val="single" w:sz="4" w:space="0" w:color="auto"/>
            </w:tcBorders>
            <w:shd w:val="clear" w:color="auto" w:fill="auto"/>
            <w:noWrap/>
            <w:vAlign w:val="center"/>
          </w:tcPr>
          <w:p w14:paraId="1B9DBE4A" w14:textId="72987FF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92</w:t>
            </w:r>
          </w:p>
        </w:tc>
        <w:tc>
          <w:tcPr>
            <w:tcW w:w="1237" w:type="dxa"/>
            <w:tcBorders>
              <w:top w:val="nil"/>
              <w:left w:val="nil"/>
              <w:bottom w:val="single" w:sz="4" w:space="0" w:color="auto"/>
              <w:right w:val="single" w:sz="4" w:space="0" w:color="auto"/>
            </w:tcBorders>
            <w:shd w:val="clear" w:color="auto" w:fill="auto"/>
            <w:noWrap/>
            <w:vAlign w:val="center"/>
          </w:tcPr>
          <w:p w14:paraId="0D99E50B" w14:textId="2EE6A854"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44,055</w:t>
            </w:r>
          </w:p>
        </w:tc>
      </w:tr>
      <w:tr w:rsidR="00B52551" w:rsidRPr="0034306F" w14:paraId="72228EB3" w14:textId="77777777" w:rsidTr="000674C4">
        <w:trPr>
          <w:trHeight w:val="39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6FB3AEF" w14:textId="2D0C0466"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Grampians Health</w:t>
            </w:r>
          </w:p>
        </w:tc>
        <w:tc>
          <w:tcPr>
            <w:tcW w:w="1236" w:type="dxa"/>
            <w:tcBorders>
              <w:top w:val="nil"/>
              <w:left w:val="nil"/>
              <w:bottom w:val="single" w:sz="4" w:space="0" w:color="auto"/>
              <w:right w:val="single" w:sz="4" w:space="0" w:color="auto"/>
            </w:tcBorders>
            <w:shd w:val="clear" w:color="auto" w:fill="auto"/>
            <w:noWrap/>
            <w:vAlign w:val="center"/>
          </w:tcPr>
          <w:p w14:paraId="5F10A55C" w14:textId="58CE584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76,274</w:t>
            </w:r>
          </w:p>
        </w:tc>
        <w:tc>
          <w:tcPr>
            <w:tcW w:w="1237" w:type="dxa"/>
            <w:tcBorders>
              <w:top w:val="nil"/>
              <w:left w:val="nil"/>
              <w:bottom w:val="single" w:sz="4" w:space="0" w:color="auto"/>
              <w:right w:val="single" w:sz="4" w:space="0" w:color="auto"/>
            </w:tcBorders>
            <w:vAlign w:val="center"/>
          </w:tcPr>
          <w:p w14:paraId="1CA49FA7" w14:textId="1F32616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3,375</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8C5A" w14:textId="09D064D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115</w:t>
            </w:r>
          </w:p>
        </w:tc>
        <w:tc>
          <w:tcPr>
            <w:tcW w:w="1237" w:type="dxa"/>
            <w:tcBorders>
              <w:top w:val="nil"/>
              <w:left w:val="nil"/>
              <w:bottom w:val="single" w:sz="4" w:space="0" w:color="auto"/>
              <w:right w:val="single" w:sz="4" w:space="0" w:color="auto"/>
            </w:tcBorders>
            <w:shd w:val="clear" w:color="auto" w:fill="auto"/>
            <w:noWrap/>
            <w:vAlign w:val="center"/>
          </w:tcPr>
          <w:p w14:paraId="3B4E4BDC" w14:textId="2EAF060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253</w:t>
            </w:r>
          </w:p>
        </w:tc>
        <w:tc>
          <w:tcPr>
            <w:tcW w:w="1236" w:type="dxa"/>
            <w:tcBorders>
              <w:top w:val="nil"/>
              <w:left w:val="nil"/>
              <w:bottom w:val="single" w:sz="4" w:space="0" w:color="auto"/>
              <w:right w:val="single" w:sz="4" w:space="0" w:color="auto"/>
            </w:tcBorders>
            <w:shd w:val="clear" w:color="auto" w:fill="auto"/>
            <w:noWrap/>
            <w:vAlign w:val="center"/>
          </w:tcPr>
          <w:p w14:paraId="45C117CE" w14:textId="7E7B4BC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84</w:t>
            </w:r>
          </w:p>
        </w:tc>
        <w:tc>
          <w:tcPr>
            <w:tcW w:w="1237" w:type="dxa"/>
            <w:tcBorders>
              <w:top w:val="nil"/>
              <w:left w:val="nil"/>
              <w:bottom w:val="single" w:sz="4" w:space="0" w:color="auto"/>
              <w:right w:val="single" w:sz="4" w:space="0" w:color="auto"/>
            </w:tcBorders>
            <w:shd w:val="clear" w:color="auto" w:fill="auto"/>
            <w:noWrap/>
            <w:vAlign w:val="center"/>
          </w:tcPr>
          <w:p w14:paraId="1BBB0E5C" w14:textId="7838C5D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80,101</w:t>
            </w:r>
          </w:p>
        </w:tc>
      </w:tr>
      <w:tr w:rsidR="00B52551" w:rsidRPr="0034306F" w14:paraId="7E81EDBA"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2C95A78" w14:textId="6B04785C"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Kyabram District Health Service</w:t>
            </w:r>
          </w:p>
        </w:tc>
        <w:tc>
          <w:tcPr>
            <w:tcW w:w="1236" w:type="dxa"/>
            <w:tcBorders>
              <w:top w:val="nil"/>
              <w:left w:val="nil"/>
              <w:bottom w:val="single" w:sz="4" w:space="0" w:color="auto"/>
              <w:right w:val="single" w:sz="4" w:space="0" w:color="auto"/>
            </w:tcBorders>
            <w:shd w:val="clear" w:color="auto" w:fill="auto"/>
            <w:noWrap/>
            <w:vAlign w:val="center"/>
          </w:tcPr>
          <w:p w14:paraId="71A087BB" w14:textId="4488DA3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2,951</w:t>
            </w:r>
          </w:p>
        </w:tc>
        <w:tc>
          <w:tcPr>
            <w:tcW w:w="1237" w:type="dxa"/>
            <w:tcBorders>
              <w:top w:val="nil"/>
              <w:left w:val="nil"/>
              <w:bottom w:val="single" w:sz="4" w:space="0" w:color="auto"/>
              <w:right w:val="single" w:sz="4" w:space="0" w:color="auto"/>
            </w:tcBorders>
            <w:vAlign w:val="center"/>
          </w:tcPr>
          <w:p w14:paraId="3683FE7B" w14:textId="18FF9A4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67DBE" w14:textId="05F9F18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w:t>
            </w:r>
          </w:p>
        </w:tc>
        <w:tc>
          <w:tcPr>
            <w:tcW w:w="1237" w:type="dxa"/>
            <w:tcBorders>
              <w:top w:val="nil"/>
              <w:left w:val="nil"/>
              <w:bottom w:val="single" w:sz="4" w:space="0" w:color="auto"/>
              <w:right w:val="single" w:sz="4" w:space="0" w:color="auto"/>
            </w:tcBorders>
            <w:shd w:val="clear" w:color="auto" w:fill="auto"/>
            <w:noWrap/>
            <w:vAlign w:val="center"/>
          </w:tcPr>
          <w:p w14:paraId="59D29952" w14:textId="6CCD1443" w:rsidR="00B52551" w:rsidRPr="0034306F" w:rsidRDefault="00B52551" w:rsidP="00B52551">
            <w:pPr>
              <w:spacing w:after="0" w:line="240" w:lineRule="auto"/>
              <w:jc w:val="right"/>
              <w:rPr>
                <w:rFonts w:cs="Arial"/>
                <w:color w:val="000000"/>
                <w:sz w:val="16"/>
                <w:szCs w:val="16"/>
                <w:lang w:eastAsia="en-AU"/>
              </w:rPr>
            </w:pPr>
          </w:p>
        </w:tc>
        <w:tc>
          <w:tcPr>
            <w:tcW w:w="1236" w:type="dxa"/>
            <w:tcBorders>
              <w:top w:val="nil"/>
              <w:left w:val="nil"/>
              <w:bottom w:val="single" w:sz="4" w:space="0" w:color="auto"/>
              <w:right w:val="single" w:sz="4" w:space="0" w:color="auto"/>
            </w:tcBorders>
            <w:shd w:val="clear" w:color="auto" w:fill="auto"/>
            <w:noWrap/>
            <w:vAlign w:val="center"/>
          </w:tcPr>
          <w:p w14:paraId="7F50BA93" w14:textId="70EE82E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57129243" w14:textId="645C572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2,958</w:t>
            </w:r>
          </w:p>
        </w:tc>
      </w:tr>
      <w:tr w:rsidR="00B52551" w:rsidRPr="0034306F" w14:paraId="6C88FC91"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989ED28" w14:textId="11930CE3"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Latrobe Regional Health</w:t>
            </w:r>
          </w:p>
        </w:tc>
        <w:tc>
          <w:tcPr>
            <w:tcW w:w="1236" w:type="dxa"/>
            <w:tcBorders>
              <w:top w:val="nil"/>
              <w:left w:val="nil"/>
              <w:bottom w:val="single" w:sz="4" w:space="0" w:color="auto"/>
              <w:right w:val="single" w:sz="4" w:space="0" w:color="auto"/>
            </w:tcBorders>
            <w:shd w:val="clear" w:color="auto" w:fill="auto"/>
            <w:noWrap/>
            <w:vAlign w:val="center"/>
          </w:tcPr>
          <w:p w14:paraId="1B5C09A6" w14:textId="3A9B369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42,974</w:t>
            </w:r>
          </w:p>
        </w:tc>
        <w:tc>
          <w:tcPr>
            <w:tcW w:w="1237" w:type="dxa"/>
            <w:tcBorders>
              <w:top w:val="nil"/>
              <w:left w:val="nil"/>
              <w:bottom w:val="single" w:sz="4" w:space="0" w:color="auto"/>
              <w:right w:val="single" w:sz="4" w:space="0" w:color="auto"/>
            </w:tcBorders>
            <w:vAlign w:val="center"/>
          </w:tcPr>
          <w:p w14:paraId="34EAF148" w14:textId="3E69F6B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3,479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7380A" w14:textId="216B7E4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135</w:t>
            </w:r>
          </w:p>
        </w:tc>
        <w:tc>
          <w:tcPr>
            <w:tcW w:w="1237" w:type="dxa"/>
            <w:tcBorders>
              <w:top w:val="nil"/>
              <w:left w:val="nil"/>
              <w:bottom w:val="single" w:sz="4" w:space="0" w:color="auto"/>
              <w:right w:val="single" w:sz="4" w:space="0" w:color="auto"/>
            </w:tcBorders>
            <w:shd w:val="clear" w:color="auto" w:fill="auto"/>
            <w:noWrap/>
            <w:vAlign w:val="center"/>
          </w:tcPr>
          <w:p w14:paraId="456DAC27" w14:textId="7EC08F9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140</w:t>
            </w:r>
          </w:p>
        </w:tc>
        <w:tc>
          <w:tcPr>
            <w:tcW w:w="1236" w:type="dxa"/>
            <w:tcBorders>
              <w:top w:val="nil"/>
              <w:left w:val="nil"/>
              <w:bottom w:val="single" w:sz="4" w:space="0" w:color="auto"/>
              <w:right w:val="single" w:sz="4" w:space="0" w:color="auto"/>
            </w:tcBorders>
            <w:shd w:val="clear" w:color="auto" w:fill="auto"/>
            <w:noWrap/>
            <w:vAlign w:val="center"/>
          </w:tcPr>
          <w:p w14:paraId="1B7229D0" w14:textId="3B38034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70</w:t>
            </w:r>
          </w:p>
        </w:tc>
        <w:tc>
          <w:tcPr>
            <w:tcW w:w="1237" w:type="dxa"/>
            <w:tcBorders>
              <w:top w:val="nil"/>
              <w:left w:val="nil"/>
              <w:bottom w:val="single" w:sz="4" w:space="0" w:color="auto"/>
              <w:right w:val="single" w:sz="4" w:space="0" w:color="auto"/>
            </w:tcBorders>
            <w:shd w:val="clear" w:color="auto" w:fill="auto"/>
            <w:noWrap/>
            <w:vAlign w:val="center"/>
          </w:tcPr>
          <w:p w14:paraId="05BADBA5" w14:textId="73CEC76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46,798</w:t>
            </w:r>
          </w:p>
        </w:tc>
      </w:tr>
      <w:tr w:rsidR="00B52551" w:rsidRPr="0034306F" w14:paraId="395A460D"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E4E2648" w14:textId="678A0491"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Maryborough District Health Service</w:t>
            </w:r>
          </w:p>
        </w:tc>
        <w:tc>
          <w:tcPr>
            <w:tcW w:w="1236" w:type="dxa"/>
            <w:tcBorders>
              <w:top w:val="nil"/>
              <w:left w:val="nil"/>
              <w:bottom w:val="single" w:sz="4" w:space="0" w:color="auto"/>
              <w:right w:val="single" w:sz="4" w:space="0" w:color="auto"/>
            </w:tcBorders>
            <w:shd w:val="clear" w:color="auto" w:fill="auto"/>
            <w:noWrap/>
            <w:vAlign w:val="center"/>
          </w:tcPr>
          <w:p w14:paraId="771F8FAA" w14:textId="493530D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4,225</w:t>
            </w:r>
          </w:p>
        </w:tc>
        <w:tc>
          <w:tcPr>
            <w:tcW w:w="1237" w:type="dxa"/>
            <w:tcBorders>
              <w:top w:val="nil"/>
              <w:left w:val="nil"/>
              <w:bottom w:val="single" w:sz="4" w:space="0" w:color="auto"/>
              <w:right w:val="single" w:sz="4" w:space="0" w:color="auto"/>
            </w:tcBorders>
            <w:vAlign w:val="center"/>
          </w:tcPr>
          <w:p w14:paraId="10D76219" w14:textId="6558A29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B1DF1" w14:textId="497B4EF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w:t>
            </w:r>
          </w:p>
        </w:tc>
        <w:tc>
          <w:tcPr>
            <w:tcW w:w="1237" w:type="dxa"/>
            <w:tcBorders>
              <w:top w:val="nil"/>
              <w:left w:val="nil"/>
              <w:bottom w:val="single" w:sz="4" w:space="0" w:color="auto"/>
              <w:right w:val="single" w:sz="4" w:space="0" w:color="auto"/>
            </w:tcBorders>
            <w:shd w:val="clear" w:color="auto" w:fill="auto"/>
            <w:noWrap/>
            <w:vAlign w:val="center"/>
          </w:tcPr>
          <w:p w14:paraId="3E187D9E" w14:textId="480D450A" w:rsidR="00B52551" w:rsidRPr="0034306F" w:rsidRDefault="00B52551" w:rsidP="00B52551">
            <w:pPr>
              <w:spacing w:after="0" w:line="240" w:lineRule="auto"/>
              <w:jc w:val="right"/>
              <w:rPr>
                <w:rFonts w:cs="Arial"/>
                <w:color w:val="000000"/>
                <w:sz w:val="16"/>
                <w:szCs w:val="16"/>
                <w:lang w:eastAsia="en-AU"/>
              </w:rPr>
            </w:pPr>
          </w:p>
        </w:tc>
        <w:tc>
          <w:tcPr>
            <w:tcW w:w="1236" w:type="dxa"/>
            <w:tcBorders>
              <w:top w:val="nil"/>
              <w:left w:val="nil"/>
              <w:bottom w:val="single" w:sz="4" w:space="0" w:color="auto"/>
              <w:right w:val="single" w:sz="4" w:space="0" w:color="auto"/>
            </w:tcBorders>
            <w:shd w:val="clear" w:color="auto" w:fill="auto"/>
            <w:noWrap/>
            <w:vAlign w:val="center"/>
          </w:tcPr>
          <w:p w14:paraId="4C97F2C9" w14:textId="401E7DCE" w:rsidR="00B52551" w:rsidRPr="0034306F" w:rsidRDefault="00B52551" w:rsidP="00B52551">
            <w:pPr>
              <w:spacing w:after="0" w:line="240" w:lineRule="auto"/>
              <w:jc w:val="right"/>
              <w:rPr>
                <w:rFonts w:cs="Arial"/>
                <w:color w:val="000000"/>
                <w:sz w:val="16"/>
                <w:szCs w:val="16"/>
                <w:lang w:eastAsia="en-AU"/>
              </w:rPr>
            </w:pPr>
          </w:p>
        </w:tc>
        <w:tc>
          <w:tcPr>
            <w:tcW w:w="1237" w:type="dxa"/>
            <w:tcBorders>
              <w:top w:val="nil"/>
              <w:left w:val="nil"/>
              <w:bottom w:val="single" w:sz="4" w:space="0" w:color="auto"/>
              <w:right w:val="single" w:sz="4" w:space="0" w:color="auto"/>
            </w:tcBorders>
            <w:shd w:val="clear" w:color="auto" w:fill="auto"/>
            <w:noWrap/>
            <w:vAlign w:val="center"/>
          </w:tcPr>
          <w:p w14:paraId="7C49E16E" w14:textId="03BE9B0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4,228</w:t>
            </w:r>
          </w:p>
        </w:tc>
      </w:tr>
      <w:tr w:rsidR="00B52551" w:rsidRPr="0034306F" w14:paraId="3F1839FD"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73E3BC2" w14:textId="5E853CEC"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Melbourne Health</w:t>
            </w:r>
          </w:p>
        </w:tc>
        <w:tc>
          <w:tcPr>
            <w:tcW w:w="1236" w:type="dxa"/>
            <w:tcBorders>
              <w:top w:val="nil"/>
              <w:left w:val="nil"/>
              <w:bottom w:val="single" w:sz="4" w:space="0" w:color="auto"/>
              <w:right w:val="single" w:sz="4" w:space="0" w:color="auto"/>
            </w:tcBorders>
            <w:shd w:val="clear" w:color="auto" w:fill="auto"/>
            <w:noWrap/>
            <w:vAlign w:val="center"/>
          </w:tcPr>
          <w:p w14:paraId="098775EB" w14:textId="7C14EBE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152,011</w:t>
            </w:r>
          </w:p>
        </w:tc>
        <w:tc>
          <w:tcPr>
            <w:tcW w:w="1237" w:type="dxa"/>
            <w:tcBorders>
              <w:top w:val="nil"/>
              <w:left w:val="nil"/>
              <w:bottom w:val="single" w:sz="4" w:space="0" w:color="auto"/>
              <w:right w:val="single" w:sz="4" w:space="0" w:color="auto"/>
            </w:tcBorders>
            <w:vAlign w:val="center"/>
          </w:tcPr>
          <w:p w14:paraId="2CC37630" w14:textId="6B262C0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9,352</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E3A8" w14:textId="2D8AFEF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109</w:t>
            </w:r>
          </w:p>
        </w:tc>
        <w:tc>
          <w:tcPr>
            <w:tcW w:w="1237" w:type="dxa"/>
            <w:tcBorders>
              <w:top w:val="nil"/>
              <w:left w:val="nil"/>
              <w:bottom w:val="single" w:sz="4" w:space="0" w:color="auto"/>
              <w:right w:val="single" w:sz="4" w:space="0" w:color="auto"/>
            </w:tcBorders>
            <w:shd w:val="clear" w:color="auto" w:fill="auto"/>
            <w:noWrap/>
            <w:vAlign w:val="center"/>
          </w:tcPr>
          <w:p w14:paraId="67BF842A" w14:textId="6B8C4A5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5,542</w:t>
            </w:r>
          </w:p>
        </w:tc>
        <w:tc>
          <w:tcPr>
            <w:tcW w:w="1236" w:type="dxa"/>
            <w:tcBorders>
              <w:top w:val="nil"/>
              <w:left w:val="nil"/>
              <w:bottom w:val="single" w:sz="4" w:space="0" w:color="auto"/>
              <w:right w:val="single" w:sz="4" w:space="0" w:color="auto"/>
            </w:tcBorders>
            <w:shd w:val="clear" w:color="auto" w:fill="auto"/>
            <w:noWrap/>
            <w:vAlign w:val="center"/>
          </w:tcPr>
          <w:p w14:paraId="393E1AD2" w14:textId="3561AAD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w:t>
            </w:r>
          </w:p>
        </w:tc>
        <w:tc>
          <w:tcPr>
            <w:tcW w:w="1237" w:type="dxa"/>
            <w:tcBorders>
              <w:top w:val="nil"/>
              <w:left w:val="nil"/>
              <w:bottom w:val="single" w:sz="4" w:space="0" w:color="auto"/>
              <w:right w:val="single" w:sz="4" w:space="0" w:color="auto"/>
            </w:tcBorders>
            <w:shd w:val="clear" w:color="auto" w:fill="auto"/>
            <w:noWrap/>
            <w:vAlign w:val="center"/>
          </w:tcPr>
          <w:p w14:paraId="1E97C2C8" w14:textId="69262E2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167,028</w:t>
            </w:r>
          </w:p>
        </w:tc>
      </w:tr>
      <w:tr w:rsidR="00B52551" w:rsidRPr="0034306F" w14:paraId="1B043E9B"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F7575C1" w14:textId="7700CB5D"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Mercy Hospitals Victoria Limited</w:t>
            </w:r>
          </w:p>
        </w:tc>
        <w:tc>
          <w:tcPr>
            <w:tcW w:w="1236" w:type="dxa"/>
            <w:tcBorders>
              <w:top w:val="nil"/>
              <w:left w:val="nil"/>
              <w:bottom w:val="single" w:sz="4" w:space="0" w:color="auto"/>
              <w:right w:val="single" w:sz="4" w:space="0" w:color="auto"/>
            </w:tcBorders>
            <w:shd w:val="clear" w:color="auto" w:fill="auto"/>
            <w:noWrap/>
            <w:vAlign w:val="center"/>
          </w:tcPr>
          <w:p w14:paraId="78333497" w14:textId="6F6F609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73,357</w:t>
            </w:r>
          </w:p>
        </w:tc>
        <w:tc>
          <w:tcPr>
            <w:tcW w:w="1237" w:type="dxa"/>
            <w:tcBorders>
              <w:top w:val="nil"/>
              <w:left w:val="nil"/>
              <w:bottom w:val="single" w:sz="4" w:space="0" w:color="auto"/>
              <w:right w:val="single" w:sz="4" w:space="0" w:color="auto"/>
            </w:tcBorders>
            <w:vAlign w:val="center"/>
          </w:tcPr>
          <w:p w14:paraId="5F758FFF" w14:textId="0DADF32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4,310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20F51" w14:textId="2071D25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w:t>
            </w:r>
          </w:p>
        </w:tc>
        <w:tc>
          <w:tcPr>
            <w:tcW w:w="1237" w:type="dxa"/>
            <w:tcBorders>
              <w:top w:val="nil"/>
              <w:left w:val="nil"/>
              <w:bottom w:val="single" w:sz="4" w:space="0" w:color="auto"/>
              <w:right w:val="single" w:sz="4" w:space="0" w:color="auto"/>
            </w:tcBorders>
            <w:shd w:val="clear" w:color="auto" w:fill="auto"/>
            <w:noWrap/>
            <w:vAlign w:val="center"/>
          </w:tcPr>
          <w:p w14:paraId="01B25C90" w14:textId="7AAD9F7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w:t>
            </w:r>
          </w:p>
        </w:tc>
        <w:tc>
          <w:tcPr>
            <w:tcW w:w="1236" w:type="dxa"/>
            <w:tcBorders>
              <w:top w:val="nil"/>
              <w:left w:val="nil"/>
              <w:bottom w:val="single" w:sz="4" w:space="0" w:color="auto"/>
              <w:right w:val="single" w:sz="4" w:space="0" w:color="auto"/>
            </w:tcBorders>
            <w:shd w:val="clear" w:color="auto" w:fill="auto"/>
            <w:noWrap/>
            <w:vAlign w:val="center"/>
          </w:tcPr>
          <w:p w14:paraId="3295B464" w14:textId="7F3DBFF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56</w:t>
            </w:r>
          </w:p>
        </w:tc>
        <w:tc>
          <w:tcPr>
            <w:tcW w:w="1237" w:type="dxa"/>
            <w:tcBorders>
              <w:top w:val="nil"/>
              <w:left w:val="nil"/>
              <w:bottom w:val="single" w:sz="4" w:space="0" w:color="auto"/>
              <w:right w:val="single" w:sz="4" w:space="0" w:color="auto"/>
            </w:tcBorders>
            <w:shd w:val="clear" w:color="auto" w:fill="auto"/>
            <w:noWrap/>
            <w:vAlign w:val="center"/>
          </w:tcPr>
          <w:p w14:paraId="34361D06" w14:textId="0723C1CE"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77,742</w:t>
            </w:r>
          </w:p>
        </w:tc>
      </w:tr>
      <w:tr w:rsidR="00B52551" w:rsidRPr="0034306F" w14:paraId="4CA522AC"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CE28878" w14:textId="742ABF12"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Mildura Base Public Hospital</w:t>
            </w:r>
          </w:p>
        </w:tc>
        <w:tc>
          <w:tcPr>
            <w:tcW w:w="1236" w:type="dxa"/>
            <w:tcBorders>
              <w:top w:val="nil"/>
              <w:left w:val="nil"/>
              <w:bottom w:val="single" w:sz="4" w:space="0" w:color="auto"/>
              <w:right w:val="single" w:sz="4" w:space="0" w:color="auto"/>
            </w:tcBorders>
            <w:shd w:val="clear" w:color="auto" w:fill="auto"/>
            <w:noWrap/>
            <w:vAlign w:val="center"/>
          </w:tcPr>
          <w:p w14:paraId="699A13FF" w14:textId="0B01358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25,178</w:t>
            </w:r>
          </w:p>
        </w:tc>
        <w:tc>
          <w:tcPr>
            <w:tcW w:w="1237" w:type="dxa"/>
            <w:tcBorders>
              <w:top w:val="nil"/>
              <w:left w:val="nil"/>
              <w:bottom w:val="single" w:sz="4" w:space="0" w:color="auto"/>
              <w:right w:val="single" w:sz="4" w:space="0" w:color="auto"/>
            </w:tcBorders>
            <w:vAlign w:val="center"/>
          </w:tcPr>
          <w:p w14:paraId="56FE0483" w14:textId="5452096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802</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FFE7D" w14:textId="47498CA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67</w:t>
            </w:r>
          </w:p>
        </w:tc>
        <w:tc>
          <w:tcPr>
            <w:tcW w:w="1237" w:type="dxa"/>
            <w:tcBorders>
              <w:top w:val="nil"/>
              <w:left w:val="nil"/>
              <w:bottom w:val="single" w:sz="4" w:space="0" w:color="auto"/>
              <w:right w:val="single" w:sz="4" w:space="0" w:color="auto"/>
            </w:tcBorders>
            <w:shd w:val="clear" w:color="auto" w:fill="auto"/>
            <w:noWrap/>
            <w:vAlign w:val="center"/>
          </w:tcPr>
          <w:p w14:paraId="1CD2E6A4" w14:textId="408DED9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74</w:t>
            </w:r>
          </w:p>
        </w:tc>
        <w:tc>
          <w:tcPr>
            <w:tcW w:w="1236" w:type="dxa"/>
            <w:tcBorders>
              <w:top w:val="nil"/>
              <w:left w:val="nil"/>
              <w:bottom w:val="single" w:sz="4" w:space="0" w:color="auto"/>
              <w:right w:val="single" w:sz="4" w:space="0" w:color="auto"/>
            </w:tcBorders>
            <w:shd w:val="clear" w:color="auto" w:fill="auto"/>
            <w:noWrap/>
            <w:vAlign w:val="center"/>
          </w:tcPr>
          <w:p w14:paraId="61E6E443" w14:textId="6366AEB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66</w:t>
            </w:r>
          </w:p>
        </w:tc>
        <w:tc>
          <w:tcPr>
            <w:tcW w:w="1237" w:type="dxa"/>
            <w:tcBorders>
              <w:top w:val="nil"/>
              <w:left w:val="nil"/>
              <w:bottom w:val="single" w:sz="4" w:space="0" w:color="auto"/>
              <w:right w:val="single" w:sz="4" w:space="0" w:color="auto"/>
            </w:tcBorders>
            <w:shd w:val="clear" w:color="auto" w:fill="auto"/>
            <w:noWrap/>
            <w:vAlign w:val="center"/>
          </w:tcPr>
          <w:p w14:paraId="71CFD180" w14:textId="4BD82543"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26,187</w:t>
            </w:r>
          </w:p>
        </w:tc>
      </w:tr>
      <w:tr w:rsidR="00B52551" w:rsidRPr="0034306F" w14:paraId="496111A3"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62FEE08" w14:textId="12961F25"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Monash Health</w:t>
            </w:r>
          </w:p>
        </w:tc>
        <w:tc>
          <w:tcPr>
            <w:tcW w:w="1236" w:type="dxa"/>
            <w:tcBorders>
              <w:top w:val="nil"/>
              <w:left w:val="nil"/>
              <w:bottom w:val="single" w:sz="4" w:space="0" w:color="auto"/>
              <w:right w:val="single" w:sz="4" w:space="0" w:color="auto"/>
            </w:tcBorders>
            <w:shd w:val="clear" w:color="auto" w:fill="auto"/>
            <w:noWrap/>
            <w:vAlign w:val="center"/>
          </w:tcPr>
          <w:p w14:paraId="27CBA909" w14:textId="3644095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324,813</w:t>
            </w:r>
          </w:p>
        </w:tc>
        <w:tc>
          <w:tcPr>
            <w:tcW w:w="1237" w:type="dxa"/>
            <w:tcBorders>
              <w:top w:val="nil"/>
              <w:left w:val="nil"/>
              <w:bottom w:val="single" w:sz="4" w:space="0" w:color="auto"/>
              <w:right w:val="single" w:sz="4" w:space="0" w:color="auto"/>
            </w:tcBorders>
            <w:vAlign w:val="center"/>
          </w:tcPr>
          <w:p w14:paraId="4B20891F" w14:textId="4D96EA3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16,088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955B6" w14:textId="6FBB948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175</w:t>
            </w:r>
          </w:p>
        </w:tc>
        <w:tc>
          <w:tcPr>
            <w:tcW w:w="1237" w:type="dxa"/>
            <w:tcBorders>
              <w:top w:val="nil"/>
              <w:left w:val="nil"/>
              <w:bottom w:val="single" w:sz="4" w:space="0" w:color="auto"/>
              <w:right w:val="single" w:sz="4" w:space="0" w:color="auto"/>
            </w:tcBorders>
            <w:shd w:val="clear" w:color="auto" w:fill="auto"/>
            <w:noWrap/>
            <w:vAlign w:val="center"/>
          </w:tcPr>
          <w:p w14:paraId="4499ECBA" w14:textId="0C1BF01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515</w:t>
            </w:r>
          </w:p>
        </w:tc>
        <w:tc>
          <w:tcPr>
            <w:tcW w:w="1236" w:type="dxa"/>
            <w:tcBorders>
              <w:top w:val="nil"/>
              <w:left w:val="nil"/>
              <w:bottom w:val="single" w:sz="4" w:space="0" w:color="auto"/>
              <w:right w:val="single" w:sz="4" w:space="0" w:color="auto"/>
            </w:tcBorders>
            <w:shd w:val="clear" w:color="auto" w:fill="auto"/>
            <w:noWrap/>
            <w:vAlign w:val="center"/>
          </w:tcPr>
          <w:p w14:paraId="601B6B98" w14:textId="11698DA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157</w:t>
            </w:r>
          </w:p>
        </w:tc>
        <w:tc>
          <w:tcPr>
            <w:tcW w:w="1237" w:type="dxa"/>
            <w:tcBorders>
              <w:top w:val="nil"/>
              <w:left w:val="nil"/>
              <w:bottom w:val="single" w:sz="4" w:space="0" w:color="auto"/>
              <w:right w:val="single" w:sz="4" w:space="0" w:color="auto"/>
            </w:tcBorders>
            <w:shd w:val="clear" w:color="auto" w:fill="auto"/>
            <w:noWrap/>
            <w:vAlign w:val="center"/>
          </w:tcPr>
          <w:p w14:paraId="16FB7FC3" w14:textId="780690F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341,748</w:t>
            </w:r>
          </w:p>
        </w:tc>
      </w:tr>
      <w:tr w:rsidR="00B52551" w:rsidRPr="0034306F" w14:paraId="1857B9AC"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BEE8417" w14:textId="67B8F4E4"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Northeast Health Wangaratta</w:t>
            </w:r>
          </w:p>
        </w:tc>
        <w:tc>
          <w:tcPr>
            <w:tcW w:w="1236" w:type="dxa"/>
            <w:tcBorders>
              <w:top w:val="nil"/>
              <w:left w:val="nil"/>
              <w:bottom w:val="single" w:sz="4" w:space="0" w:color="auto"/>
              <w:right w:val="single" w:sz="4" w:space="0" w:color="auto"/>
            </w:tcBorders>
            <w:shd w:val="clear" w:color="auto" w:fill="auto"/>
            <w:noWrap/>
            <w:vAlign w:val="center"/>
          </w:tcPr>
          <w:p w14:paraId="784E3314" w14:textId="01B7F10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27,110</w:t>
            </w:r>
          </w:p>
        </w:tc>
        <w:tc>
          <w:tcPr>
            <w:tcW w:w="1237" w:type="dxa"/>
            <w:tcBorders>
              <w:top w:val="nil"/>
              <w:left w:val="nil"/>
              <w:bottom w:val="single" w:sz="4" w:space="0" w:color="auto"/>
              <w:right w:val="single" w:sz="4" w:space="0" w:color="auto"/>
            </w:tcBorders>
            <w:vAlign w:val="center"/>
          </w:tcPr>
          <w:p w14:paraId="6B0A8677" w14:textId="1DC0CED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57B58" w14:textId="6B211F2A"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111</w:t>
            </w:r>
          </w:p>
        </w:tc>
        <w:tc>
          <w:tcPr>
            <w:tcW w:w="1237" w:type="dxa"/>
            <w:tcBorders>
              <w:top w:val="nil"/>
              <w:left w:val="nil"/>
              <w:bottom w:val="single" w:sz="4" w:space="0" w:color="auto"/>
              <w:right w:val="single" w:sz="4" w:space="0" w:color="auto"/>
            </w:tcBorders>
            <w:shd w:val="clear" w:color="auto" w:fill="auto"/>
            <w:noWrap/>
            <w:vAlign w:val="center"/>
          </w:tcPr>
          <w:p w14:paraId="51E9990A" w14:textId="7B1B00B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108</w:t>
            </w:r>
          </w:p>
        </w:tc>
        <w:tc>
          <w:tcPr>
            <w:tcW w:w="1236" w:type="dxa"/>
            <w:tcBorders>
              <w:top w:val="nil"/>
              <w:left w:val="nil"/>
              <w:bottom w:val="single" w:sz="4" w:space="0" w:color="auto"/>
              <w:right w:val="single" w:sz="4" w:space="0" w:color="auto"/>
            </w:tcBorders>
            <w:shd w:val="clear" w:color="auto" w:fill="auto"/>
            <w:noWrap/>
            <w:vAlign w:val="center"/>
          </w:tcPr>
          <w:p w14:paraId="09A0E5B5" w14:textId="00EE75A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56</w:t>
            </w:r>
          </w:p>
        </w:tc>
        <w:tc>
          <w:tcPr>
            <w:tcW w:w="1237" w:type="dxa"/>
            <w:tcBorders>
              <w:top w:val="nil"/>
              <w:left w:val="nil"/>
              <w:bottom w:val="single" w:sz="4" w:space="0" w:color="auto"/>
              <w:right w:val="single" w:sz="4" w:space="0" w:color="auto"/>
            </w:tcBorders>
            <w:shd w:val="clear" w:color="auto" w:fill="auto"/>
            <w:noWrap/>
            <w:vAlign w:val="center"/>
          </w:tcPr>
          <w:p w14:paraId="7C9918C2" w14:textId="29982B9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27,384</w:t>
            </w:r>
          </w:p>
        </w:tc>
      </w:tr>
      <w:tr w:rsidR="00B52551" w:rsidRPr="0034306F" w14:paraId="3D781752"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87AC43D" w14:textId="430E6CB7"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Northern Health</w:t>
            </w:r>
          </w:p>
        </w:tc>
        <w:tc>
          <w:tcPr>
            <w:tcW w:w="1236" w:type="dxa"/>
            <w:tcBorders>
              <w:top w:val="nil"/>
              <w:left w:val="nil"/>
              <w:bottom w:val="single" w:sz="4" w:space="0" w:color="auto"/>
              <w:right w:val="single" w:sz="4" w:space="0" w:color="auto"/>
            </w:tcBorders>
            <w:shd w:val="clear" w:color="auto" w:fill="auto"/>
            <w:noWrap/>
            <w:vAlign w:val="center"/>
          </w:tcPr>
          <w:p w14:paraId="18C74050" w14:textId="556C3B9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146,601</w:t>
            </w:r>
          </w:p>
        </w:tc>
        <w:tc>
          <w:tcPr>
            <w:tcW w:w="1237" w:type="dxa"/>
            <w:tcBorders>
              <w:top w:val="nil"/>
              <w:left w:val="nil"/>
              <w:bottom w:val="single" w:sz="4" w:space="0" w:color="auto"/>
              <w:right w:val="single" w:sz="4" w:space="0" w:color="auto"/>
            </w:tcBorders>
            <w:vAlign w:val="center"/>
          </w:tcPr>
          <w:p w14:paraId="2EFB031F" w14:textId="42557FC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11,133</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38FBB" w14:textId="2312183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72</w:t>
            </w:r>
          </w:p>
        </w:tc>
        <w:tc>
          <w:tcPr>
            <w:tcW w:w="1237" w:type="dxa"/>
            <w:tcBorders>
              <w:top w:val="nil"/>
              <w:left w:val="nil"/>
              <w:bottom w:val="single" w:sz="4" w:space="0" w:color="auto"/>
              <w:right w:val="single" w:sz="4" w:space="0" w:color="auto"/>
            </w:tcBorders>
            <w:shd w:val="clear" w:color="auto" w:fill="auto"/>
            <w:noWrap/>
            <w:vAlign w:val="center"/>
          </w:tcPr>
          <w:p w14:paraId="799DE01B" w14:textId="546244C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167</w:t>
            </w:r>
          </w:p>
        </w:tc>
        <w:tc>
          <w:tcPr>
            <w:tcW w:w="1236" w:type="dxa"/>
            <w:tcBorders>
              <w:top w:val="nil"/>
              <w:left w:val="nil"/>
              <w:bottom w:val="single" w:sz="4" w:space="0" w:color="auto"/>
              <w:right w:val="single" w:sz="4" w:space="0" w:color="auto"/>
            </w:tcBorders>
            <w:shd w:val="clear" w:color="auto" w:fill="auto"/>
            <w:noWrap/>
            <w:vAlign w:val="center"/>
          </w:tcPr>
          <w:p w14:paraId="38AB70A8" w14:textId="34B565C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104</w:t>
            </w:r>
          </w:p>
        </w:tc>
        <w:tc>
          <w:tcPr>
            <w:tcW w:w="1237" w:type="dxa"/>
            <w:tcBorders>
              <w:top w:val="nil"/>
              <w:left w:val="nil"/>
              <w:bottom w:val="single" w:sz="4" w:space="0" w:color="auto"/>
              <w:right w:val="single" w:sz="4" w:space="0" w:color="auto"/>
            </w:tcBorders>
            <w:shd w:val="clear" w:color="auto" w:fill="auto"/>
            <w:noWrap/>
            <w:vAlign w:val="center"/>
          </w:tcPr>
          <w:p w14:paraId="240DB8D2" w14:textId="14F326A9"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158,077</w:t>
            </w:r>
          </w:p>
        </w:tc>
      </w:tr>
      <w:tr w:rsidR="00B52551" w:rsidRPr="0034306F" w14:paraId="3B8CCBEC"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323861F" w14:textId="6C5AC65F"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Peninsula Health</w:t>
            </w:r>
          </w:p>
        </w:tc>
        <w:tc>
          <w:tcPr>
            <w:tcW w:w="1236" w:type="dxa"/>
            <w:tcBorders>
              <w:top w:val="nil"/>
              <w:left w:val="nil"/>
              <w:bottom w:val="single" w:sz="4" w:space="0" w:color="auto"/>
              <w:right w:val="single" w:sz="4" w:space="0" w:color="auto"/>
            </w:tcBorders>
            <w:shd w:val="clear" w:color="auto" w:fill="auto"/>
            <w:noWrap/>
            <w:vAlign w:val="center"/>
          </w:tcPr>
          <w:p w14:paraId="44DD2B3A" w14:textId="4EC4D31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114,755</w:t>
            </w:r>
          </w:p>
        </w:tc>
        <w:tc>
          <w:tcPr>
            <w:tcW w:w="1237" w:type="dxa"/>
            <w:tcBorders>
              <w:top w:val="nil"/>
              <w:left w:val="nil"/>
              <w:bottom w:val="single" w:sz="4" w:space="0" w:color="auto"/>
              <w:right w:val="single" w:sz="4" w:space="0" w:color="auto"/>
            </w:tcBorders>
            <w:vAlign w:val="center"/>
          </w:tcPr>
          <w:p w14:paraId="73D03359" w14:textId="0C82955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3,188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ED106" w14:textId="24E3E3A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195</w:t>
            </w:r>
          </w:p>
        </w:tc>
        <w:tc>
          <w:tcPr>
            <w:tcW w:w="1237" w:type="dxa"/>
            <w:tcBorders>
              <w:top w:val="nil"/>
              <w:left w:val="nil"/>
              <w:bottom w:val="single" w:sz="4" w:space="0" w:color="auto"/>
              <w:right w:val="single" w:sz="4" w:space="0" w:color="auto"/>
            </w:tcBorders>
            <w:shd w:val="clear" w:color="auto" w:fill="auto"/>
            <w:noWrap/>
            <w:vAlign w:val="center"/>
          </w:tcPr>
          <w:p w14:paraId="0BB5980B" w14:textId="2C198BB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219</w:t>
            </w:r>
          </w:p>
        </w:tc>
        <w:tc>
          <w:tcPr>
            <w:tcW w:w="1236" w:type="dxa"/>
            <w:tcBorders>
              <w:top w:val="nil"/>
              <w:left w:val="nil"/>
              <w:bottom w:val="single" w:sz="4" w:space="0" w:color="auto"/>
              <w:right w:val="single" w:sz="4" w:space="0" w:color="auto"/>
            </w:tcBorders>
            <w:shd w:val="clear" w:color="auto" w:fill="auto"/>
            <w:noWrap/>
            <w:vAlign w:val="center"/>
          </w:tcPr>
          <w:p w14:paraId="50968EB3" w14:textId="15D3CD5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295</w:t>
            </w:r>
          </w:p>
        </w:tc>
        <w:tc>
          <w:tcPr>
            <w:tcW w:w="1237" w:type="dxa"/>
            <w:tcBorders>
              <w:top w:val="nil"/>
              <w:left w:val="nil"/>
              <w:bottom w:val="single" w:sz="4" w:space="0" w:color="auto"/>
              <w:right w:val="single" w:sz="4" w:space="0" w:color="auto"/>
            </w:tcBorders>
            <w:shd w:val="clear" w:color="auto" w:fill="auto"/>
            <w:noWrap/>
            <w:vAlign w:val="center"/>
          </w:tcPr>
          <w:p w14:paraId="3AED456A" w14:textId="437429B4"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118,651</w:t>
            </w:r>
          </w:p>
        </w:tc>
      </w:tr>
      <w:tr w:rsidR="00B52551" w:rsidRPr="0034306F" w14:paraId="0AE6F33E" w14:textId="77777777" w:rsidTr="000674C4">
        <w:trPr>
          <w:trHeight w:val="45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3780377" w14:textId="2F251A74"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Peter Maccallum Cancer Institute</w:t>
            </w:r>
          </w:p>
        </w:tc>
        <w:tc>
          <w:tcPr>
            <w:tcW w:w="1236" w:type="dxa"/>
            <w:tcBorders>
              <w:top w:val="nil"/>
              <w:left w:val="nil"/>
              <w:bottom w:val="single" w:sz="4" w:space="0" w:color="auto"/>
              <w:right w:val="single" w:sz="4" w:space="0" w:color="auto"/>
            </w:tcBorders>
            <w:shd w:val="clear" w:color="auto" w:fill="auto"/>
            <w:noWrap/>
            <w:vAlign w:val="center"/>
          </w:tcPr>
          <w:p w14:paraId="4E29A0D4" w14:textId="4082850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41,545</w:t>
            </w:r>
          </w:p>
        </w:tc>
        <w:tc>
          <w:tcPr>
            <w:tcW w:w="1237" w:type="dxa"/>
            <w:tcBorders>
              <w:top w:val="nil"/>
              <w:left w:val="nil"/>
              <w:bottom w:val="single" w:sz="4" w:space="0" w:color="auto"/>
              <w:right w:val="single" w:sz="4" w:space="0" w:color="auto"/>
            </w:tcBorders>
            <w:vAlign w:val="center"/>
          </w:tcPr>
          <w:p w14:paraId="2E0BD27D" w14:textId="23D09DF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6C75A" w14:textId="26891A52"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79</w:t>
            </w:r>
          </w:p>
        </w:tc>
        <w:tc>
          <w:tcPr>
            <w:tcW w:w="1237" w:type="dxa"/>
            <w:tcBorders>
              <w:top w:val="nil"/>
              <w:left w:val="nil"/>
              <w:bottom w:val="single" w:sz="4" w:space="0" w:color="auto"/>
              <w:right w:val="single" w:sz="4" w:space="0" w:color="auto"/>
            </w:tcBorders>
            <w:shd w:val="clear" w:color="auto" w:fill="auto"/>
            <w:noWrap/>
            <w:vAlign w:val="center"/>
          </w:tcPr>
          <w:p w14:paraId="316A752E" w14:textId="0A0BC44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nil"/>
              <w:left w:val="nil"/>
              <w:bottom w:val="single" w:sz="4" w:space="0" w:color="auto"/>
              <w:right w:val="single" w:sz="4" w:space="0" w:color="auto"/>
            </w:tcBorders>
            <w:shd w:val="clear" w:color="auto" w:fill="auto"/>
            <w:noWrap/>
            <w:vAlign w:val="center"/>
          </w:tcPr>
          <w:p w14:paraId="5C1E2300" w14:textId="6556A26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0B31A72C" w14:textId="3B8B127A"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41,624</w:t>
            </w:r>
          </w:p>
        </w:tc>
      </w:tr>
      <w:tr w:rsidR="00B52551" w:rsidRPr="0034306F" w14:paraId="78F12537"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90E4419" w14:textId="704542EA"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lastRenderedPageBreak/>
              <w:t>Portland District Health</w:t>
            </w:r>
          </w:p>
        </w:tc>
        <w:tc>
          <w:tcPr>
            <w:tcW w:w="1236" w:type="dxa"/>
            <w:tcBorders>
              <w:top w:val="nil"/>
              <w:left w:val="nil"/>
              <w:bottom w:val="single" w:sz="4" w:space="0" w:color="auto"/>
              <w:right w:val="single" w:sz="4" w:space="0" w:color="auto"/>
            </w:tcBorders>
            <w:shd w:val="clear" w:color="auto" w:fill="auto"/>
            <w:noWrap/>
            <w:vAlign w:val="center"/>
          </w:tcPr>
          <w:p w14:paraId="1357643A" w14:textId="241D891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6,145</w:t>
            </w:r>
          </w:p>
        </w:tc>
        <w:tc>
          <w:tcPr>
            <w:tcW w:w="1237" w:type="dxa"/>
            <w:tcBorders>
              <w:top w:val="nil"/>
              <w:left w:val="nil"/>
              <w:bottom w:val="single" w:sz="4" w:space="0" w:color="auto"/>
              <w:right w:val="single" w:sz="4" w:space="0" w:color="auto"/>
            </w:tcBorders>
            <w:vAlign w:val="center"/>
          </w:tcPr>
          <w:p w14:paraId="1AACC330" w14:textId="3539E66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8D22A" w14:textId="67D95E3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3</w:t>
            </w:r>
          </w:p>
        </w:tc>
        <w:tc>
          <w:tcPr>
            <w:tcW w:w="1237" w:type="dxa"/>
            <w:tcBorders>
              <w:top w:val="nil"/>
              <w:left w:val="nil"/>
              <w:bottom w:val="single" w:sz="4" w:space="0" w:color="auto"/>
              <w:right w:val="single" w:sz="4" w:space="0" w:color="auto"/>
            </w:tcBorders>
            <w:shd w:val="clear" w:color="auto" w:fill="auto"/>
            <w:noWrap/>
            <w:vAlign w:val="center"/>
          </w:tcPr>
          <w:p w14:paraId="63338B45" w14:textId="274AE28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w:t>
            </w:r>
          </w:p>
        </w:tc>
        <w:tc>
          <w:tcPr>
            <w:tcW w:w="1236" w:type="dxa"/>
            <w:tcBorders>
              <w:top w:val="nil"/>
              <w:left w:val="nil"/>
              <w:bottom w:val="single" w:sz="4" w:space="0" w:color="auto"/>
              <w:right w:val="single" w:sz="4" w:space="0" w:color="auto"/>
            </w:tcBorders>
            <w:shd w:val="clear" w:color="auto" w:fill="auto"/>
            <w:noWrap/>
            <w:vAlign w:val="center"/>
          </w:tcPr>
          <w:p w14:paraId="4B72B334" w14:textId="221DAB4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w:t>
            </w:r>
          </w:p>
        </w:tc>
        <w:tc>
          <w:tcPr>
            <w:tcW w:w="1237" w:type="dxa"/>
            <w:tcBorders>
              <w:top w:val="nil"/>
              <w:left w:val="nil"/>
              <w:bottom w:val="single" w:sz="4" w:space="0" w:color="auto"/>
              <w:right w:val="single" w:sz="4" w:space="0" w:color="auto"/>
            </w:tcBorders>
            <w:shd w:val="clear" w:color="auto" w:fill="auto"/>
            <w:noWrap/>
            <w:vAlign w:val="center"/>
          </w:tcPr>
          <w:p w14:paraId="0A51A344" w14:textId="1D98CF74"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6,158</w:t>
            </w:r>
          </w:p>
        </w:tc>
      </w:tr>
      <w:tr w:rsidR="00B52551" w:rsidRPr="0034306F" w14:paraId="323CD523"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62DB40D" w14:textId="6F0E3840"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South West Healthcare</w:t>
            </w:r>
          </w:p>
        </w:tc>
        <w:tc>
          <w:tcPr>
            <w:tcW w:w="1236" w:type="dxa"/>
            <w:tcBorders>
              <w:top w:val="nil"/>
              <w:left w:val="nil"/>
              <w:bottom w:val="single" w:sz="4" w:space="0" w:color="auto"/>
              <w:right w:val="single" w:sz="4" w:space="0" w:color="auto"/>
            </w:tcBorders>
            <w:shd w:val="clear" w:color="auto" w:fill="auto"/>
            <w:noWrap/>
            <w:vAlign w:val="center"/>
          </w:tcPr>
          <w:p w14:paraId="32614757" w14:textId="46D4802A"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27,211</w:t>
            </w:r>
          </w:p>
        </w:tc>
        <w:tc>
          <w:tcPr>
            <w:tcW w:w="1237" w:type="dxa"/>
            <w:tcBorders>
              <w:top w:val="nil"/>
              <w:left w:val="nil"/>
              <w:bottom w:val="single" w:sz="4" w:space="0" w:color="auto"/>
              <w:right w:val="single" w:sz="4" w:space="0" w:color="auto"/>
            </w:tcBorders>
            <w:vAlign w:val="center"/>
          </w:tcPr>
          <w:p w14:paraId="58FAAEAB" w14:textId="45773D4D"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1,191</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BBCB3" w14:textId="26A141E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75</w:t>
            </w:r>
          </w:p>
        </w:tc>
        <w:tc>
          <w:tcPr>
            <w:tcW w:w="1237" w:type="dxa"/>
            <w:tcBorders>
              <w:top w:val="nil"/>
              <w:left w:val="nil"/>
              <w:bottom w:val="single" w:sz="4" w:space="0" w:color="auto"/>
              <w:right w:val="single" w:sz="4" w:space="0" w:color="auto"/>
            </w:tcBorders>
            <w:shd w:val="clear" w:color="auto" w:fill="auto"/>
            <w:noWrap/>
            <w:vAlign w:val="center"/>
          </w:tcPr>
          <w:p w14:paraId="7152EC0D" w14:textId="62FC7E1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80</w:t>
            </w:r>
          </w:p>
        </w:tc>
        <w:tc>
          <w:tcPr>
            <w:tcW w:w="1236" w:type="dxa"/>
            <w:tcBorders>
              <w:top w:val="nil"/>
              <w:left w:val="nil"/>
              <w:bottom w:val="single" w:sz="4" w:space="0" w:color="auto"/>
              <w:right w:val="single" w:sz="4" w:space="0" w:color="auto"/>
            </w:tcBorders>
            <w:shd w:val="clear" w:color="auto" w:fill="auto"/>
            <w:noWrap/>
            <w:vAlign w:val="center"/>
          </w:tcPr>
          <w:p w14:paraId="1536A470" w14:textId="6C0E8ED5"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41</w:t>
            </w:r>
          </w:p>
        </w:tc>
        <w:tc>
          <w:tcPr>
            <w:tcW w:w="1237" w:type="dxa"/>
            <w:tcBorders>
              <w:top w:val="nil"/>
              <w:left w:val="nil"/>
              <w:bottom w:val="single" w:sz="4" w:space="0" w:color="auto"/>
              <w:right w:val="single" w:sz="4" w:space="0" w:color="auto"/>
            </w:tcBorders>
            <w:shd w:val="clear" w:color="auto" w:fill="auto"/>
            <w:noWrap/>
            <w:vAlign w:val="center"/>
          </w:tcPr>
          <w:p w14:paraId="6C4F1DF3" w14:textId="2D18A8C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28,598</w:t>
            </w:r>
          </w:p>
        </w:tc>
      </w:tr>
      <w:tr w:rsidR="00B52551" w:rsidRPr="0034306F" w14:paraId="09BA7A95"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2C95BE1" w14:textId="390FE62B"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St Vincents Hospital Melbourne Limited</w:t>
            </w:r>
          </w:p>
        </w:tc>
        <w:tc>
          <w:tcPr>
            <w:tcW w:w="1236" w:type="dxa"/>
            <w:tcBorders>
              <w:top w:val="nil"/>
              <w:left w:val="nil"/>
              <w:bottom w:val="single" w:sz="4" w:space="0" w:color="auto"/>
              <w:right w:val="single" w:sz="4" w:space="0" w:color="auto"/>
            </w:tcBorders>
            <w:shd w:val="clear" w:color="auto" w:fill="auto"/>
            <w:noWrap/>
            <w:vAlign w:val="center"/>
          </w:tcPr>
          <w:p w14:paraId="61D6C178" w14:textId="714D43E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94,349</w:t>
            </w:r>
          </w:p>
        </w:tc>
        <w:tc>
          <w:tcPr>
            <w:tcW w:w="1237" w:type="dxa"/>
            <w:tcBorders>
              <w:top w:val="nil"/>
              <w:left w:val="nil"/>
              <w:bottom w:val="single" w:sz="4" w:space="0" w:color="auto"/>
              <w:right w:val="single" w:sz="4" w:space="0" w:color="auto"/>
            </w:tcBorders>
            <w:vAlign w:val="center"/>
          </w:tcPr>
          <w:p w14:paraId="06C906AB" w14:textId="7831E48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4,709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17B13" w14:textId="4D7AC09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70</w:t>
            </w:r>
          </w:p>
        </w:tc>
        <w:tc>
          <w:tcPr>
            <w:tcW w:w="1237" w:type="dxa"/>
            <w:tcBorders>
              <w:top w:val="nil"/>
              <w:left w:val="nil"/>
              <w:bottom w:val="single" w:sz="4" w:space="0" w:color="auto"/>
              <w:right w:val="single" w:sz="4" w:space="0" w:color="auto"/>
            </w:tcBorders>
            <w:shd w:val="clear" w:color="auto" w:fill="auto"/>
            <w:noWrap/>
            <w:vAlign w:val="center"/>
          </w:tcPr>
          <w:p w14:paraId="5EAB8781" w14:textId="48E0F624"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116</w:t>
            </w:r>
          </w:p>
        </w:tc>
        <w:tc>
          <w:tcPr>
            <w:tcW w:w="1236" w:type="dxa"/>
            <w:tcBorders>
              <w:top w:val="nil"/>
              <w:left w:val="nil"/>
              <w:bottom w:val="single" w:sz="4" w:space="0" w:color="auto"/>
              <w:right w:val="single" w:sz="4" w:space="0" w:color="auto"/>
            </w:tcBorders>
            <w:shd w:val="clear" w:color="auto" w:fill="auto"/>
            <w:noWrap/>
            <w:vAlign w:val="center"/>
          </w:tcPr>
          <w:p w14:paraId="757A4683" w14:textId="7DE1F97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130</w:t>
            </w:r>
          </w:p>
        </w:tc>
        <w:tc>
          <w:tcPr>
            <w:tcW w:w="1237" w:type="dxa"/>
            <w:tcBorders>
              <w:top w:val="nil"/>
              <w:left w:val="nil"/>
              <w:bottom w:val="single" w:sz="4" w:space="0" w:color="auto"/>
              <w:right w:val="single" w:sz="4" w:space="0" w:color="auto"/>
            </w:tcBorders>
            <w:shd w:val="clear" w:color="auto" w:fill="auto"/>
            <w:noWrap/>
            <w:vAlign w:val="center"/>
          </w:tcPr>
          <w:p w14:paraId="6EF009F2" w14:textId="50E13D5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99,373</w:t>
            </w:r>
          </w:p>
        </w:tc>
      </w:tr>
      <w:tr w:rsidR="00B52551" w:rsidRPr="0034306F" w14:paraId="06A806B0"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1FD6EBC" w14:textId="46B855A3"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Swan Hill District Health</w:t>
            </w:r>
          </w:p>
        </w:tc>
        <w:tc>
          <w:tcPr>
            <w:tcW w:w="1236" w:type="dxa"/>
            <w:tcBorders>
              <w:top w:val="nil"/>
              <w:left w:val="nil"/>
              <w:bottom w:val="single" w:sz="4" w:space="0" w:color="auto"/>
              <w:right w:val="single" w:sz="4" w:space="0" w:color="auto"/>
            </w:tcBorders>
            <w:shd w:val="clear" w:color="auto" w:fill="auto"/>
            <w:noWrap/>
            <w:vAlign w:val="center"/>
          </w:tcPr>
          <w:p w14:paraId="028DFC84" w14:textId="05F3518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8,537</w:t>
            </w:r>
          </w:p>
        </w:tc>
        <w:tc>
          <w:tcPr>
            <w:tcW w:w="1237" w:type="dxa"/>
            <w:tcBorders>
              <w:top w:val="nil"/>
              <w:left w:val="nil"/>
              <w:bottom w:val="single" w:sz="4" w:space="0" w:color="auto"/>
              <w:right w:val="single" w:sz="4" w:space="0" w:color="auto"/>
            </w:tcBorders>
            <w:vAlign w:val="center"/>
          </w:tcPr>
          <w:p w14:paraId="1C1CFBBE" w14:textId="2BB2639E"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26CD0" w14:textId="3F8F1E3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24</w:t>
            </w:r>
          </w:p>
        </w:tc>
        <w:tc>
          <w:tcPr>
            <w:tcW w:w="1237" w:type="dxa"/>
            <w:tcBorders>
              <w:top w:val="nil"/>
              <w:left w:val="nil"/>
              <w:bottom w:val="single" w:sz="4" w:space="0" w:color="auto"/>
              <w:right w:val="single" w:sz="4" w:space="0" w:color="auto"/>
            </w:tcBorders>
            <w:shd w:val="clear" w:color="auto" w:fill="auto"/>
            <w:noWrap/>
            <w:vAlign w:val="center"/>
          </w:tcPr>
          <w:p w14:paraId="5545284D" w14:textId="1FFF04D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73</w:t>
            </w:r>
          </w:p>
        </w:tc>
        <w:tc>
          <w:tcPr>
            <w:tcW w:w="1236" w:type="dxa"/>
            <w:tcBorders>
              <w:top w:val="nil"/>
              <w:left w:val="nil"/>
              <w:bottom w:val="single" w:sz="4" w:space="0" w:color="auto"/>
              <w:right w:val="single" w:sz="4" w:space="0" w:color="auto"/>
            </w:tcBorders>
            <w:shd w:val="clear" w:color="auto" w:fill="auto"/>
            <w:noWrap/>
            <w:vAlign w:val="center"/>
          </w:tcPr>
          <w:p w14:paraId="5927E96A" w14:textId="2393DA1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w:t>
            </w:r>
          </w:p>
        </w:tc>
        <w:tc>
          <w:tcPr>
            <w:tcW w:w="1237" w:type="dxa"/>
            <w:tcBorders>
              <w:top w:val="nil"/>
              <w:left w:val="nil"/>
              <w:bottom w:val="single" w:sz="4" w:space="0" w:color="auto"/>
              <w:right w:val="single" w:sz="4" w:space="0" w:color="auto"/>
            </w:tcBorders>
            <w:shd w:val="clear" w:color="auto" w:fill="auto"/>
            <w:noWrap/>
            <w:vAlign w:val="center"/>
          </w:tcPr>
          <w:p w14:paraId="6B32605F" w14:textId="2F324E4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8,649</w:t>
            </w:r>
          </w:p>
        </w:tc>
      </w:tr>
      <w:tr w:rsidR="00B52551" w:rsidRPr="0034306F" w14:paraId="6AFDFFE0"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715503F" w14:textId="0BB04BC8"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The Royal Children</w:t>
            </w:r>
            <w:r w:rsidR="00544284">
              <w:rPr>
                <w:rFonts w:cs="Arial"/>
                <w:color w:val="000000"/>
                <w:sz w:val="16"/>
                <w:szCs w:val="16"/>
              </w:rPr>
              <w:t>’</w:t>
            </w:r>
            <w:r>
              <w:rPr>
                <w:rFonts w:cs="Arial"/>
                <w:color w:val="000000"/>
                <w:sz w:val="16"/>
                <w:szCs w:val="16"/>
              </w:rPr>
              <w:t>s Hospital</w:t>
            </w:r>
          </w:p>
        </w:tc>
        <w:tc>
          <w:tcPr>
            <w:tcW w:w="1236" w:type="dxa"/>
            <w:tcBorders>
              <w:top w:val="nil"/>
              <w:left w:val="nil"/>
              <w:bottom w:val="single" w:sz="4" w:space="0" w:color="auto"/>
              <w:right w:val="single" w:sz="4" w:space="0" w:color="auto"/>
            </w:tcBorders>
            <w:shd w:val="clear" w:color="auto" w:fill="auto"/>
            <w:noWrap/>
            <w:vAlign w:val="center"/>
          </w:tcPr>
          <w:p w14:paraId="07B47794" w14:textId="1A0C249F"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94,881</w:t>
            </w:r>
          </w:p>
        </w:tc>
        <w:tc>
          <w:tcPr>
            <w:tcW w:w="1237" w:type="dxa"/>
            <w:tcBorders>
              <w:top w:val="nil"/>
              <w:left w:val="nil"/>
              <w:bottom w:val="single" w:sz="4" w:space="0" w:color="auto"/>
              <w:right w:val="single" w:sz="4" w:space="0" w:color="auto"/>
            </w:tcBorders>
            <w:vAlign w:val="center"/>
          </w:tcPr>
          <w:p w14:paraId="315C1174" w14:textId="2D8096CB"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1,049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65AD2" w14:textId="775773F9"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58A6EF4C" w14:textId="0498834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564</w:t>
            </w:r>
          </w:p>
        </w:tc>
        <w:tc>
          <w:tcPr>
            <w:tcW w:w="1236" w:type="dxa"/>
            <w:tcBorders>
              <w:top w:val="nil"/>
              <w:left w:val="nil"/>
              <w:bottom w:val="single" w:sz="4" w:space="0" w:color="auto"/>
              <w:right w:val="single" w:sz="4" w:space="0" w:color="auto"/>
            </w:tcBorders>
            <w:shd w:val="clear" w:color="auto" w:fill="auto"/>
            <w:noWrap/>
            <w:vAlign w:val="center"/>
          </w:tcPr>
          <w:p w14:paraId="17371B9E" w14:textId="31437EC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382B2A2E" w14:textId="6E5BDA47"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96,494</w:t>
            </w:r>
          </w:p>
        </w:tc>
      </w:tr>
      <w:tr w:rsidR="00B52551" w:rsidRPr="0034306F" w14:paraId="48A294DB" w14:textId="77777777" w:rsidTr="000674C4">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D4E140F" w14:textId="0D7F1241"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The Royal Victorian Eye and Ear Hospital</w:t>
            </w:r>
          </w:p>
        </w:tc>
        <w:tc>
          <w:tcPr>
            <w:tcW w:w="1236" w:type="dxa"/>
            <w:tcBorders>
              <w:top w:val="nil"/>
              <w:left w:val="nil"/>
              <w:bottom w:val="single" w:sz="4" w:space="0" w:color="auto"/>
              <w:right w:val="single" w:sz="4" w:space="0" w:color="auto"/>
            </w:tcBorders>
            <w:shd w:val="clear" w:color="auto" w:fill="auto"/>
            <w:noWrap/>
            <w:vAlign w:val="center"/>
          </w:tcPr>
          <w:p w14:paraId="27645BA4" w14:textId="1EB60B6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20,298</w:t>
            </w:r>
          </w:p>
        </w:tc>
        <w:tc>
          <w:tcPr>
            <w:tcW w:w="1237" w:type="dxa"/>
            <w:tcBorders>
              <w:top w:val="nil"/>
              <w:left w:val="nil"/>
              <w:bottom w:val="single" w:sz="4" w:space="0" w:color="auto"/>
              <w:right w:val="single" w:sz="4" w:space="0" w:color="auto"/>
            </w:tcBorders>
            <w:vAlign w:val="center"/>
          </w:tcPr>
          <w:p w14:paraId="501C7466" w14:textId="577E970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A5461" w14:textId="3A6BB8C7"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15</w:t>
            </w:r>
          </w:p>
        </w:tc>
        <w:tc>
          <w:tcPr>
            <w:tcW w:w="1237" w:type="dxa"/>
            <w:tcBorders>
              <w:top w:val="nil"/>
              <w:left w:val="nil"/>
              <w:bottom w:val="single" w:sz="4" w:space="0" w:color="auto"/>
              <w:right w:val="single" w:sz="4" w:space="0" w:color="auto"/>
            </w:tcBorders>
            <w:shd w:val="clear" w:color="auto" w:fill="auto"/>
            <w:noWrap/>
            <w:vAlign w:val="center"/>
          </w:tcPr>
          <w:p w14:paraId="1773F996" w14:textId="7CE4B9C1"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5</w:t>
            </w:r>
          </w:p>
        </w:tc>
        <w:tc>
          <w:tcPr>
            <w:tcW w:w="1236" w:type="dxa"/>
            <w:tcBorders>
              <w:top w:val="nil"/>
              <w:left w:val="nil"/>
              <w:bottom w:val="single" w:sz="4" w:space="0" w:color="auto"/>
              <w:right w:val="single" w:sz="4" w:space="0" w:color="auto"/>
            </w:tcBorders>
            <w:shd w:val="clear" w:color="auto" w:fill="auto"/>
            <w:noWrap/>
            <w:vAlign w:val="center"/>
          </w:tcPr>
          <w:p w14:paraId="573ABC25" w14:textId="2252B71C"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tcPr>
          <w:p w14:paraId="0350AA51" w14:textId="7F25940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20,318</w:t>
            </w:r>
          </w:p>
        </w:tc>
      </w:tr>
      <w:tr w:rsidR="00B52551" w:rsidRPr="0034306F" w14:paraId="64E8CC09" w14:textId="77777777" w:rsidTr="000674C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56E94" w14:textId="6D38E2D1" w:rsidR="00B52551" w:rsidRPr="0034306F" w:rsidRDefault="00B52551" w:rsidP="00B52551">
            <w:pPr>
              <w:spacing w:after="0" w:line="240" w:lineRule="auto"/>
              <w:rPr>
                <w:rFonts w:cs="Arial"/>
                <w:color w:val="000000"/>
                <w:sz w:val="16"/>
                <w:szCs w:val="16"/>
                <w:lang w:eastAsia="en-AU"/>
              </w:rPr>
            </w:pPr>
            <w:r>
              <w:rPr>
                <w:rFonts w:cs="Arial"/>
                <w:color w:val="000000"/>
                <w:sz w:val="16"/>
                <w:szCs w:val="16"/>
              </w:rPr>
              <w:t>The Royal Women</w:t>
            </w:r>
            <w:r w:rsidR="00544284">
              <w:rPr>
                <w:rFonts w:cs="Arial"/>
                <w:color w:val="000000"/>
                <w:sz w:val="16"/>
                <w:szCs w:val="16"/>
              </w:rPr>
              <w:t>’</w:t>
            </w:r>
            <w:r>
              <w:rPr>
                <w:rFonts w:cs="Arial"/>
                <w:color w:val="000000"/>
                <w:sz w:val="16"/>
                <w:szCs w:val="16"/>
              </w:rPr>
              <w:t>s Hospital</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3CDFE627" w14:textId="1B209213"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43,394</w:t>
            </w:r>
          </w:p>
        </w:tc>
        <w:tc>
          <w:tcPr>
            <w:tcW w:w="1237" w:type="dxa"/>
            <w:tcBorders>
              <w:top w:val="single" w:sz="4" w:space="0" w:color="auto"/>
              <w:left w:val="nil"/>
              <w:bottom w:val="single" w:sz="4" w:space="0" w:color="auto"/>
              <w:right w:val="single" w:sz="4" w:space="0" w:color="auto"/>
            </w:tcBorders>
            <w:vAlign w:val="center"/>
          </w:tcPr>
          <w:p w14:paraId="748D3D75" w14:textId="07445DA0"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A2CB" w14:textId="7B550E46"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47213829" w14:textId="03DD8E38"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1</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607464BE" w14:textId="1F2CCCEC" w:rsidR="00B52551" w:rsidRPr="0034306F" w:rsidRDefault="00B52551" w:rsidP="00B52551">
            <w:pPr>
              <w:spacing w:after="0" w:line="240" w:lineRule="auto"/>
              <w:jc w:val="right"/>
              <w:rPr>
                <w:rFonts w:cs="Arial"/>
                <w:color w:val="000000"/>
                <w:sz w:val="16"/>
                <w:szCs w:val="16"/>
                <w:lang w:eastAsia="en-AU"/>
              </w:rPr>
            </w:pPr>
            <w:r>
              <w:rPr>
                <w:rFonts w:cs="Arial"/>
                <w:color w:val="000000"/>
                <w:sz w:val="16"/>
                <w:szCs w:val="16"/>
              </w:rPr>
              <w:t> </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6C49C3C8" w14:textId="6057911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43,396</w:t>
            </w:r>
          </w:p>
        </w:tc>
      </w:tr>
      <w:tr w:rsidR="00B52551" w:rsidRPr="0034306F" w14:paraId="60D715E9" w14:textId="77777777" w:rsidTr="000674C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86330" w14:textId="535DF89F" w:rsidR="00B52551" w:rsidRPr="0034306F" w:rsidRDefault="00B52551" w:rsidP="00B52551">
            <w:pPr>
              <w:spacing w:after="0" w:line="240" w:lineRule="auto"/>
              <w:rPr>
                <w:rFonts w:cs="Arial"/>
                <w:b/>
                <w:bCs/>
                <w:color w:val="000000"/>
                <w:sz w:val="16"/>
                <w:szCs w:val="16"/>
                <w:lang w:eastAsia="en-AU"/>
              </w:rPr>
            </w:pPr>
            <w:r>
              <w:rPr>
                <w:rFonts w:cs="Arial"/>
                <w:color w:val="000000"/>
                <w:sz w:val="16"/>
                <w:szCs w:val="16"/>
              </w:rPr>
              <w:t>West Gippsland Healthcare Group</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5B32142F" w14:textId="48743A8E"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18,240</w:t>
            </w:r>
          </w:p>
        </w:tc>
        <w:tc>
          <w:tcPr>
            <w:tcW w:w="1237" w:type="dxa"/>
            <w:tcBorders>
              <w:top w:val="single" w:sz="4" w:space="0" w:color="auto"/>
              <w:left w:val="nil"/>
              <w:bottom w:val="single" w:sz="4" w:space="0" w:color="auto"/>
              <w:right w:val="single" w:sz="4" w:space="0" w:color="auto"/>
            </w:tcBorders>
            <w:vAlign w:val="center"/>
          </w:tcPr>
          <w:p w14:paraId="2B3D308F" w14:textId="7DA2639B"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9D7D" w14:textId="3AD5B34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25</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78B29F72" w14:textId="6C277D5A"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29</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779BCCD9" w14:textId="327B9409" w:rsidR="00B52551" w:rsidRPr="00316055" w:rsidRDefault="00B52551" w:rsidP="00B52551">
            <w:pPr>
              <w:spacing w:after="0" w:line="240" w:lineRule="auto"/>
              <w:jc w:val="right"/>
              <w:rPr>
                <w:rFonts w:cs="Arial"/>
                <w:b/>
                <w:bCs/>
                <w:color w:val="000000"/>
                <w:sz w:val="16"/>
                <w:szCs w:val="16"/>
                <w:lang w:eastAsia="en-AU"/>
              </w:rPr>
            </w:pPr>
            <w:r>
              <w:rPr>
                <w:rFonts w:cs="Arial"/>
                <w:color w:val="000000"/>
                <w:sz w:val="16"/>
                <w:szCs w:val="16"/>
              </w:rPr>
              <w:t> </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2F0EAB87" w14:textId="561F5E74" w:rsidR="00B52551" w:rsidRPr="0034306F" w:rsidRDefault="00B52551" w:rsidP="00B52551">
            <w:pPr>
              <w:spacing w:after="0" w:line="240" w:lineRule="auto"/>
              <w:jc w:val="right"/>
              <w:rPr>
                <w:rFonts w:cs="Arial"/>
                <w:b/>
                <w:bCs/>
                <w:color w:val="000000" w:themeColor="text1"/>
                <w:sz w:val="16"/>
                <w:szCs w:val="16"/>
                <w:lang w:eastAsia="en-AU"/>
              </w:rPr>
            </w:pPr>
            <w:r>
              <w:rPr>
                <w:rFonts w:cs="Arial"/>
                <w:color w:val="000000"/>
                <w:sz w:val="16"/>
                <w:szCs w:val="16"/>
              </w:rPr>
              <w:t>18,294</w:t>
            </w:r>
          </w:p>
        </w:tc>
      </w:tr>
      <w:tr w:rsidR="00B52551" w:rsidRPr="0034306F" w14:paraId="646AE475" w14:textId="77777777" w:rsidTr="000674C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C96C2F0" w14:textId="5ECADFC1" w:rsidR="00B52551" w:rsidRPr="0034306F" w:rsidRDefault="00B52551" w:rsidP="00B52551">
            <w:pPr>
              <w:spacing w:after="0" w:line="240" w:lineRule="auto"/>
              <w:rPr>
                <w:rFonts w:cs="Arial"/>
                <w:b/>
                <w:bCs/>
                <w:color w:val="000000"/>
                <w:sz w:val="16"/>
                <w:szCs w:val="16"/>
                <w:lang w:eastAsia="en-AU"/>
              </w:rPr>
            </w:pPr>
            <w:r>
              <w:rPr>
                <w:rFonts w:cs="Arial"/>
                <w:color w:val="000000"/>
                <w:sz w:val="16"/>
                <w:szCs w:val="16"/>
              </w:rPr>
              <w:t>Western District Health Service</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4EC1476E" w14:textId="439612A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9,223</w:t>
            </w:r>
          </w:p>
        </w:tc>
        <w:tc>
          <w:tcPr>
            <w:tcW w:w="1237" w:type="dxa"/>
            <w:tcBorders>
              <w:top w:val="single" w:sz="4" w:space="0" w:color="auto"/>
              <w:left w:val="nil"/>
              <w:bottom w:val="single" w:sz="4" w:space="0" w:color="auto"/>
              <w:right w:val="single" w:sz="4" w:space="0" w:color="auto"/>
            </w:tcBorders>
            <w:vAlign w:val="center"/>
          </w:tcPr>
          <w:p w14:paraId="67DE236C" w14:textId="57A71D79"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 </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1C59E" w14:textId="635BE2A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36</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6F072100" w14:textId="02B2E28E"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26</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7F89FEB3" w14:textId="50F0C1BA" w:rsidR="00B52551" w:rsidRPr="00316055" w:rsidRDefault="00B52551" w:rsidP="00B52551">
            <w:pPr>
              <w:spacing w:after="0" w:line="240" w:lineRule="auto"/>
              <w:jc w:val="right"/>
              <w:rPr>
                <w:rFonts w:cs="Arial"/>
                <w:b/>
                <w:bCs/>
                <w:color w:val="000000"/>
                <w:sz w:val="16"/>
                <w:szCs w:val="16"/>
                <w:lang w:eastAsia="en-AU"/>
              </w:rPr>
            </w:pPr>
            <w:r>
              <w:rPr>
                <w:rFonts w:cs="Arial"/>
                <w:color w:val="000000"/>
                <w:sz w:val="16"/>
                <w:szCs w:val="16"/>
              </w:rPr>
              <w:t>65</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6BFD030C" w14:textId="4D0DC0E5" w:rsidR="00B52551" w:rsidRPr="0034306F" w:rsidRDefault="00B52551" w:rsidP="00B52551">
            <w:pPr>
              <w:spacing w:after="0" w:line="240" w:lineRule="auto"/>
              <w:jc w:val="right"/>
              <w:rPr>
                <w:rFonts w:cs="Arial"/>
                <w:b/>
                <w:bCs/>
                <w:color w:val="000000" w:themeColor="text1"/>
                <w:sz w:val="16"/>
                <w:szCs w:val="16"/>
                <w:lang w:eastAsia="en-AU"/>
              </w:rPr>
            </w:pPr>
            <w:r>
              <w:rPr>
                <w:rFonts w:cs="Arial"/>
                <w:color w:val="000000"/>
                <w:sz w:val="16"/>
                <w:szCs w:val="16"/>
              </w:rPr>
              <w:t>9,350</w:t>
            </w:r>
          </w:p>
        </w:tc>
      </w:tr>
      <w:tr w:rsidR="00B52551" w:rsidRPr="0034306F" w14:paraId="522E12DE" w14:textId="77777777" w:rsidTr="000674C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7FA7D61" w14:textId="64FB6299" w:rsidR="00B52551" w:rsidRPr="0034306F" w:rsidRDefault="00B52551" w:rsidP="00B52551">
            <w:pPr>
              <w:spacing w:after="0" w:line="240" w:lineRule="auto"/>
              <w:rPr>
                <w:rFonts w:cs="Arial"/>
                <w:b/>
                <w:bCs/>
                <w:color w:val="000000"/>
                <w:sz w:val="16"/>
                <w:szCs w:val="16"/>
                <w:lang w:eastAsia="en-AU"/>
              </w:rPr>
            </w:pPr>
            <w:r>
              <w:rPr>
                <w:rFonts w:cs="Arial"/>
                <w:color w:val="000000"/>
                <w:sz w:val="16"/>
                <w:szCs w:val="16"/>
              </w:rPr>
              <w:t>Western Health</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2FA89408" w14:textId="48CCF676"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174,546</w:t>
            </w:r>
          </w:p>
        </w:tc>
        <w:tc>
          <w:tcPr>
            <w:tcW w:w="1237" w:type="dxa"/>
            <w:tcBorders>
              <w:top w:val="single" w:sz="4" w:space="0" w:color="auto"/>
              <w:left w:val="nil"/>
              <w:bottom w:val="single" w:sz="4" w:space="0" w:color="auto"/>
              <w:right w:val="single" w:sz="4" w:space="0" w:color="auto"/>
            </w:tcBorders>
            <w:vAlign w:val="center"/>
          </w:tcPr>
          <w:p w14:paraId="7143CDAC" w14:textId="0345108F"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11,689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6265C" w14:textId="035C0C55"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88</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256A8066" w14:textId="439DF154" w:rsidR="00B52551" w:rsidRPr="0034306F" w:rsidRDefault="00B52551" w:rsidP="00B52551">
            <w:pPr>
              <w:spacing w:after="0" w:line="240" w:lineRule="auto"/>
              <w:jc w:val="right"/>
              <w:rPr>
                <w:rFonts w:cs="Arial"/>
                <w:b/>
                <w:bCs/>
                <w:color w:val="000000"/>
                <w:sz w:val="16"/>
                <w:szCs w:val="16"/>
                <w:lang w:eastAsia="en-AU"/>
              </w:rPr>
            </w:pPr>
            <w:r>
              <w:rPr>
                <w:rFonts w:cs="Arial"/>
                <w:color w:val="000000"/>
                <w:sz w:val="16"/>
                <w:szCs w:val="16"/>
              </w:rPr>
              <w:t>200</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01CC8EE4" w14:textId="3A23E686" w:rsidR="00B52551" w:rsidRPr="00316055" w:rsidRDefault="00B52551" w:rsidP="00B52551">
            <w:pPr>
              <w:spacing w:after="0" w:line="240" w:lineRule="auto"/>
              <w:jc w:val="right"/>
              <w:rPr>
                <w:rFonts w:cs="Arial"/>
                <w:b/>
                <w:bCs/>
                <w:color w:val="000000"/>
                <w:sz w:val="16"/>
                <w:szCs w:val="16"/>
                <w:lang w:eastAsia="en-AU"/>
              </w:rPr>
            </w:pPr>
            <w:r>
              <w:rPr>
                <w:rFonts w:cs="Arial"/>
                <w:color w:val="000000"/>
                <w:sz w:val="16"/>
                <w:szCs w:val="16"/>
              </w:rPr>
              <w:t>125</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1F927F65" w14:textId="1C17F898" w:rsidR="00B52551" w:rsidRPr="0034306F" w:rsidRDefault="00B52551" w:rsidP="00B52551">
            <w:pPr>
              <w:spacing w:after="0" w:line="240" w:lineRule="auto"/>
              <w:jc w:val="right"/>
              <w:rPr>
                <w:rFonts w:cs="Arial"/>
                <w:b/>
                <w:bCs/>
                <w:color w:val="000000" w:themeColor="text1"/>
                <w:sz w:val="16"/>
                <w:szCs w:val="16"/>
                <w:lang w:eastAsia="en-AU"/>
              </w:rPr>
            </w:pPr>
            <w:r>
              <w:rPr>
                <w:rFonts w:cs="Arial"/>
                <w:color w:val="000000"/>
                <w:sz w:val="16"/>
                <w:szCs w:val="16"/>
              </w:rPr>
              <w:t>186,647</w:t>
            </w:r>
          </w:p>
        </w:tc>
      </w:tr>
      <w:tr w:rsidR="00B52551" w:rsidRPr="0034306F" w14:paraId="7C365A7F" w14:textId="77777777" w:rsidTr="000674C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709389C" w14:textId="0358909E" w:rsidR="00B52551" w:rsidRPr="00543255" w:rsidRDefault="00B52551" w:rsidP="00B52551">
            <w:pPr>
              <w:spacing w:after="0" w:line="240" w:lineRule="auto"/>
              <w:rPr>
                <w:rFonts w:cs="Arial"/>
                <w:b/>
                <w:bCs/>
                <w:color w:val="000000"/>
                <w:sz w:val="16"/>
                <w:szCs w:val="16"/>
                <w:lang w:eastAsia="en-AU"/>
              </w:rPr>
            </w:pPr>
            <w:r>
              <w:rPr>
                <w:rFonts w:cs="Arial"/>
                <w:b/>
                <w:bCs/>
                <w:color w:val="000000"/>
                <w:sz w:val="16"/>
                <w:szCs w:val="16"/>
              </w:rPr>
              <w:t>Grand Total</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77CD9BF3" w14:textId="4FB51C19" w:rsidR="00B52551" w:rsidRPr="00543255" w:rsidRDefault="00B52551" w:rsidP="00B52551">
            <w:pPr>
              <w:spacing w:after="0" w:line="240" w:lineRule="auto"/>
              <w:jc w:val="right"/>
              <w:rPr>
                <w:rFonts w:cs="Arial"/>
                <w:b/>
                <w:bCs/>
                <w:color w:val="000000"/>
                <w:sz w:val="16"/>
                <w:szCs w:val="16"/>
                <w:lang w:eastAsia="en-AU"/>
              </w:rPr>
            </w:pPr>
            <w:r>
              <w:rPr>
                <w:rFonts w:cs="Arial"/>
                <w:b/>
                <w:bCs/>
                <w:color w:val="000000"/>
                <w:sz w:val="16"/>
                <w:szCs w:val="16"/>
              </w:rPr>
              <w:t>2,384,845</w:t>
            </w:r>
          </w:p>
        </w:tc>
        <w:tc>
          <w:tcPr>
            <w:tcW w:w="1237" w:type="dxa"/>
            <w:tcBorders>
              <w:top w:val="single" w:sz="4" w:space="0" w:color="auto"/>
              <w:left w:val="nil"/>
              <w:bottom w:val="single" w:sz="4" w:space="0" w:color="auto"/>
              <w:right w:val="single" w:sz="4" w:space="0" w:color="auto"/>
            </w:tcBorders>
            <w:vAlign w:val="center"/>
          </w:tcPr>
          <w:p w14:paraId="25E4ACF8" w14:textId="1891C1C9" w:rsidR="00B52551" w:rsidRPr="00543255" w:rsidRDefault="00B52551" w:rsidP="00B52551">
            <w:pPr>
              <w:spacing w:after="0" w:line="240" w:lineRule="auto"/>
              <w:jc w:val="right"/>
              <w:rPr>
                <w:rFonts w:cs="Arial"/>
                <w:b/>
                <w:bCs/>
                <w:color w:val="000000"/>
                <w:sz w:val="16"/>
                <w:szCs w:val="16"/>
                <w:lang w:eastAsia="en-AU"/>
              </w:rPr>
            </w:pPr>
            <w:r>
              <w:rPr>
                <w:rFonts w:cs="Arial"/>
                <w:b/>
                <w:bCs/>
                <w:color w:val="000000"/>
                <w:sz w:val="16"/>
                <w:szCs w:val="16"/>
              </w:rPr>
              <w:t>109,676</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C6AF4" w14:textId="3A23A8AC" w:rsidR="00B52551" w:rsidRPr="00543255" w:rsidRDefault="00B52551" w:rsidP="00B52551">
            <w:pPr>
              <w:spacing w:after="0" w:line="240" w:lineRule="auto"/>
              <w:jc w:val="right"/>
              <w:rPr>
                <w:rFonts w:cs="Arial"/>
                <w:b/>
                <w:bCs/>
                <w:color w:val="000000"/>
                <w:sz w:val="16"/>
                <w:szCs w:val="16"/>
                <w:lang w:eastAsia="en-AU"/>
              </w:rPr>
            </w:pPr>
            <w:r>
              <w:rPr>
                <w:rFonts w:cs="Arial"/>
                <w:b/>
                <w:bCs/>
                <w:color w:val="000000"/>
                <w:sz w:val="16"/>
                <w:szCs w:val="16"/>
              </w:rPr>
              <w:t>2,689</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4D2FE9B5" w14:textId="02532793" w:rsidR="00B52551" w:rsidRPr="00543255" w:rsidRDefault="00B52551" w:rsidP="00B52551">
            <w:pPr>
              <w:spacing w:after="0" w:line="240" w:lineRule="auto"/>
              <w:jc w:val="right"/>
              <w:rPr>
                <w:rFonts w:cs="Arial"/>
                <w:b/>
                <w:bCs/>
                <w:color w:val="000000"/>
                <w:sz w:val="16"/>
                <w:szCs w:val="16"/>
                <w:lang w:eastAsia="en-AU"/>
              </w:rPr>
            </w:pPr>
            <w:r>
              <w:rPr>
                <w:rFonts w:cs="Arial"/>
                <w:b/>
                <w:bCs/>
                <w:color w:val="000000"/>
                <w:sz w:val="16"/>
                <w:szCs w:val="16"/>
              </w:rPr>
              <w:t>16,798</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4225A124" w14:textId="6CBC4E96" w:rsidR="00B52551" w:rsidRPr="00543255" w:rsidRDefault="00B52551" w:rsidP="00B52551">
            <w:pPr>
              <w:spacing w:after="0" w:line="240" w:lineRule="auto"/>
              <w:jc w:val="right"/>
              <w:rPr>
                <w:rFonts w:cs="Arial"/>
                <w:b/>
                <w:bCs/>
                <w:color w:val="000000"/>
                <w:sz w:val="16"/>
                <w:szCs w:val="16"/>
                <w:lang w:eastAsia="en-AU"/>
              </w:rPr>
            </w:pPr>
            <w:r>
              <w:rPr>
                <w:rFonts w:cs="Arial"/>
                <w:b/>
                <w:bCs/>
                <w:color w:val="000000"/>
                <w:sz w:val="16"/>
                <w:szCs w:val="16"/>
              </w:rPr>
              <w:t>2,436</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38A3BA7F" w14:textId="4ED319A9" w:rsidR="00B52551" w:rsidRPr="00543255" w:rsidRDefault="00B52551" w:rsidP="00B52551">
            <w:pPr>
              <w:spacing w:after="0" w:line="240" w:lineRule="auto"/>
              <w:jc w:val="right"/>
              <w:rPr>
                <w:rFonts w:cs="Arial"/>
                <w:b/>
                <w:bCs/>
                <w:color w:val="000000" w:themeColor="text1"/>
                <w:sz w:val="16"/>
                <w:szCs w:val="16"/>
                <w:lang w:eastAsia="en-AU"/>
              </w:rPr>
            </w:pPr>
            <w:r>
              <w:rPr>
                <w:rFonts w:cs="Arial"/>
                <w:b/>
                <w:bCs/>
                <w:color w:val="000000"/>
                <w:sz w:val="16"/>
                <w:szCs w:val="16"/>
              </w:rPr>
              <w:t>2,516,444</w:t>
            </w:r>
          </w:p>
        </w:tc>
      </w:tr>
    </w:tbl>
    <w:p w14:paraId="2A790050" w14:textId="77777777" w:rsidR="005B699B" w:rsidRDefault="005B699B" w:rsidP="005B699B">
      <w:pPr>
        <w:pStyle w:val="Body"/>
      </w:pPr>
    </w:p>
    <w:p w14:paraId="7F0DB704" w14:textId="77777777" w:rsidR="005B699B" w:rsidRDefault="005B699B" w:rsidP="005B699B">
      <w:pPr>
        <w:pStyle w:val="Body"/>
      </w:pPr>
      <w:bookmarkStart w:id="2577" w:name="_Ref167713810"/>
      <w:bookmarkEnd w:id="2576"/>
    </w:p>
    <w:bookmarkEnd w:id="2577"/>
    <w:p w14:paraId="4C33149E" w14:textId="77777777" w:rsidR="005B699B" w:rsidRDefault="005B699B" w:rsidP="005B699B">
      <w:pPr>
        <w:spacing w:after="0" w:line="240" w:lineRule="auto"/>
        <w:rPr>
          <w:rFonts w:eastAsia="Times"/>
        </w:rPr>
      </w:pPr>
      <w:r>
        <w:br w:type="page"/>
      </w:r>
    </w:p>
    <w:p w14:paraId="3E45FB17" w14:textId="2AD7EAD4" w:rsidR="005F62CB" w:rsidRDefault="00EF6F4D" w:rsidP="001E4292">
      <w:pPr>
        <w:pStyle w:val="Heading2"/>
        <w:numPr>
          <w:ilvl w:val="1"/>
          <w:numId w:val="13"/>
        </w:numPr>
        <w:ind w:left="1134" w:hanging="1134"/>
      </w:pPr>
      <w:bookmarkStart w:id="2578" w:name="_Toc178963658"/>
      <w:bookmarkStart w:id="2579" w:name="_Ref143084241"/>
      <w:bookmarkStart w:id="2580" w:name="_Ref165637430"/>
      <w:bookmarkStart w:id="2581" w:name="_Toc165961872"/>
      <w:r>
        <w:lastRenderedPageBreak/>
        <w:t>Indicative NWAU adjustments for safety and quality</w:t>
      </w:r>
      <w:bookmarkEnd w:id="2578"/>
    </w:p>
    <w:p w14:paraId="5EAAD2BB" w14:textId="77777777" w:rsidR="005B699B" w:rsidRDefault="005B699B" w:rsidP="001E4292">
      <w:pPr>
        <w:pStyle w:val="Heading3"/>
        <w:numPr>
          <w:ilvl w:val="2"/>
          <w:numId w:val="13"/>
        </w:numPr>
      </w:pPr>
      <w:r>
        <w:t xml:space="preserve">Indicative HAC base NWAU adjustment 2023–24 for the purpose of </w:t>
      </w:r>
      <w:r w:rsidRPr="00295CB9">
        <w:t>calculating</w:t>
      </w:r>
      <w:r>
        <w:t xml:space="preserve"> annual growth in 2024–2</w:t>
      </w:r>
      <w:bookmarkEnd w:id="2579"/>
      <w:r>
        <w:t>5</w:t>
      </w:r>
      <w:bookmarkEnd w:id="2580"/>
      <w:bookmarkEnd w:id="2581"/>
    </w:p>
    <w:p w14:paraId="5A6327E6" w14:textId="2616D783" w:rsidR="005B699B" w:rsidRDefault="00462DC7" w:rsidP="00297FC9">
      <w:pPr>
        <w:pStyle w:val="Tablecaption"/>
      </w:pPr>
      <w:bookmarkStart w:id="2582" w:name="_Ref143084332"/>
      <w:bookmarkStart w:id="2583" w:name="_Ref165638725"/>
      <w:bookmarkStart w:id="2584" w:name="_Toc176510423"/>
      <w:r w:rsidRPr="000C3C4F">
        <w:t xml:space="preserve">Table </w:t>
      </w:r>
      <w:r w:rsidR="00D72666">
        <w:t>2</w:t>
      </w:r>
      <w:r w:rsidR="000E0ED2">
        <w:t>.</w:t>
      </w:r>
      <w:r>
        <w:fldChar w:fldCharType="begin"/>
      </w:r>
      <w:r>
        <w:instrText>SEQ Table \* ARABIC \s 1</w:instrText>
      </w:r>
      <w:r>
        <w:fldChar w:fldCharType="separate"/>
      </w:r>
      <w:r w:rsidR="00F30C16">
        <w:rPr>
          <w:noProof/>
        </w:rPr>
        <w:t>11</w:t>
      </w:r>
      <w:r>
        <w:fldChar w:fldCharType="end"/>
      </w:r>
      <w:bookmarkEnd w:id="2582"/>
      <w:r w:rsidRPr="000C3C4F">
        <w:t xml:space="preserve">: </w:t>
      </w:r>
      <w:r w:rsidR="005B699B" w:rsidRPr="000C3C4F">
        <w:t>Indicative level of the HAC NWAU adjustment in 202</w:t>
      </w:r>
      <w:r w:rsidR="005B699B">
        <w:t>4</w:t>
      </w:r>
      <w:r w:rsidR="005B699B" w:rsidRPr="000C3C4F">
        <w:t>–2</w:t>
      </w:r>
      <w:r w:rsidR="005B699B">
        <w:t>5</w:t>
      </w:r>
      <w:bookmarkEnd w:id="2583"/>
      <w:bookmarkEnd w:id="2584"/>
      <w:r w:rsidR="00051FFE">
        <w:t xml:space="preserve"> </w:t>
      </w:r>
    </w:p>
    <w:tbl>
      <w:tblPr>
        <w:tblStyle w:val="TableGrid"/>
        <w:tblW w:w="0" w:type="auto"/>
        <w:tblLayout w:type="fixed"/>
        <w:tblLook w:val="04A0" w:firstRow="1" w:lastRow="0" w:firstColumn="1" w:lastColumn="0" w:noHBand="0" w:noVBand="1"/>
      </w:tblPr>
      <w:tblGrid>
        <w:gridCol w:w="2928"/>
        <w:gridCol w:w="2928"/>
        <w:gridCol w:w="2928"/>
      </w:tblGrid>
      <w:tr w:rsidR="00CE1BD8" w14:paraId="11D41E0A" w14:textId="77777777" w:rsidTr="000674C4">
        <w:trPr>
          <w:trHeight w:val="283"/>
        </w:trPr>
        <w:tc>
          <w:tcPr>
            <w:tcW w:w="2928" w:type="dxa"/>
          </w:tcPr>
          <w:p w14:paraId="2B35563F" w14:textId="77777777" w:rsidR="00CE1BD8" w:rsidRDefault="00CE1BD8" w:rsidP="00CD7540">
            <w:pPr>
              <w:pStyle w:val="Tablecolheadlandscape"/>
              <w:spacing w:afterLines="60" w:after="144"/>
              <w:ind w:left="57" w:right="57"/>
            </w:pPr>
            <w:r w:rsidRPr="4A22144A">
              <w:rPr>
                <w:rFonts w:eastAsia="Arial" w:cs="Arial"/>
              </w:rPr>
              <w:t xml:space="preserve">Health service </w:t>
            </w:r>
          </w:p>
        </w:tc>
        <w:tc>
          <w:tcPr>
            <w:tcW w:w="2928" w:type="dxa"/>
          </w:tcPr>
          <w:p w14:paraId="383A8A73" w14:textId="77777777" w:rsidR="00CE1BD8" w:rsidRDefault="00CE1BD8" w:rsidP="00CD7540">
            <w:pPr>
              <w:pStyle w:val="Tablecolheadlandscape"/>
              <w:spacing w:afterLines="60" w:after="144"/>
              <w:ind w:left="57" w:right="57"/>
              <w:jc w:val="right"/>
              <w:rPr>
                <w:rFonts w:eastAsia="Arial" w:cs="Arial"/>
              </w:rPr>
            </w:pPr>
            <w:r w:rsidRPr="4A22144A">
              <w:rPr>
                <w:rFonts w:eastAsia="Arial" w:cs="Arial"/>
              </w:rPr>
              <w:t xml:space="preserve">2023–24 HAC NWAU adjustment </w:t>
            </w:r>
          </w:p>
          <w:p w14:paraId="38DE3645" w14:textId="77777777" w:rsidR="00CE1BD8" w:rsidRDefault="00CE1BD8" w:rsidP="00CD7540">
            <w:pPr>
              <w:pStyle w:val="Tablecolheadlandscape"/>
              <w:spacing w:afterLines="60" w:after="144"/>
              <w:ind w:left="57" w:right="57"/>
              <w:jc w:val="right"/>
            </w:pPr>
            <w:r w:rsidRPr="4A22144A">
              <w:rPr>
                <w:rFonts w:eastAsia="Arial" w:cs="Arial"/>
              </w:rPr>
              <w:t xml:space="preserve">(indicative forecast) </w:t>
            </w:r>
          </w:p>
        </w:tc>
        <w:tc>
          <w:tcPr>
            <w:tcW w:w="2928" w:type="dxa"/>
          </w:tcPr>
          <w:p w14:paraId="3FD4BC66" w14:textId="77777777" w:rsidR="00CE1BD8" w:rsidRDefault="00CE1BD8" w:rsidP="00CD7540">
            <w:pPr>
              <w:pStyle w:val="Tablecolheadlandscape"/>
              <w:spacing w:afterLines="60" w:after="144"/>
              <w:ind w:left="57" w:right="57"/>
              <w:jc w:val="right"/>
              <w:rPr>
                <w:rFonts w:eastAsia="Arial" w:cs="Arial"/>
              </w:rPr>
            </w:pPr>
            <w:r w:rsidRPr="4A22144A">
              <w:rPr>
                <w:rFonts w:eastAsia="Arial" w:cs="Arial"/>
              </w:rPr>
              <w:t xml:space="preserve">2024–25 HAC NWAU adjustment </w:t>
            </w:r>
          </w:p>
          <w:p w14:paraId="5F4C6BE5" w14:textId="77777777" w:rsidR="00CE1BD8" w:rsidRDefault="00CE1BD8" w:rsidP="00CD7540">
            <w:pPr>
              <w:pStyle w:val="Tablecolheadlandscape"/>
              <w:spacing w:afterLines="60" w:after="144"/>
              <w:ind w:left="57" w:right="57"/>
              <w:jc w:val="right"/>
            </w:pPr>
            <w:r w:rsidRPr="4A22144A">
              <w:rPr>
                <w:rFonts w:eastAsia="Arial" w:cs="Arial"/>
              </w:rPr>
              <w:t xml:space="preserve">(indicative forecast) </w:t>
            </w:r>
          </w:p>
        </w:tc>
      </w:tr>
      <w:tr w:rsidR="00CE1BD8" w14:paraId="6D3A56C0" w14:textId="77777777" w:rsidTr="000674C4">
        <w:trPr>
          <w:trHeight w:val="300"/>
        </w:trPr>
        <w:tc>
          <w:tcPr>
            <w:tcW w:w="2928" w:type="dxa"/>
          </w:tcPr>
          <w:p w14:paraId="1191240D"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Albury Wodonga Health </w:t>
            </w:r>
          </w:p>
        </w:tc>
        <w:tc>
          <w:tcPr>
            <w:tcW w:w="2928" w:type="dxa"/>
          </w:tcPr>
          <w:p w14:paraId="0820C5F7"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17.6</w:t>
            </w:r>
          </w:p>
        </w:tc>
        <w:tc>
          <w:tcPr>
            <w:tcW w:w="2928" w:type="dxa"/>
          </w:tcPr>
          <w:p w14:paraId="6C5753E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20.7</w:t>
            </w:r>
          </w:p>
        </w:tc>
      </w:tr>
      <w:tr w:rsidR="00CE1BD8" w14:paraId="5F6969A4" w14:textId="77777777" w:rsidTr="000674C4">
        <w:trPr>
          <w:trHeight w:val="283"/>
        </w:trPr>
        <w:tc>
          <w:tcPr>
            <w:tcW w:w="2928" w:type="dxa"/>
          </w:tcPr>
          <w:p w14:paraId="721EE694"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Alfred Health </w:t>
            </w:r>
          </w:p>
        </w:tc>
        <w:tc>
          <w:tcPr>
            <w:tcW w:w="2928" w:type="dxa"/>
          </w:tcPr>
          <w:p w14:paraId="2680AC16"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2,193.3</w:t>
            </w:r>
          </w:p>
        </w:tc>
        <w:tc>
          <w:tcPr>
            <w:tcW w:w="2928" w:type="dxa"/>
          </w:tcPr>
          <w:p w14:paraId="3156864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2,342.7</w:t>
            </w:r>
          </w:p>
        </w:tc>
      </w:tr>
      <w:tr w:rsidR="00CE1BD8" w14:paraId="2A2E05A1" w14:textId="77777777" w:rsidTr="000674C4">
        <w:trPr>
          <w:trHeight w:val="283"/>
        </w:trPr>
        <w:tc>
          <w:tcPr>
            <w:tcW w:w="2928" w:type="dxa"/>
          </w:tcPr>
          <w:p w14:paraId="6A06A659"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Austin Health </w:t>
            </w:r>
          </w:p>
        </w:tc>
        <w:tc>
          <w:tcPr>
            <w:tcW w:w="2928" w:type="dxa"/>
          </w:tcPr>
          <w:p w14:paraId="1C28822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1,317.9</w:t>
            </w:r>
          </w:p>
        </w:tc>
        <w:tc>
          <w:tcPr>
            <w:tcW w:w="2928" w:type="dxa"/>
          </w:tcPr>
          <w:p w14:paraId="591588C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1,400.1</w:t>
            </w:r>
          </w:p>
        </w:tc>
      </w:tr>
      <w:tr w:rsidR="00CE1BD8" w14:paraId="6A72E2BA" w14:textId="77777777" w:rsidTr="000674C4">
        <w:trPr>
          <w:trHeight w:val="283"/>
        </w:trPr>
        <w:tc>
          <w:tcPr>
            <w:tcW w:w="2928" w:type="dxa"/>
          </w:tcPr>
          <w:p w14:paraId="429AAD35"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Bairnsdale Regional Health Service </w:t>
            </w:r>
          </w:p>
        </w:tc>
        <w:tc>
          <w:tcPr>
            <w:tcW w:w="2928" w:type="dxa"/>
          </w:tcPr>
          <w:p w14:paraId="42F39B2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36.3</w:t>
            </w:r>
          </w:p>
        </w:tc>
        <w:tc>
          <w:tcPr>
            <w:tcW w:w="2928" w:type="dxa"/>
          </w:tcPr>
          <w:p w14:paraId="1694EDC9"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42.2</w:t>
            </w:r>
          </w:p>
        </w:tc>
      </w:tr>
      <w:tr w:rsidR="00CE1BD8" w14:paraId="54C43C35" w14:textId="77777777" w:rsidTr="000674C4">
        <w:trPr>
          <w:trHeight w:val="283"/>
        </w:trPr>
        <w:tc>
          <w:tcPr>
            <w:tcW w:w="2928" w:type="dxa"/>
          </w:tcPr>
          <w:p w14:paraId="5470E7F0"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Barwon Health </w:t>
            </w:r>
          </w:p>
        </w:tc>
        <w:tc>
          <w:tcPr>
            <w:tcW w:w="2928" w:type="dxa"/>
          </w:tcPr>
          <w:p w14:paraId="0A7ED16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740.4</w:t>
            </w:r>
          </w:p>
        </w:tc>
        <w:tc>
          <w:tcPr>
            <w:tcW w:w="2928" w:type="dxa"/>
          </w:tcPr>
          <w:p w14:paraId="3E33655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813.5</w:t>
            </w:r>
          </w:p>
        </w:tc>
      </w:tr>
      <w:tr w:rsidR="00CE1BD8" w14:paraId="74B600F2" w14:textId="77777777" w:rsidTr="000674C4">
        <w:trPr>
          <w:trHeight w:val="283"/>
        </w:trPr>
        <w:tc>
          <w:tcPr>
            <w:tcW w:w="2928" w:type="dxa"/>
          </w:tcPr>
          <w:p w14:paraId="0746A987"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Bass Coast Health </w:t>
            </w:r>
          </w:p>
        </w:tc>
        <w:tc>
          <w:tcPr>
            <w:tcW w:w="2928" w:type="dxa"/>
          </w:tcPr>
          <w:p w14:paraId="3CE26594"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18.1</w:t>
            </w:r>
          </w:p>
        </w:tc>
        <w:tc>
          <w:tcPr>
            <w:tcW w:w="2928" w:type="dxa"/>
          </w:tcPr>
          <w:p w14:paraId="545FA7D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21.3</w:t>
            </w:r>
          </w:p>
        </w:tc>
      </w:tr>
      <w:tr w:rsidR="00CE1BD8" w14:paraId="2EB18F5A" w14:textId="77777777" w:rsidTr="000674C4">
        <w:trPr>
          <w:trHeight w:val="283"/>
        </w:trPr>
        <w:tc>
          <w:tcPr>
            <w:tcW w:w="2928" w:type="dxa"/>
          </w:tcPr>
          <w:p w14:paraId="054F4612"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Benalla Health </w:t>
            </w:r>
          </w:p>
        </w:tc>
        <w:tc>
          <w:tcPr>
            <w:tcW w:w="2928" w:type="dxa"/>
          </w:tcPr>
          <w:p w14:paraId="4D3FC148"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10.4</w:t>
            </w:r>
          </w:p>
        </w:tc>
        <w:tc>
          <w:tcPr>
            <w:tcW w:w="2928" w:type="dxa"/>
          </w:tcPr>
          <w:p w14:paraId="21E6CF7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10.9</w:t>
            </w:r>
          </w:p>
        </w:tc>
      </w:tr>
      <w:tr w:rsidR="00CE1BD8" w14:paraId="372535E5" w14:textId="77777777" w:rsidTr="000674C4">
        <w:trPr>
          <w:trHeight w:val="283"/>
        </w:trPr>
        <w:tc>
          <w:tcPr>
            <w:tcW w:w="2928" w:type="dxa"/>
          </w:tcPr>
          <w:p w14:paraId="6CD52CFC"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Bendigo Health </w:t>
            </w:r>
          </w:p>
        </w:tc>
        <w:tc>
          <w:tcPr>
            <w:tcW w:w="2928" w:type="dxa"/>
          </w:tcPr>
          <w:p w14:paraId="492BAFB7"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222.3</w:t>
            </w:r>
          </w:p>
        </w:tc>
        <w:tc>
          <w:tcPr>
            <w:tcW w:w="2928" w:type="dxa"/>
          </w:tcPr>
          <w:p w14:paraId="2C00D62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233.5</w:t>
            </w:r>
          </w:p>
        </w:tc>
      </w:tr>
      <w:tr w:rsidR="00CE1BD8" w14:paraId="60B263D9" w14:textId="77777777" w:rsidTr="000674C4">
        <w:trPr>
          <w:trHeight w:val="283"/>
        </w:trPr>
        <w:tc>
          <w:tcPr>
            <w:tcW w:w="2928" w:type="dxa"/>
          </w:tcPr>
          <w:p w14:paraId="299158DA"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Central Gippsland Health Service </w:t>
            </w:r>
          </w:p>
        </w:tc>
        <w:tc>
          <w:tcPr>
            <w:tcW w:w="2928" w:type="dxa"/>
          </w:tcPr>
          <w:p w14:paraId="480A61A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18.4</w:t>
            </w:r>
          </w:p>
        </w:tc>
        <w:tc>
          <w:tcPr>
            <w:tcW w:w="2928" w:type="dxa"/>
          </w:tcPr>
          <w:p w14:paraId="5152632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19.9</w:t>
            </w:r>
          </w:p>
        </w:tc>
      </w:tr>
      <w:tr w:rsidR="00CE1BD8" w14:paraId="5F8795BF" w14:textId="77777777" w:rsidTr="000674C4">
        <w:trPr>
          <w:trHeight w:val="283"/>
        </w:trPr>
        <w:tc>
          <w:tcPr>
            <w:tcW w:w="2928" w:type="dxa"/>
          </w:tcPr>
          <w:p w14:paraId="36AD5AC4"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Colac Area Health </w:t>
            </w:r>
          </w:p>
        </w:tc>
        <w:tc>
          <w:tcPr>
            <w:tcW w:w="2928" w:type="dxa"/>
          </w:tcPr>
          <w:p w14:paraId="337FF05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5.4</w:t>
            </w:r>
          </w:p>
        </w:tc>
        <w:tc>
          <w:tcPr>
            <w:tcW w:w="2928" w:type="dxa"/>
          </w:tcPr>
          <w:p w14:paraId="4E34ED7C"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6.2</w:t>
            </w:r>
          </w:p>
        </w:tc>
      </w:tr>
      <w:tr w:rsidR="00CE1BD8" w14:paraId="25C7F708" w14:textId="77777777" w:rsidTr="000674C4">
        <w:trPr>
          <w:trHeight w:val="283"/>
        </w:trPr>
        <w:tc>
          <w:tcPr>
            <w:tcW w:w="2928" w:type="dxa"/>
          </w:tcPr>
          <w:p w14:paraId="6F88A935"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Dhelkaya Health </w:t>
            </w:r>
          </w:p>
        </w:tc>
        <w:tc>
          <w:tcPr>
            <w:tcW w:w="2928" w:type="dxa"/>
          </w:tcPr>
          <w:p w14:paraId="68D05AE0"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6.3</w:t>
            </w:r>
          </w:p>
        </w:tc>
        <w:tc>
          <w:tcPr>
            <w:tcW w:w="2928" w:type="dxa"/>
          </w:tcPr>
          <w:p w14:paraId="1C3B30B3"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6.8</w:t>
            </w:r>
          </w:p>
        </w:tc>
      </w:tr>
      <w:tr w:rsidR="00CE1BD8" w14:paraId="43C85899" w14:textId="77777777" w:rsidTr="000674C4">
        <w:trPr>
          <w:trHeight w:val="283"/>
        </w:trPr>
        <w:tc>
          <w:tcPr>
            <w:tcW w:w="2928" w:type="dxa"/>
          </w:tcPr>
          <w:p w14:paraId="035CA3A2"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East Grampians Health Service </w:t>
            </w:r>
          </w:p>
        </w:tc>
        <w:tc>
          <w:tcPr>
            <w:tcW w:w="2928" w:type="dxa"/>
          </w:tcPr>
          <w:p w14:paraId="13FE3A66"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4.0</w:t>
            </w:r>
          </w:p>
        </w:tc>
        <w:tc>
          <w:tcPr>
            <w:tcW w:w="2928" w:type="dxa"/>
          </w:tcPr>
          <w:p w14:paraId="1B13058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4.4</w:t>
            </w:r>
          </w:p>
        </w:tc>
      </w:tr>
      <w:tr w:rsidR="00CE1BD8" w14:paraId="652CEC23" w14:textId="77777777" w:rsidTr="000674C4">
        <w:trPr>
          <w:trHeight w:val="283"/>
        </w:trPr>
        <w:tc>
          <w:tcPr>
            <w:tcW w:w="2928" w:type="dxa"/>
          </w:tcPr>
          <w:p w14:paraId="77FBBAC6" w14:textId="77777777" w:rsidR="00CE1BD8" w:rsidRPr="008C6162" w:rsidRDefault="00CE1BD8"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Eastern Health </w:t>
            </w:r>
          </w:p>
        </w:tc>
        <w:tc>
          <w:tcPr>
            <w:tcW w:w="2928" w:type="dxa"/>
          </w:tcPr>
          <w:p w14:paraId="0F392BE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833.6</w:t>
            </w:r>
          </w:p>
        </w:tc>
        <w:tc>
          <w:tcPr>
            <w:tcW w:w="2928" w:type="dxa"/>
          </w:tcPr>
          <w:p w14:paraId="1F56EF74"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953.2</w:t>
            </w:r>
          </w:p>
        </w:tc>
      </w:tr>
      <w:tr w:rsidR="00CE1BD8" w14:paraId="35DD5409" w14:textId="77777777" w:rsidTr="000674C4">
        <w:trPr>
          <w:trHeight w:val="283"/>
        </w:trPr>
        <w:tc>
          <w:tcPr>
            <w:tcW w:w="2928" w:type="dxa"/>
          </w:tcPr>
          <w:p w14:paraId="076BE0FF"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Echuca Regional Health </w:t>
            </w:r>
          </w:p>
        </w:tc>
        <w:tc>
          <w:tcPr>
            <w:tcW w:w="2928" w:type="dxa"/>
          </w:tcPr>
          <w:p w14:paraId="50A347CA"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34.7</w:t>
            </w:r>
          </w:p>
        </w:tc>
        <w:tc>
          <w:tcPr>
            <w:tcW w:w="2928" w:type="dxa"/>
          </w:tcPr>
          <w:p w14:paraId="2305F038"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37.0</w:t>
            </w:r>
          </w:p>
        </w:tc>
      </w:tr>
      <w:tr w:rsidR="00CE1BD8" w14:paraId="6D8A9049" w14:textId="77777777" w:rsidTr="000674C4">
        <w:trPr>
          <w:trHeight w:val="283"/>
        </w:trPr>
        <w:tc>
          <w:tcPr>
            <w:tcW w:w="2928" w:type="dxa"/>
          </w:tcPr>
          <w:p w14:paraId="06ED9FE2"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Gippsland Southern Health Service </w:t>
            </w:r>
          </w:p>
        </w:tc>
        <w:tc>
          <w:tcPr>
            <w:tcW w:w="2928" w:type="dxa"/>
          </w:tcPr>
          <w:p w14:paraId="651B66E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4.1</w:t>
            </w:r>
          </w:p>
        </w:tc>
        <w:tc>
          <w:tcPr>
            <w:tcW w:w="2928" w:type="dxa"/>
          </w:tcPr>
          <w:p w14:paraId="6748C3C0"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4.4</w:t>
            </w:r>
          </w:p>
        </w:tc>
      </w:tr>
      <w:tr w:rsidR="00CE1BD8" w14:paraId="5A3FBA4D" w14:textId="77777777" w:rsidTr="000674C4">
        <w:trPr>
          <w:trHeight w:val="283"/>
        </w:trPr>
        <w:tc>
          <w:tcPr>
            <w:tcW w:w="2928" w:type="dxa"/>
          </w:tcPr>
          <w:p w14:paraId="77CE442A"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Goulburn Valley Health </w:t>
            </w:r>
          </w:p>
        </w:tc>
        <w:tc>
          <w:tcPr>
            <w:tcW w:w="2928" w:type="dxa"/>
          </w:tcPr>
          <w:p w14:paraId="3F1A0501"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217.1</w:t>
            </w:r>
          </w:p>
        </w:tc>
        <w:tc>
          <w:tcPr>
            <w:tcW w:w="2928" w:type="dxa"/>
          </w:tcPr>
          <w:p w14:paraId="643EDA0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245.9</w:t>
            </w:r>
          </w:p>
        </w:tc>
      </w:tr>
      <w:tr w:rsidR="00CE1BD8" w14:paraId="11A0A91C" w14:textId="77777777" w:rsidTr="000674C4">
        <w:trPr>
          <w:trHeight w:val="283"/>
        </w:trPr>
        <w:tc>
          <w:tcPr>
            <w:tcW w:w="2928" w:type="dxa"/>
          </w:tcPr>
          <w:p w14:paraId="59DB01CD"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Grampians Health </w:t>
            </w:r>
          </w:p>
        </w:tc>
        <w:tc>
          <w:tcPr>
            <w:tcW w:w="2928" w:type="dxa"/>
          </w:tcPr>
          <w:p w14:paraId="41E0E98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372.0</w:t>
            </w:r>
          </w:p>
        </w:tc>
        <w:tc>
          <w:tcPr>
            <w:tcW w:w="2928" w:type="dxa"/>
          </w:tcPr>
          <w:p w14:paraId="6C6C4BB1"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407.6</w:t>
            </w:r>
          </w:p>
        </w:tc>
      </w:tr>
      <w:tr w:rsidR="00CE1BD8" w14:paraId="6C8D9B3D" w14:textId="77777777" w:rsidTr="000674C4">
        <w:trPr>
          <w:trHeight w:val="283"/>
        </w:trPr>
        <w:tc>
          <w:tcPr>
            <w:tcW w:w="2928" w:type="dxa"/>
          </w:tcPr>
          <w:p w14:paraId="5B84488C"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Kyabram District Health Service </w:t>
            </w:r>
          </w:p>
        </w:tc>
        <w:tc>
          <w:tcPr>
            <w:tcW w:w="2928" w:type="dxa"/>
          </w:tcPr>
          <w:p w14:paraId="7CE01798"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6.1</w:t>
            </w:r>
          </w:p>
        </w:tc>
        <w:tc>
          <w:tcPr>
            <w:tcW w:w="2928" w:type="dxa"/>
          </w:tcPr>
          <w:p w14:paraId="3BF62246"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7.3</w:t>
            </w:r>
          </w:p>
        </w:tc>
      </w:tr>
      <w:tr w:rsidR="00CE1BD8" w14:paraId="68BD748B" w14:textId="77777777" w:rsidTr="000674C4">
        <w:trPr>
          <w:trHeight w:val="283"/>
        </w:trPr>
        <w:tc>
          <w:tcPr>
            <w:tcW w:w="2928" w:type="dxa"/>
          </w:tcPr>
          <w:p w14:paraId="0F895BC3"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Latrobe Regional Hospital </w:t>
            </w:r>
          </w:p>
        </w:tc>
        <w:tc>
          <w:tcPr>
            <w:tcW w:w="2928" w:type="dxa"/>
          </w:tcPr>
          <w:p w14:paraId="2392113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208.8</w:t>
            </w:r>
          </w:p>
        </w:tc>
        <w:tc>
          <w:tcPr>
            <w:tcW w:w="2928" w:type="dxa"/>
          </w:tcPr>
          <w:p w14:paraId="35AA7E56"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233.2</w:t>
            </w:r>
          </w:p>
        </w:tc>
      </w:tr>
      <w:tr w:rsidR="00CE1BD8" w14:paraId="42069042" w14:textId="77777777" w:rsidTr="000674C4">
        <w:trPr>
          <w:trHeight w:val="283"/>
        </w:trPr>
        <w:tc>
          <w:tcPr>
            <w:tcW w:w="2928" w:type="dxa"/>
          </w:tcPr>
          <w:p w14:paraId="472CE764"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Maryborough District Health Service </w:t>
            </w:r>
          </w:p>
        </w:tc>
        <w:tc>
          <w:tcPr>
            <w:tcW w:w="2928" w:type="dxa"/>
          </w:tcPr>
          <w:p w14:paraId="20B5BA93"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2.6</w:t>
            </w:r>
          </w:p>
        </w:tc>
        <w:tc>
          <w:tcPr>
            <w:tcW w:w="2928" w:type="dxa"/>
          </w:tcPr>
          <w:p w14:paraId="76C36BAC"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2.6</w:t>
            </w:r>
          </w:p>
        </w:tc>
      </w:tr>
      <w:tr w:rsidR="00CE1BD8" w14:paraId="5E071821" w14:textId="77777777" w:rsidTr="000674C4">
        <w:trPr>
          <w:trHeight w:val="283"/>
        </w:trPr>
        <w:tc>
          <w:tcPr>
            <w:tcW w:w="2928" w:type="dxa"/>
          </w:tcPr>
          <w:p w14:paraId="10D907AD"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Melbourne Health </w:t>
            </w:r>
          </w:p>
        </w:tc>
        <w:tc>
          <w:tcPr>
            <w:tcW w:w="2928" w:type="dxa"/>
          </w:tcPr>
          <w:p w14:paraId="71082733"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1,483.1</w:t>
            </w:r>
          </w:p>
        </w:tc>
        <w:tc>
          <w:tcPr>
            <w:tcW w:w="2928" w:type="dxa"/>
          </w:tcPr>
          <w:p w14:paraId="60D4C7E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1,621.6</w:t>
            </w:r>
          </w:p>
        </w:tc>
      </w:tr>
      <w:tr w:rsidR="00CE1BD8" w14:paraId="141D423A" w14:textId="77777777" w:rsidTr="000674C4">
        <w:trPr>
          <w:trHeight w:val="283"/>
        </w:trPr>
        <w:tc>
          <w:tcPr>
            <w:tcW w:w="2928" w:type="dxa"/>
          </w:tcPr>
          <w:p w14:paraId="513590F0"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Mercy Hospitals Victoria Ltd </w:t>
            </w:r>
          </w:p>
        </w:tc>
        <w:tc>
          <w:tcPr>
            <w:tcW w:w="2928" w:type="dxa"/>
          </w:tcPr>
          <w:p w14:paraId="0F06370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372.2</w:t>
            </w:r>
          </w:p>
        </w:tc>
        <w:tc>
          <w:tcPr>
            <w:tcW w:w="2928" w:type="dxa"/>
          </w:tcPr>
          <w:p w14:paraId="7C7AF531"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393.6</w:t>
            </w:r>
          </w:p>
        </w:tc>
      </w:tr>
      <w:tr w:rsidR="00CE1BD8" w14:paraId="3805EF8B" w14:textId="77777777" w:rsidTr="000674C4">
        <w:trPr>
          <w:trHeight w:val="283"/>
        </w:trPr>
        <w:tc>
          <w:tcPr>
            <w:tcW w:w="2928" w:type="dxa"/>
          </w:tcPr>
          <w:p w14:paraId="4182746D"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Mildura Base Public Hospital </w:t>
            </w:r>
          </w:p>
        </w:tc>
        <w:tc>
          <w:tcPr>
            <w:tcW w:w="2928" w:type="dxa"/>
          </w:tcPr>
          <w:p w14:paraId="44B94CC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116.4</w:t>
            </w:r>
          </w:p>
        </w:tc>
        <w:tc>
          <w:tcPr>
            <w:tcW w:w="2928" w:type="dxa"/>
          </w:tcPr>
          <w:p w14:paraId="13C2ECD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139.9</w:t>
            </w:r>
          </w:p>
        </w:tc>
      </w:tr>
      <w:tr w:rsidR="00CE1BD8" w14:paraId="44B06070" w14:textId="77777777" w:rsidTr="000674C4">
        <w:trPr>
          <w:trHeight w:val="283"/>
        </w:trPr>
        <w:tc>
          <w:tcPr>
            <w:tcW w:w="2928" w:type="dxa"/>
          </w:tcPr>
          <w:p w14:paraId="56C37ABE"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Monash Health </w:t>
            </w:r>
          </w:p>
        </w:tc>
        <w:tc>
          <w:tcPr>
            <w:tcW w:w="2928" w:type="dxa"/>
          </w:tcPr>
          <w:p w14:paraId="24489D4C"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1,722.7</w:t>
            </w:r>
          </w:p>
        </w:tc>
        <w:tc>
          <w:tcPr>
            <w:tcW w:w="2928" w:type="dxa"/>
          </w:tcPr>
          <w:p w14:paraId="10C73106"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1,828.3</w:t>
            </w:r>
          </w:p>
        </w:tc>
      </w:tr>
      <w:tr w:rsidR="00CE1BD8" w14:paraId="707FE23A" w14:textId="77777777" w:rsidTr="000674C4">
        <w:trPr>
          <w:trHeight w:val="283"/>
        </w:trPr>
        <w:tc>
          <w:tcPr>
            <w:tcW w:w="2928" w:type="dxa"/>
          </w:tcPr>
          <w:p w14:paraId="3D707770"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Northeast Health Wangaratta </w:t>
            </w:r>
          </w:p>
        </w:tc>
        <w:tc>
          <w:tcPr>
            <w:tcW w:w="2928" w:type="dxa"/>
          </w:tcPr>
          <w:p w14:paraId="1EA2D9D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106.8</w:t>
            </w:r>
          </w:p>
        </w:tc>
        <w:tc>
          <w:tcPr>
            <w:tcW w:w="2928" w:type="dxa"/>
          </w:tcPr>
          <w:p w14:paraId="688C7C0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112.9</w:t>
            </w:r>
          </w:p>
        </w:tc>
      </w:tr>
      <w:tr w:rsidR="00CE1BD8" w14:paraId="082BDCA1" w14:textId="77777777" w:rsidTr="000674C4">
        <w:trPr>
          <w:trHeight w:val="283"/>
        </w:trPr>
        <w:tc>
          <w:tcPr>
            <w:tcW w:w="2928" w:type="dxa"/>
          </w:tcPr>
          <w:p w14:paraId="7516AD4C"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Northern Health </w:t>
            </w:r>
          </w:p>
        </w:tc>
        <w:tc>
          <w:tcPr>
            <w:tcW w:w="2928" w:type="dxa"/>
          </w:tcPr>
          <w:p w14:paraId="020341E9"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412.5</w:t>
            </w:r>
          </w:p>
        </w:tc>
        <w:tc>
          <w:tcPr>
            <w:tcW w:w="2928" w:type="dxa"/>
          </w:tcPr>
          <w:p w14:paraId="52044084"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453.8</w:t>
            </w:r>
          </w:p>
        </w:tc>
      </w:tr>
      <w:tr w:rsidR="00CE1BD8" w14:paraId="460A7438" w14:textId="77777777" w:rsidTr="000674C4">
        <w:trPr>
          <w:trHeight w:val="283"/>
        </w:trPr>
        <w:tc>
          <w:tcPr>
            <w:tcW w:w="2928" w:type="dxa"/>
          </w:tcPr>
          <w:p w14:paraId="15BBBA59"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Peninsula Health </w:t>
            </w:r>
          </w:p>
        </w:tc>
        <w:tc>
          <w:tcPr>
            <w:tcW w:w="2928" w:type="dxa"/>
          </w:tcPr>
          <w:p w14:paraId="5DE8A21A"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484.2</w:t>
            </w:r>
          </w:p>
        </w:tc>
        <w:tc>
          <w:tcPr>
            <w:tcW w:w="2928" w:type="dxa"/>
          </w:tcPr>
          <w:p w14:paraId="409F9B0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543.1</w:t>
            </w:r>
          </w:p>
        </w:tc>
      </w:tr>
      <w:tr w:rsidR="00CE1BD8" w14:paraId="1F7C7C70" w14:textId="77777777" w:rsidTr="000674C4">
        <w:trPr>
          <w:trHeight w:val="283"/>
        </w:trPr>
        <w:tc>
          <w:tcPr>
            <w:tcW w:w="2928" w:type="dxa"/>
          </w:tcPr>
          <w:p w14:paraId="1A194FAE"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Peter MacCallum Cancer Institute </w:t>
            </w:r>
          </w:p>
        </w:tc>
        <w:tc>
          <w:tcPr>
            <w:tcW w:w="2928" w:type="dxa"/>
          </w:tcPr>
          <w:p w14:paraId="581276B0"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289.9</w:t>
            </w:r>
          </w:p>
        </w:tc>
        <w:tc>
          <w:tcPr>
            <w:tcW w:w="2928" w:type="dxa"/>
          </w:tcPr>
          <w:p w14:paraId="57602BC8"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288.7</w:t>
            </w:r>
          </w:p>
        </w:tc>
      </w:tr>
      <w:tr w:rsidR="00CE1BD8" w14:paraId="05B1E469" w14:textId="77777777" w:rsidTr="000674C4">
        <w:trPr>
          <w:trHeight w:val="283"/>
        </w:trPr>
        <w:tc>
          <w:tcPr>
            <w:tcW w:w="2928" w:type="dxa"/>
          </w:tcPr>
          <w:p w14:paraId="05BE93EE" w14:textId="77777777" w:rsidR="00CE1BD8" w:rsidRDefault="00CE1BD8" w:rsidP="00CD7540">
            <w:pPr>
              <w:pStyle w:val="Tabletext8pt"/>
              <w:spacing w:afterLines="60" w:after="144"/>
              <w:ind w:left="57" w:right="57"/>
            </w:pPr>
            <w:r w:rsidRPr="4A22144A">
              <w:rPr>
                <w:rFonts w:eastAsia="Arial" w:cs="Arial"/>
                <w:color w:val="000000" w:themeColor="text1"/>
                <w:sz w:val="16"/>
              </w:rPr>
              <w:lastRenderedPageBreak/>
              <w:t xml:space="preserve">Portland District Health </w:t>
            </w:r>
          </w:p>
        </w:tc>
        <w:tc>
          <w:tcPr>
            <w:tcW w:w="2928" w:type="dxa"/>
          </w:tcPr>
          <w:p w14:paraId="7B3DD09F"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17.2</w:t>
            </w:r>
          </w:p>
        </w:tc>
        <w:tc>
          <w:tcPr>
            <w:tcW w:w="2928" w:type="dxa"/>
          </w:tcPr>
          <w:p w14:paraId="0D7968B0"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18.1</w:t>
            </w:r>
          </w:p>
        </w:tc>
      </w:tr>
      <w:tr w:rsidR="00CE1BD8" w14:paraId="03750A85" w14:textId="77777777" w:rsidTr="000674C4">
        <w:trPr>
          <w:trHeight w:val="283"/>
        </w:trPr>
        <w:tc>
          <w:tcPr>
            <w:tcW w:w="2928" w:type="dxa"/>
          </w:tcPr>
          <w:p w14:paraId="149433AA"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Royal Children’s Hospital </w:t>
            </w:r>
          </w:p>
        </w:tc>
        <w:tc>
          <w:tcPr>
            <w:tcW w:w="2928" w:type="dxa"/>
          </w:tcPr>
          <w:p w14:paraId="148EB7FC"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1,287.5</w:t>
            </w:r>
          </w:p>
        </w:tc>
        <w:tc>
          <w:tcPr>
            <w:tcW w:w="2928" w:type="dxa"/>
          </w:tcPr>
          <w:p w14:paraId="4234ED01"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1,450.6</w:t>
            </w:r>
          </w:p>
        </w:tc>
      </w:tr>
      <w:tr w:rsidR="00CE1BD8" w14:paraId="1D6CE9D5" w14:textId="77777777" w:rsidTr="000674C4">
        <w:trPr>
          <w:trHeight w:val="283"/>
        </w:trPr>
        <w:tc>
          <w:tcPr>
            <w:tcW w:w="2928" w:type="dxa"/>
          </w:tcPr>
          <w:p w14:paraId="3C214AE9"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Royal Victorian Eye and Ear Hospital, The </w:t>
            </w:r>
          </w:p>
        </w:tc>
        <w:tc>
          <w:tcPr>
            <w:tcW w:w="2928" w:type="dxa"/>
          </w:tcPr>
          <w:p w14:paraId="6443A821"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6.8</w:t>
            </w:r>
          </w:p>
        </w:tc>
        <w:tc>
          <w:tcPr>
            <w:tcW w:w="2928" w:type="dxa"/>
          </w:tcPr>
          <w:p w14:paraId="1295F1E0"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7.6</w:t>
            </w:r>
          </w:p>
        </w:tc>
      </w:tr>
      <w:tr w:rsidR="00CE1BD8" w14:paraId="4FEA6DB3" w14:textId="77777777" w:rsidTr="000674C4">
        <w:trPr>
          <w:trHeight w:val="283"/>
        </w:trPr>
        <w:tc>
          <w:tcPr>
            <w:tcW w:w="2928" w:type="dxa"/>
          </w:tcPr>
          <w:p w14:paraId="7653407B"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Royal Women’s Hospital </w:t>
            </w:r>
          </w:p>
        </w:tc>
        <w:tc>
          <w:tcPr>
            <w:tcW w:w="2928" w:type="dxa"/>
          </w:tcPr>
          <w:p w14:paraId="72DDA00C"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144.1</w:t>
            </w:r>
          </w:p>
        </w:tc>
        <w:tc>
          <w:tcPr>
            <w:tcW w:w="2928" w:type="dxa"/>
          </w:tcPr>
          <w:p w14:paraId="3B51E5D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156.5</w:t>
            </w:r>
          </w:p>
        </w:tc>
      </w:tr>
      <w:tr w:rsidR="00CE1BD8" w14:paraId="5E7DE80D" w14:textId="77777777" w:rsidTr="000674C4">
        <w:trPr>
          <w:trHeight w:val="283"/>
        </w:trPr>
        <w:tc>
          <w:tcPr>
            <w:tcW w:w="2928" w:type="dxa"/>
          </w:tcPr>
          <w:p w14:paraId="6F7F3FA5"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South West Healthcare </w:t>
            </w:r>
          </w:p>
        </w:tc>
        <w:tc>
          <w:tcPr>
            <w:tcW w:w="2928" w:type="dxa"/>
          </w:tcPr>
          <w:p w14:paraId="7FB9920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95.5</w:t>
            </w:r>
          </w:p>
        </w:tc>
        <w:tc>
          <w:tcPr>
            <w:tcW w:w="2928" w:type="dxa"/>
          </w:tcPr>
          <w:p w14:paraId="0D24F95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101.0</w:t>
            </w:r>
          </w:p>
        </w:tc>
      </w:tr>
      <w:tr w:rsidR="00CE1BD8" w14:paraId="3BE27446" w14:textId="77777777" w:rsidTr="000674C4">
        <w:trPr>
          <w:trHeight w:val="283"/>
        </w:trPr>
        <w:tc>
          <w:tcPr>
            <w:tcW w:w="2928" w:type="dxa"/>
          </w:tcPr>
          <w:p w14:paraId="1F3C2114"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St Vincent’s Health </w:t>
            </w:r>
          </w:p>
        </w:tc>
        <w:tc>
          <w:tcPr>
            <w:tcW w:w="2928" w:type="dxa"/>
          </w:tcPr>
          <w:p w14:paraId="60CDB463"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804.1</w:t>
            </w:r>
          </w:p>
        </w:tc>
        <w:tc>
          <w:tcPr>
            <w:tcW w:w="2928" w:type="dxa"/>
          </w:tcPr>
          <w:p w14:paraId="4E8E15A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873.7</w:t>
            </w:r>
          </w:p>
        </w:tc>
      </w:tr>
      <w:tr w:rsidR="00CE1BD8" w14:paraId="4372FB3F" w14:textId="77777777" w:rsidTr="000674C4">
        <w:trPr>
          <w:trHeight w:val="283"/>
        </w:trPr>
        <w:tc>
          <w:tcPr>
            <w:tcW w:w="2928" w:type="dxa"/>
          </w:tcPr>
          <w:p w14:paraId="799386E1"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Swan Hill District Health </w:t>
            </w:r>
          </w:p>
        </w:tc>
        <w:tc>
          <w:tcPr>
            <w:tcW w:w="2928" w:type="dxa"/>
          </w:tcPr>
          <w:p w14:paraId="2BAA63B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9.2</w:t>
            </w:r>
          </w:p>
        </w:tc>
        <w:tc>
          <w:tcPr>
            <w:tcW w:w="2928" w:type="dxa"/>
          </w:tcPr>
          <w:p w14:paraId="42BF642D"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9.4</w:t>
            </w:r>
          </w:p>
        </w:tc>
      </w:tr>
      <w:tr w:rsidR="00CE1BD8" w14:paraId="40778B0E" w14:textId="77777777" w:rsidTr="000674C4">
        <w:trPr>
          <w:trHeight w:val="283"/>
        </w:trPr>
        <w:tc>
          <w:tcPr>
            <w:tcW w:w="2928" w:type="dxa"/>
          </w:tcPr>
          <w:p w14:paraId="2D1D851E"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West Gippsland Healthcare Group </w:t>
            </w:r>
          </w:p>
        </w:tc>
        <w:tc>
          <w:tcPr>
            <w:tcW w:w="2928" w:type="dxa"/>
          </w:tcPr>
          <w:p w14:paraId="6088929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27.6</w:t>
            </w:r>
          </w:p>
        </w:tc>
        <w:tc>
          <w:tcPr>
            <w:tcW w:w="2928" w:type="dxa"/>
          </w:tcPr>
          <w:p w14:paraId="726C514A"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30.7</w:t>
            </w:r>
          </w:p>
        </w:tc>
      </w:tr>
      <w:tr w:rsidR="00CE1BD8" w14:paraId="5E3A3BF9" w14:textId="77777777" w:rsidTr="000674C4">
        <w:trPr>
          <w:trHeight w:val="283"/>
        </w:trPr>
        <w:tc>
          <w:tcPr>
            <w:tcW w:w="2928" w:type="dxa"/>
          </w:tcPr>
          <w:p w14:paraId="451E65A3"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Western District Health Service </w:t>
            </w:r>
          </w:p>
        </w:tc>
        <w:tc>
          <w:tcPr>
            <w:tcW w:w="2928" w:type="dxa"/>
          </w:tcPr>
          <w:p w14:paraId="3A2DF7FB"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19.7</w:t>
            </w:r>
          </w:p>
        </w:tc>
        <w:tc>
          <w:tcPr>
            <w:tcW w:w="2928" w:type="dxa"/>
          </w:tcPr>
          <w:p w14:paraId="108F22E4"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20.8</w:t>
            </w:r>
          </w:p>
        </w:tc>
      </w:tr>
      <w:tr w:rsidR="00CE1BD8" w14:paraId="4012A146" w14:textId="77777777" w:rsidTr="000674C4">
        <w:trPr>
          <w:trHeight w:val="283"/>
        </w:trPr>
        <w:tc>
          <w:tcPr>
            <w:tcW w:w="2928" w:type="dxa"/>
          </w:tcPr>
          <w:p w14:paraId="7B1BB3AB" w14:textId="77777777" w:rsidR="00CE1BD8" w:rsidRDefault="00CE1BD8" w:rsidP="00CD7540">
            <w:pPr>
              <w:pStyle w:val="Tabletext8pt"/>
              <w:spacing w:afterLines="60" w:after="144"/>
              <w:ind w:left="57" w:right="57"/>
            </w:pPr>
            <w:r w:rsidRPr="4A22144A">
              <w:rPr>
                <w:rFonts w:eastAsia="Arial" w:cs="Arial"/>
                <w:color w:val="000000" w:themeColor="text1"/>
                <w:sz w:val="16"/>
              </w:rPr>
              <w:t xml:space="preserve">Western Health </w:t>
            </w:r>
          </w:p>
        </w:tc>
        <w:tc>
          <w:tcPr>
            <w:tcW w:w="2928" w:type="dxa"/>
          </w:tcPr>
          <w:p w14:paraId="70C89CC2"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815.0</w:t>
            </w:r>
          </w:p>
        </w:tc>
        <w:tc>
          <w:tcPr>
            <w:tcW w:w="2928" w:type="dxa"/>
          </w:tcPr>
          <w:p w14:paraId="5B329F35" w14:textId="77777777" w:rsidR="00CE1BD8" w:rsidRDefault="00CE1BD8" w:rsidP="00CD7540">
            <w:pPr>
              <w:pStyle w:val="Tabletext8pt"/>
              <w:spacing w:afterLines="60" w:after="144"/>
              <w:ind w:left="57" w:right="57"/>
              <w:jc w:val="right"/>
            </w:pPr>
            <w:r w:rsidRPr="4A22144A">
              <w:rPr>
                <w:rFonts w:eastAsia="Arial" w:cs="Arial"/>
                <w:color w:val="000000" w:themeColor="text1"/>
                <w:sz w:val="16"/>
              </w:rPr>
              <w:t>897.0</w:t>
            </w:r>
          </w:p>
        </w:tc>
      </w:tr>
      <w:tr w:rsidR="00CE1BD8" w14:paraId="167D56C2" w14:textId="77777777" w:rsidTr="000674C4">
        <w:trPr>
          <w:trHeight w:val="283"/>
        </w:trPr>
        <w:tc>
          <w:tcPr>
            <w:tcW w:w="2928" w:type="dxa"/>
          </w:tcPr>
          <w:p w14:paraId="25C1DF49" w14:textId="77777777" w:rsidR="00CE1BD8" w:rsidRDefault="00CE1BD8" w:rsidP="00CD7540">
            <w:pPr>
              <w:spacing w:before="80" w:afterLines="60" w:after="144"/>
              <w:ind w:left="57" w:right="57"/>
            </w:pPr>
            <w:r w:rsidRPr="4A22144A">
              <w:rPr>
                <w:rFonts w:eastAsia="Arial" w:cs="Arial"/>
                <w:b/>
                <w:bCs/>
                <w:color w:val="000000" w:themeColor="text1"/>
                <w:sz w:val="16"/>
                <w:szCs w:val="16"/>
              </w:rPr>
              <w:t xml:space="preserve">Total </w:t>
            </w:r>
          </w:p>
        </w:tc>
        <w:tc>
          <w:tcPr>
            <w:tcW w:w="2928" w:type="dxa"/>
          </w:tcPr>
          <w:p w14:paraId="199FB9BB" w14:textId="77777777" w:rsidR="00CE1BD8" w:rsidRDefault="00CE1BD8" w:rsidP="00CD7540">
            <w:pPr>
              <w:spacing w:before="80" w:afterLines="60" w:after="144"/>
              <w:ind w:left="57" w:right="57"/>
              <w:jc w:val="right"/>
            </w:pPr>
            <w:r w:rsidRPr="4A22144A">
              <w:rPr>
                <w:rFonts w:eastAsia="Arial" w:cs="Arial"/>
                <w:b/>
                <w:bCs/>
                <w:color w:val="000000" w:themeColor="text1"/>
                <w:sz w:val="16"/>
                <w:szCs w:val="16"/>
              </w:rPr>
              <w:t>14,484.2</w:t>
            </w:r>
          </w:p>
        </w:tc>
        <w:tc>
          <w:tcPr>
            <w:tcW w:w="2928" w:type="dxa"/>
          </w:tcPr>
          <w:p w14:paraId="1FA4F5FB" w14:textId="77777777" w:rsidR="00CE1BD8" w:rsidRDefault="00CE1BD8" w:rsidP="00CD7540">
            <w:pPr>
              <w:spacing w:before="80" w:afterLines="60" w:after="144"/>
              <w:ind w:left="57" w:right="57"/>
              <w:jc w:val="right"/>
            </w:pPr>
            <w:r w:rsidRPr="4A22144A">
              <w:rPr>
                <w:rFonts w:eastAsia="Arial" w:cs="Arial"/>
                <w:b/>
                <w:bCs/>
                <w:color w:val="000000" w:themeColor="text1"/>
                <w:sz w:val="16"/>
                <w:szCs w:val="16"/>
              </w:rPr>
              <w:t>15,760.8</w:t>
            </w:r>
          </w:p>
        </w:tc>
      </w:tr>
    </w:tbl>
    <w:p w14:paraId="2E9E98C4" w14:textId="77777777" w:rsidR="00C75D4A" w:rsidRDefault="00C75D4A" w:rsidP="00C75D4A">
      <w:pPr>
        <w:pStyle w:val="Body"/>
      </w:pPr>
    </w:p>
    <w:p w14:paraId="7DC275C2" w14:textId="2F1DB2E0" w:rsidR="004B2821" w:rsidRDefault="004B2821" w:rsidP="001E4292">
      <w:pPr>
        <w:pStyle w:val="Heading3"/>
        <w:numPr>
          <w:ilvl w:val="2"/>
          <w:numId w:val="13"/>
        </w:numPr>
      </w:pPr>
      <w:r>
        <w:t xml:space="preserve">Indicative </w:t>
      </w:r>
      <w:r w:rsidR="00D252AC">
        <w:t>AH</w:t>
      </w:r>
      <w:r>
        <w:t xml:space="preserve">R base NWAU adjustment 2023–24 for the purpose of </w:t>
      </w:r>
      <w:r w:rsidRPr="00295CB9">
        <w:t>calculating</w:t>
      </w:r>
      <w:r>
        <w:t xml:space="preserve"> annual growth in 2024–25</w:t>
      </w:r>
    </w:p>
    <w:p w14:paraId="4447FF47" w14:textId="59B431EE" w:rsidR="00A00F44" w:rsidRDefault="00A00F44" w:rsidP="00A00F44">
      <w:pPr>
        <w:pStyle w:val="Tablecaption"/>
      </w:pPr>
      <w:bookmarkStart w:id="2585" w:name="_Toc176510424"/>
      <w:r w:rsidRPr="000C3C4F">
        <w:t xml:space="preserve">Table </w:t>
      </w:r>
      <w:r>
        <w:t>2.</w:t>
      </w:r>
      <w:r>
        <w:fldChar w:fldCharType="begin"/>
      </w:r>
      <w:r>
        <w:instrText>SEQ Table \* ARABIC \s 1</w:instrText>
      </w:r>
      <w:r>
        <w:fldChar w:fldCharType="separate"/>
      </w:r>
      <w:r>
        <w:rPr>
          <w:noProof/>
        </w:rPr>
        <w:t>12</w:t>
      </w:r>
      <w:r>
        <w:fldChar w:fldCharType="end"/>
      </w:r>
      <w:r w:rsidRPr="000C3C4F">
        <w:t xml:space="preserve">: Indicative level of the </w:t>
      </w:r>
      <w:r>
        <w:t>AHR</w:t>
      </w:r>
      <w:r w:rsidRPr="000C3C4F">
        <w:t xml:space="preserve"> NWAU adjustment</w:t>
      </w:r>
      <w:bookmarkEnd w:id="2585"/>
      <w:r w:rsidR="00051FFE">
        <w:t xml:space="preserve"> </w:t>
      </w:r>
    </w:p>
    <w:tbl>
      <w:tblPr>
        <w:tblStyle w:val="TableGrid"/>
        <w:tblW w:w="0" w:type="auto"/>
        <w:tblLayout w:type="fixed"/>
        <w:tblLook w:val="06A0" w:firstRow="1" w:lastRow="0" w:firstColumn="1" w:lastColumn="0" w:noHBand="1" w:noVBand="1"/>
      </w:tblPr>
      <w:tblGrid>
        <w:gridCol w:w="2830"/>
        <w:gridCol w:w="2977"/>
      </w:tblGrid>
      <w:tr w:rsidR="008C0CD2" w14:paraId="39136D49"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A5B47E" w14:textId="77777777" w:rsidR="008C0CD2" w:rsidRDefault="008C0CD2" w:rsidP="00CD7540">
            <w:pPr>
              <w:pStyle w:val="Tablecolheadlandscape"/>
              <w:spacing w:afterLines="60" w:after="144"/>
              <w:ind w:left="57" w:right="57"/>
            </w:pPr>
            <w:r w:rsidRPr="4A22144A">
              <w:rPr>
                <w:rFonts w:eastAsia="Arial" w:cs="Arial"/>
              </w:rPr>
              <w:t xml:space="preserve">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3CFB" w14:textId="1190E079" w:rsidR="008C0CD2" w:rsidRDefault="00E748C9" w:rsidP="00CD7540">
            <w:pPr>
              <w:pStyle w:val="Tablecolheadlandscape"/>
              <w:spacing w:afterLines="60" w:after="144"/>
              <w:ind w:left="57" w:right="57"/>
              <w:jc w:val="right"/>
              <w:rPr>
                <w:rFonts w:eastAsia="Arial" w:cs="Arial"/>
              </w:rPr>
            </w:pPr>
            <w:r>
              <w:rPr>
                <w:rFonts w:eastAsia="Arial" w:cs="Arial"/>
              </w:rPr>
              <w:t xml:space="preserve">2023-24 </w:t>
            </w:r>
            <w:r w:rsidR="008C0CD2">
              <w:rPr>
                <w:rFonts w:eastAsia="Arial" w:cs="Arial"/>
              </w:rPr>
              <w:t>AHR</w:t>
            </w:r>
            <w:r w:rsidR="008C0CD2" w:rsidRPr="4A22144A">
              <w:rPr>
                <w:rFonts w:eastAsia="Arial" w:cs="Arial"/>
              </w:rPr>
              <w:t xml:space="preserve"> NWAU adjustment </w:t>
            </w:r>
          </w:p>
          <w:p w14:paraId="0ED26904" w14:textId="77777777" w:rsidR="008C0CD2" w:rsidRDefault="008C0CD2" w:rsidP="00CD7540">
            <w:pPr>
              <w:pStyle w:val="Tablecolheadlandscape"/>
              <w:spacing w:afterLines="60" w:after="144"/>
              <w:ind w:left="57" w:right="57"/>
              <w:jc w:val="right"/>
            </w:pPr>
            <w:r w:rsidRPr="4A22144A">
              <w:rPr>
                <w:rFonts w:eastAsia="Arial" w:cs="Arial"/>
              </w:rPr>
              <w:t xml:space="preserve">(indicative forecast) </w:t>
            </w:r>
          </w:p>
        </w:tc>
      </w:tr>
      <w:tr w:rsidR="008C0CD2" w14:paraId="673EF8AD" w14:textId="77777777" w:rsidTr="00D047F0">
        <w:trPr>
          <w:trHeight w:val="300"/>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545127"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Albury Wodonga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BA1184"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26.2</w:t>
            </w:r>
          </w:p>
        </w:tc>
      </w:tr>
      <w:tr w:rsidR="008C0CD2" w14:paraId="7176D2D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D6EB46"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Alfred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0CC1E2"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813.6</w:t>
            </w:r>
          </w:p>
        </w:tc>
      </w:tr>
      <w:tr w:rsidR="008C0CD2" w14:paraId="562BA672"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8376D7"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Austin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3164F"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555.4</w:t>
            </w:r>
          </w:p>
        </w:tc>
      </w:tr>
      <w:tr w:rsidR="008C0CD2" w14:paraId="14EF9E66"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9D43C5"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Bairnsdale Regional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3DCD0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82.6</w:t>
            </w:r>
          </w:p>
        </w:tc>
      </w:tr>
      <w:tr w:rsidR="008C0CD2" w14:paraId="4CD8230A"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9C7783"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Barwon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A1A8DE"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548.2</w:t>
            </w:r>
          </w:p>
        </w:tc>
      </w:tr>
      <w:tr w:rsidR="008C0CD2" w14:paraId="31C83AB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C52109"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Bass Coast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91070D"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78.4</w:t>
            </w:r>
          </w:p>
        </w:tc>
      </w:tr>
      <w:tr w:rsidR="008C0CD2" w14:paraId="496AD359"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152C6"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Benalla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515D0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19.0</w:t>
            </w:r>
          </w:p>
        </w:tc>
      </w:tr>
      <w:tr w:rsidR="008C0CD2" w14:paraId="732399D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3AD633"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Bendigo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82656"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227.4</w:t>
            </w:r>
          </w:p>
        </w:tc>
      </w:tr>
      <w:tr w:rsidR="008C0CD2" w14:paraId="0292F2D4"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D1BCD3"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Central Gippsland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45BDE7"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35.8</w:t>
            </w:r>
          </w:p>
        </w:tc>
      </w:tr>
      <w:tr w:rsidR="008C0CD2" w14:paraId="06CE7A1A"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A736D"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Colac Area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AAF03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32.8</w:t>
            </w:r>
          </w:p>
        </w:tc>
      </w:tr>
      <w:tr w:rsidR="008C0CD2" w14:paraId="4F6CEAC2"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EDE2F"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Dhelkaya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0E8765"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12.2</w:t>
            </w:r>
          </w:p>
        </w:tc>
      </w:tr>
      <w:tr w:rsidR="008C0CD2" w14:paraId="33D05365"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76EFBE"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East Grampians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D808A5"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11.6</w:t>
            </w:r>
          </w:p>
        </w:tc>
      </w:tr>
      <w:tr w:rsidR="008C0CD2" w14:paraId="2E1F093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1C1F09" w14:textId="77777777" w:rsidR="008C0CD2" w:rsidRPr="008C6162" w:rsidRDefault="008C0CD2" w:rsidP="00CD7540">
            <w:pPr>
              <w:pStyle w:val="Tabletext8pt"/>
              <w:spacing w:afterLines="60" w:after="144"/>
              <w:ind w:left="57" w:right="57"/>
              <w:rPr>
                <w:rFonts w:eastAsia="Arial" w:cs="Arial"/>
                <w:color w:val="000000" w:themeColor="text1"/>
                <w:sz w:val="16"/>
              </w:rPr>
            </w:pPr>
            <w:r w:rsidRPr="008C6162">
              <w:rPr>
                <w:rFonts w:eastAsia="Arial" w:cs="Arial"/>
                <w:color w:val="000000" w:themeColor="text1"/>
                <w:sz w:val="16"/>
              </w:rPr>
              <w:t xml:space="preserve">Eastern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DF71D7"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620.0</w:t>
            </w:r>
          </w:p>
        </w:tc>
      </w:tr>
      <w:tr w:rsidR="008C0CD2" w14:paraId="29F90B9A"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B16116"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Echuca Regional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E68E96"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84.2</w:t>
            </w:r>
          </w:p>
        </w:tc>
      </w:tr>
      <w:tr w:rsidR="008C0CD2" w14:paraId="65CCBB2D"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3ED734"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Gippsland Southern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D2D1F0"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38.4</w:t>
            </w:r>
          </w:p>
        </w:tc>
      </w:tr>
      <w:tr w:rsidR="008C0CD2" w14:paraId="3E13821B"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35A920"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Goulburn Valley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A63386"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147.2</w:t>
            </w:r>
          </w:p>
        </w:tc>
      </w:tr>
      <w:tr w:rsidR="008C0CD2" w14:paraId="71587B2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732B57" w14:textId="77777777" w:rsidR="008C0CD2" w:rsidRDefault="008C0CD2" w:rsidP="00CD7540">
            <w:pPr>
              <w:pStyle w:val="Tabletext8pt"/>
              <w:spacing w:afterLines="60" w:after="144"/>
              <w:ind w:left="57" w:right="57"/>
            </w:pPr>
            <w:r w:rsidRPr="4A22144A">
              <w:rPr>
                <w:rFonts w:eastAsia="Arial" w:cs="Arial"/>
                <w:color w:val="000000" w:themeColor="text1"/>
                <w:sz w:val="16"/>
              </w:rPr>
              <w:lastRenderedPageBreak/>
              <w:t xml:space="preserve">Grampians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5260CE"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232.8</w:t>
            </w:r>
          </w:p>
        </w:tc>
      </w:tr>
      <w:tr w:rsidR="008C0CD2" w14:paraId="2352EF17"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796979"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Kyabram District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D02CC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32.2</w:t>
            </w:r>
          </w:p>
        </w:tc>
      </w:tr>
      <w:tr w:rsidR="008C0CD2" w14:paraId="7977C448"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AB178D"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Latrobe Regional Hospital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B36008"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296.0</w:t>
            </w:r>
          </w:p>
        </w:tc>
      </w:tr>
      <w:tr w:rsidR="008C0CD2" w14:paraId="06F3A596"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B1F2E6"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Maryborough District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C01507"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8.6</w:t>
            </w:r>
          </w:p>
        </w:tc>
      </w:tr>
      <w:tr w:rsidR="008C0CD2" w14:paraId="4653188E"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240F3C"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Melbourne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693CED"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540.6</w:t>
            </w:r>
          </w:p>
        </w:tc>
      </w:tr>
      <w:tr w:rsidR="008C0CD2" w14:paraId="0237DE53"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E1CBDC"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Mercy Hospitals Victoria Ltd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56B3AD"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195.4</w:t>
            </w:r>
          </w:p>
        </w:tc>
      </w:tr>
      <w:tr w:rsidR="008C0CD2" w14:paraId="0C79CDF3"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58CDFA"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Mildura Base Public Hospital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E2AFA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128.0</w:t>
            </w:r>
          </w:p>
        </w:tc>
      </w:tr>
      <w:tr w:rsidR="008C0CD2" w14:paraId="4FBE31E1"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DE97CE"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Monash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7279F9"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1137.8</w:t>
            </w:r>
          </w:p>
        </w:tc>
      </w:tr>
      <w:tr w:rsidR="008C0CD2" w14:paraId="692F5442"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8C5848"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Northeast Health Wangaratta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23B04C"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125.4</w:t>
            </w:r>
          </w:p>
        </w:tc>
      </w:tr>
      <w:tr w:rsidR="008C0CD2" w14:paraId="3414A9C5"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C06388"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Northern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74668"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515.6</w:t>
            </w:r>
          </w:p>
        </w:tc>
      </w:tr>
      <w:tr w:rsidR="008C0CD2" w14:paraId="5B7DFB64"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C1C7EE"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Peninsula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FB561"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522.8</w:t>
            </w:r>
          </w:p>
        </w:tc>
      </w:tr>
      <w:tr w:rsidR="008C0CD2" w14:paraId="5B99590F"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220B2B"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Peter MacCallum Cancer Institute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131856"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45.2</w:t>
            </w:r>
          </w:p>
        </w:tc>
      </w:tr>
      <w:tr w:rsidR="008C0CD2" w14:paraId="2E76C12D"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FA68AC"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Portland District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8E4841"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38.0</w:t>
            </w:r>
          </w:p>
        </w:tc>
      </w:tr>
      <w:tr w:rsidR="008C0CD2" w14:paraId="0C88CD88"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DDB3D7"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Royal Children’s Hospital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490671"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225.4</w:t>
            </w:r>
          </w:p>
        </w:tc>
      </w:tr>
      <w:tr w:rsidR="008C0CD2" w14:paraId="2942C95C"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41A1E3"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Royal Victorian Eye and Ear Hospital, The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EC749F"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55.6</w:t>
            </w:r>
          </w:p>
        </w:tc>
      </w:tr>
      <w:tr w:rsidR="008C0CD2" w14:paraId="675F2D4E"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33A0D9"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Royal Women’s Hospital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AE50D1"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14.6</w:t>
            </w:r>
          </w:p>
        </w:tc>
      </w:tr>
      <w:tr w:rsidR="008C0CD2" w14:paraId="762F0BBA"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9EFD6"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South West Healthcare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52D12B"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99.6</w:t>
            </w:r>
          </w:p>
        </w:tc>
      </w:tr>
      <w:tr w:rsidR="008C0CD2" w14:paraId="69835CB9"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E1C5C0"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St Vincent’s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C0EDF"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316.4</w:t>
            </w:r>
          </w:p>
        </w:tc>
      </w:tr>
      <w:tr w:rsidR="008C0CD2" w14:paraId="70DA2713"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890BA2"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Swan Hill District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902B4D"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42.2</w:t>
            </w:r>
          </w:p>
        </w:tc>
      </w:tr>
      <w:tr w:rsidR="008C0CD2" w14:paraId="18A2B5A4"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9F8B6"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West Gippsland Healthcare Group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76537"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145.6</w:t>
            </w:r>
          </w:p>
        </w:tc>
      </w:tr>
      <w:tr w:rsidR="008C0CD2" w14:paraId="0F0503CC"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1F1312"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Western District Health Service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2B5FC0"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21.0</w:t>
            </w:r>
          </w:p>
        </w:tc>
      </w:tr>
      <w:tr w:rsidR="008C0CD2" w14:paraId="6F3D1D36"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6F61AE" w14:textId="77777777" w:rsidR="008C0CD2" w:rsidRDefault="008C0CD2" w:rsidP="00CD7540">
            <w:pPr>
              <w:pStyle w:val="Tabletext8pt"/>
              <w:spacing w:afterLines="60" w:after="144"/>
              <w:ind w:left="57" w:right="57"/>
            </w:pPr>
            <w:r w:rsidRPr="4A22144A">
              <w:rPr>
                <w:rFonts w:eastAsia="Arial" w:cs="Arial"/>
                <w:color w:val="000000" w:themeColor="text1"/>
                <w:sz w:val="16"/>
              </w:rPr>
              <w:t xml:space="preserve">Western Health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032F5F" w14:textId="77777777" w:rsidR="008C0CD2" w:rsidRPr="00872470" w:rsidRDefault="008C0CD2" w:rsidP="00CD7540">
            <w:pPr>
              <w:pStyle w:val="Tabletext8pt"/>
              <w:spacing w:afterLines="60" w:after="144"/>
              <w:ind w:left="57" w:right="57"/>
              <w:jc w:val="right"/>
              <w:rPr>
                <w:rFonts w:eastAsia="Arial" w:cs="Arial"/>
                <w:color w:val="000000" w:themeColor="text1"/>
                <w:sz w:val="16"/>
              </w:rPr>
            </w:pPr>
            <w:r>
              <w:rPr>
                <w:rFonts w:cs="Arial"/>
                <w:color w:val="000000"/>
                <w:sz w:val="16"/>
              </w:rPr>
              <w:t>715.0</w:t>
            </w:r>
          </w:p>
        </w:tc>
      </w:tr>
      <w:tr w:rsidR="008C0CD2" w14:paraId="01909984" w14:textId="77777777" w:rsidTr="00D047F0">
        <w:trPr>
          <w:trHeight w:val="283"/>
        </w:trPr>
        <w:tc>
          <w:tcPr>
            <w:tcW w:w="2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968852" w14:textId="77777777" w:rsidR="008C0CD2" w:rsidRDefault="008C0CD2" w:rsidP="00CD7540">
            <w:pPr>
              <w:spacing w:before="80" w:afterLines="60" w:after="144"/>
              <w:ind w:left="57" w:right="57"/>
            </w:pPr>
            <w:r w:rsidRPr="4A22144A">
              <w:rPr>
                <w:rFonts w:eastAsia="Arial" w:cs="Arial"/>
                <w:b/>
                <w:bCs/>
                <w:color w:val="000000" w:themeColor="text1"/>
                <w:sz w:val="16"/>
                <w:szCs w:val="16"/>
              </w:rPr>
              <w:t xml:space="preserve">Total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F87441" w14:textId="77777777" w:rsidR="008C0CD2" w:rsidRPr="0015070E" w:rsidRDefault="008C0CD2" w:rsidP="00CD7540">
            <w:pPr>
              <w:pStyle w:val="Tabletext8pt"/>
              <w:spacing w:afterLines="60" w:after="144"/>
              <w:ind w:left="57" w:right="57"/>
              <w:jc w:val="right"/>
              <w:rPr>
                <w:rFonts w:eastAsia="Arial" w:cs="Arial"/>
                <w:b/>
                <w:bCs/>
                <w:color w:val="000000" w:themeColor="text1"/>
                <w:sz w:val="16"/>
              </w:rPr>
            </w:pPr>
            <w:r w:rsidRPr="0015070E">
              <w:rPr>
                <w:rFonts w:cs="Arial"/>
                <w:b/>
                <w:bCs/>
                <w:color w:val="000000"/>
                <w:sz w:val="16"/>
              </w:rPr>
              <w:t>8786.8</w:t>
            </w:r>
          </w:p>
        </w:tc>
      </w:tr>
    </w:tbl>
    <w:p w14:paraId="6EBCFF94" w14:textId="77777777" w:rsidR="008C0CD2" w:rsidRPr="00C75D4A" w:rsidRDefault="008C0CD2" w:rsidP="00C75D4A">
      <w:pPr>
        <w:pStyle w:val="Body"/>
      </w:pPr>
    </w:p>
    <w:p w14:paraId="28FE85D6" w14:textId="77777777" w:rsidR="005B699B" w:rsidRDefault="005B699B" w:rsidP="005B699B">
      <w:pPr>
        <w:pStyle w:val="Body"/>
      </w:pPr>
    </w:p>
    <w:p w14:paraId="47613011" w14:textId="77777777" w:rsidR="005B699B" w:rsidRPr="00E00C4E" w:rsidRDefault="005B699B" w:rsidP="00E00C4E">
      <w:pPr>
        <w:pStyle w:val="Body"/>
      </w:pPr>
    </w:p>
    <w:p w14:paraId="767DE765" w14:textId="77777777" w:rsidR="005B699B" w:rsidRPr="00E00C4E" w:rsidRDefault="005B699B" w:rsidP="00824FFC">
      <w:pPr>
        <w:pStyle w:val="Body"/>
      </w:pPr>
      <w:r w:rsidRPr="00E00C4E">
        <w:br w:type="page"/>
      </w:r>
    </w:p>
    <w:p w14:paraId="57230B1F" w14:textId="77777777" w:rsidR="005B699B" w:rsidRDefault="005B699B" w:rsidP="001E4292">
      <w:pPr>
        <w:pStyle w:val="Heading2"/>
        <w:numPr>
          <w:ilvl w:val="1"/>
          <w:numId w:val="13"/>
        </w:numPr>
        <w:ind w:left="1134" w:hanging="1134"/>
      </w:pPr>
      <w:bookmarkStart w:id="2586" w:name="_Toc12780667"/>
      <w:bookmarkStart w:id="2587" w:name="_Toc14172308"/>
      <w:bookmarkStart w:id="2588" w:name="_Toc33703982"/>
      <w:bookmarkStart w:id="2589" w:name="_Toc55381170"/>
      <w:bookmarkStart w:id="2590" w:name="_Toc100263376"/>
      <w:bookmarkStart w:id="2591" w:name="_Toc165961873"/>
      <w:bookmarkStart w:id="2592" w:name="_Toc178963659"/>
      <w:r w:rsidRPr="00295CB9">
        <w:lastRenderedPageBreak/>
        <w:t>Victorian</w:t>
      </w:r>
      <w:r>
        <w:t xml:space="preserve"> small rural health service activity targets </w:t>
      </w:r>
      <w:bookmarkEnd w:id="2586"/>
      <w:bookmarkEnd w:id="2587"/>
      <w:bookmarkEnd w:id="2588"/>
      <w:bookmarkEnd w:id="2589"/>
      <w:bookmarkEnd w:id="2590"/>
      <w:r>
        <w:t>2024–25</w:t>
      </w:r>
      <w:bookmarkEnd w:id="2591"/>
      <w:bookmarkEnd w:id="2592"/>
    </w:p>
    <w:p w14:paraId="0F3B1360" w14:textId="77777777" w:rsidR="00541C64" w:rsidRPr="00541C64" w:rsidRDefault="00541C64" w:rsidP="00541C64">
      <w:pPr>
        <w:pStyle w:val="Tablenoteroman"/>
        <w:tabs>
          <w:tab w:val="clear" w:pos="397"/>
          <w:tab w:val="clear" w:pos="720"/>
        </w:tabs>
        <w:ind w:left="29" w:firstLine="0"/>
        <w:rPr>
          <w:b/>
          <w:lang w:eastAsia="en-AU"/>
        </w:rPr>
      </w:pPr>
      <w:r>
        <w:rPr>
          <w:b/>
          <w:lang w:eastAsia="en-AU"/>
        </w:rPr>
        <w:t>Notes</w:t>
      </w:r>
    </w:p>
    <w:p w14:paraId="68630D88" w14:textId="3E68F766" w:rsidR="00541C64" w:rsidRPr="00541C64" w:rsidRDefault="00541C64" w:rsidP="008E4F36">
      <w:pPr>
        <w:pStyle w:val="ListParagraph"/>
        <w:numPr>
          <w:ilvl w:val="0"/>
          <w:numId w:val="61"/>
        </w:numPr>
        <w:rPr>
          <w:rFonts w:ascii="Arial" w:eastAsia="Times" w:hAnsi="Arial"/>
          <w:sz w:val="18"/>
          <w:lang w:eastAsia="en-AU"/>
        </w:rPr>
      </w:pPr>
      <w:r w:rsidRPr="00541C64">
        <w:rPr>
          <w:rFonts w:ascii="Arial" w:eastAsia="Times" w:hAnsi="Arial"/>
          <w:sz w:val="18"/>
          <w:lang w:eastAsia="en-AU"/>
        </w:rPr>
        <w:t>Recall is not applied on notional NWAU targets for small rural health services.</w:t>
      </w:r>
      <w:r>
        <w:rPr>
          <w:lang w:eastAsia="en-AU"/>
        </w:rPr>
        <w:t xml:space="preserve"> </w:t>
      </w:r>
    </w:p>
    <w:p w14:paraId="66E25278" w14:textId="70090AF3" w:rsidR="005B699B" w:rsidRDefault="00462DC7" w:rsidP="00297FC9">
      <w:pPr>
        <w:pStyle w:val="Tablecaption"/>
      </w:pPr>
      <w:bookmarkStart w:id="2593" w:name="_Toc176510425"/>
      <w:r>
        <w:t xml:space="preserve">Table </w:t>
      </w:r>
      <w:r w:rsidR="00D72666">
        <w:t>2</w:t>
      </w:r>
      <w:r w:rsidR="000E0ED2">
        <w:t>.</w:t>
      </w:r>
      <w:r>
        <w:fldChar w:fldCharType="begin"/>
      </w:r>
      <w:r>
        <w:instrText>SEQ Table \* ARABIC \s 1</w:instrText>
      </w:r>
      <w:r>
        <w:fldChar w:fldCharType="separate"/>
      </w:r>
      <w:r w:rsidR="00F30C16">
        <w:rPr>
          <w:noProof/>
        </w:rPr>
        <w:t>12</w:t>
      </w:r>
      <w:r>
        <w:fldChar w:fldCharType="end"/>
      </w:r>
      <w:r>
        <w:t xml:space="preserve">: </w:t>
      </w:r>
      <w:r w:rsidR="005B699B">
        <w:t xml:space="preserve">Victorian small rural </w:t>
      </w:r>
      <w:r w:rsidR="005B699B" w:rsidRPr="00A030E3">
        <w:t>health</w:t>
      </w:r>
      <w:r w:rsidR="005B699B">
        <w:t xml:space="preserve"> service activity targets 2024–25</w:t>
      </w:r>
      <w:bookmarkEnd w:id="2593"/>
    </w:p>
    <w:tbl>
      <w:tblPr>
        <w:tblW w:w="7460" w:type="dxa"/>
        <w:tblCellMar>
          <w:top w:w="15" w:type="dxa"/>
          <w:bottom w:w="15" w:type="dxa"/>
        </w:tblCellMar>
        <w:tblLook w:val="04A0" w:firstRow="1" w:lastRow="0" w:firstColumn="1" w:lastColumn="0" w:noHBand="0" w:noVBand="1"/>
      </w:tblPr>
      <w:tblGrid>
        <w:gridCol w:w="3000"/>
        <w:gridCol w:w="1080"/>
        <w:gridCol w:w="1220"/>
        <w:gridCol w:w="1080"/>
        <w:gridCol w:w="1080"/>
      </w:tblGrid>
      <w:tr w:rsidR="00566A11" w:rsidRPr="0010255F" w14:paraId="05BAF07B" w14:textId="77777777" w:rsidTr="00566A11">
        <w:trPr>
          <w:trHeight w:val="570"/>
          <w:tblHeader/>
        </w:trPr>
        <w:tc>
          <w:tcPr>
            <w:tcW w:w="3000" w:type="dxa"/>
            <w:tcBorders>
              <w:top w:val="single" w:sz="4" w:space="0" w:color="auto"/>
              <w:left w:val="single" w:sz="4" w:space="0" w:color="auto"/>
              <w:bottom w:val="single" w:sz="4" w:space="0" w:color="auto"/>
              <w:right w:val="single" w:sz="4" w:space="0" w:color="auto"/>
            </w:tcBorders>
            <w:noWrap/>
            <w:vAlign w:val="center"/>
            <w:hideMark/>
          </w:tcPr>
          <w:p w14:paraId="14AD3286" w14:textId="77777777" w:rsidR="00566A11" w:rsidRPr="0010255F" w:rsidRDefault="00566A11">
            <w:pPr>
              <w:spacing w:after="0" w:line="240" w:lineRule="auto"/>
              <w:rPr>
                <w:rFonts w:cs="Arial"/>
                <w:b/>
                <w:bCs/>
                <w:color w:val="53565A"/>
                <w:sz w:val="16"/>
                <w:szCs w:val="16"/>
                <w:lang w:eastAsia="en-AU"/>
              </w:rPr>
            </w:pPr>
            <w:r w:rsidRPr="0010255F">
              <w:rPr>
                <w:rFonts w:cs="Arial"/>
                <w:b/>
                <w:bCs/>
                <w:color w:val="53565A"/>
                <w:sz w:val="16"/>
                <w:szCs w:val="16"/>
                <w:lang w:eastAsia="en-AU"/>
              </w:rPr>
              <w:t>Health Service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77ED82" w14:textId="77777777" w:rsidR="00566A11" w:rsidRPr="0010255F" w:rsidRDefault="00566A11">
            <w:pPr>
              <w:spacing w:after="0" w:line="240" w:lineRule="auto"/>
              <w:jc w:val="right"/>
              <w:rPr>
                <w:rFonts w:cs="Arial"/>
                <w:b/>
                <w:bCs/>
                <w:color w:val="53565A"/>
                <w:sz w:val="16"/>
                <w:szCs w:val="16"/>
                <w:lang w:eastAsia="en-AU"/>
              </w:rPr>
            </w:pPr>
            <w:r w:rsidRPr="0010255F">
              <w:rPr>
                <w:rFonts w:cs="Arial"/>
                <w:b/>
                <w:bCs/>
                <w:color w:val="53565A"/>
                <w:sz w:val="16"/>
                <w:szCs w:val="16"/>
                <w:lang w:eastAsia="en-AU"/>
              </w:rPr>
              <w:t>NWAU admitted DVA</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ADF8239" w14:textId="77777777" w:rsidR="00566A11" w:rsidRPr="0010255F" w:rsidRDefault="00566A11">
            <w:pPr>
              <w:spacing w:after="0" w:line="240" w:lineRule="auto"/>
              <w:jc w:val="right"/>
              <w:rPr>
                <w:rFonts w:cs="Arial"/>
                <w:b/>
                <w:bCs/>
                <w:color w:val="53565A"/>
                <w:sz w:val="16"/>
                <w:szCs w:val="16"/>
                <w:lang w:eastAsia="en-AU"/>
              </w:rPr>
            </w:pPr>
            <w:r w:rsidRPr="0010255F">
              <w:rPr>
                <w:rFonts w:cs="Arial"/>
                <w:b/>
                <w:bCs/>
                <w:color w:val="53565A"/>
                <w:sz w:val="16"/>
                <w:szCs w:val="16"/>
                <w:lang w:eastAsia="en-AU"/>
              </w:rPr>
              <w:t>NWAU admitted TAC</w:t>
            </w:r>
          </w:p>
        </w:tc>
        <w:tc>
          <w:tcPr>
            <w:tcW w:w="1080" w:type="dxa"/>
            <w:tcBorders>
              <w:top w:val="single" w:sz="4" w:space="0" w:color="auto"/>
              <w:left w:val="single" w:sz="4" w:space="0" w:color="auto"/>
              <w:bottom w:val="single" w:sz="4" w:space="0" w:color="auto"/>
              <w:right w:val="single" w:sz="4" w:space="0" w:color="auto"/>
            </w:tcBorders>
            <w:vAlign w:val="center"/>
          </w:tcPr>
          <w:p w14:paraId="621E6640" w14:textId="20E34219" w:rsidR="00566A11" w:rsidRPr="0010255F" w:rsidRDefault="00E57987">
            <w:pPr>
              <w:spacing w:after="0" w:line="240" w:lineRule="auto"/>
              <w:jc w:val="right"/>
              <w:rPr>
                <w:rFonts w:cs="Arial"/>
                <w:b/>
                <w:bCs/>
                <w:color w:val="53565A"/>
                <w:sz w:val="16"/>
                <w:szCs w:val="16"/>
                <w:lang w:eastAsia="en-AU"/>
              </w:rPr>
            </w:pPr>
            <w:r>
              <w:rPr>
                <w:rFonts w:cs="Arial"/>
                <w:b/>
                <w:bCs/>
                <w:color w:val="53565A"/>
                <w:sz w:val="16"/>
                <w:szCs w:val="16"/>
                <w:lang w:eastAsia="en-AU"/>
              </w:rPr>
              <w:t>NWAU</w:t>
            </w:r>
            <w:r w:rsidR="00123C2F" w:rsidRPr="00123C2F">
              <w:rPr>
                <w:rFonts w:cs="Arial"/>
                <w:b/>
                <w:bCs/>
                <w:color w:val="53565A"/>
                <w:sz w:val="16"/>
                <w:szCs w:val="16"/>
                <w:lang w:eastAsia="en-AU"/>
              </w:rPr>
              <w:t xml:space="preserve"> Renal</w:t>
            </w:r>
            <w:r w:rsidR="00566A11" w:rsidRPr="00123C2F">
              <w:rPr>
                <w:rFonts w:cs="Arial"/>
                <w:b/>
                <w:bCs/>
                <w:color w:val="53565A"/>
                <w:sz w:val="16"/>
                <w:szCs w:val="16"/>
                <w:lang w:eastAsia="en-AU"/>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30C9CF" w14:textId="77777777" w:rsidR="00566A11" w:rsidRPr="0010255F" w:rsidRDefault="00566A11">
            <w:pPr>
              <w:spacing w:after="0" w:line="240" w:lineRule="auto"/>
              <w:jc w:val="right"/>
              <w:rPr>
                <w:rFonts w:cs="Arial"/>
                <w:b/>
                <w:bCs/>
                <w:color w:val="53565A"/>
                <w:sz w:val="16"/>
                <w:szCs w:val="16"/>
                <w:lang w:eastAsia="en-AU"/>
              </w:rPr>
            </w:pPr>
            <w:r w:rsidRPr="0010255F">
              <w:rPr>
                <w:rFonts w:cs="Arial"/>
                <w:b/>
                <w:bCs/>
                <w:color w:val="53565A"/>
                <w:sz w:val="16"/>
                <w:szCs w:val="16"/>
                <w:lang w:eastAsia="en-AU"/>
              </w:rPr>
              <w:t>Total</w:t>
            </w:r>
          </w:p>
        </w:tc>
      </w:tr>
      <w:tr w:rsidR="00C40AE1" w:rsidRPr="0010255F" w14:paraId="584E5710"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6FA84FD5" w14:textId="2F87C0FC"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Alexandra District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270BA494" w14:textId="49BDD52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6</w:t>
            </w:r>
          </w:p>
        </w:tc>
        <w:tc>
          <w:tcPr>
            <w:tcW w:w="1220" w:type="dxa"/>
            <w:tcBorders>
              <w:top w:val="single" w:sz="4" w:space="0" w:color="auto"/>
              <w:left w:val="single" w:sz="4" w:space="0" w:color="auto"/>
              <w:bottom w:val="single" w:sz="4" w:space="0" w:color="auto"/>
              <w:right w:val="single" w:sz="4" w:space="0" w:color="auto"/>
            </w:tcBorders>
            <w:noWrap/>
            <w:vAlign w:val="center"/>
          </w:tcPr>
          <w:p w14:paraId="04B58189" w14:textId="3E5D6F7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7996090E" w14:textId="1D5CF7EF"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543A369F" w14:textId="2B63BF38"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6</w:t>
            </w:r>
          </w:p>
        </w:tc>
      </w:tr>
      <w:tr w:rsidR="00C40AE1" w:rsidRPr="0010255F" w14:paraId="774E61EA"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506EF0D4" w14:textId="4EA9C160"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Alpine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4B19E40F" w14:textId="169A9D8F"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w:t>
            </w:r>
          </w:p>
        </w:tc>
        <w:tc>
          <w:tcPr>
            <w:tcW w:w="1220" w:type="dxa"/>
            <w:tcBorders>
              <w:top w:val="single" w:sz="4" w:space="0" w:color="auto"/>
              <w:left w:val="single" w:sz="4" w:space="0" w:color="auto"/>
              <w:bottom w:val="single" w:sz="4" w:space="0" w:color="auto"/>
              <w:right w:val="single" w:sz="4" w:space="0" w:color="auto"/>
            </w:tcBorders>
            <w:noWrap/>
            <w:vAlign w:val="center"/>
          </w:tcPr>
          <w:p w14:paraId="3B4EF4A2" w14:textId="0FFF460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0247FA53" w14:textId="4CA50CC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noWrap/>
            <w:vAlign w:val="center"/>
          </w:tcPr>
          <w:p w14:paraId="5F270742" w14:textId="693CD09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41</w:t>
            </w:r>
          </w:p>
        </w:tc>
      </w:tr>
      <w:tr w:rsidR="00C40AE1" w:rsidRPr="0010255F" w14:paraId="65021FA3"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50F4047" w14:textId="5CCD0E4B"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Beechworth Health Service</w:t>
            </w:r>
          </w:p>
        </w:tc>
        <w:tc>
          <w:tcPr>
            <w:tcW w:w="1080" w:type="dxa"/>
            <w:tcBorders>
              <w:top w:val="single" w:sz="4" w:space="0" w:color="auto"/>
              <w:left w:val="single" w:sz="4" w:space="0" w:color="auto"/>
              <w:bottom w:val="single" w:sz="4" w:space="0" w:color="auto"/>
              <w:right w:val="single" w:sz="4" w:space="0" w:color="auto"/>
            </w:tcBorders>
            <w:noWrap/>
            <w:vAlign w:val="center"/>
          </w:tcPr>
          <w:p w14:paraId="0521976C" w14:textId="3C450BF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12</w:t>
            </w:r>
          </w:p>
        </w:tc>
        <w:tc>
          <w:tcPr>
            <w:tcW w:w="1220" w:type="dxa"/>
            <w:tcBorders>
              <w:top w:val="single" w:sz="4" w:space="0" w:color="auto"/>
              <w:left w:val="single" w:sz="4" w:space="0" w:color="auto"/>
              <w:bottom w:val="single" w:sz="4" w:space="0" w:color="auto"/>
              <w:right w:val="single" w:sz="4" w:space="0" w:color="auto"/>
            </w:tcBorders>
            <w:noWrap/>
            <w:vAlign w:val="center"/>
          </w:tcPr>
          <w:p w14:paraId="74BAC37A" w14:textId="033AAFF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vAlign w:val="center"/>
          </w:tcPr>
          <w:p w14:paraId="45CCDD0E" w14:textId="2FCA198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1E7AB86E" w14:textId="1779EB01"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15</w:t>
            </w:r>
          </w:p>
        </w:tc>
      </w:tr>
      <w:tr w:rsidR="00C40AE1" w:rsidRPr="0010255F" w14:paraId="1AE48C51"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D849B97" w14:textId="20993B80"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Casterton Memorial Hospital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0351AE80" w14:textId="70250BD1"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220" w:type="dxa"/>
            <w:tcBorders>
              <w:top w:val="single" w:sz="4" w:space="0" w:color="auto"/>
              <w:left w:val="single" w:sz="4" w:space="0" w:color="auto"/>
              <w:bottom w:val="single" w:sz="4" w:space="0" w:color="auto"/>
              <w:right w:val="single" w:sz="4" w:space="0" w:color="auto"/>
            </w:tcBorders>
            <w:noWrap/>
            <w:vAlign w:val="center"/>
          </w:tcPr>
          <w:p w14:paraId="6FA01247" w14:textId="2672D46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2C5A0B32" w14:textId="71128B2B"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noWrap/>
            <w:vAlign w:val="center"/>
          </w:tcPr>
          <w:p w14:paraId="34D9998D" w14:textId="011101C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3</w:t>
            </w:r>
          </w:p>
        </w:tc>
      </w:tr>
      <w:tr w:rsidR="00C40AE1" w:rsidRPr="0010255F" w14:paraId="6C0165DD"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4CE7CDF3" w14:textId="4530355D"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Central Highlands Rural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73D4CAE6" w14:textId="61BD5AC1"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10</w:t>
            </w:r>
          </w:p>
        </w:tc>
        <w:tc>
          <w:tcPr>
            <w:tcW w:w="1220" w:type="dxa"/>
            <w:tcBorders>
              <w:top w:val="single" w:sz="4" w:space="0" w:color="auto"/>
              <w:left w:val="single" w:sz="4" w:space="0" w:color="auto"/>
              <w:bottom w:val="single" w:sz="4" w:space="0" w:color="auto"/>
              <w:right w:val="single" w:sz="4" w:space="0" w:color="auto"/>
            </w:tcBorders>
            <w:noWrap/>
            <w:vAlign w:val="center"/>
          </w:tcPr>
          <w:p w14:paraId="4578E1C6" w14:textId="5F5733AB"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7FD96596" w14:textId="798A14A7"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noWrap/>
            <w:vAlign w:val="center"/>
          </w:tcPr>
          <w:p w14:paraId="73ADC23C" w14:textId="677D59D8"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117</w:t>
            </w:r>
          </w:p>
        </w:tc>
      </w:tr>
      <w:tr w:rsidR="00C40AE1" w:rsidRPr="0010255F" w14:paraId="3A53AD71"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0CADC90C" w14:textId="64773B8D"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Cohuna District Hospital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02068B48" w14:textId="6FB8CF4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12</w:t>
            </w:r>
          </w:p>
        </w:tc>
        <w:tc>
          <w:tcPr>
            <w:tcW w:w="1220" w:type="dxa"/>
            <w:tcBorders>
              <w:top w:val="single" w:sz="4" w:space="0" w:color="auto"/>
              <w:left w:val="single" w:sz="4" w:space="0" w:color="auto"/>
              <w:bottom w:val="single" w:sz="4" w:space="0" w:color="auto"/>
              <w:right w:val="single" w:sz="4" w:space="0" w:color="auto"/>
            </w:tcBorders>
            <w:noWrap/>
            <w:vAlign w:val="center"/>
          </w:tcPr>
          <w:p w14:paraId="501A0C4B" w14:textId="7ACC8DE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724F45C3" w14:textId="53348B9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noWrap/>
            <w:vAlign w:val="center"/>
          </w:tcPr>
          <w:p w14:paraId="181A0C39" w14:textId="7A5B016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37</w:t>
            </w:r>
          </w:p>
        </w:tc>
      </w:tr>
      <w:tr w:rsidR="00C40AE1" w:rsidRPr="0010255F" w14:paraId="6CF5A6D3"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37318D83" w14:textId="487566C9"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Corryong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030E9CAE" w14:textId="02F5B00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w:t>
            </w:r>
          </w:p>
        </w:tc>
        <w:tc>
          <w:tcPr>
            <w:tcW w:w="1220" w:type="dxa"/>
            <w:tcBorders>
              <w:top w:val="single" w:sz="4" w:space="0" w:color="auto"/>
              <w:left w:val="single" w:sz="4" w:space="0" w:color="auto"/>
              <w:bottom w:val="single" w:sz="4" w:space="0" w:color="auto"/>
              <w:right w:val="single" w:sz="4" w:space="0" w:color="auto"/>
            </w:tcBorders>
            <w:noWrap/>
            <w:vAlign w:val="center"/>
          </w:tcPr>
          <w:p w14:paraId="629D7AA1" w14:textId="124F079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14:paraId="3ED8A95E" w14:textId="18B7F1A9"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noWrap/>
            <w:vAlign w:val="center"/>
          </w:tcPr>
          <w:p w14:paraId="2B97787A" w14:textId="2119253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38</w:t>
            </w:r>
          </w:p>
        </w:tc>
      </w:tr>
      <w:tr w:rsidR="00C40AE1" w:rsidRPr="0010255F" w14:paraId="4F79BE58"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270DE9EF" w14:textId="59A59485"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East Wimmera Health Service</w:t>
            </w:r>
          </w:p>
        </w:tc>
        <w:tc>
          <w:tcPr>
            <w:tcW w:w="1080" w:type="dxa"/>
            <w:tcBorders>
              <w:top w:val="single" w:sz="4" w:space="0" w:color="auto"/>
              <w:left w:val="single" w:sz="4" w:space="0" w:color="auto"/>
              <w:bottom w:val="single" w:sz="4" w:space="0" w:color="auto"/>
              <w:right w:val="single" w:sz="4" w:space="0" w:color="auto"/>
            </w:tcBorders>
            <w:noWrap/>
            <w:vAlign w:val="center"/>
          </w:tcPr>
          <w:p w14:paraId="5BD44446" w14:textId="65297B9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220" w:type="dxa"/>
            <w:tcBorders>
              <w:top w:val="single" w:sz="4" w:space="0" w:color="auto"/>
              <w:left w:val="single" w:sz="4" w:space="0" w:color="auto"/>
              <w:bottom w:val="single" w:sz="4" w:space="0" w:color="auto"/>
              <w:right w:val="single" w:sz="4" w:space="0" w:color="auto"/>
            </w:tcBorders>
            <w:noWrap/>
            <w:vAlign w:val="center"/>
          </w:tcPr>
          <w:p w14:paraId="794C1216" w14:textId="79F8049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4DF476A9" w14:textId="44805AEF"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noWrap/>
            <w:vAlign w:val="center"/>
          </w:tcPr>
          <w:p w14:paraId="2B5DFB2D" w14:textId="64B369A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23</w:t>
            </w:r>
          </w:p>
        </w:tc>
      </w:tr>
      <w:tr w:rsidR="00C40AE1" w:rsidRPr="0010255F" w14:paraId="60F0C9A7"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0C881D60" w14:textId="058AAE56"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Great Ocean Road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5CDB9276" w14:textId="4BA0BC9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w:t>
            </w:r>
          </w:p>
        </w:tc>
        <w:tc>
          <w:tcPr>
            <w:tcW w:w="1220" w:type="dxa"/>
            <w:tcBorders>
              <w:top w:val="single" w:sz="4" w:space="0" w:color="auto"/>
              <w:left w:val="single" w:sz="4" w:space="0" w:color="auto"/>
              <w:bottom w:val="single" w:sz="4" w:space="0" w:color="auto"/>
              <w:right w:val="single" w:sz="4" w:space="0" w:color="auto"/>
            </w:tcBorders>
            <w:noWrap/>
            <w:vAlign w:val="center"/>
          </w:tcPr>
          <w:p w14:paraId="6E8EA79C" w14:textId="7B9EFF31"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7BC8A263" w14:textId="270AC499"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noWrap/>
            <w:vAlign w:val="center"/>
          </w:tcPr>
          <w:p w14:paraId="12DDC58F" w14:textId="1ADCE648"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22</w:t>
            </w:r>
          </w:p>
        </w:tc>
      </w:tr>
      <w:tr w:rsidR="00C40AE1" w:rsidRPr="0010255F" w14:paraId="2A9E686D"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074E92F" w14:textId="39C451A2"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Heathcote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7022578F" w14:textId="3188D12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w:t>
            </w:r>
          </w:p>
        </w:tc>
        <w:tc>
          <w:tcPr>
            <w:tcW w:w="1220" w:type="dxa"/>
            <w:tcBorders>
              <w:top w:val="single" w:sz="4" w:space="0" w:color="auto"/>
              <w:left w:val="single" w:sz="4" w:space="0" w:color="auto"/>
              <w:bottom w:val="single" w:sz="4" w:space="0" w:color="auto"/>
              <w:right w:val="single" w:sz="4" w:space="0" w:color="auto"/>
            </w:tcBorders>
            <w:noWrap/>
            <w:vAlign w:val="center"/>
          </w:tcPr>
          <w:p w14:paraId="7085FE96" w14:textId="2DF7459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09217080" w14:textId="3B900A2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7E29F4B9" w14:textId="5A22511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w:t>
            </w:r>
          </w:p>
        </w:tc>
      </w:tr>
      <w:tr w:rsidR="00C40AE1" w:rsidRPr="0010255F" w14:paraId="72735404"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A18E3F5" w14:textId="5012B628"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Heywood Rural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47EDF6FC" w14:textId="38964F37"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28</w:t>
            </w:r>
          </w:p>
        </w:tc>
        <w:tc>
          <w:tcPr>
            <w:tcW w:w="1220" w:type="dxa"/>
            <w:tcBorders>
              <w:top w:val="single" w:sz="4" w:space="0" w:color="auto"/>
              <w:left w:val="single" w:sz="4" w:space="0" w:color="auto"/>
              <w:bottom w:val="single" w:sz="4" w:space="0" w:color="auto"/>
              <w:right w:val="single" w:sz="4" w:space="0" w:color="auto"/>
            </w:tcBorders>
            <w:noWrap/>
            <w:vAlign w:val="center"/>
          </w:tcPr>
          <w:p w14:paraId="0F28F83E" w14:textId="6A2F309D"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3EAD5E3D" w14:textId="6812BA2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64E9A532" w14:textId="7A32293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28</w:t>
            </w:r>
          </w:p>
        </w:tc>
      </w:tr>
      <w:tr w:rsidR="00C40AE1" w:rsidRPr="0010255F" w14:paraId="7176276A"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4D6B0A06" w14:textId="02CCD34B"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Inglewood and Districts Health Service</w:t>
            </w:r>
          </w:p>
        </w:tc>
        <w:tc>
          <w:tcPr>
            <w:tcW w:w="1080" w:type="dxa"/>
            <w:tcBorders>
              <w:top w:val="single" w:sz="4" w:space="0" w:color="auto"/>
              <w:left w:val="single" w:sz="4" w:space="0" w:color="auto"/>
              <w:bottom w:val="single" w:sz="4" w:space="0" w:color="auto"/>
              <w:right w:val="single" w:sz="4" w:space="0" w:color="auto"/>
            </w:tcBorders>
            <w:noWrap/>
            <w:vAlign w:val="center"/>
          </w:tcPr>
          <w:p w14:paraId="1E6C69AA" w14:textId="5738EFB5"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w:t>
            </w:r>
          </w:p>
        </w:tc>
        <w:tc>
          <w:tcPr>
            <w:tcW w:w="1220" w:type="dxa"/>
            <w:tcBorders>
              <w:top w:val="single" w:sz="4" w:space="0" w:color="auto"/>
              <w:left w:val="single" w:sz="4" w:space="0" w:color="auto"/>
              <w:bottom w:val="single" w:sz="4" w:space="0" w:color="auto"/>
              <w:right w:val="single" w:sz="4" w:space="0" w:color="auto"/>
            </w:tcBorders>
            <w:noWrap/>
            <w:vAlign w:val="center"/>
          </w:tcPr>
          <w:p w14:paraId="401E5E4C" w14:textId="41180717"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45201275" w14:textId="6AE0A6E6"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71660261" w14:textId="21FA839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w:t>
            </w:r>
          </w:p>
        </w:tc>
      </w:tr>
      <w:tr w:rsidR="00C40AE1" w:rsidRPr="0010255F" w14:paraId="6B99AEA8"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5CD3082A" w14:textId="04BD2F9A"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Kerang District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26ED1A70" w14:textId="3984AE3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13</w:t>
            </w:r>
          </w:p>
        </w:tc>
        <w:tc>
          <w:tcPr>
            <w:tcW w:w="1220" w:type="dxa"/>
            <w:tcBorders>
              <w:top w:val="single" w:sz="4" w:space="0" w:color="auto"/>
              <w:left w:val="single" w:sz="4" w:space="0" w:color="auto"/>
              <w:bottom w:val="single" w:sz="4" w:space="0" w:color="auto"/>
              <w:right w:val="single" w:sz="4" w:space="0" w:color="auto"/>
            </w:tcBorders>
            <w:noWrap/>
            <w:vAlign w:val="center"/>
          </w:tcPr>
          <w:p w14:paraId="711BF2BB" w14:textId="6426C4E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012CD321" w14:textId="26B755BB"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0DB4C942" w14:textId="3420E57E"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13</w:t>
            </w:r>
          </w:p>
        </w:tc>
      </w:tr>
      <w:tr w:rsidR="00C40AE1" w:rsidRPr="0010255F" w14:paraId="4EFF88A6"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01CE6064" w14:textId="3AAE9319"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Mansfield District Hospital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65548B75" w14:textId="0AB8C2E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11</w:t>
            </w:r>
          </w:p>
        </w:tc>
        <w:tc>
          <w:tcPr>
            <w:tcW w:w="1220" w:type="dxa"/>
            <w:tcBorders>
              <w:top w:val="single" w:sz="4" w:space="0" w:color="auto"/>
              <w:left w:val="single" w:sz="4" w:space="0" w:color="auto"/>
              <w:bottom w:val="single" w:sz="4" w:space="0" w:color="auto"/>
              <w:right w:val="single" w:sz="4" w:space="0" w:color="auto"/>
            </w:tcBorders>
            <w:noWrap/>
            <w:vAlign w:val="center"/>
          </w:tcPr>
          <w:p w14:paraId="7776EB02" w14:textId="00ED338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4A645A13" w14:textId="59DA8F4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noWrap/>
            <w:vAlign w:val="center"/>
          </w:tcPr>
          <w:p w14:paraId="541F474F" w14:textId="73624AB9"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59</w:t>
            </w:r>
          </w:p>
        </w:tc>
      </w:tr>
      <w:tr w:rsidR="00C40AE1" w:rsidRPr="0010255F" w14:paraId="410793C1"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3C2A382C" w14:textId="5EB9901A"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Moyne Health Services</w:t>
            </w:r>
          </w:p>
        </w:tc>
        <w:tc>
          <w:tcPr>
            <w:tcW w:w="1080" w:type="dxa"/>
            <w:tcBorders>
              <w:top w:val="single" w:sz="4" w:space="0" w:color="auto"/>
              <w:left w:val="single" w:sz="4" w:space="0" w:color="auto"/>
              <w:bottom w:val="single" w:sz="4" w:space="0" w:color="auto"/>
              <w:right w:val="single" w:sz="4" w:space="0" w:color="auto"/>
            </w:tcBorders>
            <w:noWrap/>
            <w:vAlign w:val="center"/>
          </w:tcPr>
          <w:p w14:paraId="3AB9D118" w14:textId="3F9CA63F"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7</w:t>
            </w:r>
          </w:p>
        </w:tc>
        <w:tc>
          <w:tcPr>
            <w:tcW w:w="1220" w:type="dxa"/>
            <w:tcBorders>
              <w:top w:val="single" w:sz="4" w:space="0" w:color="auto"/>
              <w:left w:val="single" w:sz="4" w:space="0" w:color="auto"/>
              <w:bottom w:val="single" w:sz="4" w:space="0" w:color="auto"/>
              <w:right w:val="single" w:sz="4" w:space="0" w:color="auto"/>
            </w:tcBorders>
            <w:noWrap/>
            <w:vAlign w:val="center"/>
          </w:tcPr>
          <w:p w14:paraId="059748C9" w14:textId="33C149A2"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3A89BB9B" w14:textId="4317767F"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1E4E6864" w14:textId="399178AF"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7</w:t>
            </w:r>
          </w:p>
        </w:tc>
      </w:tr>
      <w:tr w:rsidR="00C40AE1" w:rsidRPr="0010255F" w14:paraId="406D7EDE"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5ABC1B45" w14:textId="659F56CC"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NCN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7D6EFCD4" w14:textId="082B9EFF"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28</w:t>
            </w:r>
          </w:p>
        </w:tc>
        <w:tc>
          <w:tcPr>
            <w:tcW w:w="1220" w:type="dxa"/>
            <w:tcBorders>
              <w:top w:val="single" w:sz="4" w:space="0" w:color="auto"/>
              <w:left w:val="single" w:sz="4" w:space="0" w:color="auto"/>
              <w:bottom w:val="single" w:sz="4" w:space="0" w:color="auto"/>
              <w:right w:val="single" w:sz="4" w:space="0" w:color="auto"/>
            </w:tcBorders>
            <w:noWrap/>
            <w:vAlign w:val="center"/>
          </w:tcPr>
          <w:p w14:paraId="25E65E42" w14:textId="0C5C2CC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521B67FD" w14:textId="46280941"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464782B0" w14:textId="284F9A2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28</w:t>
            </w:r>
          </w:p>
        </w:tc>
      </w:tr>
      <w:tr w:rsidR="00C40AE1" w:rsidRPr="0010255F" w14:paraId="46F71D8A"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43A8D7D3" w14:textId="5BF8F2C9"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Orbost Regional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3F6C96F0" w14:textId="6D23BC47"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220" w:type="dxa"/>
            <w:tcBorders>
              <w:top w:val="single" w:sz="4" w:space="0" w:color="auto"/>
              <w:left w:val="single" w:sz="4" w:space="0" w:color="auto"/>
              <w:bottom w:val="single" w:sz="4" w:space="0" w:color="auto"/>
              <w:right w:val="single" w:sz="4" w:space="0" w:color="auto"/>
            </w:tcBorders>
            <w:noWrap/>
            <w:vAlign w:val="center"/>
          </w:tcPr>
          <w:p w14:paraId="43E7547F" w14:textId="4804875B"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1CF0EDA1" w14:textId="7CAC0887"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87</w:t>
            </w:r>
          </w:p>
        </w:tc>
        <w:tc>
          <w:tcPr>
            <w:tcW w:w="1080" w:type="dxa"/>
            <w:tcBorders>
              <w:top w:val="single" w:sz="4" w:space="0" w:color="auto"/>
              <w:left w:val="single" w:sz="4" w:space="0" w:color="auto"/>
              <w:bottom w:val="single" w:sz="4" w:space="0" w:color="auto"/>
              <w:right w:val="single" w:sz="4" w:space="0" w:color="auto"/>
            </w:tcBorders>
            <w:noWrap/>
            <w:vAlign w:val="center"/>
          </w:tcPr>
          <w:p w14:paraId="7716F663" w14:textId="4110433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87</w:t>
            </w:r>
          </w:p>
        </w:tc>
      </w:tr>
      <w:tr w:rsidR="00C40AE1" w:rsidRPr="0010255F" w14:paraId="689CA4B4"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1350E6D" w14:textId="16EE3E97"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Robinvale District Health Services</w:t>
            </w:r>
          </w:p>
        </w:tc>
        <w:tc>
          <w:tcPr>
            <w:tcW w:w="1080" w:type="dxa"/>
            <w:tcBorders>
              <w:top w:val="single" w:sz="4" w:space="0" w:color="auto"/>
              <w:left w:val="single" w:sz="4" w:space="0" w:color="auto"/>
              <w:bottom w:val="single" w:sz="4" w:space="0" w:color="auto"/>
              <w:right w:val="single" w:sz="4" w:space="0" w:color="auto"/>
            </w:tcBorders>
            <w:noWrap/>
            <w:vAlign w:val="center"/>
          </w:tcPr>
          <w:p w14:paraId="3B773687" w14:textId="5E1EAAD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220" w:type="dxa"/>
            <w:tcBorders>
              <w:top w:val="single" w:sz="4" w:space="0" w:color="auto"/>
              <w:left w:val="single" w:sz="4" w:space="0" w:color="auto"/>
              <w:bottom w:val="single" w:sz="4" w:space="0" w:color="auto"/>
              <w:right w:val="single" w:sz="4" w:space="0" w:color="auto"/>
            </w:tcBorders>
            <w:noWrap/>
            <w:vAlign w:val="center"/>
          </w:tcPr>
          <w:p w14:paraId="6773A518" w14:textId="7356895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216280F4" w14:textId="5E856A0D"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176</w:t>
            </w:r>
          </w:p>
        </w:tc>
        <w:tc>
          <w:tcPr>
            <w:tcW w:w="1080" w:type="dxa"/>
            <w:tcBorders>
              <w:top w:val="single" w:sz="4" w:space="0" w:color="auto"/>
              <w:left w:val="single" w:sz="4" w:space="0" w:color="auto"/>
              <w:bottom w:val="single" w:sz="4" w:space="0" w:color="auto"/>
              <w:right w:val="single" w:sz="4" w:space="0" w:color="auto"/>
            </w:tcBorders>
            <w:noWrap/>
            <w:vAlign w:val="center"/>
          </w:tcPr>
          <w:p w14:paraId="18BEBE71" w14:textId="71113659"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176</w:t>
            </w:r>
          </w:p>
        </w:tc>
      </w:tr>
      <w:tr w:rsidR="00C40AE1" w:rsidRPr="0010255F" w14:paraId="490DE58D"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5C677B4F" w14:textId="20486F6C"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Rural Northwest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08F27173" w14:textId="618E7E17"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w:t>
            </w:r>
          </w:p>
        </w:tc>
        <w:tc>
          <w:tcPr>
            <w:tcW w:w="1220" w:type="dxa"/>
            <w:tcBorders>
              <w:top w:val="single" w:sz="4" w:space="0" w:color="auto"/>
              <w:left w:val="single" w:sz="4" w:space="0" w:color="auto"/>
              <w:bottom w:val="single" w:sz="4" w:space="0" w:color="auto"/>
              <w:right w:val="single" w:sz="4" w:space="0" w:color="auto"/>
            </w:tcBorders>
            <w:noWrap/>
            <w:vAlign w:val="center"/>
          </w:tcPr>
          <w:p w14:paraId="57F703E5" w14:textId="2B709FD8"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54190039" w14:textId="0F2D9F56"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2889C9C2" w14:textId="7AF80D7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2</w:t>
            </w:r>
          </w:p>
        </w:tc>
      </w:tr>
      <w:tr w:rsidR="00C40AE1" w:rsidRPr="0010255F" w14:paraId="7FE2FACB"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352C3667" w14:textId="0705DF34"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Seymour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7C2FE1A2" w14:textId="3923466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12</w:t>
            </w:r>
          </w:p>
        </w:tc>
        <w:tc>
          <w:tcPr>
            <w:tcW w:w="1220" w:type="dxa"/>
            <w:tcBorders>
              <w:top w:val="single" w:sz="4" w:space="0" w:color="auto"/>
              <w:left w:val="single" w:sz="4" w:space="0" w:color="auto"/>
              <w:bottom w:val="single" w:sz="4" w:space="0" w:color="auto"/>
              <w:right w:val="single" w:sz="4" w:space="0" w:color="auto"/>
            </w:tcBorders>
            <w:noWrap/>
            <w:vAlign w:val="center"/>
          </w:tcPr>
          <w:p w14:paraId="53F00A59" w14:textId="6F58D215"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149F3FB8" w14:textId="03A82C3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168</w:t>
            </w:r>
          </w:p>
        </w:tc>
        <w:tc>
          <w:tcPr>
            <w:tcW w:w="1080" w:type="dxa"/>
            <w:tcBorders>
              <w:top w:val="single" w:sz="4" w:space="0" w:color="auto"/>
              <w:left w:val="single" w:sz="4" w:space="0" w:color="auto"/>
              <w:bottom w:val="single" w:sz="4" w:space="0" w:color="auto"/>
              <w:right w:val="single" w:sz="4" w:space="0" w:color="auto"/>
            </w:tcBorders>
            <w:noWrap/>
            <w:vAlign w:val="center"/>
          </w:tcPr>
          <w:p w14:paraId="6BD5B08D" w14:textId="4C675CD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180</w:t>
            </w:r>
          </w:p>
        </w:tc>
      </w:tr>
      <w:tr w:rsidR="00C40AE1" w:rsidRPr="0010255F" w14:paraId="2D55B785"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41BC3B67" w14:textId="08CDB20A"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South Gippsland Hospital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6D3FA96B" w14:textId="1C8B85C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8</w:t>
            </w:r>
          </w:p>
        </w:tc>
        <w:tc>
          <w:tcPr>
            <w:tcW w:w="1220" w:type="dxa"/>
            <w:tcBorders>
              <w:top w:val="single" w:sz="4" w:space="0" w:color="auto"/>
              <w:left w:val="single" w:sz="4" w:space="0" w:color="auto"/>
              <w:bottom w:val="single" w:sz="4" w:space="0" w:color="auto"/>
              <w:right w:val="single" w:sz="4" w:space="0" w:color="auto"/>
            </w:tcBorders>
            <w:noWrap/>
            <w:vAlign w:val="center"/>
          </w:tcPr>
          <w:p w14:paraId="3E536741" w14:textId="1B79F604"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347C35D1" w14:textId="11AFC6F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29BF5CBE" w14:textId="609B968B"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8</w:t>
            </w:r>
          </w:p>
        </w:tc>
      </w:tr>
      <w:tr w:rsidR="00C40AE1" w:rsidRPr="0010255F" w14:paraId="6B25ACB0"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E42A1" w14:textId="1938C399"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Terang and Mortlake Health Service</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F081C" w14:textId="72FE8E29"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5</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E6EA0C" w14:textId="743C1422"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3D40769A" w14:textId="27C4C179"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856C5" w14:textId="07B5D229" w:rsidR="00C40AE1" w:rsidRPr="0010255F" w:rsidRDefault="00C40AE1" w:rsidP="00C40AE1">
            <w:pPr>
              <w:spacing w:after="0" w:line="240" w:lineRule="auto"/>
              <w:jc w:val="right"/>
              <w:rPr>
                <w:rFonts w:ascii="Times New Roman" w:hAnsi="Times New Roman"/>
                <w:sz w:val="20"/>
                <w:lang w:eastAsia="en-AU"/>
              </w:rPr>
            </w:pPr>
            <w:r>
              <w:rPr>
                <w:rFonts w:cs="Arial"/>
                <w:color w:val="000000"/>
                <w:sz w:val="16"/>
                <w:szCs w:val="16"/>
              </w:rPr>
              <w:t>5</w:t>
            </w:r>
          </w:p>
        </w:tc>
      </w:tr>
      <w:tr w:rsidR="00C40AE1" w:rsidRPr="0010255F" w14:paraId="3CFF010F"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F5ED626" w14:textId="3259E482"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West Wimmera Health Service</w:t>
            </w:r>
          </w:p>
        </w:tc>
        <w:tc>
          <w:tcPr>
            <w:tcW w:w="1080" w:type="dxa"/>
            <w:tcBorders>
              <w:top w:val="single" w:sz="4" w:space="0" w:color="auto"/>
              <w:left w:val="single" w:sz="4" w:space="0" w:color="auto"/>
              <w:bottom w:val="single" w:sz="4" w:space="0" w:color="auto"/>
              <w:right w:val="single" w:sz="4" w:space="0" w:color="auto"/>
            </w:tcBorders>
            <w:noWrap/>
            <w:vAlign w:val="center"/>
          </w:tcPr>
          <w:p w14:paraId="144A2D2D" w14:textId="4188830D"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w:t>
            </w:r>
          </w:p>
        </w:tc>
        <w:tc>
          <w:tcPr>
            <w:tcW w:w="1220" w:type="dxa"/>
            <w:tcBorders>
              <w:top w:val="single" w:sz="4" w:space="0" w:color="auto"/>
              <w:left w:val="single" w:sz="4" w:space="0" w:color="auto"/>
              <w:bottom w:val="single" w:sz="4" w:space="0" w:color="auto"/>
              <w:right w:val="single" w:sz="4" w:space="0" w:color="auto"/>
            </w:tcBorders>
            <w:noWrap/>
            <w:vAlign w:val="center"/>
          </w:tcPr>
          <w:p w14:paraId="7CB3C1C1" w14:textId="1A2C4E72"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61655CB8" w14:textId="57E1620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4EE186D9" w14:textId="140098F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4</w:t>
            </w:r>
          </w:p>
        </w:tc>
      </w:tr>
      <w:tr w:rsidR="00C40AE1" w:rsidRPr="0010255F" w14:paraId="7AD2AD19"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DD86834" w14:textId="56687778"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Yarram and District Health Service</w:t>
            </w:r>
          </w:p>
        </w:tc>
        <w:tc>
          <w:tcPr>
            <w:tcW w:w="1080" w:type="dxa"/>
            <w:tcBorders>
              <w:top w:val="single" w:sz="4" w:space="0" w:color="auto"/>
              <w:left w:val="single" w:sz="4" w:space="0" w:color="auto"/>
              <w:bottom w:val="single" w:sz="4" w:space="0" w:color="auto"/>
              <w:right w:val="single" w:sz="4" w:space="0" w:color="auto"/>
            </w:tcBorders>
            <w:noWrap/>
            <w:vAlign w:val="center"/>
          </w:tcPr>
          <w:p w14:paraId="12225EDF" w14:textId="4BBDADC0"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6</w:t>
            </w:r>
          </w:p>
        </w:tc>
        <w:tc>
          <w:tcPr>
            <w:tcW w:w="1220" w:type="dxa"/>
            <w:tcBorders>
              <w:top w:val="single" w:sz="4" w:space="0" w:color="auto"/>
              <w:left w:val="single" w:sz="4" w:space="0" w:color="auto"/>
              <w:bottom w:val="single" w:sz="4" w:space="0" w:color="auto"/>
              <w:right w:val="single" w:sz="4" w:space="0" w:color="auto"/>
            </w:tcBorders>
            <w:noWrap/>
            <w:vAlign w:val="center"/>
          </w:tcPr>
          <w:p w14:paraId="4B9E4B88" w14:textId="3D73341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15C7DEE4" w14:textId="0EC4ECF3"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noWrap/>
            <w:vAlign w:val="center"/>
          </w:tcPr>
          <w:p w14:paraId="15C67DBE" w14:textId="5598ADBE"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61</w:t>
            </w:r>
          </w:p>
        </w:tc>
      </w:tr>
      <w:tr w:rsidR="00C40AE1" w:rsidRPr="0010255F" w14:paraId="5A17A3DC" w14:textId="77777777" w:rsidTr="00566A11">
        <w:trPr>
          <w:trHeight w:val="405"/>
        </w:trPr>
        <w:tc>
          <w:tcPr>
            <w:tcW w:w="3000" w:type="dxa"/>
            <w:tcBorders>
              <w:top w:val="single" w:sz="4" w:space="0" w:color="auto"/>
              <w:left w:val="single" w:sz="4" w:space="0" w:color="auto"/>
              <w:bottom w:val="single" w:sz="4" w:space="0" w:color="auto"/>
              <w:right w:val="single" w:sz="4" w:space="0" w:color="auto"/>
            </w:tcBorders>
            <w:vAlign w:val="center"/>
            <w:hideMark/>
          </w:tcPr>
          <w:p w14:paraId="7F47986E" w14:textId="19CD7C48"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Yarrawonga Health</w:t>
            </w:r>
          </w:p>
        </w:tc>
        <w:tc>
          <w:tcPr>
            <w:tcW w:w="1080" w:type="dxa"/>
            <w:tcBorders>
              <w:top w:val="single" w:sz="4" w:space="0" w:color="auto"/>
              <w:left w:val="single" w:sz="4" w:space="0" w:color="auto"/>
              <w:bottom w:val="single" w:sz="4" w:space="0" w:color="auto"/>
              <w:right w:val="single" w:sz="4" w:space="0" w:color="auto"/>
            </w:tcBorders>
            <w:noWrap/>
            <w:vAlign w:val="center"/>
          </w:tcPr>
          <w:p w14:paraId="78AFBA01" w14:textId="6A6B7A08"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6</w:t>
            </w:r>
          </w:p>
        </w:tc>
        <w:tc>
          <w:tcPr>
            <w:tcW w:w="1220" w:type="dxa"/>
            <w:tcBorders>
              <w:top w:val="single" w:sz="4" w:space="0" w:color="auto"/>
              <w:left w:val="single" w:sz="4" w:space="0" w:color="auto"/>
              <w:bottom w:val="single" w:sz="4" w:space="0" w:color="auto"/>
              <w:right w:val="single" w:sz="4" w:space="0" w:color="auto"/>
            </w:tcBorders>
            <w:noWrap/>
            <w:vAlign w:val="center"/>
          </w:tcPr>
          <w:p w14:paraId="087FB6EC" w14:textId="7304D11B"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0AF3BB8B" w14:textId="4460B6BC"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noWrap/>
            <w:vAlign w:val="center"/>
          </w:tcPr>
          <w:p w14:paraId="5C8449FF" w14:textId="6DD15F6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139</w:t>
            </w:r>
          </w:p>
        </w:tc>
      </w:tr>
      <w:tr w:rsidR="00C40AE1" w:rsidRPr="0010255F" w14:paraId="5185DEF7"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57F62229" w14:textId="687FCDE7" w:rsidR="00C40AE1" w:rsidRPr="0010255F" w:rsidRDefault="00C40AE1" w:rsidP="00C40AE1">
            <w:pPr>
              <w:spacing w:after="0" w:line="240" w:lineRule="auto"/>
              <w:rPr>
                <w:rFonts w:cs="Arial"/>
                <w:color w:val="000000"/>
                <w:sz w:val="16"/>
                <w:szCs w:val="16"/>
                <w:lang w:eastAsia="en-AU"/>
              </w:rPr>
            </w:pPr>
            <w:r>
              <w:rPr>
                <w:rFonts w:cs="Arial"/>
                <w:color w:val="000000"/>
                <w:sz w:val="16"/>
                <w:szCs w:val="16"/>
              </w:rPr>
              <w:t>Yea and District Memorial Hospital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188966AC" w14:textId="65777DF5"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w:t>
            </w:r>
          </w:p>
        </w:tc>
        <w:tc>
          <w:tcPr>
            <w:tcW w:w="1220" w:type="dxa"/>
            <w:tcBorders>
              <w:top w:val="single" w:sz="4" w:space="0" w:color="auto"/>
              <w:left w:val="single" w:sz="4" w:space="0" w:color="auto"/>
              <w:bottom w:val="single" w:sz="4" w:space="0" w:color="auto"/>
              <w:right w:val="single" w:sz="4" w:space="0" w:color="auto"/>
            </w:tcBorders>
            <w:noWrap/>
            <w:vAlign w:val="center"/>
          </w:tcPr>
          <w:p w14:paraId="6A349DE9" w14:textId="0248C45A"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vAlign w:val="center"/>
          </w:tcPr>
          <w:p w14:paraId="4FDE0095" w14:textId="1786D269"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 </w:t>
            </w:r>
          </w:p>
        </w:tc>
        <w:tc>
          <w:tcPr>
            <w:tcW w:w="1080" w:type="dxa"/>
            <w:tcBorders>
              <w:top w:val="single" w:sz="4" w:space="0" w:color="auto"/>
              <w:left w:val="single" w:sz="4" w:space="0" w:color="auto"/>
              <w:bottom w:val="single" w:sz="4" w:space="0" w:color="auto"/>
              <w:right w:val="single" w:sz="4" w:space="0" w:color="auto"/>
            </w:tcBorders>
            <w:noWrap/>
            <w:vAlign w:val="center"/>
          </w:tcPr>
          <w:p w14:paraId="76951CFC" w14:textId="5E3C4A65" w:rsidR="00C40AE1" w:rsidRPr="0010255F" w:rsidRDefault="00C40AE1" w:rsidP="00C40AE1">
            <w:pPr>
              <w:spacing w:after="0" w:line="240" w:lineRule="auto"/>
              <w:jc w:val="right"/>
              <w:rPr>
                <w:rFonts w:cs="Arial"/>
                <w:color w:val="000000"/>
                <w:sz w:val="16"/>
                <w:szCs w:val="16"/>
                <w:lang w:eastAsia="en-AU"/>
              </w:rPr>
            </w:pPr>
            <w:r>
              <w:rPr>
                <w:rFonts w:cs="Arial"/>
                <w:color w:val="000000"/>
                <w:sz w:val="16"/>
                <w:szCs w:val="16"/>
              </w:rPr>
              <w:t>1</w:t>
            </w:r>
          </w:p>
        </w:tc>
      </w:tr>
      <w:tr w:rsidR="00C40AE1" w:rsidRPr="0010255F" w14:paraId="19B1924E" w14:textId="77777777" w:rsidTr="00566A11">
        <w:trPr>
          <w:trHeight w:val="300"/>
        </w:trPr>
        <w:tc>
          <w:tcPr>
            <w:tcW w:w="3000" w:type="dxa"/>
            <w:tcBorders>
              <w:top w:val="single" w:sz="4" w:space="0" w:color="auto"/>
              <w:left w:val="single" w:sz="4" w:space="0" w:color="auto"/>
              <w:bottom w:val="single" w:sz="4" w:space="0" w:color="auto"/>
              <w:right w:val="single" w:sz="4" w:space="0" w:color="auto"/>
            </w:tcBorders>
            <w:vAlign w:val="center"/>
            <w:hideMark/>
          </w:tcPr>
          <w:p w14:paraId="17C78778" w14:textId="5582ECD9" w:rsidR="00C40AE1" w:rsidRPr="0010255F" w:rsidRDefault="00C40AE1" w:rsidP="00C40AE1">
            <w:pPr>
              <w:spacing w:after="0" w:line="240" w:lineRule="auto"/>
              <w:rPr>
                <w:rFonts w:cs="Arial"/>
                <w:color w:val="000000"/>
                <w:sz w:val="16"/>
                <w:szCs w:val="16"/>
                <w:lang w:eastAsia="en-AU"/>
              </w:rPr>
            </w:pPr>
            <w:r>
              <w:rPr>
                <w:rFonts w:cs="Arial"/>
                <w:b/>
                <w:bCs/>
                <w:color w:val="000000"/>
                <w:sz w:val="16"/>
                <w:szCs w:val="16"/>
              </w:rPr>
              <w:t>Grand Total</w:t>
            </w:r>
          </w:p>
        </w:tc>
        <w:tc>
          <w:tcPr>
            <w:tcW w:w="1080" w:type="dxa"/>
            <w:tcBorders>
              <w:top w:val="single" w:sz="4" w:space="0" w:color="auto"/>
              <w:left w:val="single" w:sz="4" w:space="0" w:color="auto"/>
              <w:bottom w:val="single" w:sz="4" w:space="0" w:color="auto"/>
              <w:right w:val="single" w:sz="4" w:space="0" w:color="auto"/>
            </w:tcBorders>
            <w:noWrap/>
            <w:vAlign w:val="center"/>
          </w:tcPr>
          <w:p w14:paraId="5CA4C2FC" w14:textId="180CF99B" w:rsidR="00C40AE1" w:rsidRPr="0010255F" w:rsidRDefault="00C40AE1" w:rsidP="00C40AE1">
            <w:pPr>
              <w:spacing w:after="0" w:line="240" w:lineRule="auto"/>
              <w:jc w:val="right"/>
              <w:rPr>
                <w:rFonts w:cs="Arial"/>
                <w:color w:val="000000"/>
                <w:sz w:val="16"/>
                <w:szCs w:val="16"/>
                <w:lang w:eastAsia="en-AU"/>
              </w:rPr>
            </w:pPr>
            <w:r>
              <w:rPr>
                <w:rFonts w:cs="Arial"/>
                <w:b/>
                <w:bCs/>
                <w:color w:val="000000"/>
                <w:sz w:val="16"/>
                <w:szCs w:val="16"/>
              </w:rPr>
              <w:t>183</w:t>
            </w:r>
          </w:p>
        </w:tc>
        <w:tc>
          <w:tcPr>
            <w:tcW w:w="1220" w:type="dxa"/>
            <w:tcBorders>
              <w:top w:val="single" w:sz="4" w:space="0" w:color="auto"/>
              <w:left w:val="single" w:sz="4" w:space="0" w:color="auto"/>
              <w:bottom w:val="single" w:sz="4" w:space="0" w:color="auto"/>
              <w:right w:val="single" w:sz="4" w:space="0" w:color="auto"/>
            </w:tcBorders>
            <w:noWrap/>
            <w:vAlign w:val="center"/>
          </w:tcPr>
          <w:p w14:paraId="37D926D2" w14:textId="0AC93AEB" w:rsidR="00C40AE1" w:rsidRPr="0010255F" w:rsidRDefault="00C40AE1" w:rsidP="00C40AE1">
            <w:pPr>
              <w:spacing w:after="0" w:line="240" w:lineRule="auto"/>
              <w:jc w:val="right"/>
              <w:rPr>
                <w:rFonts w:cs="Arial"/>
                <w:color w:val="000000"/>
                <w:sz w:val="16"/>
                <w:szCs w:val="16"/>
                <w:lang w:eastAsia="en-AU"/>
              </w:rPr>
            </w:pPr>
            <w:r>
              <w:rPr>
                <w:rFonts w:cs="Arial"/>
                <w:b/>
                <w:bCs/>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vAlign w:val="center"/>
          </w:tcPr>
          <w:p w14:paraId="58BC8043" w14:textId="65756A43" w:rsidR="00C40AE1" w:rsidRPr="0010255F" w:rsidRDefault="00C40AE1" w:rsidP="00C40AE1">
            <w:pPr>
              <w:spacing w:after="0" w:line="240" w:lineRule="auto"/>
              <w:jc w:val="right"/>
              <w:rPr>
                <w:rFonts w:cs="Arial"/>
                <w:color w:val="000000"/>
                <w:sz w:val="16"/>
                <w:szCs w:val="16"/>
                <w:lang w:eastAsia="en-AU"/>
              </w:rPr>
            </w:pPr>
            <w:r>
              <w:rPr>
                <w:rFonts w:cs="Arial"/>
                <w:b/>
                <w:bCs/>
                <w:color w:val="000000"/>
                <w:sz w:val="16"/>
                <w:szCs w:val="16"/>
              </w:rPr>
              <w:t>915</w:t>
            </w:r>
          </w:p>
        </w:tc>
        <w:tc>
          <w:tcPr>
            <w:tcW w:w="1080" w:type="dxa"/>
            <w:tcBorders>
              <w:top w:val="single" w:sz="4" w:space="0" w:color="auto"/>
              <w:left w:val="single" w:sz="4" w:space="0" w:color="auto"/>
              <w:bottom w:val="single" w:sz="4" w:space="0" w:color="auto"/>
              <w:right w:val="single" w:sz="4" w:space="0" w:color="auto"/>
            </w:tcBorders>
            <w:noWrap/>
            <w:vAlign w:val="center"/>
          </w:tcPr>
          <w:p w14:paraId="14123615" w14:textId="56FA9C91" w:rsidR="00C40AE1" w:rsidRPr="0010255F" w:rsidRDefault="00C40AE1" w:rsidP="00C40AE1">
            <w:pPr>
              <w:spacing w:after="0" w:line="240" w:lineRule="auto"/>
              <w:jc w:val="right"/>
              <w:rPr>
                <w:rFonts w:cs="Arial"/>
                <w:color w:val="000000"/>
                <w:sz w:val="16"/>
                <w:szCs w:val="16"/>
                <w:lang w:eastAsia="en-AU"/>
              </w:rPr>
            </w:pPr>
            <w:r>
              <w:rPr>
                <w:rFonts w:cs="Arial"/>
                <w:b/>
                <w:bCs/>
                <w:color w:val="000000"/>
                <w:sz w:val="16"/>
                <w:szCs w:val="16"/>
              </w:rPr>
              <w:t>1</w:t>
            </w:r>
            <w:r w:rsidR="002B6517">
              <w:rPr>
                <w:rFonts w:cs="Arial"/>
                <w:b/>
                <w:bCs/>
                <w:color w:val="000000"/>
                <w:sz w:val="16"/>
                <w:szCs w:val="16"/>
              </w:rPr>
              <w:t>,</w:t>
            </w:r>
            <w:r>
              <w:rPr>
                <w:rFonts w:cs="Arial"/>
                <w:b/>
                <w:bCs/>
                <w:color w:val="000000"/>
                <w:sz w:val="16"/>
                <w:szCs w:val="16"/>
              </w:rPr>
              <w:t>106</w:t>
            </w:r>
          </w:p>
        </w:tc>
      </w:tr>
    </w:tbl>
    <w:p w14:paraId="5D4E87E7" w14:textId="20EAB7C8" w:rsidR="005D472A" w:rsidRDefault="005D472A" w:rsidP="0040572E">
      <w:pPr>
        <w:pStyle w:val="Body"/>
      </w:pPr>
    </w:p>
    <w:p w14:paraId="54135D12" w14:textId="77777777" w:rsidR="005D472A" w:rsidRDefault="005D472A">
      <w:pPr>
        <w:spacing w:after="0" w:line="240" w:lineRule="auto"/>
        <w:rPr>
          <w:rFonts w:eastAsia="Times"/>
        </w:rPr>
      </w:pPr>
      <w:r>
        <w:br w:type="page"/>
      </w:r>
    </w:p>
    <w:p w14:paraId="28C07F89" w14:textId="77777777" w:rsidR="005B699B" w:rsidRPr="00454AA1" w:rsidRDefault="005B699B" w:rsidP="001E4292">
      <w:pPr>
        <w:pStyle w:val="Heading2"/>
        <w:numPr>
          <w:ilvl w:val="1"/>
          <w:numId w:val="13"/>
        </w:numPr>
        <w:ind w:left="1134" w:hanging="1134"/>
      </w:pPr>
      <w:bookmarkStart w:id="2594" w:name="_Toc144905684"/>
      <w:bookmarkStart w:id="2595" w:name="_Toc144905685"/>
      <w:bookmarkStart w:id="2596" w:name="_Toc144905687"/>
      <w:bookmarkStart w:id="2597" w:name="_Toc144905688"/>
      <w:bookmarkStart w:id="2598" w:name="_Toc12780669"/>
      <w:bookmarkStart w:id="2599" w:name="_Toc14172310"/>
      <w:bookmarkStart w:id="2600" w:name="_Toc33703984"/>
      <w:bookmarkStart w:id="2601" w:name="_Toc55381172"/>
      <w:bookmarkStart w:id="2602" w:name="_Toc100263377"/>
      <w:bookmarkStart w:id="2603" w:name="_Toc165961874"/>
      <w:bookmarkStart w:id="2604" w:name="_Toc178963660"/>
      <w:bookmarkStart w:id="2605" w:name="_Hlk78967372"/>
      <w:bookmarkEnd w:id="2594"/>
      <w:bookmarkEnd w:id="2595"/>
      <w:bookmarkEnd w:id="2596"/>
      <w:bookmarkEnd w:id="2597"/>
      <w:r>
        <w:lastRenderedPageBreak/>
        <w:t xml:space="preserve">Non-admitted </w:t>
      </w:r>
      <w:r w:rsidRPr="00295CB9">
        <w:t>radiotherapy</w:t>
      </w:r>
      <w:r>
        <w:t xml:space="preserve"> activity (WAU) targets </w:t>
      </w:r>
      <w:bookmarkEnd w:id="2598"/>
      <w:bookmarkEnd w:id="2599"/>
      <w:bookmarkEnd w:id="2600"/>
      <w:bookmarkEnd w:id="2601"/>
      <w:bookmarkEnd w:id="2602"/>
      <w:r>
        <w:t>2024–25</w:t>
      </w:r>
      <w:bookmarkEnd w:id="2603"/>
      <w:bookmarkEnd w:id="2604"/>
    </w:p>
    <w:p w14:paraId="7BE983B5" w14:textId="05E66C3C" w:rsidR="005B699B" w:rsidRPr="00D55128" w:rsidRDefault="00462DC7" w:rsidP="00297FC9">
      <w:pPr>
        <w:pStyle w:val="Tablecaption"/>
      </w:pPr>
      <w:bookmarkStart w:id="2606" w:name="_Toc12534179"/>
      <w:bookmarkStart w:id="2607" w:name="_Toc12780572"/>
      <w:bookmarkStart w:id="2608" w:name="_Toc14194828"/>
      <w:bookmarkStart w:id="2609" w:name="_Toc33704009"/>
      <w:bookmarkStart w:id="2610" w:name="_Toc109894138"/>
      <w:bookmarkStart w:id="2611" w:name="_Toc176510426"/>
      <w:r w:rsidRPr="00454AA1">
        <w:t xml:space="preserve">Table </w:t>
      </w:r>
      <w:r w:rsidR="00D72666">
        <w:t>2</w:t>
      </w:r>
      <w:r w:rsidR="000E0ED2">
        <w:t>.</w:t>
      </w:r>
      <w:r>
        <w:fldChar w:fldCharType="begin"/>
      </w:r>
      <w:r>
        <w:instrText>SEQ Table \* ARABIC \s 1</w:instrText>
      </w:r>
      <w:r>
        <w:fldChar w:fldCharType="separate"/>
      </w:r>
      <w:r w:rsidR="00F30C16">
        <w:rPr>
          <w:noProof/>
        </w:rPr>
        <w:t>13</w:t>
      </w:r>
      <w:r>
        <w:fldChar w:fldCharType="end"/>
      </w:r>
      <w:r w:rsidRPr="00454AA1">
        <w:t xml:space="preserve">: </w:t>
      </w:r>
      <w:r w:rsidR="005B699B" w:rsidRPr="00454AA1">
        <w:t xml:space="preserve">Non-admitted radiotherapy activity targets </w:t>
      </w:r>
      <w:bookmarkEnd w:id="2606"/>
      <w:bookmarkEnd w:id="2607"/>
      <w:bookmarkEnd w:id="2608"/>
      <w:bookmarkEnd w:id="2609"/>
      <w:bookmarkEnd w:id="2610"/>
      <w:r w:rsidR="005B699B" w:rsidRPr="00454AA1">
        <w:t>202</w:t>
      </w:r>
      <w:r w:rsidR="005B699B">
        <w:t>4</w:t>
      </w:r>
      <w:r w:rsidR="005B699B" w:rsidRPr="00454AA1">
        <w:t>–2</w:t>
      </w:r>
      <w:r w:rsidR="005B699B">
        <w:t>5</w:t>
      </w:r>
      <w:bookmarkEnd w:id="2611"/>
      <w:r w:rsidR="00503A8E">
        <w:t xml:space="preserve"> </w:t>
      </w:r>
    </w:p>
    <w:tbl>
      <w:tblPr>
        <w:tblW w:w="5665" w:type="dxa"/>
        <w:tblCellMar>
          <w:top w:w="15" w:type="dxa"/>
          <w:bottom w:w="15" w:type="dxa"/>
        </w:tblCellMar>
        <w:tblLook w:val="04A0" w:firstRow="1" w:lastRow="0" w:firstColumn="1" w:lastColumn="0" w:noHBand="0" w:noVBand="1"/>
      </w:tblPr>
      <w:tblGrid>
        <w:gridCol w:w="2689"/>
        <w:gridCol w:w="2976"/>
      </w:tblGrid>
      <w:tr w:rsidR="00703741" w:rsidRPr="00FC5FEB" w14:paraId="32501D41" w14:textId="77777777">
        <w:trPr>
          <w:trHeight w:val="405"/>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60F72A12" w14:textId="77777777" w:rsidR="00703741" w:rsidRPr="00FC5FEB" w:rsidRDefault="00703741">
            <w:pPr>
              <w:spacing w:after="0" w:line="240" w:lineRule="auto"/>
              <w:rPr>
                <w:rFonts w:cs="Arial"/>
                <w:b/>
                <w:bCs/>
                <w:color w:val="53565A"/>
                <w:sz w:val="16"/>
                <w:szCs w:val="16"/>
                <w:lang w:eastAsia="en-AU"/>
              </w:rPr>
            </w:pPr>
            <w:r w:rsidRPr="00FC5FEB">
              <w:rPr>
                <w:rFonts w:cs="Arial"/>
                <w:b/>
                <w:bCs/>
                <w:color w:val="53565A"/>
                <w:sz w:val="16"/>
                <w:szCs w:val="16"/>
                <w:lang w:eastAsia="en-AU"/>
              </w:rPr>
              <w:t>Health Service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515D9C5" w14:textId="77777777" w:rsidR="00703741" w:rsidRPr="00FC5FEB" w:rsidRDefault="00703741">
            <w:pPr>
              <w:spacing w:after="0" w:line="240" w:lineRule="auto"/>
              <w:jc w:val="right"/>
              <w:rPr>
                <w:rFonts w:cs="Arial"/>
                <w:b/>
                <w:bCs/>
                <w:color w:val="53565A"/>
                <w:sz w:val="16"/>
                <w:szCs w:val="16"/>
                <w:lang w:eastAsia="en-AU"/>
              </w:rPr>
            </w:pPr>
            <w:r w:rsidRPr="00FC5FEB">
              <w:rPr>
                <w:rFonts w:cs="Arial"/>
                <w:b/>
                <w:bCs/>
                <w:color w:val="53565A"/>
                <w:sz w:val="16"/>
                <w:szCs w:val="16"/>
                <w:lang w:eastAsia="en-AU"/>
              </w:rPr>
              <w:t>Radiotherapy base variable WAU</w:t>
            </w:r>
          </w:p>
        </w:tc>
      </w:tr>
      <w:tr w:rsidR="00543255" w:rsidRPr="00FC5FEB" w14:paraId="114AB2FB"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67F136A"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Alfred Health</w:t>
            </w:r>
          </w:p>
        </w:tc>
        <w:tc>
          <w:tcPr>
            <w:tcW w:w="2976" w:type="dxa"/>
            <w:tcBorders>
              <w:top w:val="single" w:sz="4" w:space="0" w:color="auto"/>
              <w:left w:val="single" w:sz="4" w:space="0" w:color="auto"/>
              <w:bottom w:val="single" w:sz="4" w:space="0" w:color="auto"/>
              <w:right w:val="single" w:sz="4" w:space="0" w:color="auto"/>
            </w:tcBorders>
            <w:noWrap/>
            <w:vAlign w:val="center"/>
          </w:tcPr>
          <w:p w14:paraId="1418AA51" w14:textId="3EA1BB1F"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78,193</w:t>
            </w:r>
          </w:p>
        </w:tc>
      </w:tr>
      <w:tr w:rsidR="00543255" w:rsidRPr="00FC5FEB" w14:paraId="4A38B6C0"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9C0FA95"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Austin Health</w:t>
            </w:r>
          </w:p>
        </w:tc>
        <w:tc>
          <w:tcPr>
            <w:tcW w:w="2976" w:type="dxa"/>
            <w:tcBorders>
              <w:top w:val="single" w:sz="4" w:space="0" w:color="auto"/>
              <w:left w:val="single" w:sz="4" w:space="0" w:color="auto"/>
              <w:bottom w:val="single" w:sz="4" w:space="0" w:color="auto"/>
              <w:right w:val="single" w:sz="4" w:space="0" w:color="auto"/>
            </w:tcBorders>
            <w:noWrap/>
            <w:vAlign w:val="center"/>
          </w:tcPr>
          <w:p w14:paraId="7B5A1731" w14:textId="3D4E0E62"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87,303</w:t>
            </w:r>
          </w:p>
        </w:tc>
      </w:tr>
      <w:tr w:rsidR="00543255" w:rsidRPr="00FC5FEB" w14:paraId="3E2296A6"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CC7B8A4"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Barwon Health</w:t>
            </w:r>
          </w:p>
        </w:tc>
        <w:tc>
          <w:tcPr>
            <w:tcW w:w="2976" w:type="dxa"/>
            <w:tcBorders>
              <w:top w:val="single" w:sz="4" w:space="0" w:color="auto"/>
              <w:left w:val="single" w:sz="4" w:space="0" w:color="auto"/>
              <w:bottom w:val="single" w:sz="4" w:space="0" w:color="auto"/>
              <w:right w:val="single" w:sz="4" w:space="0" w:color="auto"/>
            </w:tcBorders>
            <w:noWrap/>
            <w:vAlign w:val="center"/>
          </w:tcPr>
          <w:p w14:paraId="15036411" w14:textId="1C4E5E17"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43,224</w:t>
            </w:r>
          </w:p>
        </w:tc>
      </w:tr>
      <w:tr w:rsidR="00543255" w:rsidRPr="00FC5FEB" w14:paraId="1AC61DFA"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FFA3A2B" w14:textId="0BC0E434"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 xml:space="preserve">Peter </w:t>
            </w:r>
            <w:r>
              <w:rPr>
                <w:rFonts w:cs="Arial"/>
                <w:color w:val="000000"/>
                <w:sz w:val="16"/>
                <w:szCs w:val="16"/>
              </w:rPr>
              <w:t>Maccallum</w:t>
            </w:r>
            <w:r w:rsidRPr="00FC5FEB">
              <w:rPr>
                <w:rFonts w:cs="Arial"/>
                <w:color w:val="000000"/>
                <w:sz w:val="16"/>
                <w:szCs w:val="16"/>
                <w:lang w:eastAsia="en-AU"/>
              </w:rPr>
              <w:t xml:space="preserve"> Cancer Institute</w:t>
            </w:r>
          </w:p>
        </w:tc>
        <w:tc>
          <w:tcPr>
            <w:tcW w:w="2976" w:type="dxa"/>
            <w:tcBorders>
              <w:top w:val="single" w:sz="4" w:space="0" w:color="auto"/>
              <w:left w:val="single" w:sz="4" w:space="0" w:color="auto"/>
              <w:bottom w:val="single" w:sz="4" w:space="0" w:color="auto"/>
              <w:right w:val="single" w:sz="4" w:space="0" w:color="auto"/>
            </w:tcBorders>
            <w:noWrap/>
            <w:vAlign w:val="center"/>
          </w:tcPr>
          <w:p w14:paraId="4D96519F" w14:textId="01FF4901"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317,393</w:t>
            </w:r>
          </w:p>
        </w:tc>
      </w:tr>
      <w:tr w:rsidR="00543255" w:rsidRPr="00FC5FEB" w14:paraId="5A2C29BB"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3D78B1CC" w14:textId="77777777" w:rsidR="00543255" w:rsidRPr="00FC5FEB" w:rsidRDefault="00543255" w:rsidP="00543255">
            <w:pPr>
              <w:spacing w:after="0" w:line="240" w:lineRule="auto"/>
              <w:rPr>
                <w:rFonts w:cs="Arial"/>
                <w:b/>
                <w:bCs/>
                <w:color w:val="000000"/>
                <w:sz w:val="16"/>
                <w:szCs w:val="16"/>
                <w:lang w:eastAsia="en-AU"/>
              </w:rPr>
            </w:pPr>
            <w:r w:rsidRPr="00FC5FEB">
              <w:rPr>
                <w:rFonts w:cs="Arial"/>
                <w:b/>
                <w:color w:val="000000"/>
                <w:sz w:val="16"/>
                <w:szCs w:val="16"/>
                <w:lang w:eastAsia="en-AU"/>
              </w:rPr>
              <w:t>Total</w:t>
            </w:r>
          </w:p>
        </w:tc>
        <w:tc>
          <w:tcPr>
            <w:tcW w:w="2976" w:type="dxa"/>
            <w:tcBorders>
              <w:top w:val="single" w:sz="4" w:space="0" w:color="auto"/>
              <w:left w:val="single" w:sz="4" w:space="0" w:color="auto"/>
              <w:bottom w:val="single" w:sz="4" w:space="0" w:color="auto"/>
              <w:right w:val="single" w:sz="4" w:space="0" w:color="auto"/>
            </w:tcBorders>
            <w:noWrap/>
            <w:vAlign w:val="center"/>
          </w:tcPr>
          <w:p w14:paraId="5A49BEDE" w14:textId="07BA3519" w:rsidR="00543255" w:rsidRPr="00FC5FEB" w:rsidRDefault="00543255" w:rsidP="00543255">
            <w:pPr>
              <w:spacing w:after="0" w:line="240" w:lineRule="auto"/>
              <w:jc w:val="right"/>
              <w:rPr>
                <w:rFonts w:cs="Arial"/>
                <w:b/>
                <w:bCs/>
                <w:color w:val="000000"/>
                <w:sz w:val="16"/>
                <w:szCs w:val="16"/>
                <w:lang w:eastAsia="en-AU"/>
              </w:rPr>
            </w:pPr>
            <w:r>
              <w:rPr>
                <w:rFonts w:cs="Arial"/>
                <w:b/>
                <w:bCs/>
                <w:color w:val="000000"/>
                <w:sz w:val="16"/>
                <w:szCs w:val="16"/>
              </w:rPr>
              <w:t>526,114</w:t>
            </w:r>
          </w:p>
        </w:tc>
      </w:tr>
    </w:tbl>
    <w:p w14:paraId="582BE0AB" w14:textId="77777777" w:rsidR="005B699B" w:rsidRPr="00454AA1" w:rsidRDefault="005B699B" w:rsidP="005B699B">
      <w:pPr>
        <w:pStyle w:val="Body"/>
      </w:pPr>
    </w:p>
    <w:p w14:paraId="2656F037" w14:textId="73D2F477" w:rsidR="005B699B" w:rsidRDefault="00462DC7" w:rsidP="00297FC9">
      <w:pPr>
        <w:pStyle w:val="Tablecaption"/>
      </w:pPr>
      <w:bookmarkStart w:id="2612" w:name="_Toc12780573"/>
      <w:bookmarkStart w:id="2613" w:name="_Toc14194829"/>
      <w:bookmarkStart w:id="2614" w:name="_Toc33704010"/>
      <w:bookmarkStart w:id="2615" w:name="_Toc109894139"/>
      <w:bookmarkStart w:id="2616" w:name="_Toc176510427"/>
      <w:r w:rsidRPr="00454AA1">
        <w:t xml:space="preserve">Table </w:t>
      </w:r>
      <w:r w:rsidR="00D72666">
        <w:t>2</w:t>
      </w:r>
      <w:r w:rsidR="000E0ED2">
        <w:t>.</w:t>
      </w:r>
      <w:r>
        <w:fldChar w:fldCharType="begin"/>
      </w:r>
      <w:r>
        <w:instrText>SEQ Table \* ARABIC \s 1</w:instrText>
      </w:r>
      <w:r>
        <w:fldChar w:fldCharType="separate"/>
      </w:r>
      <w:r w:rsidR="00F30C16">
        <w:rPr>
          <w:noProof/>
        </w:rPr>
        <w:t>14</w:t>
      </w:r>
      <w:r>
        <w:fldChar w:fldCharType="end"/>
      </w:r>
      <w:r w:rsidRPr="00454AA1">
        <w:t xml:space="preserve">: </w:t>
      </w:r>
      <w:r w:rsidR="005B699B" w:rsidRPr="00454AA1">
        <w:t>Shared care radiotherapy activity targets 202</w:t>
      </w:r>
      <w:r w:rsidR="005B699B">
        <w:t>4</w:t>
      </w:r>
      <w:r w:rsidR="005B699B" w:rsidRPr="00454AA1">
        <w:t>–2</w:t>
      </w:r>
      <w:bookmarkStart w:id="2617" w:name="_Toc12780670"/>
      <w:bookmarkStart w:id="2618" w:name="_Toc14172311"/>
      <w:bookmarkStart w:id="2619" w:name="_Toc33703985"/>
      <w:bookmarkStart w:id="2620" w:name="_Toc55381173"/>
      <w:bookmarkEnd w:id="2605"/>
      <w:bookmarkEnd w:id="2612"/>
      <w:bookmarkEnd w:id="2613"/>
      <w:bookmarkEnd w:id="2614"/>
      <w:bookmarkEnd w:id="2615"/>
      <w:r w:rsidR="005B699B">
        <w:t>5</w:t>
      </w:r>
      <w:bookmarkEnd w:id="2616"/>
      <w:r w:rsidR="00503A8E">
        <w:t xml:space="preserve"> </w:t>
      </w:r>
    </w:p>
    <w:tbl>
      <w:tblPr>
        <w:tblW w:w="5653" w:type="dxa"/>
        <w:tblCellMar>
          <w:top w:w="15" w:type="dxa"/>
          <w:bottom w:w="15" w:type="dxa"/>
        </w:tblCellMar>
        <w:tblLook w:val="04A0" w:firstRow="1" w:lastRow="0" w:firstColumn="1" w:lastColumn="0" w:noHBand="0" w:noVBand="1"/>
      </w:tblPr>
      <w:tblGrid>
        <w:gridCol w:w="2689"/>
        <w:gridCol w:w="2964"/>
      </w:tblGrid>
      <w:tr w:rsidR="003964C7" w:rsidRPr="00FC5FEB" w14:paraId="395E5853" w14:textId="77777777">
        <w:trPr>
          <w:trHeight w:val="405"/>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5B86FAC1" w14:textId="77777777" w:rsidR="003964C7" w:rsidRPr="00FC5FEB" w:rsidRDefault="003964C7">
            <w:pPr>
              <w:spacing w:after="0" w:line="240" w:lineRule="auto"/>
              <w:rPr>
                <w:rFonts w:cs="Arial"/>
                <w:b/>
                <w:bCs/>
                <w:color w:val="53565A"/>
                <w:sz w:val="16"/>
                <w:szCs w:val="16"/>
                <w:lang w:eastAsia="en-AU"/>
              </w:rPr>
            </w:pPr>
            <w:r w:rsidRPr="00FC5FEB">
              <w:rPr>
                <w:rFonts w:cs="Arial"/>
                <w:b/>
                <w:bCs/>
                <w:color w:val="53565A"/>
                <w:sz w:val="16"/>
                <w:szCs w:val="16"/>
                <w:lang w:eastAsia="en-AU"/>
              </w:rPr>
              <w:t>Health Service</w:t>
            </w:r>
          </w:p>
        </w:tc>
        <w:tc>
          <w:tcPr>
            <w:tcW w:w="2964" w:type="dxa"/>
            <w:tcBorders>
              <w:top w:val="single" w:sz="4" w:space="0" w:color="auto"/>
              <w:left w:val="single" w:sz="4" w:space="0" w:color="auto"/>
              <w:bottom w:val="single" w:sz="4" w:space="0" w:color="auto"/>
              <w:right w:val="single" w:sz="4" w:space="0" w:color="auto"/>
            </w:tcBorders>
            <w:vAlign w:val="center"/>
            <w:hideMark/>
          </w:tcPr>
          <w:p w14:paraId="644EAD61" w14:textId="77777777" w:rsidR="003964C7" w:rsidRPr="00FC5FEB" w:rsidRDefault="003964C7">
            <w:pPr>
              <w:spacing w:after="0" w:line="240" w:lineRule="auto"/>
              <w:jc w:val="right"/>
              <w:rPr>
                <w:rFonts w:cs="Arial"/>
                <w:b/>
                <w:bCs/>
                <w:color w:val="53565A"/>
                <w:sz w:val="16"/>
                <w:szCs w:val="16"/>
                <w:lang w:eastAsia="en-AU"/>
              </w:rPr>
            </w:pPr>
            <w:r w:rsidRPr="00FC5FEB">
              <w:rPr>
                <w:rFonts w:cs="Arial"/>
                <w:b/>
                <w:bCs/>
                <w:color w:val="53565A"/>
                <w:sz w:val="16"/>
                <w:szCs w:val="16"/>
                <w:lang w:eastAsia="en-AU"/>
              </w:rPr>
              <w:t>Radiotherapy non-admitted shared care</w:t>
            </w:r>
          </w:p>
        </w:tc>
      </w:tr>
      <w:tr w:rsidR="00543255" w:rsidRPr="00FC5FEB" w14:paraId="63D22495"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36F4C2E"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Monash Health</w:t>
            </w:r>
          </w:p>
        </w:tc>
        <w:tc>
          <w:tcPr>
            <w:tcW w:w="2964" w:type="dxa"/>
            <w:tcBorders>
              <w:top w:val="single" w:sz="4" w:space="0" w:color="auto"/>
              <w:left w:val="single" w:sz="4" w:space="0" w:color="auto"/>
              <w:bottom w:val="single" w:sz="4" w:space="0" w:color="auto"/>
              <w:right w:val="single" w:sz="4" w:space="0" w:color="auto"/>
            </w:tcBorders>
            <w:noWrap/>
            <w:vAlign w:val="center"/>
          </w:tcPr>
          <w:p w14:paraId="0FCA6D5C" w14:textId="3C87153E"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173</w:t>
            </w:r>
          </w:p>
        </w:tc>
      </w:tr>
      <w:tr w:rsidR="00543255" w:rsidRPr="00FC5FEB" w14:paraId="4562C0D6"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0FD250E2"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Northern Health</w:t>
            </w:r>
          </w:p>
        </w:tc>
        <w:tc>
          <w:tcPr>
            <w:tcW w:w="2964" w:type="dxa"/>
            <w:tcBorders>
              <w:top w:val="single" w:sz="4" w:space="0" w:color="auto"/>
              <w:left w:val="single" w:sz="4" w:space="0" w:color="auto"/>
              <w:bottom w:val="single" w:sz="4" w:space="0" w:color="auto"/>
              <w:right w:val="single" w:sz="4" w:space="0" w:color="auto"/>
            </w:tcBorders>
            <w:noWrap/>
            <w:vAlign w:val="center"/>
          </w:tcPr>
          <w:p w14:paraId="12759F08" w14:textId="6A13BC41"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229</w:t>
            </w:r>
          </w:p>
        </w:tc>
      </w:tr>
      <w:tr w:rsidR="00543255" w:rsidRPr="00FC5FEB" w14:paraId="01832A22"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788C9DCB"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Peninsula Health</w:t>
            </w:r>
          </w:p>
        </w:tc>
        <w:tc>
          <w:tcPr>
            <w:tcW w:w="2964" w:type="dxa"/>
            <w:tcBorders>
              <w:top w:val="single" w:sz="4" w:space="0" w:color="auto"/>
              <w:left w:val="single" w:sz="4" w:space="0" w:color="auto"/>
              <w:bottom w:val="single" w:sz="4" w:space="0" w:color="auto"/>
              <w:right w:val="single" w:sz="4" w:space="0" w:color="auto"/>
            </w:tcBorders>
            <w:noWrap/>
            <w:vAlign w:val="center"/>
          </w:tcPr>
          <w:p w14:paraId="458E5C99" w14:textId="64C99BCB"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180</w:t>
            </w:r>
          </w:p>
        </w:tc>
      </w:tr>
      <w:tr w:rsidR="00543255" w:rsidRPr="00FC5FEB" w14:paraId="36F6CF12"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1FF417F2" w14:textId="77777777" w:rsidR="00543255" w:rsidRPr="00FC5FEB" w:rsidRDefault="00543255" w:rsidP="00543255">
            <w:pPr>
              <w:spacing w:after="0" w:line="240" w:lineRule="auto"/>
              <w:rPr>
                <w:rFonts w:cs="Arial"/>
                <w:color w:val="000000"/>
                <w:sz w:val="16"/>
                <w:szCs w:val="16"/>
                <w:lang w:eastAsia="en-AU"/>
              </w:rPr>
            </w:pPr>
            <w:r w:rsidRPr="00FC5FEB">
              <w:rPr>
                <w:rFonts w:cs="Arial"/>
                <w:color w:val="000000"/>
                <w:sz w:val="16"/>
                <w:szCs w:val="16"/>
                <w:lang w:eastAsia="en-AU"/>
              </w:rPr>
              <w:t>Western Health</w:t>
            </w:r>
          </w:p>
        </w:tc>
        <w:tc>
          <w:tcPr>
            <w:tcW w:w="2964" w:type="dxa"/>
            <w:tcBorders>
              <w:top w:val="single" w:sz="4" w:space="0" w:color="auto"/>
              <w:left w:val="single" w:sz="4" w:space="0" w:color="auto"/>
              <w:bottom w:val="single" w:sz="4" w:space="0" w:color="auto"/>
              <w:right w:val="single" w:sz="4" w:space="0" w:color="auto"/>
            </w:tcBorders>
            <w:noWrap/>
            <w:vAlign w:val="center"/>
          </w:tcPr>
          <w:p w14:paraId="72475E3A" w14:textId="278B7B8A" w:rsidR="00543255" w:rsidRPr="00FC5FEB" w:rsidRDefault="00543255" w:rsidP="00543255">
            <w:pPr>
              <w:spacing w:after="0" w:line="240" w:lineRule="auto"/>
              <w:jc w:val="right"/>
              <w:rPr>
                <w:rFonts w:cs="Arial"/>
                <w:color w:val="000000"/>
                <w:sz w:val="16"/>
                <w:szCs w:val="16"/>
                <w:lang w:eastAsia="en-AU"/>
              </w:rPr>
            </w:pPr>
            <w:r>
              <w:rPr>
                <w:rFonts w:cs="Arial"/>
                <w:color w:val="000000"/>
                <w:sz w:val="16"/>
                <w:szCs w:val="16"/>
              </w:rPr>
              <w:t>17</w:t>
            </w:r>
          </w:p>
        </w:tc>
      </w:tr>
      <w:tr w:rsidR="00543255" w:rsidRPr="00FC5FEB" w14:paraId="05DF06B7" w14:textId="77777777">
        <w:trPr>
          <w:trHeight w:val="30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3572A84D" w14:textId="77777777" w:rsidR="00543255" w:rsidRPr="00FC5FEB" w:rsidRDefault="00543255" w:rsidP="00543255">
            <w:pPr>
              <w:spacing w:after="0" w:line="240" w:lineRule="auto"/>
              <w:rPr>
                <w:rFonts w:cs="Arial"/>
                <w:b/>
                <w:bCs/>
                <w:color w:val="000000"/>
                <w:sz w:val="16"/>
                <w:szCs w:val="16"/>
                <w:lang w:eastAsia="en-AU"/>
              </w:rPr>
            </w:pPr>
            <w:r w:rsidRPr="00FC5FEB">
              <w:rPr>
                <w:rFonts w:cs="Arial"/>
                <w:b/>
                <w:color w:val="000000"/>
                <w:sz w:val="16"/>
                <w:szCs w:val="16"/>
                <w:lang w:eastAsia="en-AU"/>
              </w:rPr>
              <w:t>Total</w:t>
            </w:r>
          </w:p>
        </w:tc>
        <w:tc>
          <w:tcPr>
            <w:tcW w:w="2964" w:type="dxa"/>
            <w:tcBorders>
              <w:top w:val="single" w:sz="4" w:space="0" w:color="auto"/>
              <w:left w:val="single" w:sz="4" w:space="0" w:color="auto"/>
              <w:bottom w:val="single" w:sz="4" w:space="0" w:color="auto"/>
              <w:right w:val="single" w:sz="4" w:space="0" w:color="auto"/>
            </w:tcBorders>
            <w:noWrap/>
            <w:vAlign w:val="center"/>
          </w:tcPr>
          <w:p w14:paraId="0AAF65BF" w14:textId="304BF0B2" w:rsidR="00543255" w:rsidRPr="00FC5FEB" w:rsidRDefault="00543255" w:rsidP="00543255">
            <w:pPr>
              <w:spacing w:after="0" w:line="240" w:lineRule="auto"/>
              <w:jc w:val="right"/>
              <w:rPr>
                <w:rFonts w:cs="Arial"/>
                <w:b/>
                <w:bCs/>
                <w:color w:val="000000"/>
                <w:sz w:val="16"/>
                <w:szCs w:val="16"/>
                <w:lang w:eastAsia="en-AU"/>
              </w:rPr>
            </w:pPr>
            <w:r>
              <w:rPr>
                <w:rFonts w:cs="Arial"/>
                <w:b/>
                <w:bCs/>
                <w:color w:val="000000"/>
                <w:sz w:val="16"/>
                <w:szCs w:val="16"/>
              </w:rPr>
              <w:t>599</w:t>
            </w:r>
          </w:p>
        </w:tc>
      </w:tr>
    </w:tbl>
    <w:p w14:paraId="704A3DA0" w14:textId="77777777" w:rsidR="005B699B" w:rsidRDefault="005B699B" w:rsidP="005B699B">
      <w:pPr>
        <w:pStyle w:val="Body"/>
      </w:pPr>
    </w:p>
    <w:p w14:paraId="6B2B268C" w14:textId="77777777" w:rsidR="005B699B" w:rsidRDefault="005B699B" w:rsidP="005B699B">
      <w:pPr>
        <w:pStyle w:val="Body"/>
      </w:pPr>
    </w:p>
    <w:bookmarkEnd w:id="2617"/>
    <w:bookmarkEnd w:id="2618"/>
    <w:bookmarkEnd w:id="2619"/>
    <w:bookmarkEnd w:id="2620"/>
    <w:p w14:paraId="7172B9A0" w14:textId="77777777" w:rsidR="005B699B" w:rsidRDefault="005B699B" w:rsidP="005B699B">
      <w:pPr>
        <w:spacing w:after="0" w:line="240" w:lineRule="auto"/>
        <w:rPr>
          <w:rFonts w:eastAsia="Times"/>
        </w:rPr>
      </w:pPr>
      <w:r>
        <w:br w:type="page"/>
      </w:r>
    </w:p>
    <w:p w14:paraId="59481733" w14:textId="77777777" w:rsidR="005B699B" w:rsidRPr="005A088D" w:rsidRDefault="005B699B" w:rsidP="001E4292">
      <w:pPr>
        <w:pStyle w:val="Heading2"/>
        <w:numPr>
          <w:ilvl w:val="1"/>
          <w:numId w:val="13"/>
        </w:numPr>
        <w:ind w:left="1134" w:hanging="1134"/>
      </w:pPr>
      <w:bookmarkStart w:id="2621" w:name="_Toc12780671"/>
      <w:bookmarkStart w:id="2622" w:name="_Toc14172312"/>
      <w:bookmarkStart w:id="2623" w:name="_Toc33703986"/>
      <w:bookmarkStart w:id="2624" w:name="_Toc55381174"/>
      <w:bookmarkStart w:id="2625" w:name="_Toc100263379"/>
      <w:bookmarkStart w:id="2626" w:name="_Toc165961875"/>
      <w:bookmarkStart w:id="2627" w:name="_Toc178963661"/>
      <w:r>
        <w:lastRenderedPageBreak/>
        <w:t xml:space="preserve">Transition Care Program </w:t>
      </w:r>
      <w:bookmarkEnd w:id="2621"/>
      <w:bookmarkEnd w:id="2622"/>
      <w:bookmarkEnd w:id="2623"/>
      <w:bookmarkEnd w:id="2624"/>
      <w:bookmarkEnd w:id="2625"/>
      <w:r w:rsidRPr="000A1079">
        <w:t>targets</w:t>
      </w:r>
      <w:r>
        <w:t xml:space="preserve"> 2024–25</w:t>
      </w:r>
      <w:bookmarkEnd w:id="2626"/>
      <w:bookmarkEnd w:id="2627"/>
    </w:p>
    <w:p w14:paraId="3DAEE4E8" w14:textId="6CD0E329" w:rsidR="005B699B" w:rsidRDefault="00462DC7" w:rsidP="00297FC9">
      <w:pPr>
        <w:pStyle w:val="Tablecaption"/>
      </w:pPr>
      <w:bookmarkStart w:id="2628" w:name="_Toc176510428"/>
      <w:r>
        <w:t xml:space="preserve">Table </w:t>
      </w:r>
      <w:r w:rsidR="00D72666">
        <w:t>2</w:t>
      </w:r>
      <w:r w:rsidR="000E0ED2">
        <w:t>.</w:t>
      </w:r>
      <w:r>
        <w:fldChar w:fldCharType="begin"/>
      </w:r>
      <w:r>
        <w:instrText>SEQ Table \* ARABIC \s 1</w:instrText>
      </w:r>
      <w:r>
        <w:fldChar w:fldCharType="separate"/>
      </w:r>
      <w:r w:rsidR="00F30C16">
        <w:rPr>
          <w:noProof/>
        </w:rPr>
        <w:t>15</w:t>
      </w:r>
      <w:r>
        <w:fldChar w:fldCharType="end"/>
      </w:r>
      <w:r>
        <w:t>:</w:t>
      </w:r>
      <w:r w:rsidRPr="00F826D9">
        <w:t xml:space="preserve"> </w:t>
      </w:r>
      <w:r w:rsidR="005B699B" w:rsidRPr="005A088D">
        <w:t>Transition Care Program targets 202</w:t>
      </w:r>
      <w:r w:rsidR="005B699B">
        <w:t>4</w:t>
      </w:r>
      <w:r w:rsidR="005B699B" w:rsidRPr="005A088D">
        <w:t>–2</w:t>
      </w:r>
      <w:r w:rsidR="005B699B">
        <w:t>5</w:t>
      </w:r>
      <w:bookmarkEnd w:id="2628"/>
    </w:p>
    <w:tbl>
      <w:tblPr>
        <w:tblW w:w="7180" w:type="dxa"/>
        <w:tblCellMar>
          <w:top w:w="15" w:type="dxa"/>
          <w:bottom w:w="15" w:type="dxa"/>
        </w:tblCellMar>
        <w:tblLook w:val="04A0" w:firstRow="1" w:lastRow="0" w:firstColumn="1" w:lastColumn="0" w:noHBand="0" w:noVBand="1"/>
      </w:tblPr>
      <w:tblGrid>
        <w:gridCol w:w="1840"/>
        <w:gridCol w:w="1720"/>
        <w:gridCol w:w="1780"/>
        <w:gridCol w:w="1840"/>
      </w:tblGrid>
      <w:tr w:rsidR="00923B1D" w:rsidRPr="00FC5FEB" w14:paraId="1A2D815F" w14:textId="77777777">
        <w:trPr>
          <w:trHeight w:val="645"/>
          <w:tblHeader/>
        </w:trPr>
        <w:tc>
          <w:tcPr>
            <w:tcW w:w="1840" w:type="dxa"/>
            <w:tcBorders>
              <w:top w:val="single" w:sz="4" w:space="0" w:color="auto"/>
              <w:left w:val="single" w:sz="4" w:space="0" w:color="auto"/>
              <w:bottom w:val="single" w:sz="4" w:space="0" w:color="auto"/>
              <w:right w:val="single" w:sz="4" w:space="0" w:color="auto"/>
            </w:tcBorders>
            <w:vAlign w:val="center"/>
            <w:hideMark/>
          </w:tcPr>
          <w:p w14:paraId="6E552CC4" w14:textId="77777777" w:rsidR="00923B1D" w:rsidRPr="00FC5FEB" w:rsidRDefault="00923B1D">
            <w:pPr>
              <w:spacing w:after="0" w:line="240" w:lineRule="auto"/>
              <w:rPr>
                <w:rFonts w:cs="Arial"/>
                <w:b/>
                <w:bCs/>
                <w:color w:val="53565A"/>
                <w:sz w:val="16"/>
                <w:szCs w:val="16"/>
                <w:lang w:eastAsia="en-AU"/>
              </w:rPr>
            </w:pPr>
            <w:r w:rsidRPr="00FC5FEB">
              <w:rPr>
                <w:rFonts w:cs="Arial"/>
                <w:b/>
                <w:bCs/>
                <w:color w:val="53565A"/>
                <w:sz w:val="16"/>
                <w:szCs w:val="16"/>
                <w:lang w:eastAsia="en-AU"/>
              </w:rPr>
              <w:t>Health service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4A35449" w14:textId="77777777" w:rsidR="00923B1D" w:rsidRPr="00FC5FEB" w:rsidRDefault="00923B1D">
            <w:pPr>
              <w:spacing w:after="0" w:line="240" w:lineRule="auto"/>
              <w:jc w:val="right"/>
              <w:rPr>
                <w:rFonts w:cs="Arial"/>
                <w:b/>
                <w:bCs/>
                <w:color w:val="53565A"/>
                <w:sz w:val="16"/>
                <w:szCs w:val="16"/>
                <w:lang w:eastAsia="en-AU"/>
              </w:rPr>
            </w:pPr>
            <w:r w:rsidRPr="00FC5FEB">
              <w:rPr>
                <w:rFonts w:cs="Arial"/>
                <w:b/>
                <w:bCs/>
                <w:color w:val="53565A"/>
                <w:sz w:val="16"/>
                <w:szCs w:val="16"/>
                <w:lang w:eastAsia="en-AU"/>
              </w:rPr>
              <w:t>Transition care program bed day</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8E562BE" w14:textId="77777777" w:rsidR="00923B1D" w:rsidRPr="00FC5FEB" w:rsidRDefault="00923B1D" w:rsidP="00412ECC">
            <w:pPr>
              <w:spacing w:after="0" w:line="240" w:lineRule="auto"/>
              <w:jc w:val="right"/>
              <w:rPr>
                <w:rFonts w:cs="Arial"/>
                <w:b/>
                <w:bCs/>
                <w:color w:val="53565A"/>
                <w:sz w:val="16"/>
                <w:szCs w:val="16"/>
                <w:lang w:eastAsia="en-AU"/>
              </w:rPr>
            </w:pPr>
            <w:r w:rsidRPr="00FC5FEB">
              <w:rPr>
                <w:rFonts w:cs="Arial"/>
                <w:b/>
                <w:bCs/>
                <w:color w:val="53565A"/>
                <w:sz w:val="16"/>
                <w:szCs w:val="16"/>
                <w:lang w:eastAsia="en-AU"/>
              </w:rPr>
              <w:t>Transition care program home day</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309CDEB" w14:textId="77777777" w:rsidR="00923B1D" w:rsidRPr="00FC5FEB" w:rsidRDefault="00923B1D">
            <w:pPr>
              <w:spacing w:after="0" w:line="240" w:lineRule="auto"/>
              <w:jc w:val="right"/>
              <w:rPr>
                <w:rFonts w:cs="Arial"/>
                <w:b/>
                <w:bCs/>
                <w:color w:val="53565A"/>
                <w:sz w:val="16"/>
                <w:szCs w:val="16"/>
                <w:lang w:eastAsia="en-AU"/>
              </w:rPr>
            </w:pPr>
            <w:r w:rsidRPr="00FC5FEB">
              <w:rPr>
                <w:rFonts w:cs="Arial"/>
                <w:b/>
                <w:bCs/>
                <w:color w:val="53565A"/>
                <w:sz w:val="16"/>
                <w:szCs w:val="16"/>
                <w:lang w:eastAsia="en-AU"/>
              </w:rPr>
              <w:t>Total</w:t>
            </w:r>
          </w:p>
        </w:tc>
      </w:tr>
      <w:tr w:rsidR="008F7D9B" w:rsidRPr="00FC5FEB" w14:paraId="5295BA09"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EC8DA8C" w14:textId="7B0956AE"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Alfred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5A75202C" w14:textId="6D40E945"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21,900</w:t>
            </w:r>
          </w:p>
        </w:tc>
        <w:tc>
          <w:tcPr>
            <w:tcW w:w="1780" w:type="dxa"/>
            <w:tcBorders>
              <w:top w:val="single" w:sz="4" w:space="0" w:color="auto"/>
              <w:left w:val="single" w:sz="4" w:space="0" w:color="auto"/>
              <w:bottom w:val="single" w:sz="4" w:space="0" w:color="auto"/>
              <w:right w:val="single" w:sz="4" w:space="0" w:color="auto"/>
            </w:tcBorders>
            <w:noWrap/>
            <w:vAlign w:val="center"/>
          </w:tcPr>
          <w:p w14:paraId="5A6026BA" w14:textId="737D9FFD"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10,220</w:t>
            </w:r>
          </w:p>
        </w:tc>
        <w:tc>
          <w:tcPr>
            <w:tcW w:w="1840" w:type="dxa"/>
            <w:tcBorders>
              <w:top w:val="single" w:sz="4" w:space="0" w:color="auto"/>
              <w:left w:val="single" w:sz="4" w:space="0" w:color="auto"/>
              <w:bottom w:val="single" w:sz="4" w:space="0" w:color="auto"/>
              <w:right w:val="single" w:sz="4" w:space="0" w:color="auto"/>
            </w:tcBorders>
            <w:noWrap/>
            <w:vAlign w:val="center"/>
          </w:tcPr>
          <w:p w14:paraId="35BA993E" w14:textId="147FAF41"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32,120</w:t>
            </w:r>
          </w:p>
        </w:tc>
      </w:tr>
      <w:tr w:rsidR="008F7D9B" w:rsidRPr="00FC5FEB" w14:paraId="6BE73642"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50ED54B" w14:textId="386D2A1E"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Austin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351978E9" w14:textId="3E668B7F"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7,643</w:t>
            </w:r>
          </w:p>
        </w:tc>
        <w:tc>
          <w:tcPr>
            <w:tcW w:w="1780" w:type="dxa"/>
            <w:tcBorders>
              <w:top w:val="single" w:sz="4" w:space="0" w:color="auto"/>
              <w:left w:val="single" w:sz="4" w:space="0" w:color="auto"/>
              <w:bottom w:val="single" w:sz="4" w:space="0" w:color="auto"/>
              <w:right w:val="single" w:sz="4" w:space="0" w:color="auto"/>
            </w:tcBorders>
            <w:noWrap/>
            <w:vAlign w:val="center"/>
          </w:tcPr>
          <w:p w14:paraId="2D40543E" w14:textId="185DB35C"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11,317</w:t>
            </w:r>
          </w:p>
        </w:tc>
        <w:tc>
          <w:tcPr>
            <w:tcW w:w="1840" w:type="dxa"/>
            <w:tcBorders>
              <w:top w:val="single" w:sz="4" w:space="0" w:color="auto"/>
              <w:left w:val="single" w:sz="4" w:space="0" w:color="auto"/>
              <w:bottom w:val="single" w:sz="4" w:space="0" w:color="auto"/>
              <w:right w:val="single" w:sz="4" w:space="0" w:color="auto"/>
            </w:tcBorders>
            <w:noWrap/>
            <w:vAlign w:val="center"/>
          </w:tcPr>
          <w:p w14:paraId="17ECA0F3" w14:textId="3E05DF31"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18,960</w:t>
            </w:r>
          </w:p>
        </w:tc>
      </w:tr>
      <w:tr w:rsidR="008F7D9B" w:rsidRPr="00FC5FEB" w14:paraId="4C9E5A71"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201973B8" w14:textId="5ABE00B7"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Barwon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0B79297F" w14:textId="77B72730"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12,398</w:t>
            </w:r>
          </w:p>
        </w:tc>
        <w:tc>
          <w:tcPr>
            <w:tcW w:w="1780" w:type="dxa"/>
            <w:tcBorders>
              <w:top w:val="single" w:sz="4" w:space="0" w:color="auto"/>
              <w:left w:val="single" w:sz="4" w:space="0" w:color="auto"/>
              <w:bottom w:val="single" w:sz="4" w:space="0" w:color="auto"/>
              <w:right w:val="single" w:sz="4" w:space="0" w:color="auto"/>
            </w:tcBorders>
            <w:noWrap/>
            <w:vAlign w:val="center"/>
          </w:tcPr>
          <w:p w14:paraId="4239A3D6" w14:textId="3C8B5D18"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7,302</w:t>
            </w:r>
          </w:p>
        </w:tc>
        <w:tc>
          <w:tcPr>
            <w:tcW w:w="1840" w:type="dxa"/>
            <w:tcBorders>
              <w:top w:val="single" w:sz="4" w:space="0" w:color="auto"/>
              <w:left w:val="single" w:sz="4" w:space="0" w:color="auto"/>
              <w:bottom w:val="single" w:sz="4" w:space="0" w:color="auto"/>
              <w:right w:val="single" w:sz="4" w:space="0" w:color="auto"/>
            </w:tcBorders>
            <w:noWrap/>
            <w:vAlign w:val="center"/>
          </w:tcPr>
          <w:p w14:paraId="384F1326" w14:textId="2DAFF611"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19,700</w:t>
            </w:r>
          </w:p>
        </w:tc>
      </w:tr>
      <w:tr w:rsidR="008F7D9B" w:rsidRPr="00FC5FEB" w14:paraId="7CE9ACC2"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72007F62" w14:textId="09228F8E"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Bendigo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1823C6BE" w14:textId="603F65ED"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18,220</w:t>
            </w:r>
          </w:p>
        </w:tc>
        <w:tc>
          <w:tcPr>
            <w:tcW w:w="1780" w:type="dxa"/>
            <w:tcBorders>
              <w:top w:val="single" w:sz="4" w:space="0" w:color="auto"/>
              <w:left w:val="single" w:sz="4" w:space="0" w:color="auto"/>
              <w:bottom w:val="single" w:sz="4" w:space="0" w:color="auto"/>
              <w:right w:val="single" w:sz="4" w:space="0" w:color="auto"/>
            </w:tcBorders>
            <w:noWrap/>
            <w:vAlign w:val="center"/>
          </w:tcPr>
          <w:p w14:paraId="2F8C2F7B" w14:textId="65942B96"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12,814</w:t>
            </w:r>
          </w:p>
        </w:tc>
        <w:tc>
          <w:tcPr>
            <w:tcW w:w="1840" w:type="dxa"/>
            <w:tcBorders>
              <w:top w:val="single" w:sz="4" w:space="0" w:color="auto"/>
              <w:left w:val="single" w:sz="4" w:space="0" w:color="auto"/>
              <w:bottom w:val="single" w:sz="4" w:space="0" w:color="auto"/>
              <w:right w:val="single" w:sz="4" w:space="0" w:color="auto"/>
            </w:tcBorders>
            <w:noWrap/>
            <w:vAlign w:val="center"/>
          </w:tcPr>
          <w:p w14:paraId="30064DF6" w14:textId="7524945E"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31,034</w:t>
            </w:r>
          </w:p>
        </w:tc>
      </w:tr>
      <w:tr w:rsidR="008F7D9B" w:rsidRPr="00FC5FEB" w14:paraId="55C0FC73"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2B9578E0" w14:textId="5F5158EA"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Eastern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204B0085" w14:textId="27973471"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23,749</w:t>
            </w:r>
          </w:p>
        </w:tc>
        <w:tc>
          <w:tcPr>
            <w:tcW w:w="1780" w:type="dxa"/>
            <w:tcBorders>
              <w:top w:val="single" w:sz="4" w:space="0" w:color="auto"/>
              <w:left w:val="single" w:sz="4" w:space="0" w:color="auto"/>
              <w:bottom w:val="single" w:sz="4" w:space="0" w:color="auto"/>
              <w:right w:val="single" w:sz="4" w:space="0" w:color="auto"/>
            </w:tcBorders>
            <w:noWrap/>
            <w:vAlign w:val="center"/>
          </w:tcPr>
          <w:p w14:paraId="785FAB4E" w14:textId="61F22DD6"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10,533</w:t>
            </w:r>
          </w:p>
        </w:tc>
        <w:tc>
          <w:tcPr>
            <w:tcW w:w="1840" w:type="dxa"/>
            <w:tcBorders>
              <w:top w:val="single" w:sz="4" w:space="0" w:color="auto"/>
              <w:left w:val="single" w:sz="4" w:space="0" w:color="auto"/>
              <w:bottom w:val="single" w:sz="4" w:space="0" w:color="auto"/>
              <w:right w:val="single" w:sz="4" w:space="0" w:color="auto"/>
            </w:tcBorders>
            <w:noWrap/>
            <w:vAlign w:val="center"/>
          </w:tcPr>
          <w:p w14:paraId="093BC9FF" w14:textId="6ED0EA77"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34,281</w:t>
            </w:r>
          </w:p>
        </w:tc>
      </w:tr>
      <w:tr w:rsidR="008F7D9B" w:rsidRPr="00FC5FEB" w14:paraId="2A632446"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67A1A62F" w14:textId="5BD5A4CC"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Goulburn Valley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3F71542F" w14:textId="1DE9F099"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13,824</w:t>
            </w:r>
          </w:p>
        </w:tc>
        <w:tc>
          <w:tcPr>
            <w:tcW w:w="1780" w:type="dxa"/>
            <w:tcBorders>
              <w:top w:val="single" w:sz="4" w:space="0" w:color="auto"/>
              <w:left w:val="single" w:sz="4" w:space="0" w:color="auto"/>
              <w:bottom w:val="single" w:sz="4" w:space="0" w:color="auto"/>
              <w:right w:val="single" w:sz="4" w:space="0" w:color="auto"/>
            </w:tcBorders>
            <w:noWrap/>
            <w:vAlign w:val="center"/>
          </w:tcPr>
          <w:p w14:paraId="79B75341" w14:textId="0422D9DB"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14,252</w:t>
            </w:r>
          </w:p>
        </w:tc>
        <w:tc>
          <w:tcPr>
            <w:tcW w:w="1840" w:type="dxa"/>
            <w:tcBorders>
              <w:top w:val="single" w:sz="4" w:space="0" w:color="auto"/>
              <w:left w:val="single" w:sz="4" w:space="0" w:color="auto"/>
              <w:bottom w:val="single" w:sz="4" w:space="0" w:color="auto"/>
              <w:right w:val="single" w:sz="4" w:space="0" w:color="auto"/>
            </w:tcBorders>
            <w:noWrap/>
            <w:vAlign w:val="center"/>
          </w:tcPr>
          <w:p w14:paraId="0901F00F" w14:textId="1F735F96"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28,076</w:t>
            </w:r>
          </w:p>
        </w:tc>
      </w:tr>
      <w:tr w:rsidR="008F7D9B" w:rsidRPr="00FC5FEB" w14:paraId="6A100ABA"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38736D71" w14:textId="72D823CD"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Grampians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3F3A63FD" w14:textId="50B53F3F"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13,847</w:t>
            </w:r>
          </w:p>
        </w:tc>
        <w:tc>
          <w:tcPr>
            <w:tcW w:w="1780" w:type="dxa"/>
            <w:tcBorders>
              <w:top w:val="single" w:sz="4" w:space="0" w:color="auto"/>
              <w:left w:val="single" w:sz="4" w:space="0" w:color="auto"/>
              <w:bottom w:val="single" w:sz="4" w:space="0" w:color="auto"/>
              <w:right w:val="single" w:sz="4" w:space="0" w:color="auto"/>
            </w:tcBorders>
            <w:noWrap/>
            <w:vAlign w:val="center"/>
          </w:tcPr>
          <w:p w14:paraId="3E1AB5E1" w14:textId="73AF8078"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9,153</w:t>
            </w:r>
          </w:p>
        </w:tc>
        <w:tc>
          <w:tcPr>
            <w:tcW w:w="1840" w:type="dxa"/>
            <w:tcBorders>
              <w:top w:val="single" w:sz="4" w:space="0" w:color="auto"/>
              <w:left w:val="single" w:sz="4" w:space="0" w:color="auto"/>
              <w:bottom w:val="single" w:sz="4" w:space="0" w:color="auto"/>
              <w:right w:val="single" w:sz="4" w:space="0" w:color="auto"/>
            </w:tcBorders>
            <w:noWrap/>
            <w:vAlign w:val="center"/>
          </w:tcPr>
          <w:p w14:paraId="21C051D5" w14:textId="70E6A1B9"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23,000</w:t>
            </w:r>
          </w:p>
        </w:tc>
      </w:tr>
      <w:tr w:rsidR="008F7D9B" w:rsidRPr="00FC5FEB" w14:paraId="42C7D727" w14:textId="77777777">
        <w:trPr>
          <w:trHeight w:val="405"/>
        </w:trPr>
        <w:tc>
          <w:tcPr>
            <w:tcW w:w="1840" w:type="dxa"/>
            <w:tcBorders>
              <w:top w:val="single" w:sz="4" w:space="0" w:color="auto"/>
              <w:left w:val="single" w:sz="4" w:space="0" w:color="auto"/>
              <w:bottom w:val="single" w:sz="4" w:space="0" w:color="auto"/>
              <w:right w:val="single" w:sz="4" w:space="0" w:color="auto"/>
            </w:tcBorders>
            <w:vAlign w:val="center"/>
            <w:hideMark/>
          </w:tcPr>
          <w:p w14:paraId="0478842D" w14:textId="0D354D22"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Latrobe Regional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1E735677" w14:textId="424C559C"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9,095</w:t>
            </w:r>
          </w:p>
        </w:tc>
        <w:tc>
          <w:tcPr>
            <w:tcW w:w="1780" w:type="dxa"/>
            <w:tcBorders>
              <w:top w:val="single" w:sz="4" w:space="0" w:color="auto"/>
              <w:left w:val="single" w:sz="4" w:space="0" w:color="auto"/>
              <w:bottom w:val="single" w:sz="4" w:space="0" w:color="auto"/>
              <w:right w:val="single" w:sz="4" w:space="0" w:color="auto"/>
            </w:tcBorders>
            <w:noWrap/>
            <w:vAlign w:val="center"/>
          </w:tcPr>
          <w:p w14:paraId="49C8DBD6" w14:textId="2895C4CB"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7,668</w:t>
            </w:r>
          </w:p>
        </w:tc>
        <w:tc>
          <w:tcPr>
            <w:tcW w:w="1840" w:type="dxa"/>
            <w:tcBorders>
              <w:top w:val="single" w:sz="4" w:space="0" w:color="auto"/>
              <w:left w:val="single" w:sz="4" w:space="0" w:color="auto"/>
              <w:bottom w:val="single" w:sz="4" w:space="0" w:color="auto"/>
              <w:right w:val="single" w:sz="4" w:space="0" w:color="auto"/>
            </w:tcBorders>
            <w:noWrap/>
            <w:vAlign w:val="center"/>
          </w:tcPr>
          <w:p w14:paraId="39A67AF5" w14:textId="0F7E7706"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16,764</w:t>
            </w:r>
          </w:p>
        </w:tc>
      </w:tr>
      <w:tr w:rsidR="008F7D9B" w:rsidRPr="00FC5FEB" w14:paraId="637ED191"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0795DE52" w14:textId="45C4D943"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Melbourne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1B7E9987" w14:textId="5BD78D25"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8,373</w:t>
            </w:r>
          </w:p>
        </w:tc>
        <w:tc>
          <w:tcPr>
            <w:tcW w:w="1780" w:type="dxa"/>
            <w:tcBorders>
              <w:top w:val="single" w:sz="4" w:space="0" w:color="auto"/>
              <w:left w:val="single" w:sz="4" w:space="0" w:color="auto"/>
              <w:bottom w:val="single" w:sz="4" w:space="0" w:color="auto"/>
              <w:right w:val="single" w:sz="4" w:space="0" w:color="auto"/>
            </w:tcBorders>
            <w:noWrap/>
            <w:vAlign w:val="center"/>
          </w:tcPr>
          <w:p w14:paraId="62D48A2F" w14:textId="224291FB"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14,652</w:t>
            </w:r>
          </w:p>
        </w:tc>
        <w:tc>
          <w:tcPr>
            <w:tcW w:w="1840" w:type="dxa"/>
            <w:tcBorders>
              <w:top w:val="single" w:sz="4" w:space="0" w:color="auto"/>
              <w:left w:val="single" w:sz="4" w:space="0" w:color="auto"/>
              <w:bottom w:val="single" w:sz="4" w:space="0" w:color="auto"/>
              <w:right w:val="single" w:sz="4" w:space="0" w:color="auto"/>
            </w:tcBorders>
            <w:noWrap/>
            <w:vAlign w:val="center"/>
          </w:tcPr>
          <w:p w14:paraId="0EC62B7B" w14:textId="30027E08"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23,026</w:t>
            </w:r>
          </w:p>
        </w:tc>
      </w:tr>
      <w:tr w:rsidR="008F7D9B" w:rsidRPr="00FC5FEB" w14:paraId="31E82079" w14:textId="77777777">
        <w:trPr>
          <w:trHeight w:val="405"/>
        </w:trPr>
        <w:tc>
          <w:tcPr>
            <w:tcW w:w="1840" w:type="dxa"/>
            <w:tcBorders>
              <w:top w:val="single" w:sz="4" w:space="0" w:color="auto"/>
              <w:left w:val="single" w:sz="4" w:space="0" w:color="auto"/>
              <w:bottom w:val="single" w:sz="4" w:space="0" w:color="auto"/>
              <w:right w:val="single" w:sz="4" w:space="0" w:color="auto"/>
            </w:tcBorders>
            <w:vAlign w:val="center"/>
            <w:hideMark/>
          </w:tcPr>
          <w:p w14:paraId="133A973F" w14:textId="0E23D0CA"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Mercy Hospitals Victoria Limited</w:t>
            </w:r>
          </w:p>
        </w:tc>
        <w:tc>
          <w:tcPr>
            <w:tcW w:w="1720" w:type="dxa"/>
            <w:tcBorders>
              <w:top w:val="single" w:sz="4" w:space="0" w:color="auto"/>
              <w:left w:val="single" w:sz="4" w:space="0" w:color="auto"/>
              <w:bottom w:val="single" w:sz="4" w:space="0" w:color="auto"/>
              <w:right w:val="single" w:sz="4" w:space="0" w:color="auto"/>
            </w:tcBorders>
            <w:noWrap/>
            <w:vAlign w:val="center"/>
          </w:tcPr>
          <w:p w14:paraId="49C9111F" w14:textId="157BEF45"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2,186</w:t>
            </w:r>
          </w:p>
        </w:tc>
        <w:tc>
          <w:tcPr>
            <w:tcW w:w="1780" w:type="dxa"/>
            <w:tcBorders>
              <w:top w:val="single" w:sz="4" w:space="0" w:color="auto"/>
              <w:left w:val="single" w:sz="4" w:space="0" w:color="auto"/>
              <w:bottom w:val="single" w:sz="4" w:space="0" w:color="auto"/>
              <w:right w:val="single" w:sz="4" w:space="0" w:color="auto"/>
            </w:tcBorders>
            <w:noWrap/>
            <w:vAlign w:val="center"/>
          </w:tcPr>
          <w:p w14:paraId="41A2A5CF" w14:textId="0D0E6B8D"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1,464</w:t>
            </w:r>
          </w:p>
        </w:tc>
        <w:tc>
          <w:tcPr>
            <w:tcW w:w="1840" w:type="dxa"/>
            <w:tcBorders>
              <w:top w:val="single" w:sz="4" w:space="0" w:color="auto"/>
              <w:left w:val="single" w:sz="4" w:space="0" w:color="auto"/>
              <w:bottom w:val="single" w:sz="4" w:space="0" w:color="auto"/>
              <w:right w:val="single" w:sz="4" w:space="0" w:color="auto"/>
            </w:tcBorders>
            <w:noWrap/>
            <w:vAlign w:val="center"/>
          </w:tcPr>
          <w:p w14:paraId="17BFBDFC" w14:textId="361DECFE"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3,651</w:t>
            </w:r>
          </w:p>
        </w:tc>
      </w:tr>
      <w:tr w:rsidR="008F7D9B" w:rsidRPr="00FC5FEB" w14:paraId="054553BE" w14:textId="77777777">
        <w:trPr>
          <w:trHeight w:val="405"/>
        </w:trPr>
        <w:tc>
          <w:tcPr>
            <w:tcW w:w="1840" w:type="dxa"/>
            <w:tcBorders>
              <w:top w:val="single" w:sz="4" w:space="0" w:color="auto"/>
              <w:left w:val="single" w:sz="4" w:space="0" w:color="auto"/>
              <w:bottom w:val="single" w:sz="4" w:space="0" w:color="auto"/>
              <w:right w:val="single" w:sz="4" w:space="0" w:color="auto"/>
            </w:tcBorders>
            <w:vAlign w:val="center"/>
            <w:hideMark/>
          </w:tcPr>
          <w:p w14:paraId="31329714" w14:textId="34627412"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Mildura Base Public Hospital</w:t>
            </w:r>
          </w:p>
        </w:tc>
        <w:tc>
          <w:tcPr>
            <w:tcW w:w="1720" w:type="dxa"/>
            <w:tcBorders>
              <w:top w:val="single" w:sz="4" w:space="0" w:color="auto"/>
              <w:left w:val="single" w:sz="4" w:space="0" w:color="auto"/>
              <w:bottom w:val="single" w:sz="4" w:space="0" w:color="auto"/>
              <w:right w:val="single" w:sz="4" w:space="0" w:color="auto"/>
            </w:tcBorders>
            <w:noWrap/>
            <w:vAlign w:val="center"/>
          </w:tcPr>
          <w:p w14:paraId="7CDA9AED" w14:textId="18E528A8"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2,981</w:t>
            </w:r>
          </w:p>
        </w:tc>
        <w:tc>
          <w:tcPr>
            <w:tcW w:w="1780" w:type="dxa"/>
            <w:tcBorders>
              <w:top w:val="single" w:sz="4" w:space="0" w:color="auto"/>
              <w:left w:val="single" w:sz="4" w:space="0" w:color="auto"/>
              <w:bottom w:val="single" w:sz="4" w:space="0" w:color="auto"/>
              <w:right w:val="single" w:sz="4" w:space="0" w:color="auto"/>
            </w:tcBorders>
            <w:noWrap/>
            <w:vAlign w:val="center"/>
          </w:tcPr>
          <w:p w14:paraId="69766CEF" w14:textId="2D9666DC"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3,570</w:t>
            </w:r>
          </w:p>
        </w:tc>
        <w:tc>
          <w:tcPr>
            <w:tcW w:w="1840" w:type="dxa"/>
            <w:tcBorders>
              <w:top w:val="single" w:sz="4" w:space="0" w:color="auto"/>
              <w:left w:val="single" w:sz="4" w:space="0" w:color="auto"/>
              <w:bottom w:val="single" w:sz="4" w:space="0" w:color="auto"/>
              <w:right w:val="single" w:sz="4" w:space="0" w:color="auto"/>
            </w:tcBorders>
            <w:noWrap/>
            <w:vAlign w:val="center"/>
          </w:tcPr>
          <w:p w14:paraId="7F3DE9F5" w14:textId="34C35E53"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6,551</w:t>
            </w:r>
          </w:p>
        </w:tc>
      </w:tr>
      <w:tr w:rsidR="008F7D9B" w:rsidRPr="00FC5FEB" w14:paraId="676D6461"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4FAA5DB0" w14:textId="7FBE380C"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Monash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55D91595" w14:textId="22FE56C6"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17,491</w:t>
            </w:r>
          </w:p>
        </w:tc>
        <w:tc>
          <w:tcPr>
            <w:tcW w:w="1780" w:type="dxa"/>
            <w:tcBorders>
              <w:top w:val="single" w:sz="4" w:space="0" w:color="auto"/>
              <w:left w:val="single" w:sz="4" w:space="0" w:color="auto"/>
              <w:bottom w:val="single" w:sz="4" w:space="0" w:color="auto"/>
              <w:right w:val="single" w:sz="4" w:space="0" w:color="auto"/>
            </w:tcBorders>
            <w:noWrap/>
            <w:vAlign w:val="center"/>
          </w:tcPr>
          <w:p w14:paraId="041DDD82" w14:textId="2CE44F4A"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12,837</w:t>
            </w:r>
          </w:p>
        </w:tc>
        <w:tc>
          <w:tcPr>
            <w:tcW w:w="1840" w:type="dxa"/>
            <w:tcBorders>
              <w:top w:val="single" w:sz="4" w:space="0" w:color="auto"/>
              <w:left w:val="single" w:sz="4" w:space="0" w:color="auto"/>
              <w:bottom w:val="single" w:sz="4" w:space="0" w:color="auto"/>
              <w:right w:val="single" w:sz="4" w:space="0" w:color="auto"/>
            </w:tcBorders>
            <w:noWrap/>
            <w:vAlign w:val="center"/>
          </w:tcPr>
          <w:p w14:paraId="08C778AE" w14:textId="3F2F6075"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30,329</w:t>
            </w:r>
          </w:p>
        </w:tc>
      </w:tr>
      <w:tr w:rsidR="008F7D9B" w:rsidRPr="00FC5FEB" w14:paraId="7921BAD4"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6AB0CDC7" w14:textId="2CA56872"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Northern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1BD344C1" w14:textId="27EC433F"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9,451</w:t>
            </w:r>
          </w:p>
        </w:tc>
        <w:tc>
          <w:tcPr>
            <w:tcW w:w="1780" w:type="dxa"/>
            <w:tcBorders>
              <w:top w:val="single" w:sz="4" w:space="0" w:color="auto"/>
              <w:left w:val="single" w:sz="4" w:space="0" w:color="auto"/>
              <w:bottom w:val="single" w:sz="4" w:space="0" w:color="auto"/>
              <w:right w:val="single" w:sz="4" w:space="0" w:color="auto"/>
            </w:tcBorders>
            <w:noWrap/>
            <w:vAlign w:val="center"/>
          </w:tcPr>
          <w:p w14:paraId="13016473" w14:textId="029A20BD"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15,743</w:t>
            </w:r>
          </w:p>
        </w:tc>
        <w:tc>
          <w:tcPr>
            <w:tcW w:w="1840" w:type="dxa"/>
            <w:tcBorders>
              <w:top w:val="single" w:sz="4" w:space="0" w:color="auto"/>
              <w:left w:val="single" w:sz="4" w:space="0" w:color="auto"/>
              <w:bottom w:val="single" w:sz="4" w:space="0" w:color="auto"/>
              <w:right w:val="single" w:sz="4" w:space="0" w:color="auto"/>
            </w:tcBorders>
            <w:noWrap/>
            <w:vAlign w:val="center"/>
          </w:tcPr>
          <w:p w14:paraId="37775C6E" w14:textId="4682E73D"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25,194</w:t>
            </w:r>
          </w:p>
        </w:tc>
      </w:tr>
      <w:tr w:rsidR="008F7D9B" w:rsidRPr="00FC5FEB" w14:paraId="486AEDB2"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1E09532D" w14:textId="12215EE1"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Peninsula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66C89812" w14:textId="60B46DE8"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22,155</w:t>
            </w:r>
          </w:p>
        </w:tc>
        <w:tc>
          <w:tcPr>
            <w:tcW w:w="1780" w:type="dxa"/>
            <w:tcBorders>
              <w:top w:val="single" w:sz="4" w:space="0" w:color="auto"/>
              <w:left w:val="single" w:sz="4" w:space="0" w:color="auto"/>
              <w:bottom w:val="single" w:sz="4" w:space="0" w:color="auto"/>
              <w:right w:val="single" w:sz="4" w:space="0" w:color="auto"/>
            </w:tcBorders>
            <w:noWrap/>
            <w:vAlign w:val="center"/>
          </w:tcPr>
          <w:p w14:paraId="387EE99E" w14:textId="0638C0CB"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5,492</w:t>
            </w:r>
          </w:p>
        </w:tc>
        <w:tc>
          <w:tcPr>
            <w:tcW w:w="1840" w:type="dxa"/>
            <w:tcBorders>
              <w:top w:val="single" w:sz="4" w:space="0" w:color="auto"/>
              <w:left w:val="single" w:sz="4" w:space="0" w:color="auto"/>
              <w:bottom w:val="single" w:sz="4" w:space="0" w:color="auto"/>
              <w:right w:val="single" w:sz="4" w:space="0" w:color="auto"/>
            </w:tcBorders>
            <w:noWrap/>
            <w:vAlign w:val="center"/>
          </w:tcPr>
          <w:p w14:paraId="77D52EA2" w14:textId="699F9441"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27,647</w:t>
            </w:r>
          </w:p>
        </w:tc>
      </w:tr>
      <w:tr w:rsidR="008F7D9B" w:rsidRPr="00FC5FEB" w14:paraId="1B237DC2"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492D8E6B" w14:textId="7B9C1126"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South West Healthcare</w:t>
            </w:r>
          </w:p>
        </w:tc>
        <w:tc>
          <w:tcPr>
            <w:tcW w:w="1720" w:type="dxa"/>
            <w:tcBorders>
              <w:top w:val="single" w:sz="4" w:space="0" w:color="auto"/>
              <w:left w:val="single" w:sz="4" w:space="0" w:color="auto"/>
              <w:bottom w:val="single" w:sz="4" w:space="0" w:color="auto"/>
              <w:right w:val="single" w:sz="4" w:space="0" w:color="auto"/>
            </w:tcBorders>
            <w:noWrap/>
            <w:vAlign w:val="center"/>
          </w:tcPr>
          <w:p w14:paraId="73BD8705" w14:textId="2AD8F2CE"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3,645</w:t>
            </w:r>
          </w:p>
        </w:tc>
        <w:tc>
          <w:tcPr>
            <w:tcW w:w="1780" w:type="dxa"/>
            <w:tcBorders>
              <w:top w:val="single" w:sz="4" w:space="0" w:color="auto"/>
              <w:left w:val="single" w:sz="4" w:space="0" w:color="auto"/>
              <w:bottom w:val="single" w:sz="4" w:space="0" w:color="auto"/>
              <w:right w:val="single" w:sz="4" w:space="0" w:color="auto"/>
            </w:tcBorders>
            <w:noWrap/>
            <w:vAlign w:val="center"/>
          </w:tcPr>
          <w:p w14:paraId="48F1B716" w14:textId="51D7955C"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3,663</w:t>
            </w:r>
          </w:p>
        </w:tc>
        <w:tc>
          <w:tcPr>
            <w:tcW w:w="1840" w:type="dxa"/>
            <w:tcBorders>
              <w:top w:val="single" w:sz="4" w:space="0" w:color="auto"/>
              <w:left w:val="single" w:sz="4" w:space="0" w:color="auto"/>
              <w:bottom w:val="single" w:sz="4" w:space="0" w:color="auto"/>
              <w:right w:val="single" w:sz="4" w:space="0" w:color="auto"/>
            </w:tcBorders>
            <w:noWrap/>
            <w:vAlign w:val="center"/>
          </w:tcPr>
          <w:p w14:paraId="7C09B2F6" w14:textId="7DE7B3C2"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7,309</w:t>
            </w:r>
          </w:p>
        </w:tc>
      </w:tr>
      <w:tr w:rsidR="008F7D9B" w:rsidRPr="00FC5FEB" w14:paraId="3FBA524C"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3B9C2EA7" w14:textId="2FC65308"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St Vincents Hospital Melbourne Limited</w:t>
            </w:r>
          </w:p>
        </w:tc>
        <w:tc>
          <w:tcPr>
            <w:tcW w:w="1720" w:type="dxa"/>
            <w:tcBorders>
              <w:top w:val="single" w:sz="4" w:space="0" w:color="auto"/>
              <w:left w:val="single" w:sz="4" w:space="0" w:color="auto"/>
              <w:bottom w:val="single" w:sz="4" w:space="0" w:color="auto"/>
              <w:right w:val="single" w:sz="4" w:space="0" w:color="auto"/>
            </w:tcBorders>
            <w:noWrap/>
            <w:vAlign w:val="center"/>
          </w:tcPr>
          <w:p w14:paraId="71B698D4" w14:textId="5BFC46BE"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9,472</w:t>
            </w:r>
          </w:p>
        </w:tc>
        <w:tc>
          <w:tcPr>
            <w:tcW w:w="1780" w:type="dxa"/>
            <w:tcBorders>
              <w:top w:val="single" w:sz="4" w:space="0" w:color="auto"/>
              <w:left w:val="single" w:sz="4" w:space="0" w:color="auto"/>
              <w:bottom w:val="single" w:sz="4" w:space="0" w:color="auto"/>
              <w:right w:val="single" w:sz="4" w:space="0" w:color="auto"/>
            </w:tcBorders>
            <w:noWrap/>
            <w:vAlign w:val="center"/>
          </w:tcPr>
          <w:p w14:paraId="0511E6E5" w14:textId="52875D22"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16,459</w:t>
            </w:r>
          </w:p>
        </w:tc>
        <w:tc>
          <w:tcPr>
            <w:tcW w:w="1840" w:type="dxa"/>
            <w:tcBorders>
              <w:top w:val="single" w:sz="4" w:space="0" w:color="auto"/>
              <w:left w:val="single" w:sz="4" w:space="0" w:color="auto"/>
              <w:bottom w:val="single" w:sz="4" w:space="0" w:color="auto"/>
              <w:right w:val="single" w:sz="4" w:space="0" w:color="auto"/>
            </w:tcBorders>
            <w:noWrap/>
            <w:vAlign w:val="center"/>
          </w:tcPr>
          <w:p w14:paraId="1AD385A2" w14:textId="3828A77A"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25,931</w:t>
            </w:r>
          </w:p>
        </w:tc>
      </w:tr>
      <w:tr w:rsidR="008F7D9B" w:rsidRPr="00FC5FEB" w14:paraId="0063B013" w14:textId="77777777">
        <w:trPr>
          <w:trHeight w:val="405"/>
        </w:trPr>
        <w:tc>
          <w:tcPr>
            <w:tcW w:w="1840" w:type="dxa"/>
            <w:tcBorders>
              <w:top w:val="single" w:sz="4" w:space="0" w:color="auto"/>
              <w:left w:val="single" w:sz="4" w:space="0" w:color="auto"/>
              <w:bottom w:val="single" w:sz="4" w:space="0" w:color="auto"/>
              <w:right w:val="single" w:sz="4" w:space="0" w:color="auto"/>
            </w:tcBorders>
            <w:vAlign w:val="center"/>
            <w:hideMark/>
          </w:tcPr>
          <w:p w14:paraId="69F3FB28" w14:textId="4579D409"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Western District Health Service</w:t>
            </w:r>
          </w:p>
        </w:tc>
        <w:tc>
          <w:tcPr>
            <w:tcW w:w="1720" w:type="dxa"/>
            <w:tcBorders>
              <w:top w:val="single" w:sz="4" w:space="0" w:color="auto"/>
              <w:left w:val="single" w:sz="4" w:space="0" w:color="auto"/>
              <w:bottom w:val="single" w:sz="4" w:space="0" w:color="auto"/>
              <w:right w:val="single" w:sz="4" w:space="0" w:color="auto"/>
            </w:tcBorders>
            <w:noWrap/>
            <w:vAlign w:val="center"/>
          </w:tcPr>
          <w:p w14:paraId="4FF72DA8" w14:textId="3694EC39"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1,094</w:t>
            </w:r>
          </w:p>
        </w:tc>
        <w:tc>
          <w:tcPr>
            <w:tcW w:w="1780" w:type="dxa"/>
            <w:tcBorders>
              <w:top w:val="single" w:sz="4" w:space="0" w:color="auto"/>
              <w:left w:val="single" w:sz="4" w:space="0" w:color="auto"/>
              <w:bottom w:val="single" w:sz="4" w:space="0" w:color="auto"/>
              <w:right w:val="single" w:sz="4" w:space="0" w:color="auto"/>
            </w:tcBorders>
            <w:noWrap/>
            <w:vAlign w:val="center"/>
          </w:tcPr>
          <w:p w14:paraId="589F7719" w14:textId="7D2B0C15"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1,468</w:t>
            </w:r>
          </w:p>
        </w:tc>
        <w:tc>
          <w:tcPr>
            <w:tcW w:w="1840" w:type="dxa"/>
            <w:tcBorders>
              <w:top w:val="single" w:sz="4" w:space="0" w:color="auto"/>
              <w:left w:val="single" w:sz="4" w:space="0" w:color="auto"/>
              <w:bottom w:val="single" w:sz="4" w:space="0" w:color="auto"/>
              <w:right w:val="single" w:sz="4" w:space="0" w:color="auto"/>
            </w:tcBorders>
            <w:noWrap/>
            <w:vAlign w:val="center"/>
          </w:tcPr>
          <w:p w14:paraId="78A8D797" w14:textId="5955CCEF"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2,562</w:t>
            </w:r>
          </w:p>
        </w:tc>
      </w:tr>
      <w:tr w:rsidR="008F7D9B" w:rsidRPr="00FC5FEB" w14:paraId="06BD82EC" w14:textId="77777777">
        <w:trPr>
          <w:trHeight w:val="405"/>
        </w:trPr>
        <w:tc>
          <w:tcPr>
            <w:tcW w:w="1840" w:type="dxa"/>
            <w:tcBorders>
              <w:top w:val="single" w:sz="4" w:space="0" w:color="auto"/>
              <w:left w:val="single" w:sz="4" w:space="0" w:color="auto"/>
              <w:bottom w:val="single" w:sz="4" w:space="0" w:color="auto"/>
              <w:right w:val="single" w:sz="4" w:space="0" w:color="auto"/>
            </w:tcBorders>
            <w:vAlign w:val="center"/>
            <w:hideMark/>
          </w:tcPr>
          <w:p w14:paraId="0B6671E4" w14:textId="66456B34" w:rsidR="008F7D9B" w:rsidRPr="00FC5FEB" w:rsidRDefault="008F7D9B" w:rsidP="008F7D9B">
            <w:pPr>
              <w:spacing w:after="0" w:line="240" w:lineRule="auto"/>
              <w:rPr>
                <w:rFonts w:cs="Arial"/>
                <w:color w:val="000000"/>
                <w:sz w:val="16"/>
                <w:szCs w:val="16"/>
                <w:lang w:eastAsia="en-AU"/>
              </w:rPr>
            </w:pPr>
            <w:r>
              <w:rPr>
                <w:rFonts w:cs="Arial"/>
                <w:color w:val="000000"/>
                <w:sz w:val="16"/>
                <w:szCs w:val="16"/>
              </w:rPr>
              <w:t>Western Health</w:t>
            </w:r>
          </w:p>
        </w:tc>
        <w:tc>
          <w:tcPr>
            <w:tcW w:w="1720" w:type="dxa"/>
            <w:tcBorders>
              <w:top w:val="single" w:sz="4" w:space="0" w:color="auto"/>
              <w:left w:val="single" w:sz="4" w:space="0" w:color="auto"/>
              <w:bottom w:val="single" w:sz="4" w:space="0" w:color="auto"/>
              <w:right w:val="single" w:sz="4" w:space="0" w:color="auto"/>
            </w:tcBorders>
            <w:noWrap/>
            <w:vAlign w:val="center"/>
          </w:tcPr>
          <w:p w14:paraId="742BF904" w14:textId="647D6339"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10,943</w:t>
            </w:r>
          </w:p>
        </w:tc>
        <w:tc>
          <w:tcPr>
            <w:tcW w:w="1780" w:type="dxa"/>
            <w:tcBorders>
              <w:top w:val="single" w:sz="4" w:space="0" w:color="auto"/>
              <w:left w:val="single" w:sz="4" w:space="0" w:color="auto"/>
              <w:bottom w:val="single" w:sz="4" w:space="0" w:color="auto"/>
              <w:right w:val="single" w:sz="4" w:space="0" w:color="auto"/>
            </w:tcBorders>
            <w:noWrap/>
            <w:vAlign w:val="center"/>
          </w:tcPr>
          <w:p w14:paraId="55FCF7B8" w14:textId="775C7818" w:rsidR="008F7D9B" w:rsidRPr="00FC5FEB" w:rsidRDefault="008F7D9B" w:rsidP="008F7D9B">
            <w:pPr>
              <w:spacing w:after="0" w:line="240" w:lineRule="auto"/>
              <w:jc w:val="right"/>
              <w:rPr>
                <w:rFonts w:cs="Arial"/>
                <w:color w:val="000000"/>
                <w:sz w:val="16"/>
                <w:szCs w:val="16"/>
                <w:lang w:eastAsia="en-AU"/>
              </w:rPr>
            </w:pPr>
            <w:r>
              <w:rPr>
                <w:rFonts w:cs="Arial"/>
                <w:color w:val="000000"/>
                <w:sz w:val="16"/>
                <w:szCs w:val="16"/>
              </w:rPr>
              <w:t>14,255</w:t>
            </w:r>
          </w:p>
        </w:tc>
        <w:tc>
          <w:tcPr>
            <w:tcW w:w="1840" w:type="dxa"/>
            <w:tcBorders>
              <w:top w:val="single" w:sz="4" w:space="0" w:color="auto"/>
              <w:left w:val="single" w:sz="4" w:space="0" w:color="auto"/>
              <w:bottom w:val="single" w:sz="4" w:space="0" w:color="auto"/>
              <w:right w:val="single" w:sz="4" w:space="0" w:color="auto"/>
            </w:tcBorders>
            <w:noWrap/>
            <w:vAlign w:val="center"/>
          </w:tcPr>
          <w:p w14:paraId="64B82056" w14:textId="686A3CF7" w:rsidR="008F7D9B" w:rsidRPr="00FC5FEB" w:rsidRDefault="008F7D9B" w:rsidP="008F7D9B">
            <w:pPr>
              <w:spacing w:after="0" w:line="240" w:lineRule="auto"/>
              <w:jc w:val="right"/>
              <w:rPr>
                <w:rFonts w:cs="Arial"/>
                <w:b/>
                <w:bCs/>
                <w:color w:val="000000"/>
                <w:sz w:val="16"/>
                <w:szCs w:val="16"/>
                <w:lang w:eastAsia="en-AU"/>
              </w:rPr>
            </w:pPr>
            <w:r>
              <w:rPr>
                <w:rFonts w:cs="Arial"/>
                <w:color w:val="000000"/>
                <w:sz w:val="16"/>
                <w:szCs w:val="16"/>
              </w:rPr>
              <w:t>25,198</w:t>
            </w:r>
          </w:p>
        </w:tc>
      </w:tr>
      <w:tr w:rsidR="008F7D9B" w:rsidRPr="00FC5FEB" w14:paraId="16068934" w14:textId="7777777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2F545EFE" w14:textId="14918BDF" w:rsidR="008F7D9B" w:rsidRPr="00FC5FEB" w:rsidRDefault="008F7D9B" w:rsidP="008F7D9B">
            <w:pPr>
              <w:spacing w:after="0" w:line="240" w:lineRule="auto"/>
              <w:rPr>
                <w:rFonts w:cs="Arial"/>
                <w:color w:val="000000"/>
                <w:sz w:val="16"/>
                <w:szCs w:val="16"/>
                <w:lang w:eastAsia="en-AU"/>
              </w:rPr>
            </w:pPr>
            <w:r>
              <w:rPr>
                <w:rFonts w:cs="Arial"/>
                <w:b/>
                <w:bCs/>
                <w:color w:val="000000"/>
                <w:sz w:val="16"/>
                <w:szCs w:val="16"/>
              </w:rPr>
              <w:t>Grand Total</w:t>
            </w:r>
          </w:p>
        </w:tc>
        <w:tc>
          <w:tcPr>
            <w:tcW w:w="1720" w:type="dxa"/>
            <w:tcBorders>
              <w:top w:val="single" w:sz="4" w:space="0" w:color="auto"/>
              <w:left w:val="single" w:sz="4" w:space="0" w:color="auto"/>
              <w:bottom w:val="single" w:sz="4" w:space="0" w:color="auto"/>
              <w:right w:val="single" w:sz="4" w:space="0" w:color="auto"/>
            </w:tcBorders>
            <w:noWrap/>
            <w:vAlign w:val="center"/>
          </w:tcPr>
          <w:p w14:paraId="52CD0625" w14:textId="2583D031" w:rsidR="008F7D9B" w:rsidRPr="00FC5FEB" w:rsidRDefault="008F7D9B" w:rsidP="008F7D9B">
            <w:pPr>
              <w:spacing w:after="0" w:line="240" w:lineRule="auto"/>
              <w:jc w:val="right"/>
              <w:rPr>
                <w:rFonts w:cs="Arial"/>
                <w:color w:val="000000"/>
                <w:sz w:val="16"/>
                <w:szCs w:val="16"/>
                <w:lang w:eastAsia="en-AU"/>
              </w:rPr>
            </w:pPr>
            <w:r>
              <w:rPr>
                <w:rFonts w:cs="Arial"/>
                <w:b/>
                <w:bCs/>
                <w:color w:val="000000"/>
                <w:sz w:val="16"/>
                <w:szCs w:val="16"/>
              </w:rPr>
              <w:t>208,469</w:t>
            </w:r>
          </w:p>
        </w:tc>
        <w:tc>
          <w:tcPr>
            <w:tcW w:w="1780" w:type="dxa"/>
            <w:tcBorders>
              <w:top w:val="single" w:sz="4" w:space="0" w:color="auto"/>
              <w:left w:val="single" w:sz="4" w:space="0" w:color="auto"/>
              <w:bottom w:val="single" w:sz="4" w:space="0" w:color="auto"/>
              <w:right w:val="single" w:sz="4" w:space="0" w:color="auto"/>
            </w:tcBorders>
            <w:noWrap/>
            <w:vAlign w:val="center"/>
          </w:tcPr>
          <w:p w14:paraId="1E71AB69" w14:textId="6303C273" w:rsidR="008F7D9B" w:rsidRPr="00FC5FEB" w:rsidRDefault="008F7D9B" w:rsidP="008F7D9B">
            <w:pPr>
              <w:spacing w:after="0" w:line="240" w:lineRule="auto"/>
              <w:jc w:val="right"/>
              <w:rPr>
                <w:rFonts w:cs="Arial"/>
                <w:color w:val="000000"/>
                <w:sz w:val="16"/>
                <w:szCs w:val="16"/>
                <w:lang w:eastAsia="en-AU"/>
              </w:rPr>
            </w:pPr>
            <w:r>
              <w:rPr>
                <w:rFonts w:cs="Arial"/>
                <w:b/>
                <w:bCs/>
                <w:color w:val="000000"/>
                <w:sz w:val="16"/>
                <w:szCs w:val="16"/>
              </w:rPr>
              <w:t>172,863</w:t>
            </w:r>
          </w:p>
        </w:tc>
        <w:tc>
          <w:tcPr>
            <w:tcW w:w="1840" w:type="dxa"/>
            <w:tcBorders>
              <w:top w:val="single" w:sz="4" w:space="0" w:color="auto"/>
              <w:left w:val="single" w:sz="4" w:space="0" w:color="auto"/>
              <w:bottom w:val="single" w:sz="4" w:space="0" w:color="auto"/>
              <w:right w:val="single" w:sz="4" w:space="0" w:color="auto"/>
            </w:tcBorders>
            <w:noWrap/>
            <w:vAlign w:val="center"/>
          </w:tcPr>
          <w:p w14:paraId="09C99930" w14:textId="32992151" w:rsidR="008F7D9B" w:rsidRPr="00FC5FEB" w:rsidRDefault="008F7D9B" w:rsidP="008F7D9B">
            <w:pPr>
              <w:spacing w:after="0" w:line="240" w:lineRule="auto"/>
              <w:jc w:val="right"/>
              <w:rPr>
                <w:rFonts w:cs="Arial"/>
                <w:b/>
                <w:bCs/>
                <w:color w:val="000000"/>
                <w:sz w:val="16"/>
                <w:szCs w:val="16"/>
                <w:lang w:eastAsia="en-AU"/>
              </w:rPr>
            </w:pPr>
            <w:r>
              <w:rPr>
                <w:rFonts w:cs="Arial"/>
                <w:b/>
                <w:bCs/>
                <w:color w:val="000000"/>
                <w:sz w:val="16"/>
                <w:szCs w:val="16"/>
              </w:rPr>
              <w:t>381,332</w:t>
            </w:r>
          </w:p>
        </w:tc>
      </w:tr>
    </w:tbl>
    <w:p w14:paraId="7127978F" w14:textId="77777777" w:rsidR="005B699B" w:rsidRPr="00285665" w:rsidRDefault="005B699B" w:rsidP="005B699B">
      <w:pPr>
        <w:pStyle w:val="Body"/>
      </w:pPr>
    </w:p>
    <w:p w14:paraId="16EE31A0" w14:textId="77777777" w:rsidR="005B699B" w:rsidRDefault="005B699B" w:rsidP="005B699B">
      <w:pPr>
        <w:spacing w:after="0" w:line="240" w:lineRule="auto"/>
        <w:rPr>
          <w:rFonts w:eastAsia="Times"/>
        </w:rPr>
      </w:pPr>
      <w:bookmarkStart w:id="2629" w:name="_Toc144905692"/>
      <w:bookmarkStart w:id="2630" w:name="_Toc144905693"/>
      <w:bookmarkStart w:id="2631" w:name="_Toc144905694"/>
      <w:bookmarkStart w:id="2632" w:name="_Toc144905695"/>
      <w:bookmarkStart w:id="2633" w:name="_Toc144905696"/>
      <w:bookmarkStart w:id="2634" w:name="_Toc144905697"/>
      <w:bookmarkStart w:id="2635" w:name="_Toc483748272"/>
      <w:bookmarkStart w:id="2636" w:name="_Toc483748591"/>
      <w:bookmarkStart w:id="2637" w:name="_Toc483748115"/>
      <w:bookmarkStart w:id="2638" w:name="_Toc483748274"/>
      <w:bookmarkStart w:id="2639" w:name="_Toc483748593"/>
      <w:bookmarkStart w:id="2640" w:name="_Toc12780675"/>
      <w:bookmarkStart w:id="2641" w:name="_Toc14172316"/>
      <w:bookmarkStart w:id="2642" w:name="_Toc33703990"/>
      <w:bookmarkStart w:id="2643" w:name="_Toc55381178"/>
      <w:bookmarkStart w:id="2644" w:name="_Toc100263382"/>
      <w:bookmarkEnd w:id="2629"/>
      <w:bookmarkEnd w:id="2630"/>
      <w:bookmarkEnd w:id="2631"/>
      <w:bookmarkEnd w:id="2632"/>
      <w:bookmarkEnd w:id="2633"/>
      <w:bookmarkEnd w:id="2634"/>
      <w:bookmarkEnd w:id="2635"/>
      <w:bookmarkEnd w:id="2636"/>
      <w:bookmarkEnd w:id="2637"/>
      <w:bookmarkEnd w:id="2638"/>
      <w:bookmarkEnd w:id="2639"/>
      <w:r>
        <w:br w:type="page"/>
      </w:r>
    </w:p>
    <w:p w14:paraId="4AF29786" w14:textId="77777777" w:rsidR="005B699B" w:rsidRDefault="005B699B" w:rsidP="001E4292">
      <w:pPr>
        <w:pStyle w:val="Heading2"/>
        <w:numPr>
          <w:ilvl w:val="1"/>
          <w:numId w:val="13"/>
        </w:numPr>
        <w:ind w:left="1134" w:hanging="1134"/>
      </w:pPr>
      <w:bookmarkStart w:id="2645" w:name="_Toc164262696"/>
      <w:bookmarkStart w:id="2646" w:name="_Toc164263031"/>
      <w:bookmarkStart w:id="2647" w:name="_Toc164262697"/>
      <w:bookmarkStart w:id="2648" w:name="_Toc164263032"/>
      <w:bookmarkStart w:id="2649" w:name="_Toc164262698"/>
      <w:bookmarkStart w:id="2650" w:name="_Toc164263033"/>
      <w:bookmarkStart w:id="2651" w:name="_Toc164262699"/>
      <w:bookmarkStart w:id="2652" w:name="_Toc164263034"/>
      <w:bookmarkStart w:id="2653" w:name="_Toc164262739"/>
      <w:bookmarkStart w:id="2654" w:name="_Toc164263074"/>
      <w:bookmarkStart w:id="2655" w:name="_Toc165961876"/>
      <w:bookmarkStart w:id="2656" w:name="_Toc178963662"/>
      <w:bookmarkStart w:id="2657" w:name="_Toc12780676"/>
      <w:bookmarkStart w:id="2658" w:name="_Toc14172317"/>
      <w:bookmarkStart w:id="2659" w:name="_Toc33703991"/>
      <w:bookmarkStart w:id="2660" w:name="_Toc55381179"/>
      <w:bookmarkStart w:id="2661" w:name="_Toc100263383"/>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r w:rsidRPr="23E5A96B">
        <w:lastRenderedPageBreak/>
        <w:t>Non-admitted episode targets – community palliative care</w:t>
      </w:r>
      <w:bookmarkEnd w:id="2655"/>
      <w:bookmarkEnd w:id="2656"/>
    </w:p>
    <w:p w14:paraId="57ABC5B2" w14:textId="24A791C2" w:rsidR="005B699B" w:rsidRDefault="00462DC7" w:rsidP="00297FC9">
      <w:pPr>
        <w:pStyle w:val="Tablecaption"/>
        <w:rPr>
          <w:color w:val="FF0000"/>
        </w:rPr>
      </w:pPr>
      <w:bookmarkStart w:id="2662" w:name="_Toc176510429"/>
      <w:r w:rsidRPr="005C6B6F">
        <w:t xml:space="preserve">Table </w:t>
      </w:r>
      <w:r w:rsidR="00D72666">
        <w:t>2</w:t>
      </w:r>
      <w:r w:rsidR="000E0ED2">
        <w:t>.</w:t>
      </w:r>
      <w:r>
        <w:fldChar w:fldCharType="begin"/>
      </w:r>
      <w:r>
        <w:instrText>SEQ Table \* ARABIC \s 1</w:instrText>
      </w:r>
      <w:r>
        <w:fldChar w:fldCharType="separate"/>
      </w:r>
      <w:r w:rsidR="00F30C16">
        <w:rPr>
          <w:noProof/>
        </w:rPr>
        <w:t>16</w:t>
      </w:r>
      <w:r>
        <w:fldChar w:fldCharType="end"/>
      </w:r>
      <w:r w:rsidRPr="005C6B6F">
        <w:t xml:space="preserve">: </w:t>
      </w:r>
      <w:r w:rsidR="005B699B" w:rsidRPr="005C6B6F">
        <w:t>Community palliative care – new episodes for distinct clients 202</w:t>
      </w:r>
      <w:r w:rsidR="005B699B">
        <w:t>4</w:t>
      </w:r>
      <w:r w:rsidR="005B699B" w:rsidRPr="005C6B6F">
        <w:t>–2</w:t>
      </w:r>
      <w:r w:rsidR="005B699B">
        <w:t>5</w:t>
      </w:r>
      <w:bookmarkEnd w:id="2662"/>
      <w:r w:rsidR="00D25520">
        <w:t xml:space="preserve"> </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5"/>
        <w:gridCol w:w="2531"/>
      </w:tblGrid>
      <w:tr w:rsidR="000C35F7" w14:paraId="68EA9A58" w14:textId="77777777" w:rsidTr="00E85169">
        <w:trPr>
          <w:trHeight w:hRule="exact" w:val="312"/>
          <w:tblHeader/>
        </w:trPr>
        <w:tc>
          <w:tcPr>
            <w:tcW w:w="3985" w:type="dxa"/>
            <w:noWrap/>
            <w:tcMar>
              <w:top w:w="0" w:type="dxa"/>
              <w:left w:w="108" w:type="dxa"/>
              <w:bottom w:w="0" w:type="dxa"/>
              <w:right w:w="108" w:type="dxa"/>
            </w:tcMar>
            <w:hideMark/>
          </w:tcPr>
          <w:p w14:paraId="3B8540E8" w14:textId="77777777" w:rsidR="000C35F7" w:rsidRPr="000C35F7" w:rsidRDefault="000C35F7">
            <w:pPr>
              <w:pStyle w:val="Tablecolheadlandscape"/>
              <w:spacing w:line="252" w:lineRule="auto"/>
            </w:pPr>
            <w:r w:rsidRPr="000C35F7">
              <w:t>Health service / organisation</w:t>
            </w:r>
          </w:p>
        </w:tc>
        <w:tc>
          <w:tcPr>
            <w:tcW w:w="2531" w:type="dxa"/>
            <w:shd w:val="clear" w:color="auto" w:fill="FFFFFF"/>
            <w:noWrap/>
            <w:tcMar>
              <w:top w:w="0" w:type="dxa"/>
              <w:left w:w="108" w:type="dxa"/>
              <w:bottom w:w="0" w:type="dxa"/>
              <w:right w:w="108" w:type="dxa"/>
            </w:tcMar>
            <w:hideMark/>
          </w:tcPr>
          <w:p w14:paraId="0217DF9F" w14:textId="77777777" w:rsidR="000C35F7" w:rsidRDefault="000C35F7">
            <w:pPr>
              <w:pStyle w:val="Tablecolheadlandscape"/>
              <w:spacing w:line="252" w:lineRule="auto"/>
              <w:jc w:val="right"/>
            </w:pPr>
            <w:r>
              <w:t>Annual target</w:t>
            </w:r>
          </w:p>
        </w:tc>
      </w:tr>
      <w:tr w:rsidR="00543255" w14:paraId="33926AAF" w14:textId="77777777" w:rsidTr="00E85169">
        <w:trPr>
          <w:trHeight w:hRule="exact" w:val="312"/>
        </w:trPr>
        <w:tc>
          <w:tcPr>
            <w:tcW w:w="3985" w:type="dxa"/>
            <w:noWrap/>
            <w:tcMar>
              <w:top w:w="0" w:type="dxa"/>
              <w:left w:w="108" w:type="dxa"/>
              <w:bottom w:w="0" w:type="dxa"/>
              <w:right w:w="108" w:type="dxa"/>
            </w:tcMar>
            <w:hideMark/>
          </w:tcPr>
          <w:p w14:paraId="0B301C08" w14:textId="77777777" w:rsidR="00543255" w:rsidRPr="000C35F7" w:rsidRDefault="00543255" w:rsidP="00543255">
            <w:pPr>
              <w:pStyle w:val="Tabletext8pt"/>
              <w:spacing w:line="252" w:lineRule="auto"/>
              <w:rPr>
                <w:sz w:val="16"/>
              </w:rPr>
            </w:pPr>
            <w:r w:rsidRPr="000C35F7">
              <w:rPr>
                <w:sz w:val="16"/>
              </w:rPr>
              <w:t>Albury Wodonga Health</w:t>
            </w:r>
          </w:p>
        </w:tc>
        <w:tc>
          <w:tcPr>
            <w:tcW w:w="2531" w:type="dxa"/>
            <w:shd w:val="clear" w:color="auto" w:fill="FFFFFF"/>
            <w:noWrap/>
            <w:tcMar>
              <w:top w:w="0" w:type="dxa"/>
              <w:left w:w="108" w:type="dxa"/>
              <w:bottom w:w="0" w:type="dxa"/>
              <w:right w:w="108" w:type="dxa"/>
            </w:tcMar>
            <w:vAlign w:val="center"/>
            <w:hideMark/>
          </w:tcPr>
          <w:p w14:paraId="4FB02543" w14:textId="77777777" w:rsidR="00543255" w:rsidRPr="000C35F7" w:rsidRDefault="00543255" w:rsidP="00543255">
            <w:pPr>
              <w:pStyle w:val="Tabletext8pt"/>
              <w:spacing w:line="252" w:lineRule="auto"/>
              <w:jc w:val="right"/>
              <w:rPr>
                <w:rFonts w:cs="Arial"/>
                <w:sz w:val="16"/>
              </w:rPr>
            </w:pPr>
            <w:r>
              <w:rPr>
                <w:rFonts w:cs="Arial"/>
                <w:color w:val="000000"/>
                <w:sz w:val="16"/>
              </w:rPr>
              <w:t>222</w:t>
            </w:r>
          </w:p>
        </w:tc>
      </w:tr>
      <w:tr w:rsidR="00543255" w14:paraId="3A0CBFB1" w14:textId="77777777" w:rsidTr="00E85169">
        <w:trPr>
          <w:trHeight w:hRule="exact" w:val="312"/>
        </w:trPr>
        <w:tc>
          <w:tcPr>
            <w:tcW w:w="3985" w:type="dxa"/>
            <w:noWrap/>
            <w:tcMar>
              <w:top w:w="0" w:type="dxa"/>
              <w:left w:w="108" w:type="dxa"/>
              <w:bottom w:w="0" w:type="dxa"/>
              <w:right w:w="108" w:type="dxa"/>
            </w:tcMar>
            <w:hideMark/>
          </w:tcPr>
          <w:p w14:paraId="13139245" w14:textId="77777777" w:rsidR="00543255" w:rsidRPr="000C35F7" w:rsidRDefault="00543255" w:rsidP="00543255">
            <w:pPr>
              <w:pStyle w:val="Tabletext8pt"/>
              <w:spacing w:line="252" w:lineRule="auto"/>
              <w:rPr>
                <w:sz w:val="16"/>
              </w:rPr>
            </w:pPr>
            <w:r w:rsidRPr="000C35F7">
              <w:rPr>
                <w:sz w:val="16"/>
              </w:rPr>
              <w:t>Bairnsdale Regional Health Service</w:t>
            </w:r>
          </w:p>
        </w:tc>
        <w:tc>
          <w:tcPr>
            <w:tcW w:w="2531" w:type="dxa"/>
            <w:shd w:val="clear" w:color="auto" w:fill="FFFFFF"/>
            <w:noWrap/>
            <w:tcMar>
              <w:top w:w="0" w:type="dxa"/>
              <w:left w:w="108" w:type="dxa"/>
              <w:bottom w:w="0" w:type="dxa"/>
              <w:right w:w="108" w:type="dxa"/>
            </w:tcMar>
            <w:vAlign w:val="center"/>
            <w:hideMark/>
          </w:tcPr>
          <w:p w14:paraId="70DF1A9C" w14:textId="77777777" w:rsidR="00543255" w:rsidRPr="000C35F7" w:rsidRDefault="00543255" w:rsidP="00543255">
            <w:pPr>
              <w:pStyle w:val="Tabletext8pt"/>
              <w:spacing w:line="252" w:lineRule="auto"/>
              <w:jc w:val="right"/>
              <w:rPr>
                <w:rFonts w:cs="Arial"/>
                <w:sz w:val="16"/>
              </w:rPr>
            </w:pPr>
            <w:r>
              <w:rPr>
                <w:rFonts w:cs="Arial"/>
                <w:color w:val="000000"/>
                <w:sz w:val="16"/>
              </w:rPr>
              <w:t>73</w:t>
            </w:r>
          </w:p>
        </w:tc>
      </w:tr>
      <w:tr w:rsidR="00543255" w14:paraId="6DC28FF5" w14:textId="77777777" w:rsidTr="00E85169">
        <w:trPr>
          <w:trHeight w:hRule="exact" w:val="312"/>
        </w:trPr>
        <w:tc>
          <w:tcPr>
            <w:tcW w:w="3985" w:type="dxa"/>
            <w:noWrap/>
            <w:tcMar>
              <w:top w:w="0" w:type="dxa"/>
              <w:left w:w="108" w:type="dxa"/>
              <w:bottom w:w="0" w:type="dxa"/>
              <w:right w:w="108" w:type="dxa"/>
            </w:tcMar>
            <w:hideMark/>
          </w:tcPr>
          <w:p w14:paraId="1622CE3B" w14:textId="77777777" w:rsidR="00543255" w:rsidRPr="000C35F7" w:rsidRDefault="00543255" w:rsidP="00543255">
            <w:pPr>
              <w:pStyle w:val="Tabletext8pt"/>
              <w:spacing w:line="252" w:lineRule="auto"/>
              <w:rPr>
                <w:sz w:val="16"/>
              </w:rPr>
            </w:pPr>
            <w:r w:rsidRPr="000C35F7">
              <w:rPr>
                <w:sz w:val="16"/>
              </w:rPr>
              <w:t>Ballarat Hospice Care</w:t>
            </w:r>
          </w:p>
        </w:tc>
        <w:tc>
          <w:tcPr>
            <w:tcW w:w="2531" w:type="dxa"/>
            <w:shd w:val="clear" w:color="auto" w:fill="FFFFFF"/>
            <w:noWrap/>
            <w:tcMar>
              <w:top w:w="0" w:type="dxa"/>
              <w:left w:w="108" w:type="dxa"/>
              <w:bottom w:w="0" w:type="dxa"/>
              <w:right w:w="108" w:type="dxa"/>
            </w:tcMar>
            <w:vAlign w:val="center"/>
            <w:hideMark/>
          </w:tcPr>
          <w:p w14:paraId="504E7A9C" w14:textId="77777777" w:rsidR="00543255" w:rsidRPr="000C35F7" w:rsidRDefault="00543255" w:rsidP="00543255">
            <w:pPr>
              <w:pStyle w:val="Tabletext8pt"/>
              <w:spacing w:line="252" w:lineRule="auto"/>
              <w:jc w:val="right"/>
              <w:rPr>
                <w:rFonts w:cs="Arial"/>
                <w:sz w:val="16"/>
              </w:rPr>
            </w:pPr>
            <w:r>
              <w:rPr>
                <w:rFonts w:cs="Arial"/>
                <w:color w:val="000000"/>
                <w:sz w:val="16"/>
              </w:rPr>
              <w:t>343</w:t>
            </w:r>
          </w:p>
        </w:tc>
      </w:tr>
      <w:tr w:rsidR="00543255" w14:paraId="046FBB7D" w14:textId="77777777" w:rsidTr="00E85169">
        <w:trPr>
          <w:trHeight w:hRule="exact" w:val="312"/>
        </w:trPr>
        <w:tc>
          <w:tcPr>
            <w:tcW w:w="3985" w:type="dxa"/>
            <w:noWrap/>
            <w:tcMar>
              <w:top w:w="0" w:type="dxa"/>
              <w:left w:w="108" w:type="dxa"/>
              <w:bottom w:w="0" w:type="dxa"/>
              <w:right w:w="108" w:type="dxa"/>
            </w:tcMar>
            <w:hideMark/>
          </w:tcPr>
          <w:p w14:paraId="5C198950" w14:textId="77777777" w:rsidR="00543255" w:rsidRPr="000C35F7" w:rsidRDefault="00543255" w:rsidP="00543255">
            <w:pPr>
              <w:pStyle w:val="Tabletext8pt"/>
              <w:spacing w:line="252" w:lineRule="auto"/>
              <w:rPr>
                <w:sz w:val="16"/>
              </w:rPr>
            </w:pPr>
            <w:r w:rsidRPr="000C35F7">
              <w:rPr>
                <w:sz w:val="16"/>
              </w:rPr>
              <w:t>Banksia Palliative Care Service</w:t>
            </w:r>
          </w:p>
        </w:tc>
        <w:tc>
          <w:tcPr>
            <w:tcW w:w="2531" w:type="dxa"/>
            <w:shd w:val="clear" w:color="auto" w:fill="FFFFFF"/>
            <w:noWrap/>
            <w:tcMar>
              <w:top w:w="0" w:type="dxa"/>
              <w:left w:w="108" w:type="dxa"/>
              <w:bottom w:w="0" w:type="dxa"/>
              <w:right w:w="108" w:type="dxa"/>
            </w:tcMar>
            <w:vAlign w:val="center"/>
            <w:hideMark/>
          </w:tcPr>
          <w:p w14:paraId="5AB59DB3" w14:textId="77777777" w:rsidR="00543255" w:rsidRPr="000C35F7" w:rsidRDefault="00543255" w:rsidP="00543255">
            <w:pPr>
              <w:pStyle w:val="Tabletext8pt"/>
              <w:spacing w:line="252" w:lineRule="auto"/>
              <w:jc w:val="right"/>
              <w:rPr>
                <w:rFonts w:cs="Arial"/>
                <w:sz w:val="16"/>
              </w:rPr>
            </w:pPr>
            <w:r>
              <w:rPr>
                <w:rFonts w:cs="Arial"/>
                <w:color w:val="000000"/>
                <w:sz w:val="16"/>
              </w:rPr>
              <w:t>903</w:t>
            </w:r>
          </w:p>
        </w:tc>
      </w:tr>
      <w:tr w:rsidR="00543255" w14:paraId="77C6B824" w14:textId="77777777" w:rsidTr="00E85169">
        <w:trPr>
          <w:trHeight w:hRule="exact" w:val="312"/>
        </w:trPr>
        <w:tc>
          <w:tcPr>
            <w:tcW w:w="3985" w:type="dxa"/>
            <w:noWrap/>
            <w:tcMar>
              <w:top w:w="0" w:type="dxa"/>
              <w:left w:w="108" w:type="dxa"/>
              <w:bottom w:w="0" w:type="dxa"/>
              <w:right w:w="108" w:type="dxa"/>
            </w:tcMar>
            <w:hideMark/>
          </w:tcPr>
          <w:p w14:paraId="4D786D9F" w14:textId="77777777" w:rsidR="00543255" w:rsidRPr="000C35F7" w:rsidRDefault="00543255" w:rsidP="00543255">
            <w:pPr>
              <w:pStyle w:val="Tabletext8pt"/>
              <w:spacing w:line="252" w:lineRule="auto"/>
              <w:rPr>
                <w:sz w:val="16"/>
              </w:rPr>
            </w:pPr>
            <w:r w:rsidRPr="000C35F7">
              <w:rPr>
                <w:sz w:val="16"/>
              </w:rPr>
              <w:t>Barwon Health</w:t>
            </w:r>
          </w:p>
        </w:tc>
        <w:tc>
          <w:tcPr>
            <w:tcW w:w="2531" w:type="dxa"/>
            <w:shd w:val="clear" w:color="auto" w:fill="FFFFFF"/>
            <w:noWrap/>
            <w:tcMar>
              <w:top w:w="0" w:type="dxa"/>
              <w:left w:w="108" w:type="dxa"/>
              <w:bottom w:w="0" w:type="dxa"/>
              <w:right w:w="108" w:type="dxa"/>
            </w:tcMar>
            <w:vAlign w:val="center"/>
            <w:hideMark/>
          </w:tcPr>
          <w:p w14:paraId="201243FB" w14:textId="77777777" w:rsidR="00543255" w:rsidRPr="000C35F7" w:rsidRDefault="00543255" w:rsidP="00543255">
            <w:pPr>
              <w:pStyle w:val="Tabletext8pt"/>
              <w:spacing w:line="252" w:lineRule="auto"/>
              <w:jc w:val="right"/>
              <w:rPr>
                <w:rFonts w:cs="Arial"/>
                <w:sz w:val="16"/>
              </w:rPr>
            </w:pPr>
            <w:r>
              <w:rPr>
                <w:rFonts w:cs="Arial"/>
                <w:color w:val="000000"/>
                <w:sz w:val="16"/>
              </w:rPr>
              <w:t>578</w:t>
            </w:r>
          </w:p>
        </w:tc>
      </w:tr>
      <w:tr w:rsidR="00543255" w14:paraId="51F03640" w14:textId="77777777" w:rsidTr="00E85169">
        <w:trPr>
          <w:trHeight w:hRule="exact" w:val="312"/>
        </w:trPr>
        <w:tc>
          <w:tcPr>
            <w:tcW w:w="3985" w:type="dxa"/>
            <w:noWrap/>
            <w:tcMar>
              <w:top w:w="0" w:type="dxa"/>
              <w:left w:w="108" w:type="dxa"/>
              <w:bottom w:w="0" w:type="dxa"/>
              <w:right w:w="108" w:type="dxa"/>
            </w:tcMar>
            <w:hideMark/>
          </w:tcPr>
          <w:p w14:paraId="1D93339E" w14:textId="77777777" w:rsidR="00543255" w:rsidRPr="000C35F7" w:rsidRDefault="00543255" w:rsidP="00543255">
            <w:pPr>
              <w:pStyle w:val="Tabletext8pt"/>
              <w:spacing w:line="252" w:lineRule="auto"/>
              <w:rPr>
                <w:sz w:val="16"/>
              </w:rPr>
            </w:pPr>
            <w:r w:rsidRPr="000C35F7">
              <w:rPr>
                <w:sz w:val="16"/>
              </w:rPr>
              <w:t>Bass Coast Health</w:t>
            </w:r>
          </w:p>
        </w:tc>
        <w:tc>
          <w:tcPr>
            <w:tcW w:w="2531" w:type="dxa"/>
            <w:shd w:val="clear" w:color="auto" w:fill="FFFFFF"/>
            <w:noWrap/>
            <w:tcMar>
              <w:top w:w="0" w:type="dxa"/>
              <w:left w:w="108" w:type="dxa"/>
              <w:bottom w:w="0" w:type="dxa"/>
              <w:right w:w="108" w:type="dxa"/>
            </w:tcMar>
            <w:vAlign w:val="center"/>
            <w:hideMark/>
          </w:tcPr>
          <w:p w14:paraId="332FF5A9" w14:textId="77777777" w:rsidR="00543255" w:rsidRPr="000C35F7" w:rsidRDefault="00543255" w:rsidP="00543255">
            <w:pPr>
              <w:pStyle w:val="Tabletext8pt"/>
              <w:spacing w:line="252" w:lineRule="auto"/>
              <w:jc w:val="right"/>
              <w:rPr>
                <w:rFonts w:cs="Arial"/>
                <w:sz w:val="16"/>
              </w:rPr>
            </w:pPr>
            <w:r>
              <w:rPr>
                <w:rFonts w:cs="Arial"/>
                <w:color w:val="000000"/>
                <w:sz w:val="16"/>
              </w:rPr>
              <w:t>91</w:t>
            </w:r>
          </w:p>
        </w:tc>
      </w:tr>
      <w:tr w:rsidR="00543255" w14:paraId="60568877" w14:textId="77777777" w:rsidTr="00E85169">
        <w:trPr>
          <w:trHeight w:hRule="exact" w:val="312"/>
        </w:trPr>
        <w:tc>
          <w:tcPr>
            <w:tcW w:w="3985" w:type="dxa"/>
            <w:noWrap/>
            <w:tcMar>
              <w:top w:w="0" w:type="dxa"/>
              <w:left w:w="108" w:type="dxa"/>
              <w:bottom w:w="0" w:type="dxa"/>
              <w:right w:w="108" w:type="dxa"/>
            </w:tcMar>
            <w:hideMark/>
          </w:tcPr>
          <w:p w14:paraId="075E17A2" w14:textId="77777777" w:rsidR="00543255" w:rsidRPr="000C35F7" w:rsidRDefault="00543255" w:rsidP="00543255">
            <w:pPr>
              <w:pStyle w:val="Tabletext8pt"/>
              <w:spacing w:line="252" w:lineRule="auto"/>
              <w:rPr>
                <w:sz w:val="16"/>
              </w:rPr>
            </w:pPr>
            <w:r w:rsidRPr="000C35F7">
              <w:rPr>
                <w:sz w:val="16"/>
              </w:rPr>
              <w:t>Bellarine Community Health Service</w:t>
            </w:r>
          </w:p>
        </w:tc>
        <w:tc>
          <w:tcPr>
            <w:tcW w:w="2531" w:type="dxa"/>
            <w:shd w:val="clear" w:color="auto" w:fill="FFFFFF"/>
            <w:noWrap/>
            <w:tcMar>
              <w:top w:w="0" w:type="dxa"/>
              <w:left w:w="108" w:type="dxa"/>
              <w:bottom w:w="0" w:type="dxa"/>
              <w:right w:w="108" w:type="dxa"/>
            </w:tcMar>
            <w:vAlign w:val="center"/>
            <w:hideMark/>
          </w:tcPr>
          <w:p w14:paraId="3FBD6849" w14:textId="77777777" w:rsidR="00543255" w:rsidRPr="000C35F7" w:rsidRDefault="00543255" w:rsidP="00543255">
            <w:pPr>
              <w:pStyle w:val="Tabletext8pt"/>
              <w:spacing w:line="252" w:lineRule="auto"/>
              <w:jc w:val="right"/>
              <w:rPr>
                <w:rFonts w:cs="Arial"/>
                <w:sz w:val="16"/>
              </w:rPr>
            </w:pPr>
            <w:r>
              <w:rPr>
                <w:rFonts w:cs="Arial"/>
                <w:color w:val="000000"/>
                <w:sz w:val="16"/>
              </w:rPr>
              <w:t>137</w:t>
            </w:r>
          </w:p>
        </w:tc>
      </w:tr>
      <w:tr w:rsidR="00543255" w14:paraId="18B09CB6" w14:textId="77777777" w:rsidTr="00E85169">
        <w:trPr>
          <w:trHeight w:hRule="exact" w:val="312"/>
        </w:trPr>
        <w:tc>
          <w:tcPr>
            <w:tcW w:w="3985" w:type="dxa"/>
            <w:noWrap/>
            <w:tcMar>
              <w:top w:w="0" w:type="dxa"/>
              <w:left w:w="108" w:type="dxa"/>
              <w:bottom w:w="0" w:type="dxa"/>
              <w:right w:w="108" w:type="dxa"/>
            </w:tcMar>
            <w:hideMark/>
          </w:tcPr>
          <w:p w14:paraId="72BE3629" w14:textId="77777777" w:rsidR="00543255" w:rsidRPr="000C35F7" w:rsidRDefault="00543255" w:rsidP="00543255">
            <w:pPr>
              <w:pStyle w:val="Tabletext8pt"/>
              <w:spacing w:line="252" w:lineRule="auto"/>
              <w:rPr>
                <w:sz w:val="16"/>
              </w:rPr>
            </w:pPr>
            <w:r w:rsidRPr="000C35F7">
              <w:rPr>
                <w:sz w:val="16"/>
              </w:rPr>
              <w:t>Benalla and District Memorial Hospital</w:t>
            </w:r>
          </w:p>
        </w:tc>
        <w:tc>
          <w:tcPr>
            <w:tcW w:w="2531" w:type="dxa"/>
            <w:shd w:val="clear" w:color="auto" w:fill="FFFFFF"/>
            <w:noWrap/>
            <w:tcMar>
              <w:top w:w="0" w:type="dxa"/>
              <w:left w:w="108" w:type="dxa"/>
              <w:bottom w:w="0" w:type="dxa"/>
              <w:right w:w="108" w:type="dxa"/>
            </w:tcMar>
            <w:vAlign w:val="center"/>
            <w:hideMark/>
          </w:tcPr>
          <w:p w14:paraId="0630C98B" w14:textId="77777777" w:rsidR="00543255" w:rsidRPr="000C35F7" w:rsidRDefault="00543255" w:rsidP="00543255">
            <w:pPr>
              <w:pStyle w:val="Tabletext8pt"/>
              <w:spacing w:line="252" w:lineRule="auto"/>
              <w:jc w:val="right"/>
              <w:rPr>
                <w:rFonts w:cs="Arial"/>
                <w:sz w:val="16"/>
              </w:rPr>
            </w:pPr>
            <w:r>
              <w:rPr>
                <w:rFonts w:cs="Arial"/>
                <w:color w:val="000000"/>
                <w:sz w:val="16"/>
              </w:rPr>
              <w:t>131</w:t>
            </w:r>
          </w:p>
        </w:tc>
      </w:tr>
      <w:tr w:rsidR="00543255" w14:paraId="51974F0B" w14:textId="77777777" w:rsidTr="00E85169">
        <w:trPr>
          <w:trHeight w:hRule="exact" w:val="312"/>
        </w:trPr>
        <w:tc>
          <w:tcPr>
            <w:tcW w:w="3985" w:type="dxa"/>
            <w:noWrap/>
            <w:tcMar>
              <w:top w:w="0" w:type="dxa"/>
              <w:left w:w="108" w:type="dxa"/>
              <w:bottom w:w="0" w:type="dxa"/>
              <w:right w:w="108" w:type="dxa"/>
            </w:tcMar>
            <w:hideMark/>
          </w:tcPr>
          <w:p w14:paraId="4A78A2F8" w14:textId="77777777" w:rsidR="00543255" w:rsidRPr="000C35F7" w:rsidRDefault="00543255" w:rsidP="00543255">
            <w:pPr>
              <w:pStyle w:val="Tabletext8pt"/>
              <w:spacing w:line="252" w:lineRule="auto"/>
              <w:rPr>
                <w:sz w:val="16"/>
              </w:rPr>
            </w:pPr>
            <w:r w:rsidRPr="000C35F7">
              <w:rPr>
                <w:sz w:val="16"/>
              </w:rPr>
              <w:t>Bendigo Health</w:t>
            </w:r>
          </w:p>
        </w:tc>
        <w:tc>
          <w:tcPr>
            <w:tcW w:w="2531" w:type="dxa"/>
            <w:shd w:val="clear" w:color="auto" w:fill="FFFFFF"/>
            <w:noWrap/>
            <w:tcMar>
              <w:top w:w="0" w:type="dxa"/>
              <w:left w:w="108" w:type="dxa"/>
              <w:bottom w:w="0" w:type="dxa"/>
              <w:right w:w="108" w:type="dxa"/>
            </w:tcMar>
            <w:vAlign w:val="center"/>
            <w:hideMark/>
          </w:tcPr>
          <w:p w14:paraId="1110EE6C" w14:textId="77777777" w:rsidR="00543255" w:rsidRPr="000C35F7" w:rsidRDefault="00543255" w:rsidP="00543255">
            <w:pPr>
              <w:pStyle w:val="Tabletext8pt"/>
              <w:spacing w:line="252" w:lineRule="auto"/>
              <w:jc w:val="right"/>
              <w:rPr>
                <w:rFonts w:cs="Arial"/>
                <w:sz w:val="16"/>
              </w:rPr>
            </w:pPr>
            <w:r>
              <w:rPr>
                <w:rFonts w:cs="Arial"/>
                <w:color w:val="000000"/>
                <w:sz w:val="16"/>
              </w:rPr>
              <w:t>339</w:t>
            </w:r>
          </w:p>
        </w:tc>
      </w:tr>
      <w:tr w:rsidR="00543255" w14:paraId="27FDBD00" w14:textId="77777777" w:rsidTr="00E85169">
        <w:trPr>
          <w:trHeight w:hRule="exact" w:val="312"/>
        </w:trPr>
        <w:tc>
          <w:tcPr>
            <w:tcW w:w="3985" w:type="dxa"/>
            <w:noWrap/>
            <w:tcMar>
              <w:top w:w="0" w:type="dxa"/>
              <w:left w:w="108" w:type="dxa"/>
              <w:bottom w:w="0" w:type="dxa"/>
              <w:right w:w="108" w:type="dxa"/>
            </w:tcMar>
            <w:hideMark/>
          </w:tcPr>
          <w:p w14:paraId="34C04079" w14:textId="77777777" w:rsidR="00543255" w:rsidRPr="000C35F7" w:rsidRDefault="00543255" w:rsidP="00543255">
            <w:pPr>
              <w:pStyle w:val="Tabletext8pt"/>
              <w:spacing w:line="252" w:lineRule="auto"/>
              <w:rPr>
                <w:sz w:val="16"/>
              </w:rPr>
            </w:pPr>
            <w:r w:rsidRPr="000C35F7">
              <w:rPr>
                <w:sz w:val="16"/>
              </w:rPr>
              <w:t>Calvary Health Care Bethlehem</w:t>
            </w:r>
          </w:p>
        </w:tc>
        <w:tc>
          <w:tcPr>
            <w:tcW w:w="2531" w:type="dxa"/>
            <w:shd w:val="clear" w:color="auto" w:fill="FFFFFF"/>
            <w:noWrap/>
            <w:tcMar>
              <w:top w:w="0" w:type="dxa"/>
              <w:left w:w="108" w:type="dxa"/>
              <w:bottom w:w="0" w:type="dxa"/>
              <w:right w:w="108" w:type="dxa"/>
            </w:tcMar>
            <w:vAlign w:val="center"/>
            <w:hideMark/>
          </w:tcPr>
          <w:p w14:paraId="4E7635E0" w14:textId="362AB78B" w:rsidR="00543255" w:rsidRPr="000C35F7" w:rsidRDefault="00543255" w:rsidP="00543255">
            <w:pPr>
              <w:pStyle w:val="Tabletext8pt"/>
              <w:spacing w:line="252" w:lineRule="auto"/>
              <w:jc w:val="right"/>
              <w:rPr>
                <w:rFonts w:cs="Arial"/>
                <w:sz w:val="16"/>
              </w:rPr>
            </w:pPr>
            <w:r>
              <w:rPr>
                <w:rFonts w:cs="Arial"/>
                <w:color w:val="000000"/>
                <w:sz w:val="16"/>
              </w:rPr>
              <w:t>1,188</w:t>
            </w:r>
          </w:p>
        </w:tc>
      </w:tr>
      <w:tr w:rsidR="00543255" w14:paraId="2E40AC5E" w14:textId="77777777" w:rsidTr="00E85169">
        <w:trPr>
          <w:trHeight w:hRule="exact" w:val="312"/>
        </w:trPr>
        <w:tc>
          <w:tcPr>
            <w:tcW w:w="3985" w:type="dxa"/>
            <w:noWrap/>
            <w:tcMar>
              <w:top w:w="0" w:type="dxa"/>
              <w:left w:w="108" w:type="dxa"/>
              <w:bottom w:w="0" w:type="dxa"/>
              <w:right w:w="108" w:type="dxa"/>
            </w:tcMar>
            <w:hideMark/>
          </w:tcPr>
          <w:p w14:paraId="6DD47B41" w14:textId="77777777" w:rsidR="00543255" w:rsidRPr="000C35F7" w:rsidRDefault="00543255" w:rsidP="00543255">
            <w:pPr>
              <w:pStyle w:val="Tabletext8pt"/>
              <w:spacing w:line="252" w:lineRule="auto"/>
              <w:rPr>
                <w:sz w:val="16"/>
              </w:rPr>
            </w:pPr>
            <w:r w:rsidRPr="000C35F7">
              <w:rPr>
                <w:sz w:val="16"/>
              </w:rPr>
              <w:t>Central Gippsland Health Service</w:t>
            </w:r>
          </w:p>
        </w:tc>
        <w:tc>
          <w:tcPr>
            <w:tcW w:w="2531" w:type="dxa"/>
            <w:shd w:val="clear" w:color="auto" w:fill="FFFFFF"/>
            <w:noWrap/>
            <w:tcMar>
              <w:top w:w="0" w:type="dxa"/>
              <w:left w:w="108" w:type="dxa"/>
              <w:bottom w:w="0" w:type="dxa"/>
              <w:right w:w="108" w:type="dxa"/>
            </w:tcMar>
            <w:vAlign w:val="center"/>
            <w:hideMark/>
          </w:tcPr>
          <w:p w14:paraId="0B8952F8" w14:textId="77777777" w:rsidR="00543255" w:rsidRPr="000C35F7" w:rsidRDefault="00543255" w:rsidP="00543255">
            <w:pPr>
              <w:pStyle w:val="Tabletext8pt"/>
              <w:spacing w:line="252" w:lineRule="auto"/>
              <w:jc w:val="right"/>
              <w:rPr>
                <w:rFonts w:cs="Arial"/>
                <w:sz w:val="16"/>
              </w:rPr>
            </w:pPr>
            <w:r>
              <w:rPr>
                <w:rFonts w:cs="Arial"/>
                <w:color w:val="000000"/>
                <w:sz w:val="16"/>
              </w:rPr>
              <w:t>133</w:t>
            </w:r>
          </w:p>
        </w:tc>
      </w:tr>
      <w:tr w:rsidR="00543255" w14:paraId="08C49E6F" w14:textId="77777777" w:rsidTr="00E85169">
        <w:trPr>
          <w:trHeight w:hRule="exact" w:val="312"/>
        </w:trPr>
        <w:tc>
          <w:tcPr>
            <w:tcW w:w="3985" w:type="dxa"/>
            <w:noWrap/>
            <w:tcMar>
              <w:top w:w="0" w:type="dxa"/>
              <w:left w:w="108" w:type="dxa"/>
              <w:bottom w:w="0" w:type="dxa"/>
              <w:right w:w="108" w:type="dxa"/>
            </w:tcMar>
            <w:hideMark/>
          </w:tcPr>
          <w:p w14:paraId="02215570" w14:textId="77777777" w:rsidR="00543255" w:rsidRPr="000C35F7" w:rsidRDefault="00543255" w:rsidP="00543255">
            <w:pPr>
              <w:pStyle w:val="Tabletext8pt"/>
              <w:spacing w:line="252" w:lineRule="auto"/>
              <w:rPr>
                <w:sz w:val="16"/>
              </w:rPr>
            </w:pPr>
            <w:r w:rsidRPr="000C35F7">
              <w:rPr>
                <w:sz w:val="16"/>
              </w:rPr>
              <w:t>Colac Area Health</w:t>
            </w:r>
          </w:p>
        </w:tc>
        <w:tc>
          <w:tcPr>
            <w:tcW w:w="2531" w:type="dxa"/>
            <w:shd w:val="clear" w:color="auto" w:fill="FFFFFF"/>
            <w:noWrap/>
            <w:tcMar>
              <w:top w:w="0" w:type="dxa"/>
              <w:left w:w="108" w:type="dxa"/>
              <w:bottom w:w="0" w:type="dxa"/>
              <w:right w:w="108" w:type="dxa"/>
            </w:tcMar>
            <w:vAlign w:val="center"/>
            <w:hideMark/>
          </w:tcPr>
          <w:p w14:paraId="53D76182" w14:textId="77777777" w:rsidR="00543255" w:rsidRPr="000C35F7" w:rsidRDefault="00543255" w:rsidP="00543255">
            <w:pPr>
              <w:pStyle w:val="Tabletext8pt"/>
              <w:spacing w:line="252" w:lineRule="auto"/>
              <w:jc w:val="right"/>
              <w:rPr>
                <w:rFonts w:cs="Arial"/>
                <w:sz w:val="16"/>
              </w:rPr>
            </w:pPr>
            <w:r>
              <w:rPr>
                <w:rFonts w:cs="Arial"/>
                <w:color w:val="000000"/>
                <w:sz w:val="16"/>
              </w:rPr>
              <w:t>77</w:t>
            </w:r>
          </w:p>
        </w:tc>
      </w:tr>
      <w:tr w:rsidR="00543255" w14:paraId="23169743" w14:textId="77777777" w:rsidTr="00E85169">
        <w:trPr>
          <w:trHeight w:hRule="exact" w:val="312"/>
        </w:trPr>
        <w:tc>
          <w:tcPr>
            <w:tcW w:w="3985" w:type="dxa"/>
            <w:noWrap/>
            <w:tcMar>
              <w:top w:w="0" w:type="dxa"/>
              <w:left w:w="108" w:type="dxa"/>
              <w:bottom w:w="0" w:type="dxa"/>
              <w:right w:w="108" w:type="dxa"/>
            </w:tcMar>
          </w:tcPr>
          <w:p w14:paraId="75CAEBFC" w14:textId="7CAA01AA" w:rsidR="00543255" w:rsidRPr="000C35F7" w:rsidRDefault="00543255" w:rsidP="00543255">
            <w:pPr>
              <w:pStyle w:val="Tabletext8pt"/>
              <w:spacing w:line="252" w:lineRule="auto"/>
              <w:rPr>
                <w:sz w:val="16"/>
              </w:rPr>
            </w:pPr>
            <w:r w:rsidRPr="000C35F7">
              <w:rPr>
                <w:sz w:val="16"/>
              </w:rPr>
              <w:t>Dhelkaya Health (Castlemaine)</w:t>
            </w:r>
          </w:p>
        </w:tc>
        <w:tc>
          <w:tcPr>
            <w:tcW w:w="2531" w:type="dxa"/>
            <w:shd w:val="clear" w:color="auto" w:fill="FFFFFF"/>
            <w:noWrap/>
            <w:tcMar>
              <w:top w:w="0" w:type="dxa"/>
              <w:left w:w="108" w:type="dxa"/>
              <w:bottom w:w="0" w:type="dxa"/>
              <w:right w:w="108" w:type="dxa"/>
            </w:tcMar>
            <w:vAlign w:val="center"/>
          </w:tcPr>
          <w:p w14:paraId="04CC0CE0" w14:textId="210ECF9F" w:rsidR="00543255" w:rsidRPr="000C35F7" w:rsidRDefault="00543255" w:rsidP="00543255">
            <w:pPr>
              <w:pStyle w:val="Tabletext8pt"/>
              <w:spacing w:line="252" w:lineRule="auto"/>
              <w:jc w:val="right"/>
              <w:rPr>
                <w:rFonts w:cs="Arial"/>
                <w:color w:val="000000"/>
                <w:sz w:val="16"/>
              </w:rPr>
            </w:pPr>
            <w:r>
              <w:rPr>
                <w:rFonts w:cs="Arial"/>
                <w:color w:val="000000"/>
                <w:sz w:val="16"/>
              </w:rPr>
              <w:t>55</w:t>
            </w:r>
          </w:p>
        </w:tc>
      </w:tr>
      <w:tr w:rsidR="00543255" w14:paraId="22C50BE6" w14:textId="77777777" w:rsidTr="00E85169">
        <w:trPr>
          <w:trHeight w:hRule="exact" w:val="312"/>
        </w:trPr>
        <w:tc>
          <w:tcPr>
            <w:tcW w:w="3985" w:type="dxa"/>
            <w:noWrap/>
            <w:tcMar>
              <w:top w:w="0" w:type="dxa"/>
              <w:left w:w="108" w:type="dxa"/>
              <w:bottom w:w="0" w:type="dxa"/>
              <w:right w:w="108" w:type="dxa"/>
            </w:tcMar>
            <w:hideMark/>
          </w:tcPr>
          <w:p w14:paraId="79FEC982" w14:textId="77777777" w:rsidR="00543255" w:rsidRPr="000C35F7" w:rsidRDefault="00543255" w:rsidP="00543255">
            <w:pPr>
              <w:pStyle w:val="Tabletext8pt"/>
              <w:spacing w:line="252" w:lineRule="auto"/>
              <w:rPr>
                <w:sz w:val="16"/>
              </w:rPr>
            </w:pPr>
            <w:r w:rsidRPr="000C35F7">
              <w:rPr>
                <w:sz w:val="16"/>
              </w:rPr>
              <w:t>East Grampians Health Service</w:t>
            </w:r>
          </w:p>
        </w:tc>
        <w:tc>
          <w:tcPr>
            <w:tcW w:w="2531" w:type="dxa"/>
            <w:shd w:val="clear" w:color="auto" w:fill="FFFFFF"/>
            <w:noWrap/>
            <w:tcMar>
              <w:top w:w="0" w:type="dxa"/>
              <w:left w:w="108" w:type="dxa"/>
              <w:bottom w:w="0" w:type="dxa"/>
              <w:right w:w="108" w:type="dxa"/>
            </w:tcMar>
            <w:vAlign w:val="center"/>
            <w:hideMark/>
          </w:tcPr>
          <w:p w14:paraId="3E85817A" w14:textId="77777777" w:rsidR="00543255" w:rsidRPr="000C35F7" w:rsidRDefault="00543255" w:rsidP="00543255">
            <w:pPr>
              <w:pStyle w:val="Tabletext8pt"/>
              <w:spacing w:line="252" w:lineRule="auto"/>
              <w:jc w:val="right"/>
              <w:rPr>
                <w:rFonts w:cs="Arial"/>
                <w:sz w:val="16"/>
              </w:rPr>
            </w:pPr>
            <w:r>
              <w:rPr>
                <w:rFonts w:cs="Arial"/>
                <w:color w:val="000000"/>
                <w:sz w:val="16"/>
              </w:rPr>
              <w:t>109</w:t>
            </w:r>
          </w:p>
        </w:tc>
      </w:tr>
      <w:tr w:rsidR="00543255" w14:paraId="56D681F2" w14:textId="77777777" w:rsidTr="00E85169">
        <w:trPr>
          <w:trHeight w:hRule="exact" w:val="312"/>
        </w:trPr>
        <w:tc>
          <w:tcPr>
            <w:tcW w:w="3985" w:type="dxa"/>
            <w:noWrap/>
            <w:tcMar>
              <w:top w:w="0" w:type="dxa"/>
              <w:left w:w="108" w:type="dxa"/>
              <w:bottom w:w="0" w:type="dxa"/>
              <w:right w:w="108" w:type="dxa"/>
            </w:tcMar>
            <w:hideMark/>
          </w:tcPr>
          <w:p w14:paraId="7C664394" w14:textId="77777777" w:rsidR="00543255" w:rsidRPr="000C35F7" w:rsidRDefault="00543255" w:rsidP="00543255">
            <w:pPr>
              <w:pStyle w:val="Tabletext8pt"/>
              <w:spacing w:line="252" w:lineRule="auto"/>
              <w:rPr>
                <w:sz w:val="16"/>
              </w:rPr>
            </w:pPr>
            <w:r w:rsidRPr="000C35F7">
              <w:rPr>
                <w:sz w:val="16"/>
              </w:rPr>
              <w:t>Eastern Palliative Care Association</w:t>
            </w:r>
          </w:p>
        </w:tc>
        <w:tc>
          <w:tcPr>
            <w:tcW w:w="2531" w:type="dxa"/>
            <w:shd w:val="clear" w:color="auto" w:fill="FFFFFF"/>
            <w:noWrap/>
            <w:tcMar>
              <w:top w:w="0" w:type="dxa"/>
              <w:left w:w="108" w:type="dxa"/>
              <w:bottom w:w="0" w:type="dxa"/>
              <w:right w:w="108" w:type="dxa"/>
            </w:tcMar>
            <w:vAlign w:val="center"/>
            <w:hideMark/>
          </w:tcPr>
          <w:p w14:paraId="7A3B7A7A" w14:textId="0A228511" w:rsidR="00543255" w:rsidRPr="000C35F7" w:rsidRDefault="00543255" w:rsidP="00543255">
            <w:pPr>
              <w:pStyle w:val="Tabletext8pt"/>
              <w:spacing w:line="252" w:lineRule="auto"/>
              <w:jc w:val="right"/>
              <w:rPr>
                <w:rFonts w:cs="Arial"/>
                <w:sz w:val="16"/>
              </w:rPr>
            </w:pPr>
            <w:r>
              <w:rPr>
                <w:rFonts w:cs="Arial"/>
                <w:color w:val="000000"/>
                <w:sz w:val="16"/>
              </w:rPr>
              <w:t>2,409</w:t>
            </w:r>
          </w:p>
        </w:tc>
      </w:tr>
      <w:tr w:rsidR="00543255" w14:paraId="0A0897C1" w14:textId="77777777" w:rsidTr="00E85169">
        <w:trPr>
          <w:trHeight w:hRule="exact" w:val="312"/>
        </w:trPr>
        <w:tc>
          <w:tcPr>
            <w:tcW w:w="3985" w:type="dxa"/>
            <w:noWrap/>
            <w:tcMar>
              <w:top w:w="0" w:type="dxa"/>
              <w:left w:w="108" w:type="dxa"/>
              <w:bottom w:w="0" w:type="dxa"/>
              <w:right w:w="108" w:type="dxa"/>
            </w:tcMar>
            <w:hideMark/>
          </w:tcPr>
          <w:p w14:paraId="7E4402D8" w14:textId="77777777" w:rsidR="00543255" w:rsidRPr="000C35F7" w:rsidRDefault="00543255" w:rsidP="00543255">
            <w:pPr>
              <w:pStyle w:val="Tabletext8pt"/>
              <w:spacing w:line="252" w:lineRule="auto"/>
              <w:rPr>
                <w:sz w:val="16"/>
              </w:rPr>
            </w:pPr>
            <w:r w:rsidRPr="000C35F7">
              <w:rPr>
                <w:sz w:val="16"/>
              </w:rPr>
              <w:t>Echuca Regional Health</w:t>
            </w:r>
          </w:p>
        </w:tc>
        <w:tc>
          <w:tcPr>
            <w:tcW w:w="2531" w:type="dxa"/>
            <w:shd w:val="clear" w:color="auto" w:fill="FFFFFF"/>
            <w:noWrap/>
            <w:tcMar>
              <w:top w:w="0" w:type="dxa"/>
              <w:left w:w="108" w:type="dxa"/>
              <w:bottom w:w="0" w:type="dxa"/>
              <w:right w:w="108" w:type="dxa"/>
            </w:tcMar>
            <w:vAlign w:val="center"/>
            <w:hideMark/>
          </w:tcPr>
          <w:p w14:paraId="122E01D2" w14:textId="77777777" w:rsidR="00543255" w:rsidRPr="000C35F7" w:rsidRDefault="00543255" w:rsidP="00543255">
            <w:pPr>
              <w:pStyle w:val="Tabletext8pt"/>
              <w:spacing w:line="252" w:lineRule="auto"/>
              <w:jc w:val="right"/>
              <w:rPr>
                <w:rFonts w:cs="Arial"/>
                <w:sz w:val="16"/>
              </w:rPr>
            </w:pPr>
            <w:r>
              <w:rPr>
                <w:rFonts w:cs="Arial"/>
                <w:color w:val="000000"/>
                <w:sz w:val="16"/>
              </w:rPr>
              <w:t>144</w:t>
            </w:r>
          </w:p>
        </w:tc>
      </w:tr>
      <w:tr w:rsidR="00543255" w14:paraId="305BAFFC" w14:textId="77777777" w:rsidTr="00E85169">
        <w:trPr>
          <w:trHeight w:hRule="exact" w:val="312"/>
        </w:trPr>
        <w:tc>
          <w:tcPr>
            <w:tcW w:w="3985" w:type="dxa"/>
            <w:noWrap/>
            <w:tcMar>
              <w:top w:w="0" w:type="dxa"/>
              <w:left w:w="108" w:type="dxa"/>
              <w:bottom w:w="0" w:type="dxa"/>
              <w:right w:w="108" w:type="dxa"/>
            </w:tcMar>
            <w:hideMark/>
          </w:tcPr>
          <w:p w14:paraId="06B27F03" w14:textId="77777777" w:rsidR="00543255" w:rsidRPr="000C35F7" w:rsidRDefault="00543255" w:rsidP="00543255">
            <w:pPr>
              <w:pStyle w:val="Tabletext8pt"/>
              <w:spacing w:line="252" w:lineRule="auto"/>
              <w:rPr>
                <w:sz w:val="16"/>
              </w:rPr>
            </w:pPr>
            <w:r w:rsidRPr="000C35F7">
              <w:rPr>
                <w:sz w:val="16"/>
              </w:rPr>
              <w:t>Gippsland Lakes Community Health</w:t>
            </w:r>
          </w:p>
        </w:tc>
        <w:tc>
          <w:tcPr>
            <w:tcW w:w="2531" w:type="dxa"/>
            <w:shd w:val="clear" w:color="auto" w:fill="FFFFFF"/>
            <w:noWrap/>
            <w:tcMar>
              <w:top w:w="0" w:type="dxa"/>
              <w:left w:w="108" w:type="dxa"/>
              <w:bottom w:w="0" w:type="dxa"/>
              <w:right w:w="108" w:type="dxa"/>
            </w:tcMar>
            <w:vAlign w:val="center"/>
            <w:hideMark/>
          </w:tcPr>
          <w:p w14:paraId="08BF5CE7" w14:textId="77777777" w:rsidR="00543255" w:rsidRPr="000C35F7" w:rsidRDefault="00543255" w:rsidP="00543255">
            <w:pPr>
              <w:pStyle w:val="Tabletext8pt"/>
              <w:spacing w:line="252" w:lineRule="auto"/>
              <w:jc w:val="right"/>
              <w:rPr>
                <w:rFonts w:cs="Arial"/>
                <w:sz w:val="16"/>
              </w:rPr>
            </w:pPr>
            <w:r>
              <w:rPr>
                <w:rFonts w:cs="Arial"/>
                <w:color w:val="000000"/>
                <w:sz w:val="16"/>
              </w:rPr>
              <w:t>153</w:t>
            </w:r>
          </w:p>
        </w:tc>
      </w:tr>
      <w:tr w:rsidR="00543255" w14:paraId="7BD1C246" w14:textId="77777777" w:rsidTr="00E85169">
        <w:trPr>
          <w:trHeight w:hRule="exact" w:val="312"/>
        </w:trPr>
        <w:tc>
          <w:tcPr>
            <w:tcW w:w="3985" w:type="dxa"/>
            <w:noWrap/>
            <w:tcMar>
              <w:top w:w="0" w:type="dxa"/>
              <w:left w:w="108" w:type="dxa"/>
              <w:bottom w:w="0" w:type="dxa"/>
              <w:right w:w="108" w:type="dxa"/>
            </w:tcMar>
            <w:hideMark/>
          </w:tcPr>
          <w:p w14:paraId="487B1483" w14:textId="77777777" w:rsidR="00543255" w:rsidRPr="000C35F7" w:rsidRDefault="00543255" w:rsidP="00543255">
            <w:pPr>
              <w:pStyle w:val="Tabletext8pt"/>
              <w:spacing w:line="252" w:lineRule="auto"/>
              <w:rPr>
                <w:sz w:val="16"/>
              </w:rPr>
            </w:pPr>
            <w:r w:rsidRPr="000C35F7">
              <w:rPr>
                <w:sz w:val="16"/>
              </w:rPr>
              <w:t>Gippsland Southern Health Service</w:t>
            </w:r>
          </w:p>
        </w:tc>
        <w:tc>
          <w:tcPr>
            <w:tcW w:w="2531" w:type="dxa"/>
            <w:shd w:val="clear" w:color="auto" w:fill="FFFFFF"/>
            <w:noWrap/>
            <w:tcMar>
              <w:top w:w="0" w:type="dxa"/>
              <w:left w:w="108" w:type="dxa"/>
              <w:bottom w:w="0" w:type="dxa"/>
              <w:right w:w="108" w:type="dxa"/>
            </w:tcMar>
            <w:vAlign w:val="center"/>
            <w:hideMark/>
          </w:tcPr>
          <w:p w14:paraId="34CEC7BF" w14:textId="77777777" w:rsidR="00543255" w:rsidRPr="000C35F7" w:rsidRDefault="00543255" w:rsidP="00543255">
            <w:pPr>
              <w:pStyle w:val="Tabletext8pt"/>
              <w:spacing w:line="252" w:lineRule="auto"/>
              <w:jc w:val="right"/>
              <w:rPr>
                <w:rFonts w:cs="Arial"/>
                <w:sz w:val="16"/>
              </w:rPr>
            </w:pPr>
            <w:r>
              <w:rPr>
                <w:rFonts w:cs="Arial"/>
                <w:color w:val="000000"/>
                <w:sz w:val="16"/>
              </w:rPr>
              <w:t>85</w:t>
            </w:r>
          </w:p>
        </w:tc>
      </w:tr>
      <w:tr w:rsidR="00543255" w14:paraId="40A13B76" w14:textId="77777777" w:rsidTr="00E85169">
        <w:trPr>
          <w:trHeight w:hRule="exact" w:val="312"/>
        </w:trPr>
        <w:tc>
          <w:tcPr>
            <w:tcW w:w="3985" w:type="dxa"/>
            <w:noWrap/>
            <w:tcMar>
              <w:top w:w="0" w:type="dxa"/>
              <w:left w:w="108" w:type="dxa"/>
              <w:bottom w:w="0" w:type="dxa"/>
              <w:right w:w="108" w:type="dxa"/>
            </w:tcMar>
            <w:hideMark/>
          </w:tcPr>
          <w:p w14:paraId="3916FA1B" w14:textId="77777777" w:rsidR="00543255" w:rsidRPr="000C35F7" w:rsidRDefault="00543255" w:rsidP="00543255">
            <w:pPr>
              <w:pStyle w:val="Tabletext8pt"/>
              <w:spacing w:line="252" w:lineRule="auto"/>
              <w:rPr>
                <w:sz w:val="16"/>
              </w:rPr>
            </w:pPr>
            <w:r w:rsidRPr="000C35F7">
              <w:rPr>
                <w:sz w:val="16"/>
              </w:rPr>
              <w:t>Goulburn Valley Hospice Care Service</w:t>
            </w:r>
          </w:p>
        </w:tc>
        <w:tc>
          <w:tcPr>
            <w:tcW w:w="2531" w:type="dxa"/>
            <w:shd w:val="clear" w:color="auto" w:fill="FFFFFF"/>
            <w:noWrap/>
            <w:tcMar>
              <w:top w:w="0" w:type="dxa"/>
              <w:left w:w="108" w:type="dxa"/>
              <w:bottom w:w="0" w:type="dxa"/>
              <w:right w:w="108" w:type="dxa"/>
            </w:tcMar>
            <w:vAlign w:val="center"/>
            <w:hideMark/>
          </w:tcPr>
          <w:p w14:paraId="4185AF42" w14:textId="77777777" w:rsidR="00543255" w:rsidRPr="000C35F7" w:rsidRDefault="00543255" w:rsidP="00543255">
            <w:pPr>
              <w:pStyle w:val="Tabletext8pt"/>
              <w:spacing w:line="252" w:lineRule="auto"/>
              <w:jc w:val="right"/>
              <w:rPr>
                <w:rFonts w:cs="Arial"/>
                <w:sz w:val="16"/>
              </w:rPr>
            </w:pPr>
            <w:r>
              <w:rPr>
                <w:rFonts w:cs="Arial"/>
                <w:color w:val="000000"/>
                <w:sz w:val="16"/>
              </w:rPr>
              <w:t>230</w:t>
            </w:r>
          </w:p>
        </w:tc>
      </w:tr>
      <w:tr w:rsidR="00543255" w14:paraId="5CC4CDE4" w14:textId="77777777" w:rsidTr="00E85169">
        <w:trPr>
          <w:trHeight w:hRule="exact" w:val="312"/>
        </w:trPr>
        <w:tc>
          <w:tcPr>
            <w:tcW w:w="3985" w:type="dxa"/>
            <w:noWrap/>
            <w:tcMar>
              <w:top w:w="0" w:type="dxa"/>
              <w:left w:w="108" w:type="dxa"/>
              <w:bottom w:w="0" w:type="dxa"/>
              <w:right w:w="108" w:type="dxa"/>
            </w:tcMar>
            <w:hideMark/>
          </w:tcPr>
          <w:p w14:paraId="0472F876" w14:textId="77777777" w:rsidR="00543255" w:rsidRPr="000C35F7" w:rsidRDefault="00543255" w:rsidP="00543255">
            <w:pPr>
              <w:pStyle w:val="Tabletext8pt"/>
              <w:spacing w:line="252" w:lineRule="auto"/>
              <w:rPr>
                <w:sz w:val="16"/>
              </w:rPr>
            </w:pPr>
            <w:r w:rsidRPr="000C35F7">
              <w:rPr>
                <w:sz w:val="16"/>
              </w:rPr>
              <w:t>Grampians Health (Wimmera Health Care Group)</w:t>
            </w:r>
          </w:p>
        </w:tc>
        <w:tc>
          <w:tcPr>
            <w:tcW w:w="2531" w:type="dxa"/>
            <w:shd w:val="clear" w:color="auto" w:fill="FFFFFF"/>
            <w:noWrap/>
            <w:tcMar>
              <w:top w:w="0" w:type="dxa"/>
              <w:left w:w="108" w:type="dxa"/>
              <w:bottom w:w="0" w:type="dxa"/>
              <w:right w:w="108" w:type="dxa"/>
            </w:tcMar>
            <w:vAlign w:val="center"/>
            <w:hideMark/>
          </w:tcPr>
          <w:p w14:paraId="49B26B22" w14:textId="77777777" w:rsidR="00543255" w:rsidRPr="000C35F7" w:rsidRDefault="00543255" w:rsidP="00543255">
            <w:pPr>
              <w:pStyle w:val="Tabletext8pt"/>
              <w:spacing w:line="252" w:lineRule="auto"/>
              <w:jc w:val="right"/>
              <w:rPr>
                <w:rFonts w:cs="Arial"/>
                <w:sz w:val="16"/>
              </w:rPr>
            </w:pPr>
            <w:r>
              <w:rPr>
                <w:rFonts w:cs="Arial"/>
                <w:color w:val="000000"/>
                <w:sz w:val="16"/>
              </w:rPr>
              <w:t>166</w:t>
            </w:r>
          </w:p>
        </w:tc>
      </w:tr>
      <w:tr w:rsidR="00543255" w14:paraId="0FB8D0A4" w14:textId="77777777" w:rsidTr="00E85169">
        <w:trPr>
          <w:trHeight w:hRule="exact" w:val="312"/>
        </w:trPr>
        <w:tc>
          <w:tcPr>
            <w:tcW w:w="3985" w:type="dxa"/>
            <w:noWrap/>
            <w:tcMar>
              <w:top w:w="0" w:type="dxa"/>
              <w:left w:w="108" w:type="dxa"/>
              <w:bottom w:w="0" w:type="dxa"/>
              <w:right w:w="108" w:type="dxa"/>
            </w:tcMar>
            <w:hideMark/>
          </w:tcPr>
          <w:p w14:paraId="051B9C2B" w14:textId="77777777" w:rsidR="00543255" w:rsidRPr="000C35F7" w:rsidRDefault="00543255" w:rsidP="00543255">
            <w:pPr>
              <w:pStyle w:val="Tabletext8pt"/>
              <w:spacing w:line="252" w:lineRule="auto"/>
              <w:rPr>
                <w:sz w:val="16"/>
              </w:rPr>
            </w:pPr>
            <w:r w:rsidRPr="000C35F7">
              <w:rPr>
                <w:sz w:val="16"/>
              </w:rPr>
              <w:t>Kyneton District Health (Central Highlands)</w:t>
            </w:r>
          </w:p>
        </w:tc>
        <w:tc>
          <w:tcPr>
            <w:tcW w:w="2531" w:type="dxa"/>
            <w:shd w:val="clear" w:color="auto" w:fill="FFFFFF"/>
            <w:noWrap/>
            <w:tcMar>
              <w:top w:w="0" w:type="dxa"/>
              <w:left w:w="108" w:type="dxa"/>
              <w:bottom w:w="0" w:type="dxa"/>
              <w:right w:w="108" w:type="dxa"/>
            </w:tcMar>
            <w:vAlign w:val="center"/>
            <w:hideMark/>
          </w:tcPr>
          <w:p w14:paraId="0F42C629" w14:textId="77777777" w:rsidR="00543255" w:rsidRPr="000C35F7" w:rsidRDefault="00543255" w:rsidP="00543255">
            <w:pPr>
              <w:pStyle w:val="Tabletext8pt"/>
              <w:spacing w:line="252" w:lineRule="auto"/>
              <w:jc w:val="right"/>
              <w:rPr>
                <w:rFonts w:cs="Arial"/>
                <w:sz w:val="16"/>
              </w:rPr>
            </w:pPr>
            <w:r>
              <w:rPr>
                <w:rFonts w:cs="Arial"/>
                <w:color w:val="000000"/>
                <w:sz w:val="16"/>
              </w:rPr>
              <w:t>144</w:t>
            </w:r>
          </w:p>
        </w:tc>
      </w:tr>
      <w:tr w:rsidR="00543255" w14:paraId="37E73F3C" w14:textId="77777777" w:rsidTr="00E85169">
        <w:trPr>
          <w:trHeight w:hRule="exact" w:val="312"/>
        </w:trPr>
        <w:tc>
          <w:tcPr>
            <w:tcW w:w="3985" w:type="dxa"/>
            <w:noWrap/>
            <w:tcMar>
              <w:top w:w="0" w:type="dxa"/>
              <w:left w:w="108" w:type="dxa"/>
              <w:bottom w:w="0" w:type="dxa"/>
              <w:right w:w="108" w:type="dxa"/>
            </w:tcMar>
            <w:hideMark/>
          </w:tcPr>
          <w:p w14:paraId="4028CA77" w14:textId="77777777" w:rsidR="00543255" w:rsidRPr="000C35F7" w:rsidRDefault="00543255" w:rsidP="00543255">
            <w:pPr>
              <w:pStyle w:val="Tabletext8pt"/>
              <w:spacing w:line="252" w:lineRule="auto"/>
              <w:rPr>
                <w:sz w:val="16"/>
              </w:rPr>
            </w:pPr>
            <w:r w:rsidRPr="000C35F7">
              <w:rPr>
                <w:sz w:val="16"/>
              </w:rPr>
              <w:t>Latrobe Community Health Service</w:t>
            </w:r>
          </w:p>
        </w:tc>
        <w:tc>
          <w:tcPr>
            <w:tcW w:w="2531" w:type="dxa"/>
            <w:shd w:val="clear" w:color="auto" w:fill="FFFFFF"/>
            <w:noWrap/>
            <w:tcMar>
              <w:top w:w="0" w:type="dxa"/>
              <w:left w:w="108" w:type="dxa"/>
              <w:bottom w:w="0" w:type="dxa"/>
              <w:right w:w="108" w:type="dxa"/>
            </w:tcMar>
            <w:vAlign w:val="center"/>
            <w:hideMark/>
          </w:tcPr>
          <w:p w14:paraId="77EC1B7B" w14:textId="77777777" w:rsidR="00543255" w:rsidRPr="000C35F7" w:rsidRDefault="00543255" w:rsidP="00543255">
            <w:pPr>
              <w:pStyle w:val="Tabletext8pt"/>
              <w:spacing w:line="252" w:lineRule="auto"/>
              <w:jc w:val="right"/>
              <w:rPr>
                <w:rFonts w:cs="Arial"/>
                <w:sz w:val="16"/>
              </w:rPr>
            </w:pPr>
            <w:r>
              <w:rPr>
                <w:rFonts w:cs="Arial"/>
                <w:color w:val="000000"/>
                <w:sz w:val="16"/>
              </w:rPr>
              <w:t>190</w:t>
            </w:r>
          </w:p>
        </w:tc>
      </w:tr>
      <w:tr w:rsidR="00543255" w14:paraId="65C7D692" w14:textId="77777777" w:rsidTr="00E85169">
        <w:trPr>
          <w:trHeight w:hRule="exact" w:val="312"/>
        </w:trPr>
        <w:tc>
          <w:tcPr>
            <w:tcW w:w="3985" w:type="dxa"/>
            <w:noWrap/>
            <w:tcMar>
              <w:top w:w="0" w:type="dxa"/>
              <w:left w:w="108" w:type="dxa"/>
              <w:bottom w:w="0" w:type="dxa"/>
              <w:right w:w="108" w:type="dxa"/>
            </w:tcMar>
            <w:hideMark/>
          </w:tcPr>
          <w:p w14:paraId="3D71BCE2" w14:textId="77777777" w:rsidR="00543255" w:rsidRPr="000C35F7" w:rsidRDefault="00543255" w:rsidP="00543255">
            <w:pPr>
              <w:pStyle w:val="Tabletext8pt"/>
              <w:spacing w:line="252" w:lineRule="auto"/>
              <w:rPr>
                <w:sz w:val="16"/>
              </w:rPr>
            </w:pPr>
            <w:r w:rsidRPr="000C35F7">
              <w:rPr>
                <w:sz w:val="16"/>
              </w:rPr>
              <w:t>Maryborough District Health Service</w:t>
            </w:r>
          </w:p>
        </w:tc>
        <w:tc>
          <w:tcPr>
            <w:tcW w:w="2531" w:type="dxa"/>
            <w:shd w:val="clear" w:color="auto" w:fill="FFFFFF"/>
            <w:noWrap/>
            <w:tcMar>
              <w:top w:w="0" w:type="dxa"/>
              <w:left w:w="108" w:type="dxa"/>
              <w:bottom w:w="0" w:type="dxa"/>
              <w:right w:w="108" w:type="dxa"/>
            </w:tcMar>
            <w:vAlign w:val="center"/>
            <w:hideMark/>
          </w:tcPr>
          <w:p w14:paraId="4F680D02" w14:textId="77777777" w:rsidR="00543255" w:rsidRPr="000C35F7" w:rsidRDefault="00543255" w:rsidP="00543255">
            <w:pPr>
              <w:pStyle w:val="Tabletext8pt"/>
              <w:spacing w:line="252" w:lineRule="auto"/>
              <w:jc w:val="right"/>
              <w:rPr>
                <w:rFonts w:cs="Arial"/>
                <w:sz w:val="16"/>
              </w:rPr>
            </w:pPr>
            <w:r>
              <w:rPr>
                <w:rFonts w:cs="Arial"/>
                <w:color w:val="000000"/>
                <w:sz w:val="16"/>
              </w:rPr>
              <w:t>44</w:t>
            </w:r>
          </w:p>
        </w:tc>
      </w:tr>
      <w:tr w:rsidR="00543255" w14:paraId="7E7B4919" w14:textId="77777777" w:rsidTr="00E85169">
        <w:trPr>
          <w:trHeight w:hRule="exact" w:val="312"/>
        </w:trPr>
        <w:tc>
          <w:tcPr>
            <w:tcW w:w="3985" w:type="dxa"/>
            <w:noWrap/>
            <w:tcMar>
              <w:top w:w="0" w:type="dxa"/>
              <w:left w:w="108" w:type="dxa"/>
              <w:bottom w:w="0" w:type="dxa"/>
              <w:right w:w="108" w:type="dxa"/>
            </w:tcMar>
            <w:hideMark/>
          </w:tcPr>
          <w:p w14:paraId="3E7F9EDE" w14:textId="77777777" w:rsidR="00543255" w:rsidRPr="000C35F7" w:rsidRDefault="00543255" w:rsidP="00543255">
            <w:pPr>
              <w:pStyle w:val="Tabletext8pt"/>
              <w:spacing w:line="252" w:lineRule="auto"/>
              <w:rPr>
                <w:sz w:val="16"/>
              </w:rPr>
            </w:pPr>
            <w:r w:rsidRPr="000C35F7">
              <w:rPr>
                <w:sz w:val="16"/>
              </w:rPr>
              <w:t>Melbourne City Mission</w:t>
            </w:r>
          </w:p>
        </w:tc>
        <w:tc>
          <w:tcPr>
            <w:tcW w:w="2531" w:type="dxa"/>
            <w:shd w:val="clear" w:color="auto" w:fill="FFFFFF"/>
            <w:noWrap/>
            <w:tcMar>
              <w:top w:w="0" w:type="dxa"/>
              <w:left w:w="108" w:type="dxa"/>
              <w:bottom w:w="0" w:type="dxa"/>
              <w:right w:w="108" w:type="dxa"/>
            </w:tcMar>
            <w:vAlign w:val="center"/>
            <w:hideMark/>
          </w:tcPr>
          <w:p w14:paraId="40FE7FD8" w14:textId="482B3315" w:rsidR="00543255" w:rsidRPr="000C35F7" w:rsidRDefault="00543255" w:rsidP="00543255">
            <w:pPr>
              <w:pStyle w:val="Tabletext8pt"/>
              <w:spacing w:line="252" w:lineRule="auto"/>
              <w:jc w:val="right"/>
              <w:rPr>
                <w:rFonts w:cs="Arial"/>
                <w:sz w:val="16"/>
              </w:rPr>
            </w:pPr>
            <w:r>
              <w:rPr>
                <w:rFonts w:cs="Arial"/>
                <w:color w:val="000000"/>
                <w:sz w:val="16"/>
              </w:rPr>
              <w:t>1,347</w:t>
            </w:r>
          </w:p>
        </w:tc>
      </w:tr>
      <w:tr w:rsidR="00543255" w14:paraId="029B7ABF" w14:textId="77777777" w:rsidTr="00E85169">
        <w:trPr>
          <w:trHeight w:hRule="exact" w:val="312"/>
        </w:trPr>
        <w:tc>
          <w:tcPr>
            <w:tcW w:w="3985" w:type="dxa"/>
            <w:noWrap/>
            <w:tcMar>
              <w:top w:w="0" w:type="dxa"/>
              <w:left w:w="108" w:type="dxa"/>
              <w:bottom w:w="0" w:type="dxa"/>
              <w:right w:w="108" w:type="dxa"/>
            </w:tcMar>
            <w:hideMark/>
          </w:tcPr>
          <w:p w14:paraId="5AB036CC" w14:textId="77777777" w:rsidR="00543255" w:rsidRPr="000C35F7" w:rsidRDefault="00543255" w:rsidP="00543255">
            <w:pPr>
              <w:pStyle w:val="Tabletext8pt"/>
              <w:spacing w:line="252" w:lineRule="auto"/>
              <w:rPr>
                <w:sz w:val="16"/>
              </w:rPr>
            </w:pPr>
            <w:r w:rsidRPr="000C35F7">
              <w:rPr>
                <w:sz w:val="16"/>
              </w:rPr>
              <w:t>Mercy Palliative Care</w:t>
            </w:r>
          </w:p>
        </w:tc>
        <w:tc>
          <w:tcPr>
            <w:tcW w:w="2531" w:type="dxa"/>
            <w:shd w:val="clear" w:color="auto" w:fill="FFFFFF"/>
            <w:noWrap/>
            <w:tcMar>
              <w:top w:w="0" w:type="dxa"/>
              <w:left w:w="108" w:type="dxa"/>
              <w:bottom w:w="0" w:type="dxa"/>
              <w:right w:w="108" w:type="dxa"/>
            </w:tcMar>
            <w:vAlign w:val="center"/>
            <w:hideMark/>
          </w:tcPr>
          <w:p w14:paraId="35330D8C" w14:textId="68D6983B" w:rsidR="00543255" w:rsidRPr="000C35F7" w:rsidRDefault="00543255" w:rsidP="00543255">
            <w:pPr>
              <w:pStyle w:val="Tabletext8pt"/>
              <w:spacing w:line="252" w:lineRule="auto"/>
              <w:jc w:val="right"/>
              <w:rPr>
                <w:rFonts w:cs="Arial"/>
                <w:sz w:val="16"/>
              </w:rPr>
            </w:pPr>
            <w:r>
              <w:rPr>
                <w:rFonts w:cs="Arial"/>
                <w:color w:val="000000"/>
                <w:sz w:val="16"/>
              </w:rPr>
              <w:t>2,110</w:t>
            </w:r>
          </w:p>
        </w:tc>
      </w:tr>
      <w:tr w:rsidR="00543255" w14:paraId="5608ABCC" w14:textId="77777777" w:rsidTr="00E85169">
        <w:trPr>
          <w:trHeight w:hRule="exact" w:val="312"/>
        </w:trPr>
        <w:tc>
          <w:tcPr>
            <w:tcW w:w="3985" w:type="dxa"/>
            <w:noWrap/>
            <w:tcMar>
              <w:top w:w="0" w:type="dxa"/>
              <w:left w:w="108" w:type="dxa"/>
              <w:bottom w:w="0" w:type="dxa"/>
              <w:right w:w="108" w:type="dxa"/>
            </w:tcMar>
            <w:hideMark/>
          </w:tcPr>
          <w:p w14:paraId="21C09E6C" w14:textId="77777777" w:rsidR="00543255" w:rsidRPr="000C35F7" w:rsidRDefault="00543255" w:rsidP="00543255">
            <w:pPr>
              <w:pStyle w:val="Tabletext8pt"/>
              <w:spacing w:line="252" w:lineRule="auto"/>
              <w:rPr>
                <w:sz w:val="16"/>
              </w:rPr>
            </w:pPr>
            <w:r w:rsidRPr="000C35F7">
              <w:rPr>
                <w:sz w:val="16"/>
              </w:rPr>
              <w:t>North East Health Wangaratta</w:t>
            </w:r>
          </w:p>
        </w:tc>
        <w:tc>
          <w:tcPr>
            <w:tcW w:w="2531" w:type="dxa"/>
            <w:shd w:val="clear" w:color="auto" w:fill="FFFFFF"/>
            <w:noWrap/>
            <w:tcMar>
              <w:top w:w="0" w:type="dxa"/>
              <w:left w:w="108" w:type="dxa"/>
              <w:bottom w:w="0" w:type="dxa"/>
              <w:right w:w="108" w:type="dxa"/>
            </w:tcMar>
            <w:vAlign w:val="center"/>
            <w:hideMark/>
          </w:tcPr>
          <w:p w14:paraId="758A4F14" w14:textId="77777777" w:rsidR="00543255" w:rsidRPr="000C35F7" w:rsidRDefault="00543255" w:rsidP="00543255">
            <w:pPr>
              <w:pStyle w:val="Tabletext8pt"/>
              <w:spacing w:line="252" w:lineRule="auto"/>
              <w:jc w:val="right"/>
              <w:rPr>
                <w:rFonts w:cs="Arial"/>
                <w:sz w:val="16"/>
              </w:rPr>
            </w:pPr>
            <w:r>
              <w:rPr>
                <w:rFonts w:cs="Arial"/>
                <w:color w:val="000000"/>
                <w:sz w:val="16"/>
              </w:rPr>
              <w:t>211</w:t>
            </w:r>
          </w:p>
        </w:tc>
      </w:tr>
      <w:tr w:rsidR="00543255" w14:paraId="3FB369AE" w14:textId="77777777" w:rsidTr="00E85169">
        <w:trPr>
          <w:trHeight w:hRule="exact" w:val="312"/>
        </w:trPr>
        <w:tc>
          <w:tcPr>
            <w:tcW w:w="3985" w:type="dxa"/>
            <w:noWrap/>
            <w:tcMar>
              <w:top w:w="0" w:type="dxa"/>
              <w:left w:w="108" w:type="dxa"/>
              <w:bottom w:w="0" w:type="dxa"/>
              <w:right w:w="108" w:type="dxa"/>
            </w:tcMar>
            <w:hideMark/>
          </w:tcPr>
          <w:p w14:paraId="25B3A2ED" w14:textId="77777777" w:rsidR="00543255" w:rsidRPr="000C35F7" w:rsidRDefault="00543255" w:rsidP="00543255">
            <w:pPr>
              <w:pStyle w:val="Tabletext8pt"/>
              <w:spacing w:line="252" w:lineRule="auto"/>
              <w:rPr>
                <w:sz w:val="16"/>
              </w:rPr>
            </w:pPr>
            <w:r w:rsidRPr="000C35F7">
              <w:rPr>
                <w:sz w:val="16"/>
              </w:rPr>
              <w:t>NCN Health</w:t>
            </w:r>
          </w:p>
        </w:tc>
        <w:tc>
          <w:tcPr>
            <w:tcW w:w="2531" w:type="dxa"/>
            <w:shd w:val="clear" w:color="auto" w:fill="FFFFFF"/>
            <w:noWrap/>
            <w:tcMar>
              <w:top w:w="0" w:type="dxa"/>
              <w:left w:w="108" w:type="dxa"/>
              <w:bottom w:w="0" w:type="dxa"/>
              <w:right w:w="108" w:type="dxa"/>
            </w:tcMar>
            <w:vAlign w:val="center"/>
            <w:hideMark/>
          </w:tcPr>
          <w:p w14:paraId="777E3490" w14:textId="77777777" w:rsidR="00543255" w:rsidRPr="000C35F7" w:rsidRDefault="00543255" w:rsidP="00543255">
            <w:pPr>
              <w:pStyle w:val="Tabletext8pt"/>
              <w:spacing w:line="252" w:lineRule="auto"/>
              <w:jc w:val="right"/>
              <w:rPr>
                <w:rFonts w:cs="Arial"/>
                <w:sz w:val="16"/>
              </w:rPr>
            </w:pPr>
            <w:r>
              <w:rPr>
                <w:rFonts w:cs="Arial"/>
                <w:color w:val="000000"/>
                <w:sz w:val="16"/>
              </w:rPr>
              <w:t>116</w:t>
            </w:r>
          </w:p>
        </w:tc>
      </w:tr>
      <w:tr w:rsidR="00543255" w14:paraId="30E217EC" w14:textId="77777777" w:rsidTr="00E85169">
        <w:trPr>
          <w:trHeight w:hRule="exact" w:val="312"/>
        </w:trPr>
        <w:tc>
          <w:tcPr>
            <w:tcW w:w="3985" w:type="dxa"/>
            <w:noWrap/>
            <w:tcMar>
              <w:top w:w="0" w:type="dxa"/>
              <w:left w:w="108" w:type="dxa"/>
              <w:bottom w:w="0" w:type="dxa"/>
              <w:right w:w="108" w:type="dxa"/>
            </w:tcMar>
            <w:hideMark/>
          </w:tcPr>
          <w:p w14:paraId="60EA0B4E" w14:textId="77777777" w:rsidR="00543255" w:rsidRPr="000C35F7" w:rsidRDefault="00543255" w:rsidP="00543255">
            <w:pPr>
              <w:pStyle w:val="Tabletext8pt"/>
              <w:spacing w:line="252" w:lineRule="auto"/>
              <w:rPr>
                <w:sz w:val="16"/>
              </w:rPr>
            </w:pPr>
            <w:r w:rsidRPr="000C35F7">
              <w:rPr>
                <w:sz w:val="16"/>
              </w:rPr>
              <w:t>Peninsula Home Hospice Service</w:t>
            </w:r>
          </w:p>
        </w:tc>
        <w:tc>
          <w:tcPr>
            <w:tcW w:w="2531" w:type="dxa"/>
            <w:shd w:val="clear" w:color="auto" w:fill="FFFFFF"/>
            <w:noWrap/>
            <w:tcMar>
              <w:top w:w="0" w:type="dxa"/>
              <w:left w:w="108" w:type="dxa"/>
              <w:bottom w:w="0" w:type="dxa"/>
              <w:right w:w="108" w:type="dxa"/>
            </w:tcMar>
            <w:vAlign w:val="center"/>
            <w:hideMark/>
          </w:tcPr>
          <w:p w14:paraId="0DC09A0A" w14:textId="77777777" w:rsidR="00543255" w:rsidRPr="000C35F7" w:rsidRDefault="00543255" w:rsidP="00543255">
            <w:pPr>
              <w:pStyle w:val="Tabletext8pt"/>
              <w:spacing w:line="252" w:lineRule="auto"/>
              <w:jc w:val="right"/>
              <w:rPr>
                <w:rFonts w:cs="Arial"/>
                <w:sz w:val="16"/>
              </w:rPr>
            </w:pPr>
            <w:r>
              <w:rPr>
                <w:rFonts w:cs="Arial"/>
                <w:color w:val="000000"/>
                <w:sz w:val="16"/>
              </w:rPr>
              <w:t>780</w:t>
            </w:r>
          </w:p>
        </w:tc>
      </w:tr>
      <w:tr w:rsidR="00543255" w14:paraId="1932B18A" w14:textId="77777777" w:rsidTr="00E85169">
        <w:trPr>
          <w:trHeight w:hRule="exact" w:val="312"/>
        </w:trPr>
        <w:tc>
          <w:tcPr>
            <w:tcW w:w="3985" w:type="dxa"/>
            <w:noWrap/>
            <w:tcMar>
              <w:top w:w="0" w:type="dxa"/>
              <w:left w:w="108" w:type="dxa"/>
              <w:bottom w:w="0" w:type="dxa"/>
              <w:right w:w="108" w:type="dxa"/>
            </w:tcMar>
            <w:hideMark/>
          </w:tcPr>
          <w:p w14:paraId="6CBC8B9A" w14:textId="77777777" w:rsidR="00543255" w:rsidRPr="000C35F7" w:rsidRDefault="00543255" w:rsidP="00543255">
            <w:pPr>
              <w:pStyle w:val="Tabletext8pt"/>
              <w:spacing w:line="252" w:lineRule="auto"/>
              <w:rPr>
                <w:sz w:val="16"/>
              </w:rPr>
            </w:pPr>
            <w:r w:rsidRPr="000C35F7">
              <w:rPr>
                <w:sz w:val="16"/>
              </w:rPr>
              <w:t>Portland and District Hospital</w:t>
            </w:r>
          </w:p>
        </w:tc>
        <w:tc>
          <w:tcPr>
            <w:tcW w:w="2531" w:type="dxa"/>
            <w:shd w:val="clear" w:color="auto" w:fill="FFFFFF"/>
            <w:noWrap/>
            <w:tcMar>
              <w:top w:w="0" w:type="dxa"/>
              <w:left w:w="108" w:type="dxa"/>
              <w:bottom w:w="0" w:type="dxa"/>
              <w:right w:w="108" w:type="dxa"/>
            </w:tcMar>
            <w:vAlign w:val="center"/>
            <w:hideMark/>
          </w:tcPr>
          <w:p w14:paraId="18448F1B" w14:textId="77777777" w:rsidR="00543255" w:rsidRPr="000C35F7" w:rsidRDefault="00543255" w:rsidP="00543255">
            <w:pPr>
              <w:pStyle w:val="Tabletext8pt"/>
              <w:spacing w:line="252" w:lineRule="auto"/>
              <w:jc w:val="right"/>
              <w:rPr>
                <w:rFonts w:cs="Arial"/>
                <w:sz w:val="16"/>
              </w:rPr>
            </w:pPr>
            <w:r>
              <w:rPr>
                <w:rFonts w:cs="Arial"/>
                <w:color w:val="000000"/>
                <w:sz w:val="16"/>
              </w:rPr>
              <w:t>52</w:t>
            </w:r>
          </w:p>
        </w:tc>
      </w:tr>
      <w:tr w:rsidR="00543255" w14:paraId="2CA39D00" w14:textId="77777777" w:rsidTr="00E85169">
        <w:trPr>
          <w:trHeight w:hRule="exact" w:val="312"/>
        </w:trPr>
        <w:tc>
          <w:tcPr>
            <w:tcW w:w="3985" w:type="dxa"/>
            <w:noWrap/>
            <w:tcMar>
              <w:top w:w="0" w:type="dxa"/>
              <w:left w:w="108" w:type="dxa"/>
              <w:bottom w:w="0" w:type="dxa"/>
              <w:right w:w="108" w:type="dxa"/>
            </w:tcMar>
            <w:hideMark/>
          </w:tcPr>
          <w:p w14:paraId="48D1AD7C" w14:textId="77777777" w:rsidR="00543255" w:rsidRPr="000C35F7" w:rsidRDefault="00543255" w:rsidP="00543255">
            <w:pPr>
              <w:pStyle w:val="Tabletext8pt"/>
              <w:spacing w:line="252" w:lineRule="auto"/>
              <w:rPr>
                <w:sz w:val="16"/>
              </w:rPr>
            </w:pPr>
            <w:r w:rsidRPr="000C35F7">
              <w:rPr>
                <w:sz w:val="16"/>
              </w:rPr>
              <w:t>Seymour Health</w:t>
            </w:r>
          </w:p>
        </w:tc>
        <w:tc>
          <w:tcPr>
            <w:tcW w:w="2531" w:type="dxa"/>
            <w:shd w:val="clear" w:color="auto" w:fill="FFFFFF"/>
            <w:noWrap/>
            <w:tcMar>
              <w:top w:w="0" w:type="dxa"/>
              <w:left w:w="108" w:type="dxa"/>
              <w:bottom w:w="0" w:type="dxa"/>
              <w:right w:w="108" w:type="dxa"/>
            </w:tcMar>
            <w:vAlign w:val="center"/>
            <w:hideMark/>
          </w:tcPr>
          <w:p w14:paraId="2EF94A49" w14:textId="77777777" w:rsidR="00543255" w:rsidRPr="000C35F7" w:rsidRDefault="00543255" w:rsidP="00543255">
            <w:pPr>
              <w:pStyle w:val="Tabletext8pt"/>
              <w:spacing w:line="252" w:lineRule="auto"/>
              <w:jc w:val="right"/>
              <w:rPr>
                <w:rFonts w:cs="Arial"/>
                <w:sz w:val="16"/>
              </w:rPr>
            </w:pPr>
            <w:r>
              <w:rPr>
                <w:rFonts w:cs="Arial"/>
                <w:color w:val="000000"/>
                <w:sz w:val="16"/>
              </w:rPr>
              <w:t>181</w:t>
            </w:r>
          </w:p>
        </w:tc>
      </w:tr>
      <w:tr w:rsidR="00543255" w14:paraId="4FBF3FD4" w14:textId="77777777" w:rsidTr="00E85169">
        <w:trPr>
          <w:trHeight w:hRule="exact" w:val="312"/>
        </w:trPr>
        <w:tc>
          <w:tcPr>
            <w:tcW w:w="3985" w:type="dxa"/>
            <w:noWrap/>
            <w:tcMar>
              <w:top w:w="0" w:type="dxa"/>
              <w:left w:w="108" w:type="dxa"/>
              <w:bottom w:w="0" w:type="dxa"/>
              <w:right w:w="108" w:type="dxa"/>
            </w:tcMar>
            <w:hideMark/>
          </w:tcPr>
          <w:p w14:paraId="1BCAD19C" w14:textId="77777777" w:rsidR="00543255" w:rsidRPr="000C35F7" w:rsidRDefault="00543255" w:rsidP="00543255">
            <w:pPr>
              <w:pStyle w:val="Tabletext8pt"/>
              <w:spacing w:line="252" w:lineRule="auto"/>
              <w:rPr>
                <w:sz w:val="16"/>
              </w:rPr>
            </w:pPr>
            <w:r w:rsidRPr="000C35F7">
              <w:rPr>
                <w:sz w:val="16"/>
              </w:rPr>
              <w:t>Palliative Care South East</w:t>
            </w:r>
          </w:p>
        </w:tc>
        <w:tc>
          <w:tcPr>
            <w:tcW w:w="2531" w:type="dxa"/>
            <w:shd w:val="clear" w:color="auto" w:fill="FFFFFF"/>
            <w:noWrap/>
            <w:tcMar>
              <w:top w:w="0" w:type="dxa"/>
              <w:left w:w="108" w:type="dxa"/>
              <w:bottom w:w="0" w:type="dxa"/>
              <w:right w:w="108" w:type="dxa"/>
            </w:tcMar>
            <w:vAlign w:val="center"/>
            <w:hideMark/>
          </w:tcPr>
          <w:p w14:paraId="4ED80186" w14:textId="54091B01" w:rsidR="00543255" w:rsidRPr="000C35F7" w:rsidRDefault="00543255" w:rsidP="00543255">
            <w:pPr>
              <w:pStyle w:val="Tabletext8pt"/>
              <w:spacing w:line="252" w:lineRule="auto"/>
              <w:jc w:val="right"/>
              <w:rPr>
                <w:rFonts w:cs="Arial"/>
                <w:sz w:val="16"/>
              </w:rPr>
            </w:pPr>
            <w:r>
              <w:rPr>
                <w:rFonts w:cs="Arial"/>
                <w:color w:val="000000"/>
                <w:sz w:val="16"/>
              </w:rPr>
              <w:t>1,060</w:t>
            </w:r>
          </w:p>
        </w:tc>
      </w:tr>
      <w:tr w:rsidR="00543255" w14:paraId="5007BDA4" w14:textId="77777777" w:rsidTr="00E85169">
        <w:trPr>
          <w:trHeight w:hRule="exact" w:val="312"/>
        </w:trPr>
        <w:tc>
          <w:tcPr>
            <w:tcW w:w="3985" w:type="dxa"/>
            <w:noWrap/>
            <w:tcMar>
              <w:top w:w="0" w:type="dxa"/>
              <w:left w:w="108" w:type="dxa"/>
              <w:bottom w:w="0" w:type="dxa"/>
              <w:right w:w="108" w:type="dxa"/>
            </w:tcMar>
            <w:hideMark/>
          </w:tcPr>
          <w:p w14:paraId="77009329" w14:textId="77777777" w:rsidR="00543255" w:rsidRPr="000C35F7" w:rsidRDefault="00543255" w:rsidP="00543255">
            <w:pPr>
              <w:pStyle w:val="Tabletext8pt"/>
              <w:spacing w:line="252" w:lineRule="auto"/>
              <w:rPr>
                <w:sz w:val="16"/>
              </w:rPr>
            </w:pPr>
            <w:r w:rsidRPr="000C35F7">
              <w:rPr>
                <w:sz w:val="16"/>
              </w:rPr>
              <w:t>Southwest Healthcare</w:t>
            </w:r>
          </w:p>
        </w:tc>
        <w:tc>
          <w:tcPr>
            <w:tcW w:w="2531" w:type="dxa"/>
            <w:shd w:val="clear" w:color="auto" w:fill="FFFFFF"/>
            <w:noWrap/>
            <w:tcMar>
              <w:top w:w="0" w:type="dxa"/>
              <w:left w:w="108" w:type="dxa"/>
              <w:bottom w:w="0" w:type="dxa"/>
              <w:right w:w="108" w:type="dxa"/>
            </w:tcMar>
            <w:vAlign w:val="center"/>
            <w:hideMark/>
          </w:tcPr>
          <w:p w14:paraId="6C1A825B" w14:textId="77777777" w:rsidR="00543255" w:rsidRPr="000C35F7" w:rsidRDefault="00543255" w:rsidP="00543255">
            <w:pPr>
              <w:pStyle w:val="Tabletext8pt"/>
              <w:spacing w:line="252" w:lineRule="auto"/>
              <w:jc w:val="right"/>
              <w:rPr>
                <w:rFonts w:cs="Arial"/>
                <w:sz w:val="16"/>
              </w:rPr>
            </w:pPr>
            <w:r>
              <w:rPr>
                <w:rFonts w:cs="Arial"/>
                <w:color w:val="000000"/>
                <w:sz w:val="16"/>
              </w:rPr>
              <w:t>251</w:t>
            </w:r>
          </w:p>
        </w:tc>
      </w:tr>
      <w:tr w:rsidR="00543255" w14:paraId="0BE41A3C" w14:textId="77777777" w:rsidTr="00E85169">
        <w:trPr>
          <w:trHeight w:hRule="exact" w:val="312"/>
        </w:trPr>
        <w:tc>
          <w:tcPr>
            <w:tcW w:w="3985" w:type="dxa"/>
            <w:noWrap/>
            <w:tcMar>
              <w:top w:w="0" w:type="dxa"/>
              <w:left w:w="108" w:type="dxa"/>
              <w:bottom w:w="0" w:type="dxa"/>
              <w:right w:w="108" w:type="dxa"/>
            </w:tcMar>
            <w:hideMark/>
          </w:tcPr>
          <w:p w14:paraId="54031BA9" w14:textId="77777777" w:rsidR="00543255" w:rsidRPr="000C35F7" w:rsidRDefault="00543255" w:rsidP="00543255">
            <w:pPr>
              <w:pStyle w:val="Tabletext8pt"/>
              <w:spacing w:line="252" w:lineRule="auto"/>
              <w:rPr>
                <w:sz w:val="16"/>
              </w:rPr>
            </w:pPr>
            <w:r w:rsidRPr="000C35F7">
              <w:rPr>
                <w:sz w:val="16"/>
              </w:rPr>
              <w:t>Sunraysia Community Health Services</w:t>
            </w:r>
          </w:p>
        </w:tc>
        <w:tc>
          <w:tcPr>
            <w:tcW w:w="2531" w:type="dxa"/>
            <w:shd w:val="clear" w:color="auto" w:fill="FFFFFF"/>
            <w:noWrap/>
            <w:tcMar>
              <w:top w:w="0" w:type="dxa"/>
              <w:left w:w="108" w:type="dxa"/>
              <w:bottom w:w="0" w:type="dxa"/>
              <w:right w:w="108" w:type="dxa"/>
            </w:tcMar>
            <w:vAlign w:val="center"/>
            <w:hideMark/>
          </w:tcPr>
          <w:p w14:paraId="16490F7E" w14:textId="77777777" w:rsidR="00543255" w:rsidRPr="000C35F7" w:rsidRDefault="00543255" w:rsidP="00543255">
            <w:pPr>
              <w:pStyle w:val="Tabletext8pt"/>
              <w:spacing w:line="252" w:lineRule="auto"/>
              <w:jc w:val="right"/>
              <w:rPr>
                <w:rFonts w:cs="Arial"/>
                <w:sz w:val="16"/>
              </w:rPr>
            </w:pPr>
            <w:r>
              <w:rPr>
                <w:rFonts w:cs="Arial"/>
                <w:color w:val="000000"/>
                <w:sz w:val="16"/>
              </w:rPr>
              <w:t>191</w:t>
            </w:r>
          </w:p>
        </w:tc>
      </w:tr>
      <w:tr w:rsidR="00543255" w14:paraId="1C5E9584" w14:textId="77777777" w:rsidTr="00E85169">
        <w:trPr>
          <w:trHeight w:hRule="exact" w:val="312"/>
        </w:trPr>
        <w:tc>
          <w:tcPr>
            <w:tcW w:w="3985" w:type="dxa"/>
            <w:noWrap/>
            <w:tcMar>
              <w:top w:w="0" w:type="dxa"/>
              <w:left w:w="108" w:type="dxa"/>
              <w:bottom w:w="0" w:type="dxa"/>
              <w:right w:w="108" w:type="dxa"/>
            </w:tcMar>
            <w:hideMark/>
          </w:tcPr>
          <w:p w14:paraId="48CF31E2" w14:textId="77777777" w:rsidR="00543255" w:rsidRPr="000C35F7" w:rsidRDefault="00543255" w:rsidP="00543255">
            <w:pPr>
              <w:pStyle w:val="Tabletext8pt"/>
              <w:spacing w:line="252" w:lineRule="auto"/>
              <w:rPr>
                <w:sz w:val="16"/>
              </w:rPr>
            </w:pPr>
            <w:r w:rsidRPr="000C35F7">
              <w:rPr>
                <w:sz w:val="16"/>
              </w:rPr>
              <w:t>Swan Hill District Health</w:t>
            </w:r>
          </w:p>
        </w:tc>
        <w:tc>
          <w:tcPr>
            <w:tcW w:w="2531" w:type="dxa"/>
            <w:shd w:val="clear" w:color="auto" w:fill="FFFFFF"/>
            <w:noWrap/>
            <w:tcMar>
              <w:top w:w="0" w:type="dxa"/>
              <w:left w:w="108" w:type="dxa"/>
              <w:bottom w:w="0" w:type="dxa"/>
              <w:right w:w="108" w:type="dxa"/>
            </w:tcMar>
            <w:vAlign w:val="center"/>
            <w:hideMark/>
          </w:tcPr>
          <w:p w14:paraId="4FB98CE2" w14:textId="77777777" w:rsidR="00543255" w:rsidRPr="000C35F7" w:rsidRDefault="00543255" w:rsidP="00543255">
            <w:pPr>
              <w:pStyle w:val="Tabletext8pt"/>
              <w:spacing w:line="252" w:lineRule="auto"/>
              <w:jc w:val="right"/>
              <w:rPr>
                <w:rFonts w:cs="Arial"/>
                <w:sz w:val="16"/>
              </w:rPr>
            </w:pPr>
            <w:r>
              <w:rPr>
                <w:rFonts w:cs="Arial"/>
                <w:color w:val="000000"/>
                <w:sz w:val="16"/>
              </w:rPr>
              <w:t>108</w:t>
            </w:r>
          </w:p>
        </w:tc>
      </w:tr>
      <w:tr w:rsidR="00543255" w14:paraId="487FFBB7" w14:textId="77777777" w:rsidTr="00E85169">
        <w:trPr>
          <w:trHeight w:hRule="exact" w:val="312"/>
        </w:trPr>
        <w:tc>
          <w:tcPr>
            <w:tcW w:w="3985" w:type="dxa"/>
            <w:noWrap/>
            <w:tcMar>
              <w:top w:w="0" w:type="dxa"/>
              <w:left w:w="108" w:type="dxa"/>
              <w:bottom w:w="0" w:type="dxa"/>
              <w:right w:w="108" w:type="dxa"/>
            </w:tcMar>
            <w:hideMark/>
          </w:tcPr>
          <w:p w14:paraId="739AB381" w14:textId="77777777" w:rsidR="00543255" w:rsidRPr="000C35F7" w:rsidRDefault="00543255" w:rsidP="00543255">
            <w:pPr>
              <w:pStyle w:val="Tabletext8pt"/>
              <w:spacing w:line="252" w:lineRule="auto"/>
              <w:rPr>
                <w:sz w:val="16"/>
              </w:rPr>
            </w:pPr>
            <w:r w:rsidRPr="000C35F7">
              <w:rPr>
                <w:sz w:val="16"/>
              </w:rPr>
              <w:t xml:space="preserve">West Gippsland Healthcare Group </w:t>
            </w:r>
          </w:p>
        </w:tc>
        <w:tc>
          <w:tcPr>
            <w:tcW w:w="2531" w:type="dxa"/>
            <w:shd w:val="clear" w:color="auto" w:fill="FFFFFF"/>
            <w:noWrap/>
            <w:tcMar>
              <w:top w:w="0" w:type="dxa"/>
              <w:left w:w="108" w:type="dxa"/>
              <w:bottom w:w="0" w:type="dxa"/>
              <w:right w:w="108" w:type="dxa"/>
            </w:tcMar>
            <w:vAlign w:val="center"/>
            <w:hideMark/>
          </w:tcPr>
          <w:p w14:paraId="10E551CE" w14:textId="77777777" w:rsidR="00543255" w:rsidRPr="000C35F7" w:rsidRDefault="00543255" w:rsidP="00543255">
            <w:pPr>
              <w:pStyle w:val="Tabletext8pt"/>
              <w:spacing w:line="252" w:lineRule="auto"/>
              <w:jc w:val="right"/>
              <w:rPr>
                <w:rFonts w:cs="Arial"/>
                <w:sz w:val="16"/>
              </w:rPr>
            </w:pPr>
            <w:r>
              <w:rPr>
                <w:rFonts w:cs="Arial"/>
                <w:color w:val="000000"/>
                <w:sz w:val="16"/>
              </w:rPr>
              <w:t>141</w:t>
            </w:r>
          </w:p>
        </w:tc>
      </w:tr>
      <w:tr w:rsidR="00543255" w14:paraId="50C4AE81" w14:textId="77777777" w:rsidTr="00E85169">
        <w:trPr>
          <w:trHeight w:hRule="exact" w:val="312"/>
        </w:trPr>
        <w:tc>
          <w:tcPr>
            <w:tcW w:w="3985" w:type="dxa"/>
            <w:noWrap/>
            <w:tcMar>
              <w:top w:w="0" w:type="dxa"/>
              <w:left w:w="108" w:type="dxa"/>
              <w:bottom w:w="0" w:type="dxa"/>
              <w:right w:w="108" w:type="dxa"/>
            </w:tcMar>
            <w:hideMark/>
          </w:tcPr>
          <w:p w14:paraId="70E877F0" w14:textId="77777777" w:rsidR="00543255" w:rsidRPr="000C35F7" w:rsidRDefault="00543255" w:rsidP="00543255">
            <w:pPr>
              <w:pStyle w:val="Tabletext8pt"/>
              <w:spacing w:line="252" w:lineRule="auto"/>
              <w:rPr>
                <w:sz w:val="16"/>
              </w:rPr>
            </w:pPr>
            <w:r w:rsidRPr="000C35F7">
              <w:rPr>
                <w:sz w:val="16"/>
              </w:rPr>
              <w:t>Western District Health Service</w:t>
            </w:r>
          </w:p>
        </w:tc>
        <w:tc>
          <w:tcPr>
            <w:tcW w:w="2531" w:type="dxa"/>
            <w:shd w:val="clear" w:color="auto" w:fill="FFFFFF"/>
            <w:noWrap/>
            <w:tcMar>
              <w:top w:w="0" w:type="dxa"/>
              <w:left w:w="108" w:type="dxa"/>
              <w:bottom w:w="0" w:type="dxa"/>
              <w:right w:w="108" w:type="dxa"/>
            </w:tcMar>
            <w:vAlign w:val="center"/>
            <w:hideMark/>
          </w:tcPr>
          <w:p w14:paraId="214E37F0" w14:textId="77777777" w:rsidR="00543255" w:rsidRPr="000C35F7" w:rsidRDefault="00543255" w:rsidP="00543255">
            <w:pPr>
              <w:pStyle w:val="Tabletext8pt"/>
              <w:spacing w:line="252" w:lineRule="auto"/>
              <w:jc w:val="right"/>
              <w:rPr>
                <w:rFonts w:cs="Arial"/>
                <w:sz w:val="16"/>
              </w:rPr>
            </w:pPr>
            <w:r>
              <w:rPr>
                <w:rFonts w:cs="Arial"/>
                <w:color w:val="000000"/>
                <w:sz w:val="16"/>
              </w:rPr>
              <w:t>72</w:t>
            </w:r>
          </w:p>
        </w:tc>
      </w:tr>
      <w:tr w:rsidR="00543255" w14:paraId="13BC3FDA" w14:textId="77777777" w:rsidTr="00E85169">
        <w:trPr>
          <w:trHeight w:hRule="exact" w:val="312"/>
        </w:trPr>
        <w:tc>
          <w:tcPr>
            <w:tcW w:w="3985" w:type="dxa"/>
            <w:noWrap/>
            <w:tcMar>
              <w:top w:w="0" w:type="dxa"/>
              <w:left w:w="108" w:type="dxa"/>
              <w:bottom w:w="0" w:type="dxa"/>
              <w:right w:w="108" w:type="dxa"/>
            </w:tcMar>
            <w:hideMark/>
          </w:tcPr>
          <w:p w14:paraId="24676D2C" w14:textId="77777777" w:rsidR="00543255" w:rsidRPr="000C35F7" w:rsidRDefault="00543255" w:rsidP="00543255">
            <w:pPr>
              <w:pStyle w:val="Tabletext8pt"/>
              <w:spacing w:line="252" w:lineRule="auto"/>
              <w:rPr>
                <w:sz w:val="16"/>
              </w:rPr>
            </w:pPr>
            <w:r w:rsidRPr="000C35F7">
              <w:rPr>
                <w:sz w:val="16"/>
              </w:rPr>
              <w:t>Western Health (Djerriwarrh Health Service)</w:t>
            </w:r>
          </w:p>
        </w:tc>
        <w:tc>
          <w:tcPr>
            <w:tcW w:w="2531" w:type="dxa"/>
            <w:shd w:val="clear" w:color="auto" w:fill="FFFFFF"/>
            <w:noWrap/>
            <w:tcMar>
              <w:top w:w="0" w:type="dxa"/>
              <w:left w:w="108" w:type="dxa"/>
              <w:bottom w:w="0" w:type="dxa"/>
              <w:right w:w="108" w:type="dxa"/>
            </w:tcMar>
            <w:vAlign w:val="center"/>
            <w:hideMark/>
          </w:tcPr>
          <w:p w14:paraId="2ED3F073" w14:textId="77777777" w:rsidR="00543255" w:rsidRPr="000C35F7" w:rsidRDefault="00543255" w:rsidP="00543255">
            <w:pPr>
              <w:pStyle w:val="Tabletext8pt"/>
              <w:spacing w:line="252" w:lineRule="auto"/>
              <w:jc w:val="right"/>
              <w:rPr>
                <w:rFonts w:cs="Arial"/>
                <w:sz w:val="16"/>
              </w:rPr>
            </w:pPr>
            <w:r>
              <w:rPr>
                <w:rFonts w:cs="Arial"/>
                <w:color w:val="000000"/>
                <w:sz w:val="16"/>
              </w:rPr>
              <w:t>83</w:t>
            </w:r>
          </w:p>
        </w:tc>
      </w:tr>
      <w:tr w:rsidR="00543255" w14:paraId="1A83E813" w14:textId="77777777" w:rsidTr="00E85169">
        <w:trPr>
          <w:trHeight w:hRule="exact" w:val="312"/>
        </w:trPr>
        <w:tc>
          <w:tcPr>
            <w:tcW w:w="3985" w:type="dxa"/>
            <w:noWrap/>
            <w:tcMar>
              <w:top w:w="0" w:type="dxa"/>
              <w:left w:w="108" w:type="dxa"/>
              <w:bottom w:w="0" w:type="dxa"/>
              <w:right w:w="108" w:type="dxa"/>
            </w:tcMar>
            <w:hideMark/>
          </w:tcPr>
          <w:p w14:paraId="37EA3A07" w14:textId="77777777" w:rsidR="00543255" w:rsidRPr="000C35F7" w:rsidRDefault="00543255" w:rsidP="00543255">
            <w:pPr>
              <w:pStyle w:val="Tabletext8pt"/>
              <w:spacing w:line="252" w:lineRule="auto"/>
              <w:rPr>
                <w:sz w:val="16"/>
              </w:rPr>
            </w:pPr>
            <w:r w:rsidRPr="000C35F7">
              <w:rPr>
                <w:sz w:val="16"/>
              </w:rPr>
              <w:t>Yarram and District Health Service</w:t>
            </w:r>
          </w:p>
        </w:tc>
        <w:tc>
          <w:tcPr>
            <w:tcW w:w="2531" w:type="dxa"/>
            <w:shd w:val="clear" w:color="auto" w:fill="FFFFFF"/>
            <w:noWrap/>
            <w:tcMar>
              <w:top w:w="0" w:type="dxa"/>
              <w:left w:w="108" w:type="dxa"/>
              <w:bottom w:w="0" w:type="dxa"/>
              <w:right w:w="108" w:type="dxa"/>
            </w:tcMar>
            <w:vAlign w:val="center"/>
            <w:hideMark/>
          </w:tcPr>
          <w:p w14:paraId="2FC10259" w14:textId="77777777" w:rsidR="00543255" w:rsidRPr="000C35F7" w:rsidRDefault="00543255" w:rsidP="00543255">
            <w:pPr>
              <w:pStyle w:val="Tabletext8pt"/>
              <w:spacing w:line="252" w:lineRule="auto"/>
              <w:jc w:val="right"/>
              <w:rPr>
                <w:rFonts w:cs="Arial"/>
                <w:sz w:val="16"/>
              </w:rPr>
            </w:pPr>
            <w:r>
              <w:rPr>
                <w:rFonts w:cs="Arial"/>
                <w:color w:val="000000"/>
                <w:sz w:val="16"/>
              </w:rPr>
              <w:t>17</w:t>
            </w:r>
          </w:p>
        </w:tc>
      </w:tr>
      <w:tr w:rsidR="00543255" w14:paraId="1F9E68C9" w14:textId="77777777" w:rsidTr="00E85169">
        <w:trPr>
          <w:trHeight w:hRule="exact" w:val="312"/>
        </w:trPr>
        <w:tc>
          <w:tcPr>
            <w:tcW w:w="3985" w:type="dxa"/>
            <w:noWrap/>
            <w:tcMar>
              <w:top w:w="0" w:type="dxa"/>
              <w:left w:w="108" w:type="dxa"/>
              <w:bottom w:w="0" w:type="dxa"/>
              <w:right w:w="108" w:type="dxa"/>
            </w:tcMar>
            <w:hideMark/>
          </w:tcPr>
          <w:p w14:paraId="516AEF47" w14:textId="77777777" w:rsidR="00543255" w:rsidRPr="000C35F7" w:rsidRDefault="00543255" w:rsidP="00543255">
            <w:pPr>
              <w:pStyle w:val="Tabletext8pt"/>
              <w:spacing w:line="252" w:lineRule="auto"/>
              <w:rPr>
                <w:b/>
                <w:bCs/>
                <w:sz w:val="16"/>
              </w:rPr>
            </w:pPr>
            <w:r w:rsidRPr="000C35F7">
              <w:rPr>
                <w:b/>
                <w:bCs/>
                <w:sz w:val="16"/>
              </w:rPr>
              <w:t>Total statewide</w:t>
            </w:r>
          </w:p>
        </w:tc>
        <w:tc>
          <w:tcPr>
            <w:tcW w:w="2531" w:type="dxa"/>
            <w:noWrap/>
            <w:tcMar>
              <w:top w:w="0" w:type="dxa"/>
              <w:left w:w="108" w:type="dxa"/>
              <w:bottom w:w="0" w:type="dxa"/>
              <w:right w:w="108" w:type="dxa"/>
            </w:tcMar>
            <w:vAlign w:val="center"/>
            <w:hideMark/>
          </w:tcPr>
          <w:p w14:paraId="0E6A507C" w14:textId="32536832" w:rsidR="00543255" w:rsidRPr="000C35F7" w:rsidRDefault="00543255" w:rsidP="00543255">
            <w:pPr>
              <w:pStyle w:val="Tabletext8pt"/>
              <w:spacing w:line="252" w:lineRule="auto"/>
              <w:jc w:val="right"/>
              <w:rPr>
                <w:rFonts w:cs="Arial"/>
                <w:b/>
                <w:bCs/>
                <w:sz w:val="16"/>
              </w:rPr>
            </w:pPr>
            <w:r>
              <w:rPr>
                <w:rFonts w:cs="Arial"/>
                <w:b/>
                <w:bCs/>
                <w:color w:val="000000"/>
                <w:sz w:val="16"/>
              </w:rPr>
              <w:t>14,664</w:t>
            </w:r>
          </w:p>
        </w:tc>
      </w:tr>
    </w:tbl>
    <w:p w14:paraId="73CC2B95" w14:textId="77777777" w:rsidR="005B699B" w:rsidRDefault="005B699B" w:rsidP="005B699B">
      <w:pPr>
        <w:pStyle w:val="Body"/>
      </w:pPr>
    </w:p>
    <w:p w14:paraId="6ABD6F89" w14:textId="77777777" w:rsidR="005B699B" w:rsidRDefault="005B699B" w:rsidP="001E4292">
      <w:pPr>
        <w:pStyle w:val="Heading2"/>
        <w:numPr>
          <w:ilvl w:val="1"/>
          <w:numId w:val="13"/>
        </w:numPr>
        <w:ind w:left="1134" w:hanging="1134"/>
      </w:pPr>
      <w:bookmarkStart w:id="2663" w:name="_Toc165961877"/>
      <w:bookmarkStart w:id="2664" w:name="_Toc178963663"/>
      <w:r>
        <w:lastRenderedPageBreak/>
        <w:t xml:space="preserve">Nationally </w:t>
      </w:r>
      <w:r w:rsidRPr="000A1079">
        <w:t>Funded</w:t>
      </w:r>
      <w:r>
        <w:t xml:space="preserve"> Centres Program </w:t>
      </w:r>
      <w:bookmarkEnd w:id="2657"/>
      <w:bookmarkEnd w:id="2658"/>
      <w:bookmarkEnd w:id="2659"/>
      <w:bookmarkEnd w:id="2660"/>
      <w:bookmarkEnd w:id="2661"/>
      <w:r>
        <w:t>2024–25</w:t>
      </w:r>
      <w:bookmarkEnd w:id="2663"/>
      <w:bookmarkEnd w:id="2664"/>
    </w:p>
    <w:p w14:paraId="5EE55812" w14:textId="77777777" w:rsidR="001C3080" w:rsidRPr="00F6003A" w:rsidRDefault="001C3080" w:rsidP="001C3080">
      <w:pPr>
        <w:pStyle w:val="Tablenoteroman"/>
        <w:numPr>
          <w:ilvl w:val="0"/>
          <w:numId w:val="64"/>
        </w:numPr>
        <w:tabs>
          <w:tab w:val="clear" w:pos="720"/>
        </w:tabs>
      </w:pPr>
      <w:r>
        <w:t>Targets are s</w:t>
      </w:r>
      <w:r w:rsidRPr="00F6003A">
        <w:t xml:space="preserve">ubject to approval by the </w:t>
      </w:r>
      <w:r>
        <w:t>Health Chief Executives Forum</w:t>
      </w:r>
      <w:r w:rsidRPr="00F6003A">
        <w:t>.</w:t>
      </w:r>
    </w:p>
    <w:p w14:paraId="1F708102" w14:textId="77777777" w:rsidR="001C3080" w:rsidRDefault="001C3080" w:rsidP="001C3080">
      <w:pPr>
        <w:pStyle w:val="Tablenoteroman"/>
        <w:numPr>
          <w:ilvl w:val="0"/>
          <w:numId w:val="64"/>
        </w:numPr>
        <w:tabs>
          <w:tab w:val="clear" w:pos="720"/>
        </w:tabs>
      </w:pPr>
      <w:r w:rsidRPr="00F6003A">
        <w:t xml:space="preserve">Prices are subject to approval by the </w:t>
      </w:r>
      <w:r>
        <w:t>Health Chief Executives Forum</w:t>
      </w:r>
      <w:r w:rsidRPr="00F6003A">
        <w:t>.</w:t>
      </w:r>
    </w:p>
    <w:p w14:paraId="54FA72ED" w14:textId="77777777" w:rsidR="00EF3650" w:rsidRDefault="00EF3650" w:rsidP="00EF3650">
      <w:pPr>
        <w:pStyle w:val="Tablenoteroman"/>
        <w:numPr>
          <w:ilvl w:val="0"/>
          <w:numId w:val="64"/>
        </w:numPr>
        <w:tabs>
          <w:tab w:val="clear" w:pos="720"/>
        </w:tabs>
      </w:pPr>
      <w:r>
        <w:t>Paediatric liver transplantation – 55% for The Royal Children’s Hospital and 45% for Austin Health.</w:t>
      </w:r>
    </w:p>
    <w:p w14:paraId="2717D919" w14:textId="77777777" w:rsidR="00EF3650" w:rsidRDefault="00EF3650" w:rsidP="00EF3650">
      <w:pPr>
        <w:pStyle w:val="Tablenoteroman"/>
        <w:numPr>
          <w:ilvl w:val="0"/>
          <w:numId w:val="64"/>
        </w:numPr>
        <w:tabs>
          <w:tab w:val="clear" w:pos="720"/>
        </w:tabs>
      </w:pPr>
      <w:r>
        <w:t>Paediatric lung/heart-lung transplantation – 97%</w:t>
      </w:r>
      <w:r w:rsidRPr="00306589">
        <w:t xml:space="preserve"> for Alfred Health and </w:t>
      </w:r>
      <w:r>
        <w:t>3% for The Royal Children’s Hospital.</w:t>
      </w:r>
    </w:p>
    <w:p w14:paraId="6C39FC57" w14:textId="4E5ACE48" w:rsidR="00C91A80" w:rsidRPr="0016481A" w:rsidRDefault="00EF3650" w:rsidP="0016481A">
      <w:pPr>
        <w:pStyle w:val="Tablecaption"/>
        <w:rPr>
          <w:color w:val="FF0000"/>
        </w:rPr>
      </w:pPr>
      <w:bookmarkStart w:id="2665" w:name="_Toc176510430"/>
      <w:r>
        <w:t>Table 2.</w:t>
      </w:r>
      <w:r>
        <w:fldChar w:fldCharType="begin"/>
      </w:r>
      <w:r>
        <w:instrText>SEQ Table \* ARABIC \s 1</w:instrText>
      </w:r>
      <w:r>
        <w:fldChar w:fldCharType="separate"/>
      </w:r>
      <w:r>
        <w:rPr>
          <w:noProof/>
        </w:rPr>
        <w:t>17</w:t>
      </w:r>
      <w:r>
        <w:fldChar w:fldCharType="end"/>
      </w:r>
      <w:r>
        <w:t>:</w:t>
      </w:r>
      <w:r w:rsidRPr="00742C12">
        <w:t xml:space="preserve"> </w:t>
      </w:r>
      <w:r w:rsidRPr="00271AC6">
        <w:t xml:space="preserve">Nationally Funded </w:t>
      </w:r>
      <w:r w:rsidRPr="00A030E3">
        <w:t>Centres</w:t>
      </w:r>
      <w:r w:rsidRPr="00271AC6">
        <w:t xml:space="preserve"> </w:t>
      </w:r>
      <w:r>
        <w:t>P</w:t>
      </w:r>
      <w:r w:rsidRPr="00271AC6">
        <w:t xml:space="preserve">rogram </w:t>
      </w:r>
      <w:r w:rsidRPr="00A65006">
        <w:t>targets 202</w:t>
      </w:r>
      <w:r>
        <w:t>4</w:t>
      </w:r>
      <w:r w:rsidRPr="00A65006">
        <w:t>–2</w:t>
      </w:r>
      <w:r>
        <w:t>5</w:t>
      </w:r>
      <w:bookmarkEnd w:id="2665"/>
      <w:r>
        <w:t xml:space="preserve"> </w:t>
      </w:r>
    </w:p>
    <w:tbl>
      <w:tblPr>
        <w:tblW w:w="9067" w:type="dxa"/>
        <w:tblLayout w:type="fixed"/>
        <w:tblCellMar>
          <w:top w:w="15" w:type="dxa"/>
          <w:bottom w:w="15" w:type="dxa"/>
        </w:tblCellMar>
        <w:tblLook w:val="04A0" w:firstRow="1" w:lastRow="0" w:firstColumn="1" w:lastColumn="0" w:noHBand="0" w:noVBand="1"/>
      </w:tblPr>
      <w:tblGrid>
        <w:gridCol w:w="3022"/>
        <w:gridCol w:w="3022"/>
        <w:gridCol w:w="3023"/>
      </w:tblGrid>
      <w:tr w:rsidR="00C4478F" w:rsidRPr="00932E84" w14:paraId="67334A88" w14:textId="77777777" w:rsidTr="000674C4">
        <w:trPr>
          <w:trHeight w:val="300"/>
          <w:tblHeader/>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38EDC68A" w14:textId="77777777" w:rsidR="00C4478F" w:rsidRPr="00932E84" w:rsidRDefault="00C4478F">
            <w:pPr>
              <w:spacing w:after="0" w:line="240" w:lineRule="auto"/>
              <w:rPr>
                <w:rFonts w:cs="Arial"/>
                <w:b/>
                <w:bCs/>
                <w:color w:val="53565A"/>
                <w:sz w:val="16"/>
                <w:szCs w:val="16"/>
                <w:lang w:eastAsia="en-AU"/>
              </w:rPr>
            </w:pPr>
            <w:r w:rsidRPr="00932E84">
              <w:rPr>
                <w:rFonts w:cs="Arial"/>
                <w:b/>
                <w:bCs/>
                <w:color w:val="53565A"/>
                <w:sz w:val="16"/>
                <w:szCs w:val="16"/>
                <w:lang w:eastAsia="en-AU"/>
              </w:rPr>
              <w:t>Price name</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14E67321" w14:textId="77777777" w:rsidR="00C4478F" w:rsidRPr="00932E84" w:rsidRDefault="00C4478F">
            <w:pPr>
              <w:spacing w:after="0" w:line="240" w:lineRule="auto"/>
              <w:rPr>
                <w:rFonts w:cs="Arial"/>
                <w:b/>
                <w:bCs/>
                <w:color w:val="53565A"/>
                <w:sz w:val="16"/>
                <w:szCs w:val="16"/>
                <w:lang w:eastAsia="en-AU"/>
              </w:rPr>
            </w:pPr>
            <w:r w:rsidRPr="00932E84">
              <w:rPr>
                <w:rFonts w:cs="Arial"/>
                <w:b/>
                <w:bCs/>
                <w:color w:val="53565A"/>
                <w:sz w:val="16"/>
                <w:szCs w:val="16"/>
                <w:lang w:eastAsia="en-AU"/>
              </w:rPr>
              <w:t>Health service</w:t>
            </w:r>
          </w:p>
        </w:tc>
        <w:tc>
          <w:tcPr>
            <w:tcW w:w="3023" w:type="dxa"/>
            <w:tcBorders>
              <w:top w:val="single" w:sz="4" w:space="0" w:color="auto"/>
              <w:left w:val="single" w:sz="4" w:space="0" w:color="auto"/>
              <w:bottom w:val="single" w:sz="4" w:space="0" w:color="auto"/>
              <w:right w:val="single" w:sz="4" w:space="0" w:color="auto"/>
            </w:tcBorders>
            <w:noWrap/>
            <w:vAlign w:val="center"/>
            <w:hideMark/>
          </w:tcPr>
          <w:p w14:paraId="67DB680B" w14:textId="77777777" w:rsidR="00C4478F" w:rsidRPr="00932E84" w:rsidRDefault="00C4478F">
            <w:pPr>
              <w:spacing w:after="0" w:line="240" w:lineRule="auto"/>
              <w:jc w:val="right"/>
              <w:rPr>
                <w:rFonts w:cs="Arial"/>
                <w:b/>
                <w:bCs/>
                <w:color w:val="53565A"/>
                <w:sz w:val="16"/>
                <w:szCs w:val="16"/>
                <w:lang w:eastAsia="en-AU"/>
              </w:rPr>
            </w:pPr>
            <w:r w:rsidRPr="00932E84">
              <w:rPr>
                <w:rFonts w:cs="Arial"/>
                <w:b/>
                <w:bCs/>
                <w:color w:val="53565A"/>
                <w:sz w:val="16"/>
                <w:szCs w:val="16"/>
                <w:lang w:eastAsia="en-AU"/>
              </w:rPr>
              <w:t>Annual target</w:t>
            </w:r>
          </w:p>
        </w:tc>
      </w:tr>
      <w:tr w:rsidR="00543255" w:rsidRPr="00932E84" w14:paraId="677757B1"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35BF29C2"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islet cell transplantation</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01B1D5F7" w14:textId="66AA4B26"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 xml:space="preserve">St </w:t>
            </w:r>
            <w:r>
              <w:rPr>
                <w:rFonts w:cs="Arial"/>
                <w:color w:val="000000"/>
                <w:sz w:val="16"/>
                <w:szCs w:val="16"/>
              </w:rPr>
              <w:t>Vincents</w:t>
            </w:r>
            <w:r w:rsidRPr="00932E84">
              <w:rPr>
                <w:rFonts w:cs="Arial"/>
                <w:color w:val="000000"/>
                <w:sz w:val="16"/>
                <w:szCs w:val="16"/>
                <w:lang w:eastAsia="en-AU"/>
              </w:rPr>
              <w:t xml:space="preserve"> Hospital Melbourne Limited</w:t>
            </w:r>
          </w:p>
        </w:tc>
        <w:tc>
          <w:tcPr>
            <w:tcW w:w="3023" w:type="dxa"/>
            <w:tcBorders>
              <w:top w:val="single" w:sz="4" w:space="0" w:color="auto"/>
              <w:left w:val="single" w:sz="4" w:space="0" w:color="auto"/>
              <w:bottom w:val="single" w:sz="4" w:space="0" w:color="auto"/>
              <w:right w:val="single" w:sz="4" w:space="0" w:color="auto"/>
            </w:tcBorders>
            <w:noWrap/>
            <w:vAlign w:val="center"/>
          </w:tcPr>
          <w:p w14:paraId="1E6A1A15" w14:textId="2E11E0D3" w:rsidR="00543255" w:rsidRPr="00932E84" w:rsidRDefault="00543255" w:rsidP="00543255">
            <w:pPr>
              <w:spacing w:after="0" w:line="240" w:lineRule="auto"/>
              <w:jc w:val="right"/>
              <w:rPr>
                <w:rFonts w:cs="Arial"/>
                <w:color w:val="000000"/>
                <w:sz w:val="16"/>
                <w:szCs w:val="16"/>
                <w:lang w:eastAsia="en-AU"/>
              </w:rPr>
            </w:pPr>
            <w:r>
              <w:rPr>
                <w:rFonts w:cs="Arial"/>
                <w:color w:val="000000"/>
                <w:sz w:val="16"/>
                <w:szCs w:val="16"/>
              </w:rPr>
              <w:t>6</w:t>
            </w:r>
          </w:p>
        </w:tc>
      </w:tr>
      <w:tr w:rsidR="00543255" w:rsidRPr="00932E84" w14:paraId="5EE200FB"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686C1DC1"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paediatric heart no VAD</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16BE6A01" w14:textId="59EDC9FC"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 xml:space="preserve">The Royal </w:t>
            </w:r>
            <w:r>
              <w:rPr>
                <w:rFonts w:cs="Arial"/>
                <w:color w:val="000000"/>
                <w:sz w:val="16"/>
                <w:szCs w:val="16"/>
              </w:rPr>
              <w:t>Children</w:t>
            </w:r>
            <w:r w:rsidR="00544284">
              <w:rPr>
                <w:rFonts w:cs="Arial"/>
                <w:color w:val="000000"/>
                <w:sz w:val="16"/>
                <w:szCs w:val="16"/>
              </w:rPr>
              <w:t>’</w:t>
            </w:r>
            <w:r>
              <w:rPr>
                <w:rFonts w:cs="Arial"/>
                <w:color w:val="000000"/>
                <w:sz w:val="16"/>
                <w:szCs w:val="16"/>
              </w:rPr>
              <w:t>s</w:t>
            </w:r>
            <w:r w:rsidRPr="00932E84">
              <w:rPr>
                <w:rFonts w:cs="Arial"/>
                <w:color w:val="000000"/>
                <w:sz w:val="16"/>
                <w:szCs w:val="16"/>
                <w:lang w:eastAsia="en-AU"/>
              </w:rPr>
              <w:t xml:space="preserve"> Hospital</w:t>
            </w:r>
          </w:p>
        </w:tc>
        <w:tc>
          <w:tcPr>
            <w:tcW w:w="3023" w:type="dxa"/>
            <w:tcBorders>
              <w:top w:val="single" w:sz="4" w:space="0" w:color="auto"/>
              <w:left w:val="single" w:sz="4" w:space="0" w:color="auto"/>
              <w:bottom w:val="single" w:sz="4" w:space="0" w:color="auto"/>
              <w:right w:val="single" w:sz="4" w:space="0" w:color="auto"/>
            </w:tcBorders>
            <w:noWrap/>
            <w:vAlign w:val="center"/>
          </w:tcPr>
          <w:p w14:paraId="21F569A1" w14:textId="5A4F81F4" w:rsidR="00543255" w:rsidRPr="00932E84" w:rsidRDefault="00543255" w:rsidP="00543255">
            <w:pPr>
              <w:spacing w:after="0" w:line="240" w:lineRule="auto"/>
              <w:jc w:val="right"/>
              <w:rPr>
                <w:rFonts w:cs="Arial"/>
                <w:color w:val="000000"/>
                <w:sz w:val="16"/>
                <w:szCs w:val="16"/>
                <w:lang w:eastAsia="en-AU"/>
              </w:rPr>
            </w:pPr>
            <w:r>
              <w:rPr>
                <w:rFonts w:cs="Arial"/>
                <w:color w:val="000000"/>
                <w:sz w:val="16"/>
                <w:szCs w:val="16"/>
              </w:rPr>
              <w:t>5</w:t>
            </w:r>
          </w:p>
        </w:tc>
      </w:tr>
      <w:tr w:rsidR="00543255" w:rsidRPr="00932E84" w14:paraId="0995F5D6"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1F4C7F91"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paediatric heart VAD</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54C6A41C" w14:textId="5CEF8169"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 xml:space="preserve">The Royal </w:t>
            </w:r>
            <w:r>
              <w:rPr>
                <w:rFonts w:cs="Arial"/>
                <w:color w:val="000000"/>
                <w:sz w:val="16"/>
                <w:szCs w:val="16"/>
              </w:rPr>
              <w:t>Children</w:t>
            </w:r>
            <w:r w:rsidR="00544284">
              <w:rPr>
                <w:rFonts w:cs="Arial"/>
                <w:color w:val="000000"/>
                <w:sz w:val="16"/>
                <w:szCs w:val="16"/>
              </w:rPr>
              <w:t>’</w:t>
            </w:r>
            <w:r>
              <w:rPr>
                <w:rFonts w:cs="Arial"/>
                <w:color w:val="000000"/>
                <w:sz w:val="16"/>
                <w:szCs w:val="16"/>
              </w:rPr>
              <w:t>s</w:t>
            </w:r>
            <w:r w:rsidRPr="00932E84">
              <w:rPr>
                <w:rFonts w:cs="Arial"/>
                <w:color w:val="000000"/>
                <w:sz w:val="16"/>
                <w:szCs w:val="16"/>
                <w:lang w:eastAsia="en-AU"/>
              </w:rPr>
              <w:t xml:space="preserve"> Hospital</w:t>
            </w:r>
          </w:p>
        </w:tc>
        <w:tc>
          <w:tcPr>
            <w:tcW w:w="3023" w:type="dxa"/>
            <w:tcBorders>
              <w:top w:val="single" w:sz="4" w:space="0" w:color="auto"/>
              <w:left w:val="single" w:sz="4" w:space="0" w:color="auto"/>
              <w:bottom w:val="single" w:sz="4" w:space="0" w:color="auto"/>
              <w:right w:val="single" w:sz="4" w:space="0" w:color="auto"/>
            </w:tcBorders>
            <w:noWrap/>
            <w:vAlign w:val="center"/>
          </w:tcPr>
          <w:p w14:paraId="6392961E" w14:textId="08B09E42" w:rsidR="00543255" w:rsidRPr="00932E84" w:rsidRDefault="00543255" w:rsidP="00543255">
            <w:pPr>
              <w:spacing w:after="0" w:line="240" w:lineRule="auto"/>
              <w:jc w:val="right"/>
              <w:rPr>
                <w:rFonts w:cs="Arial"/>
                <w:color w:val="000000"/>
                <w:sz w:val="16"/>
                <w:szCs w:val="16"/>
                <w:lang w:eastAsia="en-AU"/>
              </w:rPr>
            </w:pPr>
            <w:r>
              <w:rPr>
                <w:rFonts w:cs="Arial"/>
                <w:color w:val="000000"/>
                <w:sz w:val="16"/>
                <w:szCs w:val="16"/>
              </w:rPr>
              <w:t>9</w:t>
            </w:r>
          </w:p>
        </w:tc>
      </w:tr>
      <w:tr w:rsidR="00543255" w:rsidRPr="00932E84" w14:paraId="69EBCC21"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5904CCA9"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paediatric lung transplantation</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282C58E5"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Alfred Health</w:t>
            </w:r>
          </w:p>
        </w:tc>
        <w:tc>
          <w:tcPr>
            <w:tcW w:w="3023" w:type="dxa"/>
            <w:tcBorders>
              <w:top w:val="single" w:sz="4" w:space="0" w:color="auto"/>
              <w:left w:val="single" w:sz="4" w:space="0" w:color="auto"/>
              <w:bottom w:val="single" w:sz="4" w:space="0" w:color="auto"/>
              <w:right w:val="single" w:sz="4" w:space="0" w:color="auto"/>
            </w:tcBorders>
            <w:noWrap/>
            <w:vAlign w:val="center"/>
          </w:tcPr>
          <w:p w14:paraId="485B1970" w14:textId="0C1E68F3" w:rsidR="00543255" w:rsidRPr="00932E84" w:rsidRDefault="00F05517" w:rsidP="00543255">
            <w:pPr>
              <w:spacing w:after="0" w:line="240" w:lineRule="auto"/>
              <w:jc w:val="right"/>
              <w:rPr>
                <w:rFonts w:cs="Arial"/>
                <w:color w:val="000000"/>
                <w:sz w:val="16"/>
                <w:szCs w:val="16"/>
                <w:lang w:eastAsia="en-AU"/>
              </w:rPr>
            </w:pPr>
            <w:r>
              <w:rPr>
                <w:rFonts w:cs="Arial"/>
                <w:color w:val="000000"/>
                <w:sz w:val="16"/>
                <w:szCs w:val="16"/>
              </w:rPr>
              <w:t>3.88</w:t>
            </w:r>
          </w:p>
        </w:tc>
      </w:tr>
      <w:tr w:rsidR="00543255" w:rsidRPr="00932E84" w14:paraId="6BC3CF62"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16030427"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paediatric lung transplantation</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0CC310CE" w14:textId="353AD028"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 xml:space="preserve">The Royal </w:t>
            </w:r>
            <w:r>
              <w:rPr>
                <w:rFonts w:cs="Arial"/>
                <w:color w:val="000000"/>
                <w:sz w:val="16"/>
                <w:szCs w:val="16"/>
              </w:rPr>
              <w:t>Children</w:t>
            </w:r>
            <w:r w:rsidR="00544284">
              <w:rPr>
                <w:rFonts w:cs="Arial"/>
                <w:color w:val="000000"/>
                <w:sz w:val="16"/>
                <w:szCs w:val="16"/>
              </w:rPr>
              <w:t>’</w:t>
            </w:r>
            <w:r>
              <w:rPr>
                <w:rFonts w:cs="Arial"/>
                <w:color w:val="000000"/>
                <w:sz w:val="16"/>
                <w:szCs w:val="16"/>
              </w:rPr>
              <w:t>s</w:t>
            </w:r>
            <w:r w:rsidRPr="00932E84">
              <w:rPr>
                <w:rFonts w:cs="Arial"/>
                <w:color w:val="000000"/>
                <w:sz w:val="16"/>
                <w:szCs w:val="16"/>
                <w:lang w:eastAsia="en-AU"/>
              </w:rPr>
              <w:t xml:space="preserve"> Hospital</w:t>
            </w:r>
          </w:p>
        </w:tc>
        <w:tc>
          <w:tcPr>
            <w:tcW w:w="3023" w:type="dxa"/>
            <w:tcBorders>
              <w:top w:val="single" w:sz="4" w:space="0" w:color="auto"/>
              <w:left w:val="single" w:sz="4" w:space="0" w:color="auto"/>
              <w:bottom w:val="single" w:sz="4" w:space="0" w:color="auto"/>
              <w:right w:val="single" w:sz="4" w:space="0" w:color="auto"/>
            </w:tcBorders>
            <w:noWrap/>
            <w:vAlign w:val="center"/>
          </w:tcPr>
          <w:p w14:paraId="32687100" w14:textId="24D4FCCB" w:rsidR="00543255" w:rsidRPr="00932E84" w:rsidRDefault="00543255" w:rsidP="00543255">
            <w:pPr>
              <w:spacing w:after="0" w:line="240" w:lineRule="auto"/>
              <w:jc w:val="right"/>
              <w:rPr>
                <w:rFonts w:cs="Arial"/>
                <w:color w:val="000000"/>
                <w:sz w:val="16"/>
                <w:szCs w:val="16"/>
                <w:lang w:eastAsia="en-AU"/>
              </w:rPr>
            </w:pPr>
            <w:r>
              <w:rPr>
                <w:rFonts w:cs="Arial"/>
                <w:color w:val="000000"/>
                <w:sz w:val="16"/>
                <w:szCs w:val="16"/>
              </w:rPr>
              <w:t>0</w:t>
            </w:r>
            <w:r w:rsidR="00F05517">
              <w:rPr>
                <w:rFonts w:cs="Arial"/>
                <w:color w:val="000000"/>
                <w:sz w:val="16"/>
                <w:szCs w:val="16"/>
              </w:rPr>
              <w:t>.12</w:t>
            </w:r>
          </w:p>
        </w:tc>
      </w:tr>
      <w:tr w:rsidR="00543255" w:rsidRPr="00932E84" w14:paraId="2F235C9F"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51F7E041"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pancreas transplants</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2D630EFB"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Monash Health</w:t>
            </w:r>
          </w:p>
        </w:tc>
        <w:tc>
          <w:tcPr>
            <w:tcW w:w="3023" w:type="dxa"/>
            <w:tcBorders>
              <w:top w:val="single" w:sz="4" w:space="0" w:color="auto"/>
              <w:left w:val="single" w:sz="4" w:space="0" w:color="auto"/>
              <w:bottom w:val="single" w:sz="4" w:space="0" w:color="auto"/>
              <w:right w:val="single" w:sz="4" w:space="0" w:color="auto"/>
            </w:tcBorders>
            <w:noWrap/>
            <w:vAlign w:val="center"/>
          </w:tcPr>
          <w:p w14:paraId="4C428634" w14:textId="1E67801B" w:rsidR="00543255" w:rsidRPr="00932E84" w:rsidRDefault="00543255" w:rsidP="00543255">
            <w:pPr>
              <w:spacing w:after="0" w:line="240" w:lineRule="auto"/>
              <w:jc w:val="right"/>
              <w:rPr>
                <w:rFonts w:cs="Arial"/>
                <w:color w:val="000000"/>
                <w:sz w:val="16"/>
                <w:szCs w:val="16"/>
                <w:lang w:eastAsia="en-AU"/>
              </w:rPr>
            </w:pPr>
            <w:r>
              <w:rPr>
                <w:rFonts w:cs="Arial"/>
                <w:color w:val="000000"/>
                <w:sz w:val="16"/>
                <w:szCs w:val="16"/>
              </w:rPr>
              <w:t>15</w:t>
            </w:r>
          </w:p>
        </w:tc>
      </w:tr>
      <w:tr w:rsidR="00543255" w:rsidRPr="00932E84" w14:paraId="7A4602F1"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7AA51088"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transplants paediatric liver</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29782A44"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Austin Health</w:t>
            </w:r>
          </w:p>
        </w:tc>
        <w:tc>
          <w:tcPr>
            <w:tcW w:w="3023" w:type="dxa"/>
            <w:tcBorders>
              <w:top w:val="single" w:sz="4" w:space="0" w:color="auto"/>
              <w:left w:val="single" w:sz="4" w:space="0" w:color="auto"/>
              <w:bottom w:val="single" w:sz="4" w:space="0" w:color="auto"/>
              <w:right w:val="single" w:sz="4" w:space="0" w:color="auto"/>
            </w:tcBorders>
            <w:noWrap/>
            <w:vAlign w:val="center"/>
          </w:tcPr>
          <w:p w14:paraId="01FA4C19" w14:textId="5425183A" w:rsidR="00543255" w:rsidRPr="00932E84" w:rsidRDefault="00F05517" w:rsidP="00543255">
            <w:pPr>
              <w:spacing w:after="0" w:line="240" w:lineRule="auto"/>
              <w:jc w:val="right"/>
              <w:rPr>
                <w:rFonts w:cs="Arial"/>
                <w:color w:val="000000"/>
                <w:sz w:val="16"/>
                <w:szCs w:val="16"/>
                <w:lang w:eastAsia="en-AU"/>
              </w:rPr>
            </w:pPr>
            <w:r>
              <w:rPr>
                <w:rFonts w:cs="Arial"/>
                <w:color w:val="000000"/>
                <w:sz w:val="16"/>
                <w:szCs w:val="16"/>
              </w:rPr>
              <w:t>4.</w:t>
            </w:r>
            <w:r w:rsidR="00543255">
              <w:rPr>
                <w:rFonts w:cs="Arial"/>
                <w:color w:val="000000"/>
                <w:sz w:val="16"/>
                <w:szCs w:val="16"/>
              </w:rPr>
              <w:t>5</w:t>
            </w:r>
          </w:p>
        </w:tc>
      </w:tr>
      <w:tr w:rsidR="00543255" w:rsidRPr="00932E84" w14:paraId="5FD330A1"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hideMark/>
          </w:tcPr>
          <w:p w14:paraId="6AEBC9AB" w14:textId="77777777"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NFC transplants paediatric liver</w:t>
            </w: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72A48819" w14:textId="6C57FD14" w:rsidR="00543255" w:rsidRPr="00932E84" w:rsidRDefault="00543255" w:rsidP="00543255">
            <w:pPr>
              <w:spacing w:after="0" w:line="240" w:lineRule="auto"/>
              <w:rPr>
                <w:rFonts w:cs="Arial"/>
                <w:color w:val="000000"/>
                <w:sz w:val="16"/>
                <w:szCs w:val="16"/>
                <w:lang w:eastAsia="en-AU"/>
              </w:rPr>
            </w:pPr>
            <w:r w:rsidRPr="00932E84">
              <w:rPr>
                <w:rFonts w:cs="Arial"/>
                <w:color w:val="000000"/>
                <w:sz w:val="16"/>
                <w:szCs w:val="16"/>
                <w:lang w:eastAsia="en-AU"/>
              </w:rPr>
              <w:t>The Royal Children</w:t>
            </w:r>
            <w:r w:rsidR="00544284">
              <w:rPr>
                <w:rFonts w:cs="Arial"/>
                <w:color w:val="000000"/>
                <w:sz w:val="16"/>
                <w:szCs w:val="16"/>
                <w:lang w:eastAsia="en-AU"/>
              </w:rPr>
              <w:t>’</w:t>
            </w:r>
            <w:r w:rsidRPr="00932E84">
              <w:rPr>
                <w:rFonts w:cs="Arial"/>
                <w:color w:val="000000"/>
                <w:sz w:val="16"/>
                <w:szCs w:val="16"/>
                <w:lang w:eastAsia="en-AU"/>
              </w:rPr>
              <w:t>s Hospital</w:t>
            </w:r>
          </w:p>
        </w:tc>
        <w:tc>
          <w:tcPr>
            <w:tcW w:w="3023" w:type="dxa"/>
            <w:tcBorders>
              <w:top w:val="single" w:sz="4" w:space="0" w:color="auto"/>
              <w:left w:val="single" w:sz="4" w:space="0" w:color="auto"/>
              <w:bottom w:val="single" w:sz="4" w:space="0" w:color="auto"/>
              <w:right w:val="single" w:sz="4" w:space="0" w:color="auto"/>
            </w:tcBorders>
            <w:noWrap/>
            <w:vAlign w:val="center"/>
          </w:tcPr>
          <w:p w14:paraId="2D062556" w14:textId="18947BF3" w:rsidR="00543255" w:rsidRPr="00932E84" w:rsidRDefault="00F05517" w:rsidP="00543255">
            <w:pPr>
              <w:spacing w:after="0" w:line="240" w:lineRule="auto"/>
              <w:jc w:val="right"/>
              <w:rPr>
                <w:rFonts w:cs="Arial"/>
                <w:color w:val="000000"/>
                <w:sz w:val="16"/>
                <w:szCs w:val="16"/>
                <w:lang w:eastAsia="en-AU"/>
              </w:rPr>
            </w:pPr>
            <w:r>
              <w:rPr>
                <w:rFonts w:cs="Arial"/>
                <w:color w:val="000000"/>
                <w:sz w:val="16"/>
                <w:szCs w:val="16"/>
              </w:rPr>
              <w:t>5.5</w:t>
            </w:r>
          </w:p>
        </w:tc>
      </w:tr>
      <w:tr w:rsidR="001D2693" w:rsidRPr="00932E84" w14:paraId="6E5A95AB" w14:textId="77777777" w:rsidTr="000674C4">
        <w:trPr>
          <w:trHeight w:val="300"/>
        </w:trPr>
        <w:tc>
          <w:tcPr>
            <w:tcW w:w="3022" w:type="dxa"/>
            <w:tcBorders>
              <w:top w:val="single" w:sz="4" w:space="0" w:color="auto"/>
              <w:left w:val="single" w:sz="4" w:space="0" w:color="auto"/>
              <w:bottom w:val="single" w:sz="4" w:space="0" w:color="auto"/>
              <w:right w:val="single" w:sz="4" w:space="0" w:color="auto"/>
            </w:tcBorders>
            <w:noWrap/>
            <w:vAlign w:val="center"/>
          </w:tcPr>
          <w:p w14:paraId="4A12E43A" w14:textId="746ECF9E" w:rsidR="001D2693" w:rsidRPr="00CA596E" w:rsidRDefault="001D2693" w:rsidP="00543255">
            <w:pPr>
              <w:spacing w:after="0" w:line="240" w:lineRule="auto"/>
              <w:rPr>
                <w:rFonts w:cs="Arial"/>
                <w:b/>
                <w:bCs/>
                <w:color w:val="000000"/>
                <w:sz w:val="16"/>
                <w:szCs w:val="16"/>
                <w:lang w:eastAsia="en-AU"/>
              </w:rPr>
            </w:pPr>
            <w:r w:rsidRPr="00CA596E">
              <w:rPr>
                <w:rFonts w:cs="Arial"/>
                <w:b/>
                <w:bCs/>
                <w:color w:val="000000"/>
                <w:sz w:val="16"/>
                <w:szCs w:val="16"/>
                <w:lang w:eastAsia="en-AU"/>
              </w:rPr>
              <w:t>Total</w:t>
            </w:r>
          </w:p>
        </w:tc>
        <w:tc>
          <w:tcPr>
            <w:tcW w:w="3022" w:type="dxa"/>
            <w:tcBorders>
              <w:top w:val="single" w:sz="4" w:space="0" w:color="auto"/>
              <w:left w:val="single" w:sz="4" w:space="0" w:color="auto"/>
              <w:bottom w:val="single" w:sz="4" w:space="0" w:color="auto"/>
              <w:right w:val="single" w:sz="4" w:space="0" w:color="auto"/>
            </w:tcBorders>
            <w:noWrap/>
            <w:vAlign w:val="center"/>
          </w:tcPr>
          <w:p w14:paraId="51CA58D7" w14:textId="77777777" w:rsidR="001D2693" w:rsidRPr="00932E84" w:rsidRDefault="001D2693" w:rsidP="00543255">
            <w:pPr>
              <w:spacing w:after="0" w:line="240" w:lineRule="auto"/>
              <w:rPr>
                <w:rFonts w:cs="Arial"/>
                <w:color w:val="000000"/>
                <w:sz w:val="16"/>
                <w:szCs w:val="16"/>
                <w:lang w:eastAsia="en-AU"/>
              </w:rPr>
            </w:pPr>
          </w:p>
        </w:tc>
        <w:tc>
          <w:tcPr>
            <w:tcW w:w="3023" w:type="dxa"/>
            <w:tcBorders>
              <w:top w:val="single" w:sz="4" w:space="0" w:color="auto"/>
              <w:left w:val="single" w:sz="4" w:space="0" w:color="auto"/>
              <w:bottom w:val="single" w:sz="4" w:space="0" w:color="auto"/>
              <w:right w:val="single" w:sz="4" w:space="0" w:color="auto"/>
            </w:tcBorders>
            <w:noWrap/>
            <w:vAlign w:val="center"/>
          </w:tcPr>
          <w:p w14:paraId="5ABF0CCA" w14:textId="3C8E7324" w:rsidR="001D2693" w:rsidRDefault="00CA596E" w:rsidP="00543255">
            <w:pPr>
              <w:spacing w:after="0" w:line="240" w:lineRule="auto"/>
              <w:jc w:val="right"/>
              <w:rPr>
                <w:rFonts w:cs="Arial"/>
                <w:color w:val="000000"/>
                <w:sz w:val="16"/>
                <w:szCs w:val="16"/>
              </w:rPr>
            </w:pPr>
            <w:r>
              <w:rPr>
                <w:rFonts w:cs="Arial"/>
                <w:color w:val="000000"/>
                <w:sz w:val="16"/>
                <w:szCs w:val="16"/>
              </w:rPr>
              <w:t>49</w:t>
            </w:r>
          </w:p>
        </w:tc>
      </w:tr>
      <w:bookmarkEnd w:id="2415"/>
    </w:tbl>
    <w:p w14:paraId="09C1EB7F" w14:textId="77777777" w:rsidR="005B699B" w:rsidRDefault="005B699B" w:rsidP="005B699B">
      <w:pPr>
        <w:pStyle w:val="Body"/>
      </w:pPr>
    </w:p>
    <w:p w14:paraId="6F742733" w14:textId="77777777" w:rsidR="005B699B" w:rsidRDefault="005B699B" w:rsidP="005B699B">
      <w:pPr>
        <w:pStyle w:val="Body"/>
      </w:pPr>
    </w:p>
    <w:p w14:paraId="5610B4FB" w14:textId="77777777" w:rsidR="005B699B" w:rsidRPr="00285665" w:rsidRDefault="005B699B" w:rsidP="005B699B">
      <w:pPr>
        <w:pStyle w:val="Body"/>
      </w:pPr>
    </w:p>
    <w:p w14:paraId="59FBD8C6" w14:textId="77777777" w:rsidR="005B699B" w:rsidRDefault="005B699B" w:rsidP="001E4292">
      <w:pPr>
        <w:pStyle w:val="Heading3"/>
        <w:numPr>
          <w:ilvl w:val="2"/>
          <w:numId w:val="13"/>
        </w:numPr>
        <w:sectPr w:rsidR="005B699B" w:rsidSect="005B699B">
          <w:headerReference w:type="even" r:id="rId81"/>
          <w:headerReference w:type="default" r:id="rId82"/>
          <w:footerReference w:type="even" r:id="rId83"/>
          <w:footerReference w:type="default" r:id="rId84"/>
          <w:headerReference w:type="first" r:id="rId85"/>
          <w:pgSz w:w="11906" w:h="16838" w:code="9"/>
          <w:pgMar w:top="1134" w:right="1304" w:bottom="964" w:left="1304" w:header="624" w:footer="567" w:gutter="0"/>
          <w:cols w:space="340"/>
          <w:docGrid w:linePitch="360"/>
        </w:sectPr>
      </w:pPr>
      <w:bookmarkStart w:id="2666" w:name="_Toc12780677"/>
      <w:bookmarkStart w:id="2667" w:name="_Toc14172318"/>
      <w:bookmarkStart w:id="2668" w:name="_Toc33703992"/>
      <w:bookmarkStart w:id="2669" w:name="_Toc55381180"/>
    </w:p>
    <w:p w14:paraId="2DB80ABC" w14:textId="77777777" w:rsidR="005B699B" w:rsidRDefault="005B699B" w:rsidP="001E4292">
      <w:pPr>
        <w:pStyle w:val="Heading2"/>
        <w:numPr>
          <w:ilvl w:val="1"/>
          <w:numId w:val="13"/>
        </w:numPr>
        <w:ind w:left="1134" w:hanging="1134"/>
      </w:pPr>
      <w:bookmarkStart w:id="2670" w:name="_Toc100263384"/>
      <w:bookmarkStart w:id="2671" w:name="_Toc165961878"/>
      <w:bookmarkStart w:id="2672" w:name="_Toc178963664"/>
      <w:r>
        <w:lastRenderedPageBreak/>
        <w:t xml:space="preserve">Mental health acute, non-acute, </w:t>
      </w:r>
      <w:r w:rsidRPr="000A1079">
        <w:t>subacute</w:t>
      </w:r>
      <w:r>
        <w:t xml:space="preserve">, and residential </w:t>
      </w:r>
      <w:r w:rsidRPr="00617A77">
        <w:t>available beds</w:t>
      </w:r>
      <w:r>
        <w:t xml:space="preserve"> </w:t>
      </w:r>
      <w:bookmarkEnd w:id="2666"/>
      <w:bookmarkEnd w:id="2667"/>
      <w:bookmarkEnd w:id="2668"/>
      <w:bookmarkEnd w:id="2669"/>
      <w:bookmarkEnd w:id="2670"/>
      <w:r>
        <w:t>2024–25</w:t>
      </w:r>
      <w:bookmarkEnd w:id="2671"/>
      <w:bookmarkEnd w:id="2672"/>
    </w:p>
    <w:p w14:paraId="3AFB8076" w14:textId="36D897C0" w:rsidR="00F21A50" w:rsidRPr="00E00C4E" w:rsidRDefault="00462DC7" w:rsidP="00F21A50">
      <w:pPr>
        <w:pStyle w:val="Tablecaption"/>
      </w:pPr>
      <w:bookmarkStart w:id="2673" w:name="_Toc176510431"/>
      <w:r>
        <w:t xml:space="preserve">Table </w:t>
      </w:r>
      <w:r w:rsidR="00481793">
        <w:t>2</w:t>
      </w:r>
      <w:r w:rsidR="000E0ED2">
        <w:t>.</w:t>
      </w:r>
      <w:r>
        <w:fldChar w:fldCharType="begin"/>
      </w:r>
      <w:r>
        <w:instrText>SEQ Table \* ARABIC \s 1</w:instrText>
      </w:r>
      <w:r>
        <w:fldChar w:fldCharType="separate"/>
      </w:r>
      <w:r w:rsidR="00F30C16">
        <w:rPr>
          <w:noProof/>
        </w:rPr>
        <w:t>18</w:t>
      </w:r>
      <w:r>
        <w:fldChar w:fldCharType="end"/>
      </w:r>
      <w:r w:rsidRPr="00271AC6">
        <w:t xml:space="preserve">: </w:t>
      </w:r>
      <w:r w:rsidR="009B378E" w:rsidRPr="00AA57BF">
        <w:t xml:space="preserve">Victorian Institute of Forensic Mental Health </w:t>
      </w:r>
      <w:r w:rsidR="00C66C93" w:rsidRPr="00AA57BF">
        <w:t xml:space="preserve">acute available </w:t>
      </w:r>
      <w:r w:rsidR="00F01E20" w:rsidRPr="00AA57BF">
        <w:t>beds 2024-25</w:t>
      </w:r>
      <w:bookmarkEnd w:id="2673"/>
      <w:r w:rsidR="002B2F2D">
        <w:t xml:space="preserve"> </w:t>
      </w:r>
    </w:p>
    <w:tbl>
      <w:tblPr>
        <w:tblStyle w:val="TableGrid"/>
        <w:tblW w:w="9838" w:type="dxa"/>
        <w:tblLayout w:type="fixed"/>
        <w:tblLook w:val="06A0" w:firstRow="1" w:lastRow="0" w:firstColumn="1" w:lastColumn="0" w:noHBand="1" w:noVBand="1"/>
      </w:tblPr>
      <w:tblGrid>
        <w:gridCol w:w="2118"/>
        <w:gridCol w:w="1286"/>
        <w:gridCol w:w="1287"/>
        <w:gridCol w:w="1287"/>
        <w:gridCol w:w="1286"/>
        <w:gridCol w:w="1287"/>
        <w:gridCol w:w="1287"/>
      </w:tblGrid>
      <w:tr w:rsidR="00AB6FB6" w14:paraId="3C93C298" w14:textId="77777777" w:rsidTr="000674C4">
        <w:trPr>
          <w:trHeight w:val="645"/>
        </w:trPr>
        <w:tc>
          <w:tcPr>
            <w:tcW w:w="2118" w:type="dxa"/>
            <w:tcMar>
              <w:left w:w="57" w:type="dxa"/>
              <w:right w:w="57" w:type="dxa"/>
            </w:tcMar>
          </w:tcPr>
          <w:p w14:paraId="166B0E1B" w14:textId="77777777" w:rsidR="00AB6FB6" w:rsidRDefault="00AB6FB6">
            <w:pPr>
              <w:spacing w:before="80" w:after="60"/>
            </w:pPr>
            <w:r w:rsidRPr="643D9B3F">
              <w:rPr>
                <w:rFonts w:eastAsia="Arial" w:cs="Arial"/>
                <w:b/>
                <w:bCs/>
                <w:color w:val="53565A"/>
                <w:sz w:val="16"/>
                <w:szCs w:val="16"/>
              </w:rPr>
              <w:t>Health service</w:t>
            </w:r>
          </w:p>
        </w:tc>
        <w:tc>
          <w:tcPr>
            <w:tcW w:w="1286" w:type="dxa"/>
            <w:tcMar>
              <w:left w:w="57" w:type="dxa"/>
              <w:right w:w="57" w:type="dxa"/>
            </w:tcMar>
          </w:tcPr>
          <w:p w14:paraId="2408E745" w14:textId="77777777" w:rsidR="00AB6FB6" w:rsidRDefault="00AB6FB6">
            <w:pPr>
              <w:spacing w:before="80" w:after="60"/>
              <w:jc w:val="right"/>
            </w:pPr>
            <w:r w:rsidRPr="643D9B3F">
              <w:rPr>
                <w:rFonts w:eastAsia="Arial" w:cs="Arial"/>
                <w:b/>
                <w:bCs/>
                <w:color w:val="53565A"/>
                <w:sz w:val="16"/>
                <w:szCs w:val="16"/>
              </w:rPr>
              <w:t>Mental health funded bed – acute specialist</w:t>
            </w:r>
          </w:p>
        </w:tc>
        <w:tc>
          <w:tcPr>
            <w:tcW w:w="1287" w:type="dxa"/>
            <w:tcMar>
              <w:left w:w="57" w:type="dxa"/>
              <w:right w:w="57" w:type="dxa"/>
            </w:tcMar>
          </w:tcPr>
          <w:p w14:paraId="049D0428" w14:textId="77777777" w:rsidR="00AB6FB6" w:rsidRDefault="00AB6FB6">
            <w:pPr>
              <w:spacing w:before="80" w:after="60"/>
              <w:jc w:val="right"/>
            </w:pPr>
            <w:r w:rsidRPr="643D9B3F">
              <w:rPr>
                <w:rFonts w:eastAsia="Arial" w:cs="Arial"/>
                <w:b/>
                <w:bCs/>
                <w:color w:val="53565A"/>
                <w:sz w:val="16"/>
                <w:szCs w:val="16"/>
              </w:rPr>
              <w:t>Mental health funded bed – acute adult</w:t>
            </w:r>
          </w:p>
        </w:tc>
        <w:tc>
          <w:tcPr>
            <w:tcW w:w="1287" w:type="dxa"/>
            <w:tcMar>
              <w:left w:w="57" w:type="dxa"/>
              <w:right w:w="57" w:type="dxa"/>
            </w:tcMar>
          </w:tcPr>
          <w:p w14:paraId="16B52DF4" w14:textId="77777777" w:rsidR="00AB6FB6" w:rsidRDefault="00AB6FB6">
            <w:pPr>
              <w:spacing w:before="80" w:after="60"/>
              <w:jc w:val="right"/>
            </w:pPr>
            <w:r w:rsidRPr="643D9B3F">
              <w:rPr>
                <w:rFonts w:eastAsia="Arial" w:cs="Arial"/>
                <w:b/>
                <w:bCs/>
                <w:color w:val="53565A"/>
                <w:sz w:val="16"/>
                <w:szCs w:val="16"/>
              </w:rPr>
              <w:t>Mental health funded bed – acute aged</w:t>
            </w:r>
          </w:p>
        </w:tc>
        <w:tc>
          <w:tcPr>
            <w:tcW w:w="1286" w:type="dxa"/>
            <w:tcMar>
              <w:left w:w="57" w:type="dxa"/>
              <w:right w:w="57" w:type="dxa"/>
            </w:tcMar>
          </w:tcPr>
          <w:p w14:paraId="3FB09EB1" w14:textId="77777777" w:rsidR="00AB6FB6" w:rsidRDefault="00AB6FB6">
            <w:pPr>
              <w:spacing w:before="80" w:after="60"/>
              <w:jc w:val="right"/>
            </w:pPr>
            <w:r w:rsidRPr="643D9B3F">
              <w:rPr>
                <w:rFonts w:eastAsia="Arial" w:cs="Arial"/>
                <w:b/>
                <w:bCs/>
                <w:color w:val="53565A"/>
                <w:sz w:val="16"/>
                <w:szCs w:val="16"/>
              </w:rPr>
              <w:t>Mental health funded bed – acute child and adolescent</w:t>
            </w:r>
          </w:p>
        </w:tc>
        <w:tc>
          <w:tcPr>
            <w:tcW w:w="1287" w:type="dxa"/>
            <w:tcMar>
              <w:left w:w="57" w:type="dxa"/>
              <w:right w:w="57" w:type="dxa"/>
            </w:tcMar>
          </w:tcPr>
          <w:p w14:paraId="75C4B6DA" w14:textId="77777777" w:rsidR="00AB6FB6" w:rsidRDefault="00AB6FB6">
            <w:pPr>
              <w:spacing w:before="80" w:after="60"/>
              <w:jc w:val="right"/>
            </w:pPr>
            <w:r w:rsidRPr="643D9B3F">
              <w:rPr>
                <w:rFonts w:eastAsia="Arial" w:cs="Arial"/>
                <w:b/>
                <w:bCs/>
                <w:color w:val="53565A"/>
                <w:sz w:val="16"/>
                <w:szCs w:val="16"/>
              </w:rPr>
              <w:t>Total</w:t>
            </w:r>
          </w:p>
          <w:p w14:paraId="16A7BF23" w14:textId="77777777" w:rsidR="00AB6FB6" w:rsidRDefault="00AB6FB6">
            <w:pPr>
              <w:spacing w:before="80" w:after="60"/>
              <w:jc w:val="right"/>
            </w:pPr>
            <w:r w:rsidRPr="643D9B3F">
              <w:rPr>
                <w:rFonts w:eastAsia="Arial" w:cs="Arial"/>
                <w:b/>
                <w:bCs/>
                <w:color w:val="53565A"/>
                <w:sz w:val="16"/>
                <w:szCs w:val="16"/>
              </w:rPr>
              <w:t xml:space="preserve">Mental health funded acute bed </w:t>
            </w:r>
          </w:p>
        </w:tc>
        <w:tc>
          <w:tcPr>
            <w:tcW w:w="1287" w:type="dxa"/>
            <w:tcMar>
              <w:left w:w="57" w:type="dxa"/>
              <w:right w:w="57" w:type="dxa"/>
            </w:tcMar>
          </w:tcPr>
          <w:p w14:paraId="3C5C5198" w14:textId="77777777" w:rsidR="00AB6FB6" w:rsidRDefault="00AB6FB6">
            <w:pPr>
              <w:spacing w:before="80" w:after="60"/>
              <w:jc w:val="right"/>
            </w:pPr>
            <w:r w:rsidRPr="643D9B3F">
              <w:rPr>
                <w:rFonts w:eastAsia="Arial" w:cs="Arial"/>
                <w:b/>
                <w:bCs/>
                <w:color w:val="53565A"/>
                <w:sz w:val="16"/>
                <w:szCs w:val="16"/>
              </w:rPr>
              <w:t>Total</w:t>
            </w:r>
          </w:p>
          <w:p w14:paraId="3CB310AE" w14:textId="77777777" w:rsidR="00AB6FB6" w:rsidRDefault="00AB6FB6">
            <w:pPr>
              <w:spacing w:before="80" w:after="60"/>
              <w:jc w:val="right"/>
            </w:pPr>
            <w:r w:rsidRPr="643D9B3F">
              <w:rPr>
                <w:rFonts w:eastAsia="Arial" w:cs="Arial"/>
                <w:b/>
                <w:bCs/>
                <w:color w:val="53565A"/>
                <w:sz w:val="16"/>
                <w:szCs w:val="16"/>
              </w:rPr>
              <w:t>Mental health funded acute bed days</w:t>
            </w:r>
          </w:p>
        </w:tc>
      </w:tr>
      <w:tr w:rsidR="00161649" w14:paraId="05D70EA5" w14:textId="77777777" w:rsidTr="000674C4">
        <w:trPr>
          <w:trHeight w:val="405"/>
        </w:trPr>
        <w:tc>
          <w:tcPr>
            <w:tcW w:w="2118" w:type="dxa"/>
            <w:tcMar>
              <w:left w:w="57" w:type="dxa"/>
              <w:right w:w="57" w:type="dxa"/>
            </w:tcMar>
          </w:tcPr>
          <w:p w14:paraId="0B9D23D4" w14:textId="77777777" w:rsidR="00161649" w:rsidRDefault="00161649" w:rsidP="00161649">
            <w:r w:rsidRPr="643D9B3F">
              <w:rPr>
                <w:rFonts w:eastAsia="Arial" w:cs="Arial"/>
                <w:color w:val="000000" w:themeColor="text1"/>
                <w:sz w:val="16"/>
                <w:szCs w:val="16"/>
              </w:rPr>
              <w:t>Victorian Institute of Forensic Mental Health</w:t>
            </w:r>
          </w:p>
        </w:tc>
        <w:tc>
          <w:tcPr>
            <w:tcW w:w="1286" w:type="dxa"/>
            <w:tcMar>
              <w:left w:w="57" w:type="dxa"/>
              <w:right w:w="57" w:type="dxa"/>
            </w:tcMar>
            <w:vAlign w:val="center"/>
          </w:tcPr>
          <w:p w14:paraId="267430FE" w14:textId="41298C79" w:rsidR="00161649" w:rsidRDefault="00161649" w:rsidP="00161649">
            <w:pPr>
              <w:jc w:val="right"/>
            </w:pPr>
            <w:r w:rsidRPr="643D9B3F">
              <w:rPr>
                <w:rFonts w:eastAsia="Arial" w:cs="Arial"/>
                <w:color w:val="000000" w:themeColor="text1"/>
                <w:sz w:val="16"/>
                <w:szCs w:val="16"/>
              </w:rPr>
              <w:t>54</w:t>
            </w:r>
          </w:p>
        </w:tc>
        <w:tc>
          <w:tcPr>
            <w:tcW w:w="1287" w:type="dxa"/>
            <w:tcMar>
              <w:left w:w="57" w:type="dxa"/>
              <w:right w:w="57" w:type="dxa"/>
            </w:tcMar>
            <w:vAlign w:val="center"/>
          </w:tcPr>
          <w:p w14:paraId="528843DC" w14:textId="71FEE787" w:rsidR="00161649" w:rsidRDefault="00161649" w:rsidP="00161649">
            <w:pPr>
              <w:jc w:val="right"/>
            </w:pPr>
            <w:r w:rsidRPr="643D9B3F">
              <w:rPr>
                <w:rFonts w:eastAsia="Arial" w:cs="Arial"/>
                <w:color w:val="000000" w:themeColor="text1"/>
                <w:sz w:val="16"/>
                <w:szCs w:val="16"/>
              </w:rPr>
              <w:t xml:space="preserve"> </w:t>
            </w:r>
          </w:p>
        </w:tc>
        <w:tc>
          <w:tcPr>
            <w:tcW w:w="1287" w:type="dxa"/>
            <w:tcMar>
              <w:left w:w="57" w:type="dxa"/>
              <w:right w:w="57" w:type="dxa"/>
            </w:tcMar>
            <w:vAlign w:val="center"/>
          </w:tcPr>
          <w:p w14:paraId="50A0229E" w14:textId="5B05239F" w:rsidR="00161649" w:rsidRDefault="00161649" w:rsidP="00161649">
            <w:pPr>
              <w:jc w:val="right"/>
            </w:pPr>
            <w:r w:rsidRPr="643D9B3F">
              <w:rPr>
                <w:rFonts w:eastAsia="Arial" w:cs="Arial"/>
                <w:color w:val="000000" w:themeColor="text1"/>
                <w:sz w:val="16"/>
                <w:szCs w:val="16"/>
              </w:rPr>
              <w:t xml:space="preserve"> </w:t>
            </w:r>
          </w:p>
        </w:tc>
        <w:tc>
          <w:tcPr>
            <w:tcW w:w="1286" w:type="dxa"/>
            <w:tcMar>
              <w:left w:w="57" w:type="dxa"/>
              <w:right w:w="57" w:type="dxa"/>
            </w:tcMar>
            <w:vAlign w:val="center"/>
          </w:tcPr>
          <w:p w14:paraId="2A5CDD1E" w14:textId="6F347515" w:rsidR="00161649" w:rsidRDefault="00161649" w:rsidP="00161649">
            <w:pPr>
              <w:jc w:val="right"/>
            </w:pPr>
            <w:r w:rsidRPr="643D9B3F">
              <w:rPr>
                <w:rFonts w:eastAsia="Arial" w:cs="Arial"/>
                <w:color w:val="000000" w:themeColor="text1"/>
                <w:sz w:val="16"/>
                <w:szCs w:val="16"/>
              </w:rPr>
              <w:t xml:space="preserve"> </w:t>
            </w:r>
          </w:p>
        </w:tc>
        <w:tc>
          <w:tcPr>
            <w:tcW w:w="1287" w:type="dxa"/>
            <w:tcMar>
              <w:left w:w="57" w:type="dxa"/>
              <w:right w:w="57" w:type="dxa"/>
            </w:tcMar>
            <w:vAlign w:val="center"/>
          </w:tcPr>
          <w:p w14:paraId="479B99F2" w14:textId="4A7C9D2A" w:rsidR="00161649" w:rsidRDefault="00161649" w:rsidP="00161649">
            <w:pPr>
              <w:jc w:val="right"/>
            </w:pPr>
            <w:r>
              <w:rPr>
                <w:rFonts w:eastAsia="Arial" w:cs="Arial"/>
                <w:color w:val="000000" w:themeColor="text1"/>
                <w:sz w:val="16"/>
                <w:szCs w:val="16"/>
              </w:rPr>
              <w:t>54</w:t>
            </w:r>
          </w:p>
        </w:tc>
        <w:tc>
          <w:tcPr>
            <w:tcW w:w="1287" w:type="dxa"/>
            <w:tcMar>
              <w:left w:w="57" w:type="dxa"/>
              <w:right w:w="57" w:type="dxa"/>
            </w:tcMar>
            <w:vAlign w:val="center"/>
          </w:tcPr>
          <w:p w14:paraId="376DAEC8" w14:textId="29A63BE3" w:rsidR="00161649" w:rsidRDefault="00161649" w:rsidP="00161649">
            <w:pPr>
              <w:jc w:val="right"/>
            </w:pPr>
            <w:r w:rsidRPr="004900D9">
              <w:rPr>
                <w:rFonts w:eastAsia="Arial" w:cs="Arial"/>
                <w:color w:val="000000" w:themeColor="text1"/>
                <w:sz w:val="16"/>
                <w:szCs w:val="16"/>
              </w:rPr>
              <w:t>19,710</w:t>
            </w:r>
          </w:p>
        </w:tc>
      </w:tr>
    </w:tbl>
    <w:p w14:paraId="0B80DD31" w14:textId="77777777" w:rsidR="00AB6FB6" w:rsidRPr="00E00C4E" w:rsidRDefault="00AB6FB6" w:rsidP="008A5B27">
      <w:pPr>
        <w:pStyle w:val="Body"/>
      </w:pPr>
    </w:p>
    <w:p w14:paraId="3D0FC733" w14:textId="0359ADC1" w:rsidR="005B699B" w:rsidRDefault="00462DC7" w:rsidP="00297FC9">
      <w:pPr>
        <w:pStyle w:val="Tablecaption"/>
      </w:pPr>
      <w:bookmarkStart w:id="2674" w:name="_Toc176510432"/>
      <w:r>
        <w:t xml:space="preserve">Table </w:t>
      </w:r>
      <w:r w:rsidR="00110E39">
        <w:t>2</w:t>
      </w:r>
      <w:r w:rsidR="000E0ED2">
        <w:t>.</w:t>
      </w:r>
      <w:r>
        <w:fldChar w:fldCharType="begin"/>
      </w:r>
      <w:r>
        <w:instrText>SEQ Table \* ARABIC \s 1</w:instrText>
      </w:r>
      <w:r>
        <w:fldChar w:fldCharType="separate"/>
      </w:r>
      <w:r w:rsidR="00F30C16">
        <w:rPr>
          <w:noProof/>
        </w:rPr>
        <w:t>19</w:t>
      </w:r>
      <w:r>
        <w:fldChar w:fldCharType="end"/>
      </w:r>
      <w:r w:rsidRPr="00271AC6">
        <w:t xml:space="preserve">: </w:t>
      </w:r>
      <w:r w:rsidR="00CE1E8E" w:rsidRPr="00271AC6">
        <w:t xml:space="preserve">Mental health non-acute, subacute and </w:t>
      </w:r>
      <w:r w:rsidR="00CE1E8E" w:rsidRPr="00063268">
        <w:t>residential available beds</w:t>
      </w:r>
      <w:r w:rsidR="00CE1E8E" w:rsidRPr="00271AC6">
        <w:t xml:space="preserve"> </w:t>
      </w:r>
      <w:r w:rsidR="00CE1E8E" w:rsidRPr="00697369">
        <w:t>202</w:t>
      </w:r>
      <w:r w:rsidR="00CE1E8E">
        <w:t>4–</w:t>
      </w:r>
      <w:r w:rsidR="00CE1E8E" w:rsidRPr="00697369">
        <w:t>2</w:t>
      </w:r>
      <w:r w:rsidR="00CE1E8E">
        <w:t>5</w:t>
      </w:r>
      <w:bookmarkEnd w:id="2674"/>
      <w:r w:rsidR="00051FFE">
        <w:t xml:space="preserve"> </w:t>
      </w:r>
    </w:p>
    <w:p w14:paraId="2159BB35" w14:textId="77777777" w:rsidR="005B699B" w:rsidRDefault="005B699B" w:rsidP="00E00C4E">
      <w:pPr>
        <w:pStyle w:val="Body"/>
      </w:pPr>
      <w:r w:rsidRPr="00E00C4E">
        <w:t>Metropolitan and regional</w:t>
      </w:r>
    </w:p>
    <w:tbl>
      <w:tblPr>
        <w:tblStyle w:val="TableGrid1"/>
        <w:tblW w:w="9294" w:type="dxa"/>
        <w:tblInd w:w="57" w:type="dxa"/>
        <w:tblLook w:val="04A0" w:firstRow="1" w:lastRow="0" w:firstColumn="1" w:lastColumn="0" w:noHBand="0" w:noVBand="1"/>
      </w:tblPr>
      <w:tblGrid>
        <w:gridCol w:w="1418"/>
        <w:gridCol w:w="1312"/>
        <w:gridCol w:w="1313"/>
        <w:gridCol w:w="1313"/>
        <w:gridCol w:w="1312"/>
        <w:gridCol w:w="1313"/>
        <w:gridCol w:w="1313"/>
      </w:tblGrid>
      <w:tr w:rsidR="00202965" w:rsidRPr="00A030E3" w14:paraId="2C7ABCB6" w14:textId="77777777" w:rsidTr="000674C4">
        <w:trPr>
          <w:cnfStyle w:val="100000000000" w:firstRow="1" w:lastRow="0" w:firstColumn="0" w:lastColumn="0" w:oddVBand="0" w:evenVBand="0" w:oddHBand="0" w:evenHBand="0" w:firstRowFirstColumn="0" w:firstRowLastColumn="0" w:lastRowFirstColumn="0" w:lastRowLastColumn="0"/>
          <w:trHeight w:val="300"/>
          <w:tblHeader/>
        </w:trPr>
        <w:tc>
          <w:tcPr>
            <w:tcW w:w="1418" w:type="dxa"/>
            <w:shd w:val="clear" w:color="auto" w:fill="auto"/>
          </w:tcPr>
          <w:p w14:paraId="41961874" w14:textId="77777777" w:rsidR="00202965" w:rsidRPr="00A030E3" w:rsidRDefault="00202965">
            <w:pPr>
              <w:pStyle w:val="Tablecolheadlandscape"/>
              <w:rPr>
                <w:lang w:eastAsia="en-AU"/>
              </w:rPr>
            </w:pPr>
            <w:r w:rsidRPr="003E2E75">
              <w:rPr>
                <w:lang w:eastAsia="en-AU"/>
              </w:rPr>
              <w:t>Health service</w:t>
            </w:r>
          </w:p>
        </w:tc>
        <w:tc>
          <w:tcPr>
            <w:tcW w:w="1312" w:type="dxa"/>
            <w:shd w:val="clear" w:color="auto" w:fill="auto"/>
          </w:tcPr>
          <w:p w14:paraId="3634FD32" w14:textId="77777777" w:rsidR="00202965" w:rsidRDefault="00202965">
            <w:pPr>
              <w:jc w:val="right"/>
              <w:rPr>
                <w:rFonts w:cs="Arial"/>
                <w:b/>
                <w:bCs/>
                <w:color w:val="53565A"/>
                <w:sz w:val="16"/>
                <w:szCs w:val="16"/>
              </w:rPr>
            </w:pPr>
            <w:r>
              <w:rPr>
                <w:rFonts w:cs="Arial"/>
                <w:b/>
                <w:bCs/>
                <w:color w:val="53565A"/>
                <w:sz w:val="16"/>
                <w:szCs w:val="16"/>
              </w:rPr>
              <w:t>Mental health funded bed – non-acute</w:t>
            </w:r>
          </w:p>
          <w:p w14:paraId="29E245F3" w14:textId="77777777" w:rsidR="00202965" w:rsidRPr="003E2E75" w:rsidRDefault="00202965">
            <w:pPr>
              <w:pStyle w:val="Tablecolheadlandscape"/>
              <w:jc w:val="right"/>
              <w:rPr>
                <w:lang w:eastAsia="en-AU"/>
              </w:rPr>
            </w:pPr>
          </w:p>
        </w:tc>
        <w:tc>
          <w:tcPr>
            <w:tcW w:w="1313" w:type="dxa"/>
            <w:shd w:val="clear" w:color="auto" w:fill="auto"/>
          </w:tcPr>
          <w:p w14:paraId="68A24C7F" w14:textId="77777777" w:rsidR="00202965" w:rsidRPr="00A030E3" w:rsidRDefault="00202965">
            <w:pPr>
              <w:pStyle w:val="Tablecolheadlandscape"/>
              <w:jc w:val="right"/>
              <w:rPr>
                <w:lang w:eastAsia="en-AU"/>
              </w:rPr>
            </w:pPr>
            <w:r w:rsidRPr="003E2E75">
              <w:rPr>
                <w:lang w:eastAsia="en-AU"/>
              </w:rPr>
              <w:t>Mental health funded bed – subacute CCU</w:t>
            </w:r>
          </w:p>
        </w:tc>
        <w:tc>
          <w:tcPr>
            <w:tcW w:w="1313" w:type="dxa"/>
            <w:shd w:val="clear" w:color="auto" w:fill="auto"/>
          </w:tcPr>
          <w:p w14:paraId="355DA072" w14:textId="77777777" w:rsidR="00202965" w:rsidRPr="00A030E3" w:rsidRDefault="00202965">
            <w:pPr>
              <w:pStyle w:val="Tablecolheadlandscape"/>
              <w:jc w:val="right"/>
              <w:rPr>
                <w:lang w:eastAsia="en-AU"/>
              </w:rPr>
            </w:pPr>
            <w:r w:rsidRPr="003E2E75">
              <w:rPr>
                <w:lang w:eastAsia="en-AU"/>
              </w:rPr>
              <w:t>Mental health funded bed – subacute PARC</w:t>
            </w:r>
          </w:p>
        </w:tc>
        <w:tc>
          <w:tcPr>
            <w:tcW w:w="1312" w:type="dxa"/>
            <w:shd w:val="clear" w:color="auto" w:fill="auto"/>
          </w:tcPr>
          <w:p w14:paraId="63E0F600" w14:textId="77777777" w:rsidR="00202965" w:rsidRPr="00A030E3" w:rsidRDefault="00202965">
            <w:pPr>
              <w:pStyle w:val="Tablecolheadlandscape"/>
              <w:jc w:val="right"/>
              <w:rPr>
                <w:lang w:eastAsia="en-AU"/>
              </w:rPr>
            </w:pPr>
            <w:r w:rsidRPr="003E2E75">
              <w:rPr>
                <w:lang w:eastAsia="en-AU"/>
              </w:rPr>
              <w:t>Mental health funded bed – residential</w:t>
            </w:r>
          </w:p>
        </w:tc>
        <w:tc>
          <w:tcPr>
            <w:tcW w:w="1313" w:type="dxa"/>
            <w:shd w:val="clear" w:color="auto" w:fill="auto"/>
          </w:tcPr>
          <w:p w14:paraId="484A4DDE" w14:textId="77777777" w:rsidR="00202965" w:rsidRDefault="00202965">
            <w:pPr>
              <w:pStyle w:val="Tablecolheadlandscape"/>
              <w:jc w:val="right"/>
              <w:rPr>
                <w:lang w:eastAsia="en-AU"/>
              </w:rPr>
            </w:pPr>
            <w:r>
              <w:rPr>
                <w:lang w:eastAsia="en-AU"/>
              </w:rPr>
              <w:t>Total</w:t>
            </w:r>
          </w:p>
          <w:p w14:paraId="659A1EC1" w14:textId="77777777" w:rsidR="00202965" w:rsidRPr="00A030E3" w:rsidRDefault="00202965">
            <w:pPr>
              <w:pStyle w:val="Tablecolheadlandscape"/>
              <w:jc w:val="right"/>
              <w:rPr>
                <w:lang w:eastAsia="en-AU"/>
              </w:rPr>
            </w:pPr>
            <w:r w:rsidRPr="003E2E75">
              <w:rPr>
                <w:lang w:eastAsia="en-AU"/>
              </w:rPr>
              <w:t>Mental health funded subacute and residential bed</w:t>
            </w:r>
          </w:p>
        </w:tc>
        <w:tc>
          <w:tcPr>
            <w:tcW w:w="1313" w:type="dxa"/>
            <w:shd w:val="clear" w:color="auto" w:fill="auto"/>
          </w:tcPr>
          <w:p w14:paraId="649ABB89" w14:textId="77777777" w:rsidR="00202965" w:rsidRDefault="00202965">
            <w:pPr>
              <w:pStyle w:val="Tablecolheadlandscape"/>
              <w:jc w:val="right"/>
              <w:rPr>
                <w:lang w:eastAsia="en-AU"/>
              </w:rPr>
            </w:pPr>
            <w:r>
              <w:rPr>
                <w:lang w:eastAsia="en-AU"/>
              </w:rPr>
              <w:t>Total</w:t>
            </w:r>
          </w:p>
          <w:p w14:paraId="1F19666A" w14:textId="77777777" w:rsidR="00202965" w:rsidRPr="00A030E3" w:rsidRDefault="00202965">
            <w:pPr>
              <w:pStyle w:val="Tablecolheadlandscape"/>
              <w:jc w:val="right"/>
              <w:rPr>
                <w:lang w:eastAsia="en-AU"/>
              </w:rPr>
            </w:pPr>
            <w:r w:rsidRPr="003E2E75">
              <w:rPr>
                <w:lang w:eastAsia="en-AU"/>
              </w:rPr>
              <w:t>Mental health funded subacute and residential bed days</w:t>
            </w:r>
          </w:p>
        </w:tc>
      </w:tr>
      <w:tr w:rsidR="00161649" w:rsidRPr="00A030E3" w14:paraId="06916BFE" w14:textId="77777777" w:rsidTr="000674C4">
        <w:trPr>
          <w:trHeight w:val="300"/>
        </w:trPr>
        <w:tc>
          <w:tcPr>
            <w:tcW w:w="1418" w:type="dxa"/>
            <w:shd w:val="clear" w:color="auto" w:fill="auto"/>
            <w:hideMark/>
          </w:tcPr>
          <w:p w14:paraId="7BA6618A"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Albury Wodonga Health</w:t>
            </w:r>
          </w:p>
        </w:tc>
        <w:tc>
          <w:tcPr>
            <w:tcW w:w="1312" w:type="dxa"/>
            <w:vAlign w:val="center"/>
          </w:tcPr>
          <w:p w14:paraId="38F8D9A7" w14:textId="77777777" w:rsidR="00161649" w:rsidRPr="00E10814" w:rsidRDefault="00161649" w:rsidP="00161649">
            <w:pPr>
              <w:jc w:val="right"/>
            </w:pPr>
          </w:p>
        </w:tc>
        <w:tc>
          <w:tcPr>
            <w:tcW w:w="1313" w:type="dxa"/>
            <w:shd w:val="clear" w:color="auto" w:fill="auto"/>
            <w:vAlign w:val="center"/>
          </w:tcPr>
          <w:p w14:paraId="3DC2B283" w14:textId="32238FA1"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26</w:t>
            </w:r>
          </w:p>
        </w:tc>
        <w:tc>
          <w:tcPr>
            <w:tcW w:w="1313" w:type="dxa"/>
            <w:shd w:val="clear" w:color="auto" w:fill="auto"/>
            <w:vAlign w:val="center"/>
          </w:tcPr>
          <w:p w14:paraId="71471312" w14:textId="1949D7C0"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4EB37E51" w14:textId="40E6A66F"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15</w:t>
            </w:r>
          </w:p>
        </w:tc>
        <w:tc>
          <w:tcPr>
            <w:tcW w:w="1313" w:type="dxa"/>
            <w:shd w:val="clear" w:color="auto" w:fill="auto"/>
            <w:vAlign w:val="center"/>
          </w:tcPr>
          <w:p w14:paraId="5701CF1A" w14:textId="6B8BC750"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51</w:t>
            </w:r>
          </w:p>
        </w:tc>
        <w:tc>
          <w:tcPr>
            <w:tcW w:w="1313" w:type="dxa"/>
            <w:shd w:val="clear" w:color="auto" w:fill="auto"/>
            <w:vAlign w:val="center"/>
          </w:tcPr>
          <w:p w14:paraId="7B7304F0" w14:textId="6C6A43D7"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18</w:t>
            </w:r>
            <w:r>
              <w:rPr>
                <w:rFonts w:cstheme="minorHAnsi"/>
                <w:color w:val="000000" w:themeColor="text1"/>
                <w:sz w:val="16"/>
                <w:szCs w:val="16"/>
                <w:lang w:eastAsia="en-AU"/>
              </w:rPr>
              <w:t>,</w:t>
            </w:r>
            <w:r w:rsidRPr="00A64C84">
              <w:rPr>
                <w:rFonts w:cstheme="minorHAnsi"/>
                <w:color w:val="000000" w:themeColor="text1"/>
                <w:sz w:val="16"/>
                <w:szCs w:val="16"/>
                <w:lang w:eastAsia="en-AU"/>
              </w:rPr>
              <w:t>615</w:t>
            </w:r>
          </w:p>
        </w:tc>
      </w:tr>
      <w:tr w:rsidR="00161649" w:rsidRPr="00A030E3" w14:paraId="41D6899F" w14:textId="77777777" w:rsidTr="000674C4">
        <w:trPr>
          <w:trHeight w:val="300"/>
        </w:trPr>
        <w:tc>
          <w:tcPr>
            <w:tcW w:w="1418" w:type="dxa"/>
            <w:shd w:val="clear" w:color="auto" w:fill="auto"/>
            <w:hideMark/>
          </w:tcPr>
          <w:p w14:paraId="13E8AC0B"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Alfred Health</w:t>
            </w:r>
          </w:p>
        </w:tc>
        <w:tc>
          <w:tcPr>
            <w:tcW w:w="1312" w:type="dxa"/>
            <w:vAlign w:val="center"/>
          </w:tcPr>
          <w:p w14:paraId="601CE162" w14:textId="77777777" w:rsidR="00161649" w:rsidRPr="00E10814" w:rsidRDefault="00161649" w:rsidP="00161649">
            <w:pPr>
              <w:jc w:val="right"/>
            </w:pPr>
          </w:p>
        </w:tc>
        <w:tc>
          <w:tcPr>
            <w:tcW w:w="1313" w:type="dxa"/>
            <w:shd w:val="clear" w:color="auto" w:fill="auto"/>
            <w:vAlign w:val="center"/>
          </w:tcPr>
          <w:p w14:paraId="4EFF6011" w14:textId="7A2E28D5"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3615427E" w14:textId="57E17155"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68A4BF33"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13480928" w14:textId="7EC5B0C0"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30</w:t>
            </w:r>
          </w:p>
        </w:tc>
        <w:tc>
          <w:tcPr>
            <w:tcW w:w="1313" w:type="dxa"/>
            <w:shd w:val="clear" w:color="auto" w:fill="auto"/>
            <w:vAlign w:val="center"/>
          </w:tcPr>
          <w:p w14:paraId="4D940026" w14:textId="011AC504"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r>
              <w:rPr>
                <w:rFonts w:cstheme="minorHAnsi"/>
                <w:color w:val="000000" w:themeColor="text1"/>
                <w:sz w:val="16"/>
                <w:szCs w:val="16"/>
                <w:lang w:eastAsia="en-AU"/>
              </w:rPr>
              <w:t>,</w:t>
            </w:r>
            <w:r w:rsidRPr="00A64C84">
              <w:rPr>
                <w:rFonts w:cstheme="minorHAnsi"/>
                <w:color w:val="000000" w:themeColor="text1"/>
                <w:sz w:val="16"/>
                <w:szCs w:val="16"/>
                <w:lang w:eastAsia="en-AU"/>
              </w:rPr>
              <w:t>950</w:t>
            </w:r>
          </w:p>
        </w:tc>
      </w:tr>
      <w:tr w:rsidR="00161649" w:rsidRPr="00A030E3" w14:paraId="515C92BA" w14:textId="77777777" w:rsidTr="000674C4">
        <w:trPr>
          <w:trHeight w:val="300"/>
        </w:trPr>
        <w:tc>
          <w:tcPr>
            <w:tcW w:w="1418" w:type="dxa"/>
            <w:shd w:val="clear" w:color="auto" w:fill="auto"/>
            <w:hideMark/>
          </w:tcPr>
          <w:p w14:paraId="5E6A6E1A"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Austin Health</w:t>
            </w:r>
          </w:p>
        </w:tc>
        <w:tc>
          <w:tcPr>
            <w:tcW w:w="1312" w:type="dxa"/>
            <w:vAlign w:val="center"/>
          </w:tcPr>
          <w:p w14:paraId="340ED761" w14:textId="77777777" w:rsidR="00161649" w:rsidRPr="00E10814" w:rsidRDefault="00161649" w:rsidP="00161649">
            <w:pPr>
              <w:jc w:val="right"/>
            </w:pPr>
          </w:p>
        </w:tc>
        <w:tc>
          <w:tcPr>
            <w:tcW w:w="1313" w:type="dxa"/>
            <w:shd w:val="clear" w:color="auto" w:fill="auto"/>
            <w:vAlign w:val="center"/>
          </w:tcPr>
          <w:p w14:paraId="38696859" w14:textId="38E06DA9"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22</w:t>
            </w:r>
          </w:p>
        </w:tc>
        <w:tc>
          <w:tcPr>
            <w:tcW w:w="1313" w:type="dxa"/>
            <w:shd w:val="clear" w:color="auto" w:fill="auto"/>
            <w:vAlign w:val="center"/>
          </w:tcPr>
          <w:p w14:paraId="3ED4FC71" w14:textId="14DBCC28"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22</w:t>
            </w:r>
          </w:p>
        </w:tc>
        <w:tc>
          <w:tcPr>
            <w:tcW w:w="1312" w:type="dxa"/>
            <w:shd w:val="clear" w:color="auto" w:fill="auto"/>
            <w:vAlign w:val="center"/>
          </w:tcPr>
          <w:p w14:paraId="0BE55A4A" w14:textId="4F33D340"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78C5772F" w14:textId="123C2B59" w:rsidR="00161649" w:rsidRPr="00D21D30" w:rsidRDefault="00161649" w:rsidP="00161649">
            <w:pPr>
              <w:jc w:val="right"/>
              <w:rPr>
                <w:rFonts w:cs="Arial"/>
                <w:color w:val="000000" w:themeColor="text1"/>
                <w:lang w:eastAsia="en-AU"/>
              </w:rPr>
            </w:pPr>
            <w:r w:rsidRPr="00D735E1">
              <w:rPr>
                <w:rFonts w:cstheme="minorHAnsi"/>
                <w:color w:val="000000" w:themeColor="text1"/>
                <w:sz w:val="16"/>
                <w:szCs w:val="16"/>
                <w:lang w:eastAsia="en-AU"/>
              </w:rPr>
              <w:t>64</w:t>
            </w:r>
          </w:p>
        </w:tc>
        <w:tc>
          <w:tcPr>
            <w:tcW w:w="1313" w:type="dxa"/>
            <w:shd w:val="clear" w:color="auto" w:fill="auto"/>
            <w:vAlign w:val="center"/>
          </w:tcPr>
          <w:p w14:paraId="4A7A5004" w14:textId="2957BACB"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23</w:t>
            </w:r>
            <w:r>
              <w:rPr>
                <w:rFonts w:cstheme="minorHAnsi"/>
                <w:color w:val="000000" w:themeColor="text1"/>
                <w:sz w:val="16"/>
                <w:szCs w:val="16"/>
                <w:lang w:eastAsia="en-AU"/>
              </w:rPr>
              <w:t>,</w:t>
            </w:r>
            <w:r w:rsidRPr="00A64C84">
              <w:rPr>
                <w:rFonts w:cstheme="minorHAnsi"/>
                <w:color w:val="000000" w:themeColor="text1"/>
                <w:sz w:val="16"/>
                <w:szCs w:val="16"/>
                <w:lang w:eastAsia="en-AU"/>
              </w:rPr>
              <w:t>360</w:t>
            </w:r>
          </w:p>
        </w:tc>
      </w:tr>
      <w:tr w:rsidR="00161649" w:rsidRPr="00A030E3" w14:paraId="7CD488F1" w14:textId="77777777" w:rsidTr="000674C4">
        <w:trPr>
          <w:trHeight w:val="300"/>
        </w:trPr>
        <w:tc>
          <w:tcPr>
            <w:tcW w:w="1418" w:type="dxa"/>
            <w:shd w:val="clear" w:color="auto" w:fill="auto"/>
            <w:hideMark/>
          </w:tcPr>
          <w:p w14:paraId="6775CB46"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Barwon Health</w:t>
            </w:r>
          </w:p>
        </w:tc>
        <w:tc>
          <w:tcPr>
            <w:tcW w:w="1312" w:type="dxa"/>
            <w:vAlign w:val="center"/>
          </w:tcPr>
          <w:p w14:paraId="2D04373D" w14:textId="77777777" w:rsidR="00161649" w:rsidRPr="00E10814" w:rsidRDefault="00161649" w:rsidP="00161649">
            <w:pPr>
              <w:jc w:val="right"/>
            </w:pPr>
          </w:p>
        </w:tc>
        <w:tc>
          <w:tcPr>
            <w:tcW w:w="1313" w:type="dxa"/>
            <w:shd w:val="clear" w:color="auto" w:fill="auto"/>
            <w:vAlign w:val="center"/>
          </w:tcPr>
          <w:p w14:paraId="15C7EDD6" w14:textId="0EED704F"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12</w:t>
            </w:r>
          </w:p>
        </w:tc>
        <w:tc>
          <w:tcPr>
            <w:tcW w:w="1313" w:type="dxa"/>
            <w:shd w:val="clear" w:color="auto" w:fill="auto"/>
            <w:vAlign w:val="center"/>
          </w:tcPr>
          <w:p w14:paraId="31FBF9F1" w14:textId="45FA5141"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12</w:t>
            </w:r>
          </w:p>
        </w:tc>
        <w:tc>
          <w:tcPr>
            <w:tcW w:w="1312" w:type="dxa"/>
            <w:shd w:val="clear" w:color="auto" w:fill="auto"/>
            <w:vAlign w:val="center"/>
          </w:tcPr>
          <w:p w14:paraId="2AB06C2B" w14:textId="2F0BFA30"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45</w:t>
            </w:r>
          </w:p>
        </w:tc>
        <w:tc>
          <w:tcPr>
            <w:tcW w:w="1313" w:type="dxa"/>
            <w:shd w:val="clear" w:color="auto" w:fill="auto"/>
            <w:vAlign w:val="center"/>
          </w:tcPr>
          <w:p w14:paraId="4D326A63" w14:textId="7989D987"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69</w:t>
            </w:r>
          </w:p>
        </w:tc>
        <w:tc>
          <w:tcPr>
            <w:tcW w:w="1313" w:type="dxa"/>
            <w:shd w:val="clear" w:color="auto" w:fill="auto"/>
            <w:vAlign w:val="center"/>
          </w:tcPr>
          <w:p w14:paraId="22283DB8" w14:textId="386B04EF"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25</w:t>
            </w:r>
            <w:r>
              <w:rPr>
                <w:rFonts w:cstheme="minorHAnsi"/>
                <w:color w:val="000000" w:themeColor="text1"/>
                <w:sz w:val="16"/>
                <w:szCs w:val="16"/>
                <w:lang w:eastAsia="en-AU"/>
              </w:rPr>
              <w:t>,</w:t>
            </w:r>
            <w:r w:rsidRPr="00A64C84">
              <w:rPr>
                <w:rFonts w:cstheme="minorHAnsi"/>
                <w:color w:val="000000" w:themeColor="text1"/>
                <w:sz w:val="16"/>
                <w:szCs w:val="16"/>
                <w:lang w:eastAsia="en-AU"/>
              </w:rPr>
              <w:t>185</w:t>
            </w:r>
          </w:p>
        </w:tc>
      </w:tr>
      <w:tr w:rsidR="00161649" w:rsidRPr="00A030E3" w14:paraId="16464119" w14:textId="77777777" w:rsidTr="000674C4">
        <w:trPr>
          <w:trHeight w:val="300"/>
        </w:trPr>
        <w:tc>
          <w:tcPr>
            <w:tcW w:w="1418" w:type="dxa"/>
            <w:shd w:val="clear" w:color="auto" w:fill="auto"/>
            <w:hideMark/>
          </w:tcPr>
          <w:p w14:paraId="0096823C"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Bendigo Health Care Group</w:t>
            </w:r>
          </w:p>
        </w:tc>
        <w:tc>
          <w:tcPr>
            <w:tcW w:w="1312" w:type="dxa"/>
            <w:vAlign w:val="center"/>
          </w:tcPr>
          <w:p w14:paraId="290EF4DD" w14:textId="77777777" w:rsidR="00161649" w:rsidRPr="00E10814" w:rsidRDefault="00161649" w:rsidP="00161649">
            <w:pPr>
              <w:jc w:val="right"/>
            </w:pPr>
          </w:p>
        </w:tc>
        <w:tc>
          <w:tcPr>
            <w:tcW w:w="1313" w:type="dxa"/>
            <w:shd w:val="clear" w:color="auto" w:fill="auto"/>
            <w:vAlign w:val="center"/>
          </w:tcPr>
          <w:p w14:paraId="3DD49D8D" w14:textId="7ADF765C"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12</w:t>
            </w:r>
          </w:p>
        </w:tc>
        <w:tc>
          <w:tcPr>
            <w:tcW w:w="1313" w:type="dxa"/>
            <w:shd w:val="clear" w:color="auto" w:fill="auto"/>
            <w:vAlign w:val="center"/>
          </w:tcPr>
          <w:p w14:paraId="20ACF258" w14:textId="69CCA23A"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2" w:type="dxa"/>
            <w:shd w:val="clear" w:color="auto" w:fill="auto"/>
            <w:vAlign w:val="center"/>
          </w:tcPr>
          <w:p w14:paraId="25D9DA1C" w14:textId="6A78802E"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30</w:t>
            </w:r>
          </w:p>
        </w:tc>
        <w:tc>
          <w:tcPr>
            <w:tcW w:w="1313" w:type="dxa"/>
            <w:shd w:val="clear" w:color="auto" w:fill="auto"/>
            <w:vAlign w:val="center"/>
          </w:tcPr>
          <w:p w14:paraId="31912A3B" w14:textId="2BDA613E"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62</w:t>
            </w:r>
          </w:p>
        </w:tc>
        <w:tc>
          <w:tcPr>
            <w:tcW w:w="1313" w:type="dxa"/>
            <w:shd w:val="clear" w:color="auto" w:fill="auto"/>
            <w:vAlign w:val="center"/>
          </w:tcPr>
          <w:p w14:paraId="290DECE8" w14:textId="73D15D04"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22</w:t>
            </w:r>
            <w:r>
              <w:rPr>
                <w:rFonts w:cstheme="minorHAnsi"/>
                <w:color w:val="000000" w:themeColor="text1"/>
                <w:sz w:val="16"/>
                <w:szCs w:val="16"/>
                <w:lang w:eastAsia="en-AU"/>
              </w:rPr>
              <w:t>,</w:t>
            </w:r>
            <w:r w:rsidRPr="00A64C84">
              <w:rPr>
                <w:rFonts w:cstheme="minorHAnsi"/>
                <w:color w:val="000000" w:themeColor="text1"/>
                <w:sz w:val="16"/>
                <w:szCs w:val="16"/>
                <w:lang w:eastAsia="en-AU"/>
              </w:rPr>
              <w:t>630</w:t>
            </w:r>
          </w:p>
        </w:tc>
      </w:tr>
      <w:tr w:rsidR="00161649" w:rsidRPr="00A030E3" w14:paraId="18E6C999" w14:textId="77777777" w:rsidTr="000674C4">
        <w:trPr>
          <w:trHeight w:val="300"/>
        </w:trPr>
        <w:tc>
          <w:tcPr>
            <w:tcW w:w="1418" w:type="dxa"/>
            <w:shd w:val="clear" w:color="auto" w:fill="auto"/>
            <w:hideMark/>
          </w:tcPr>
          <w:p w14:paraId="203C1421"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Eastern Health</w:t>
            </w:r>
          </w:p>
        </w:tc>
        <w:tc>
          <w:tcPr>
            <w:tcW w:w="1312" w:type="dxa"/>
            <w:vAlign w:val="center"/>
          </w:tcPr>
          <w:p w14:paraId="3BDD0ABC" w14:textId="77777777" w:rsidR="00161649" w:rsidRPr="00E10814" w:rsidRDefault="00161649" w:rsidP="00161649">
            <w:pPr>
              <w:jc w:val="right"/>
            </w:pPr>
          </w:p>
        </w:tc>
        <w:tc>
          <w:tcPr>
            <w:tcW w:w="1313" w:type="dxa"/>
            <w:shd w:val="clear" w:color="auto" w:fill="auto"/>
            <w:vAlign w:val="center"/>
          </w:tcPr>
          <w:p w14:paraId="29F1927C" w14:textId="09B19EA9"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40</w:t>
            </w:r>
          </w:p>
        </w:tc>
        <w:tc>
          <w:tcPr>
            <w:tcW w:w="1313" w:type="dxa"/>
            <w:shd w:val="clear" w:color="auto" w:fill="auto"/>
            <w:vAlign w:val="center"/>
          </w:tcPr>
          <w:p w14:paraId="338D5DC3" w14:textId="7E206B38"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2" w:type="dxa"/>
            <w:shd w:val="clear" w:color="auto" w:fill="auto"/>
            <w:vAlign w:val="center"/>
          </w:tcPr>
          <w:p w14:paraId="5152DCF4" w14:textId="3CBE3B87"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60</w:t>
            </w:r>
          </w:p>
        </w:tc>
        <w:tc>
          <w:tcPr>
            <w:tcW w:w="1313" w:type="dxa"/>
            <w:shd w:val="clear" w:color="auto" w:fill="auto"/>
            <w:vAlign w:val="center"/>
          </w:tcPr>
          <w:p w14:paraId="72F351AE" w14:textId="68FE915E"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120</w:t>
            </w:r>
          </w:p>
        </w:tc>
        <w:tc>
          <w:tcPr>
            <w:tcW w:w="1313" w:type="dxa"/>
            <w:shd w:val="clear" w:color="auto" w:fill="auto"/>
            <w:vAlign w:val="center"/>
          </w:tcPr>
          <w:p w14:paraId="7B9186A1" w14:textId="091BAF80"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43</w:t>
            </w:r>
            <w:r>
              <w:rPr>
                <w:rFonts w:cstheme="minorHAnsi"/>
                <w:color w:val="000000" w:themeColor="text1"/>
                <w:sz w:val="16"/>
                <w:szCs w:val="16"/>
                <w:lang w:eastAsia="en-AU"/>
              </w:rPr>
              <w:t>,</w:t>
            </w:r>
            <w:r w:rsidRPr="00A64C84">
              <w:rPr>
                <w:rFonts w:cstheme="minorHAnsi"/>
                <w:color w:val="000000" w:themeColor="text1"/>
                <w:sz w:val="16"/>
                <w:szCs w:val="16"/>
                <w:lang w:eastAsia="en-AU"/>
              </w:rPr>
              <w:t>800</w:t>
            </w:r>
          </w:p>
        </w:tc>
      </w:tr>
      <w:tr w:rsidR="00161649" w:rsidRPr="00A030E3" w14:paraId="7283BC69" w14:textId="77777777" w:rsidTr="000674C4">
        <w:trPr>
          <w:trHeight w:val="300"/>
        </w:trPr>
        <w:tc>
          <w:tcPr>
            <w:tcW w:w="1418" w:type="dxa"/>
            <w:shd w:val="clear" w:color="auto" w:fill="auto"/>
            <w:hideMark/>
          </w:tcPr>
          <w:p w14:paraId="68D0B6D7"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Goulburn Valley Health</w:t>
            </w:r>
          </w:p>
        </w:tc>
        <w:tc>
          <w:tcPr>
            <w:tcW w:w="1312" w:type="dxa"/>
            <w:vAlign w:val="center"/>
          </w:tcPr>
          <w:p w14:paraId="2A034227" w14:textId="77777777" w:rsidR="00161649" w:rsidRPr="00E10814" w:rsidRDefault="00161649" w:rsidP="00161649">
            <w:pPr>
              <w:jc w:val="right"/>
            </w:pPr>
          </w:p>
        </w:tc>
        <w:tc>
          <w:tcPr>
            <w:tcW w:w="1313" w:type="dxa"/>
            <w:shd w:val="clear" w:color="auto" w:fill="auto"/>
            <w:vAlign w:val="center"/>
          </w:tcPr>
          <w:p w14:paraId="5A0DA929" w14:textId="058556A1"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3" w:type="dxa"/>
            <w:shd w:val="clear" w:color="auto" w:fill="auto"/>
            <w:vAlign w:val="center"/>
          </w:tcPr>
          <w:p w14:paraId="591F5F50" w14:textId="67591063"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23985C9A" w14:textId="5ED6A51E"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27253FF0" w14:textId="6B89531A"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40</w:t>
            </w:r>
          </w:p>
        </w:tc>
        <w:tc>
          <w:tcPr>
            <w:tcW w:w="1313" w:type="dxa"/>
            <w:shd w:val="clear" w:color="auto" w:fill="auto"/>
            <w:vAlign w:val="center"/>
          </w:tcPr>
          <w:p w14:paraId="5B12924F" w14:textId="0E45F92B"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14</w:t>
            </w:r>
            <w:r>
              <w:rPr>
                <w:rFonts w:cstheme="minorHAnsi"/>
                <w:color w:val="000000" w:themeColor="text1"/>
                <w:sz w:val="16"/>
                <w:szCs w:val="16"/>
                <w:lang w:eastAsia="en-AU"/>
              </w:rPr>
              <w:t>,</w:t>
            </w:r>
            <w:r w:rsidRPr="00A64C84">
              <w:rPr>
                <w:rFonts w:cstheme="minorHAnsi"/>
                <w:color w:val="000000" w:themeColor="text1"/>
                <w:sz w:val="16"/>
                <w:szCs w:val="16"/>
                <w:lang w:eastAsia="en-AU"/>
              </w:rPr>
              <w:t>600</w:t>
            </w:r>
          </w:p>
        </w:tc>
      </w:tr>
      <w:tr w:rsidR="00161649" w:rsidRPr="00A030E3" w14:paraId="0468B651" w14:textId="77777777" w:rsidTr="000674C4">
        <w:trPr>
          <w:trHeight w:val="300"/>
        </w:trPr>
        <w:tc>
          <w:tcPr>
            <w:tcW w:w="1418" w:type="dxa"/>
            <w:shd w:val="clear" w:color="auto" w:fill="auto"/>
          </w:tcPr>
          <w:p w14:paraId="42DFEE92"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Grampians Health</w:t>
            </w:r>
          </w:p>
        </w:tc>
        <w:tc>
          <w:tcPr>
            <w:tcW w:w="1312" w:type="dxa"/>
            <w:vAlign w:val="center"/>
          </w:tcPr>
          <w:p w14:paraId="23D03C92" w14:textId="77777777" w:rsidR="00161649" w:rsidRPr="00E10814" w:rsidRDefault="00161649" w:rsidP="00161649">
            <w:pPr>
              <w:jc w:val="right"/>
            </w:pPr>
          </w:p>
        </w:tc>
        <w:tc>
          <w:tcPr>
            <w:tcW w:w="1313" w:type="dxa"/>
            <w:shd w:val="clear" w:color="auto" w:fill="auto"/>
            <w:vAlign w:val="center"/>
          </w:tcPr>
          <w:p w14:paraId="06B0653D" w14:textId="167E1E02" w:rsidR="00161649" w:rsidRPr="00685B35" w:rsidRDefault="00161649" w:rsidP="3E1FFCAD">
            <w:pPr>
              <w:jc w:val="right"/>
              <w:rPr>
                <w:color w:val="000000" w:themeColor="text1"/>
                <w:sz w:val="16"/>
                <w:szCs w:val="16"/>
                <w:lang w:eastAsia="en-AU"/>
              </w:rPr>
            </w:pPr>
          </w:p>
        </w:tc>
        <w:tc>
          <w:tcPr>
            <w:tcW w:w="1313" w:type="dxa"/>
            <w:shd w:val="clear" w:color="auto" w:fill="auto"/>
            <w:vAlign w:val="center"/>
          </w:tcPr>
          <w:p w14:paraId="3828917A" w14:textId="364D0090"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12</w:t>
            </w:r>
          </w:p>
        </w:tc>
        <w:tc>
          <w:tcPr>
            <w:tcW w:w="1312" w:type="dxa"/>
            <w:shd w:val="clear" w:color="auto" w:fill="auto"/>
            <w:vAlign w:val="center"/>
          </w:tcPr>
          <w:p w14:paraId="0761D7A1" w14:textId="431B5640" w:rsidR="00161649" w:rsidRPr="0025567A" w:rsidRDefault="00161649" w:rsidP="00161649">
            <w:pPr>
              <w:jc w:val="right"/>
              <w:rPr>
                <w:rFonts w:cs="Arial"/>
                <w:color w:val="000000" w:themeColor="text1"/>
                <w:lang w:eastAsia="en-AU"/>
              </w:rPr>
            </w:pPr>
            <w:r w:rsidRPr="00D735E1">
              <w:rPr>
                <w:rFonts w:cstheme="minorHAnsi"/>
                <w:color w:val="000000" w:themeColor="text1"/>
                <w:sz w:val="16"/>
                <w:szCs w:val="16"/>
                <w:lang w:eastAsia="en-AU"/>
              </w:rPr>
              <w:t>32</w:t>
            </w:r>
          </w:p>
        </w:tc>
        <w:tc>
          <w:tcPr>
            <w:tcW w:w="1313" w:type="dxa"/>
            <w:shd w:val="clear" w:color="auto" w:fill="auto"/>
            <w:vAlign w:val="center"/>
          </w:tcPr>
          <w:p w14:paraId="4F99FAF4" w14:textId="0AC8A919"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44</w:t>
            </w:r>
          </w:p>
        </w:tc>
        <w:tc>
          <w:tcPr>
            <w:tcW w:w="1313" w:type="dxa"/>
            <w:shd w:val="clear" w:color="auto" w:fill="auto"/>
            <w:vAlign w:val="center"/>
          </w:tcPr>
          <w:p w14:paraId="613D36B5" w14:textId="4F0BE15F"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16</w:t>
            </w:r>
            <w:r>
              <w:rPr>
                <w:rFonts w:cstheme="minorHAnsi"/>
                <w:color w:val="000000" w:themeColor="text1"/>
                <w:sz w:val="16"/>
                <w:szCs w:val="16"/>
                <w:lang w:eastAsia="en-AU"/>
              </w:rPr>
              <w:t>,</w:t>
            </w:r>
            <w:r w:rsidRPr="00A64C84">
              <w:rPr>
                <w:rFonts w:cstheme="minorHAnsi"/>
                <w:color w:val="000000" w:themeColor="text1"/>
                <w:sz w:val="16"/>
                <w:szCs w:val="16"/>
                <w:lang w:eastAsia="en-AU"/>
              </w:rPr>
              <w:t>060</w:t>
            </w:r>
          </w:p>
        </w:tc>
      </w:tr>
      <w:tr w:rsidR="00161649" w:rsidRPr="00A030E3" w14:paraId="05ED1E3A" w14:textId="77777777" w:rsidTr="000674C4">
        <w:trPr>
          <w:trHeight w:val="300"/>
        </w:trPr>
        <w:tc>
          <w:tcPr>
            <w:tcW w:w="1418" w:type="dxa"/>
            <w:shd w:val="clear" w:color="auto" w:fill="auto"/>
            <w:hideMark/>
          </w:tcPr>
          <w:p w14:paraId="4026FEDE"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Latrobe Regional</w:t>
            </w:r>
          </w:p>
        </w:tc>
        <w:tc>
          <w:tcPr>
            <w:tcW w:w="1312" w:type="dxa"/>
            <w:vAlign w:val="center"/>
          </w:tcPr>
          <w:p w14:paraId="330C6264" w14:textId="77777777" w:rsidR="00161649" w:rsidRPr="00E10814" w:rsidRDefault="00161649" w:rsidP="00161649">
            <w:pPr>
              <w:jc w:val="right"/>
            </w:pPr>
          </w:p>
        </w:tc>
        <w:tc>
          <w:tcPr>
            <w:tcW w:w="1313" w:type="dxa"/>
            <w:shd w:val="clear" w:color="auto" w:fill="auto"/>
            <w:vAlign w:val="center"/>
          </w:tcPr>
          <w:p w14:paraId="7D2764B3" w14:textId="30BA33F5"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14</w:t>
            </w:r>
          </w:p>
        </w:tc>
        <w:tc>
          <w:tcPr>
            <w:tcW w:w="1313" w:type="dxa"/>
            <w:shd w:val="clear" w:color="auto" w:fill="auto"/>
            <w:vAlign w:val="center"/>
          </w:tcPr>
          <w:p w14:paraId="6B4F2714" w14:textId="726808C8"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569B1470" w14:textId="1C25C523"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3" w:type="dxa"/>
            <w:shd w:val="clear" w:color="auto" w:fill="auto"/>
            <w:vAlign w:val="center"/>
          </w:tcPr>
          <w:p w14:paraId="166BF55D" w14:textId="70089984" w:rsidR="00161649" w:rsidRPr="00D21D30" w:rsidRDefault="00161649" w:rsidP="00161649">
            <w:pPr>
              <w:jc w:val="right"/>
              <w:rPr>
                <w:rFonts w:cs="Arial"/>
                <w:color w:val="000000" w:themeColor="text1"/>
                <w:lang w:eastAsia="en-AU"/>
              </w:rPr>
            </w:pPr>
            <w:r w:rsidRPr="00D735E1">
              <w:rPr>
                <w:rFonts w:cstheme="minorHAnsi"/>
                <w:color w:val="000000" w:themeColor="text1"/>
                <w:sz w:val="16"/>
                <w:szCs w:val="16"/>
                <w:lang w:eastAsia="en-AU"/>
              </w:rPr>
              <w:t>34</w:t>
            </w:r>
          </w:p>
        </w:tc>
        <w:tc>
          <w:tcPr>
            <w:tcW w:w="1313" w:type="dxa"/>
            <w:shd w:val="clear" w:color="auto" w:fill="auto"/>
            <w:vAlign w:val="center"/>
          </w:tcPr>
          <w:p w14:paraId="46B0C11C" w14:textId="14F659F0"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12</w:t>
            </w:r>
            <w:r>
              <w:rPr>
                <w:rFonts w:cstheme="minorHAnsi"/>
                <w:color w:val="000000" w:themeColor="text1"/>
                <w:sz w:val="16"/>
                <w:szCs w:val="16"/>
                <w:lang w:eastAsia="en-AU"/>
              </w:rPr>
              <w:t>,</w:t>
            </w:r>
            <w:r w:rsidRPr="00A64C84">
              <w:rPr>
                <w:rFonts w:cstheme="minorHAnsi"/>
                <w:color w:val="000000" w:themeColor="text1"/>
                <w:sz w:val="16"/>
                <w:szCs w:val="16"/>
                <w:lang w:eastAsia="en-AU"/>
              </w:rPr>
              <w:t>410</w:t>
            </w:r>
          </w:p>
        </w:tc>
      </w:tr>
      <w:tr w:rsidR="00161649" w:rsidRPr="00A030E3" w14:paraId="75FC1767" w14:textId="77777777" w:rsidTr="000674C4">
        <w:trPr>
          <w:trHeight w:val="300"/>
        </w:trPr>
        <w:tc>
          <w:tcPr>
            <w:tcW w:w="1418" w:type="dxa"/>
            <w:shd w:val="clear" w:color="auto" w:fill="auto"/>
            <w:hideMark/>
          </w:tcPr>
          <w:p w14:paraId="74AD3C62"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Melbourne Health</w:t>
            </w:r>
          </w:p>
        </w:tc>
        <w:tc>
          <w:tcPr>
            <w:tcW w:w="1312" w:type="dxa"/>
            <w:vAlign w:val="center"/>
          </w:tcPr>
          <w:p w14:paraId="34F266FA" w14:textId="77777777" w:rsidR="00161649" w:rsidRPr="00E10814" w:rsidRDefault="00161649" w:rsidP="00161649">
            <w:pPr>
              <w:jc w:val="right"/>
            </w:pPr>
          </w:p>
        </w:tc>
        <w:tc>
          <w:tcPr>
            <w:tcW w:w="1313" w:type="dxa"/>
            <w:shd w:val="clear" w:color="auto" w:fill="auto"/>
            <w:vAlign w:val="center"/>
          </w:tcPr>
          <w:p w14:paraId="52654389" w14:textId="51EAD4A9"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11DCB9E3" w14:textId="38ED4790"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30</w:t>
            </w:r>
          </w:p>
        </w:tc>
        <w:tc>
          <w:tcPr>
            <w:tcW w:w="1312" w:type="dxa"/>
            <w:shd w:val="clear" w:color="auto" w:fill="auto"/>
            <w:vAlign w:val="center"/>
          </w:tcPr>
          <w:p w14:paraId="5BD3E825"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6B7DB37F" w14:textId="01DF35EF"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50</w:t>
            </w:r>
          </w:p>
        </w:tc>
        <w:tc>
          <w:tcPr>
            <w:tcW w:w="1313" w:type="dxa"/>
            <w:shd w:val="clear" w:color="auto" w:fill="auto"/>
            <w:vAlign w:val="center"/>
          </w:tcPr>
          <w:p w14:paraId="505C0A18" w14:textId="6B24C466"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18</w:t>
            </w:r>
            <w:r>
              <w:rPr>
                <w:rFonts w:cstheme="minorHAnsi"/>
                <w:color w:val="000000" w:themeColor="text1"/>
                <w:sz w:val="16"/>
                <w:szCs w:val="16"/>
                <w:lang w:eastAsia="en-AU"/>
              </w:rPr>
              <w:t>,</w:t>
            </w:r>
            <w:r w:rsidRPr="00A64C84">
              <w:rPr>
                <w:rFonts w:cstheme="minorHAnsi"/>
                <w:color w:val="000000" w:themeColor="text1"/>
                <w:sz w:val="16"/>
                <w:szCs w:val="16"/>
                <w:lang w:eastAsia="en-AU"/>
              </w:rPr>
              <w:t>250</w:t>
            </w:r>
          </w:p>
        </w:tc>
      </w:tr>
      <w:tr w:rsidR="00161649" w:rsidRPr="00A030E3" w14:paraId="676D76AC" w14:textId="77777777" w:rsidTr="000674C4">
        <w:trPr>
          <w:trHeight w:val="300"/>
        </w:trPr>
        <w:tc>
          <w:tcPr>
            <w:tcW w:w="1418" w:type="dxa"/>
            <w:shd w:val="clear" w:color="auto" w:fill="auto"/>
            <w:hideMark/>
          </w:tcPr>
          <w:p w14:paraId="631ABEB4"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Mercy Health</w:t>
            </w:r>
          </w:p>
        </w:tc>
        <w:tc>
          <w:tcPr>
            <w:tcW w:w="1312" w:type="dxa"/>
            <w:vAlign w:val="center"/>
          </w:tcPr>
          <w:p w14:paraId="1412FC00" w14:textId="77777777" w:rsidR="00161649" w:rsidRPr="00E10814" w:rsidRDefault="00161649" w:rsidP="00161649">
            <w:pPr>
              <w:jc w:val="right"/>
            </w:pPr>
          </w:p>
        </w:tc>
        <w:tc>
          <w:tcPr>
            <w:tcW w:w="1313" w:type="dxa"/>
            <w:shd w:val="clear" w:color="auto" w:fill="auto"/>
            <w:vAlign w:val="center"/>
          </w:tcPr>
          <w:p w14:paraId="375A4219" w14:textId="3E61D3EA"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1CA69878" w14:textId="4A0B8B54"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3E33EFD6"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6984C014" w14:textId="37ECEEC2"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30</w:t>
            </w:r>
          </w:p>
        </w:tc>
        <w:tc>
          <w:tcPr>
            <w:tcW w:w="1313" w:type="dxa"/>
            <w:shd w:val="clear" w:color="auto" w:fill="auto"/>
            <w:vAlign w:val="center"/>
          </w:tcPr>
          <w:p w14:paraId="24C9A937" w14:textId="179048C5"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r>
              <w:rPr>
                <w:rFonts w:cstheme="minorHAnsi"/>
                <w:color w:val="000000" w:themeColor="text1"/>
                <w:sz w:val="16"/>
                <w:szCs w:val="16"/>
                <w:lang w:eastAsia="en-AU"/>
              </w:rPr>
              <w:t>,</w:t>
            </w:r>
            <w:r w:rsidRPr="00A64C84">
              <w:rPr>
                <w:rFonts w:cstheme="minorHAnsi"/>
                <w:color w:val="000000" w:themeColor="text1"/>
                <w:sz w:val="16"/>
                <w:szCs w:val="16"/>
                <w:lang w:eastAsia="en-AU"/>
              </w:rPr>
              <w:t>950</w:t>
            </w:r>
          </w:p>
        </w:tc>
      </w:tr>
      <w:tr w:rsidR="00161649" w:rsidRPr="00A030E3" w14:paraId="28DE1BFC" w14:textId="77777777" w:rsidTr="000674C4">
        <w:trPr>
          <w:trHeight w:val="300"/>
        </w:trPr>
        <w:tc>
          <w:tcPr>
            <w:tcW w:w="1418" w:type="dxa"/>
            <w:shd w:val="clear" w:color="auto" w:fill="auto"/>
            <w:hideMark/>
          </w:tcPr>
          <w:p w14:paraId="6D6EA090"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Monash Health</w:t>
            </w:r>
          </w:p>
        </w:tc>
        <w:tc>
          <w:tcPr>
            <w:tcW w:w="1312" w:type="dxa"/>
            <w:vAlign w:val="center"/>
          </w:tcPr>
          <w:p w14:paraId="4812ACB9" w14:textId="77777777" w:rsidR="00161649" w:rsidRPr="00E10814" w:rsidRDefault="00161649" w:rsidP="00161649">
            <w:pPr>
              <w:jc w:val="right"/>
            </w:pPr>
          </w:p>
        </w:tc>
        <w:tc>
          <w:tcPr>
            <w:tcW w:w="1313" w:type="dxa"/>
            <w:shd w:val="clear" w:color="auto" w:fill="auto"/>
            <w:vAlign w:val="center"/>
          </w:tcPr>
          <w:p w14:paraId="0F790B27" w14:textId="08EA9A0B"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40</w:t>
            </w:r>
          </w:p>
        </w:tc>
        <w:tc>
          <w:tcPr>
            <w:tcW w:w="1313" w:type="dxa"/>
            <w:shd w:val="clear" w:color="auto" w:fill="auto"/>
            <w:vAlign w:val="center"/>
          </w:tcPr>
          <w:p w14:paraId="31AD97C2" w14:textId="2B244913"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50</w:t>
            </w:r>
          </w:p>
        </w:tc>
        <w:tc>
          <w:tcPr>
            <w:tcW w:w="1312" w:type="dxa"/>
            <w:shd w:val="clear" w:color="auto" w:fill="auto"/>
            <w:vAlign w:val="center"/>
          </w:tcPr>
          <w:p w14:paraId="6BA3B6FB" w14:textId="2A1436C5"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94</w:t>
            </w:r>
          </w:p>
        </w:tc>
        <w:tc>
          <w:tcPr>
            <w:tcW w:w="1313" w:type="dxa"/>
            <w:shd w:val="clear" w:color="auto" w:fill="auto"/>
            <w:vAlign w:val="center"/>
          </w:tcPr>
          <w:p w14:paraId="02AF9C4B" w14:textId="6485E760"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184</w:t>
            </w:r>
          </w:p>
        </w:tc>
        <w:tc>
          <w:tcPr>
            <w:tcW w:w="1313" w:type="dxa"/>
            <w:shd w:val="clear" w:color="auto" w:fill="auto"/>
            <w:vAlign w:val="center"/>
          </w:tcPr>
          <w:p w14:paraId="260BAC4F" w14:textId="000A367B"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67</w:t>
            </w:r>
            <w:r>
              <w:rPr>
                <w:rFonts w:cstheme="minorHAnsi"/>
                <w:color w:val="000000" w:themeColor="text1"/>
                <w:sz w:val="16"/>
                <w:szCs w:val="16"/>
                <w:lang w:eastAsia="en-AU"/>
              </w:rPr>
              <w:t>,</w:t>
            </w:r>
            <w:r w:rsidRPr="00A64C84">
              <w:rPr>
                <w:rFonts w:cstheme="minorHAnsi"/>
                <w:color w:val="000000" w:themeColor="text1"/>
                <w:sz w:val="16"/>
                <w:szCs w:val="16"/>
                <w:lang w:eastAsia="en-AU"/>
              </w:rPr>
              <w:t>160</w:t>
            </w:r>
          </w:p>
        </w:tc>
      </w:tr>
      <w:tr w:rsidR="00161649" w:rsidRPr="00A030E3" w14:paraId="0D537832" w14:textId="77777777" w:rsidTr="000674C4">
        <w:trPr>
          <w:trHeight w:val="300"/>
        </w:trPr>
        <w:tc>
          <w:tcPr>
            <w:tcW w:w="1418" w:type="dxa"/>
            <w:shd w:val="clear" w:color="auto" w:fill="auto"/>
          </w:tcPr>
          <w:p w14:paraId="6BE44F63"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Northern Health</w:t>
            </w:r>
          </w:p>
        </w:tc>
        <w:tc>
          <w:tcPr>
            <w:tcW w:w="1312" w:type="dxa"/>
            <w:vAlign w:val="center"/>
          </w:tcPr>
          <w:p w14:paraId="30C675B0" w14:textId="77777777" w:rsidR="00161649" w:rsidRPr="00E10814" w:rsidRDefault="00161649" w:rsidP="00161649">
            <w:pPr>
              <w:jc w:val="right"/>
            </w:pPr>
          </w:p>
        </w:tc>
        <w:tc>
          <w:tcPr>
            <w:tcW w:w="1313" w:type="dxa"/>
            <w:shd w:val="clear" w:color="auto" w:fill="auto"/>
            <w:vAlign w:val="center"/>
          </w:tcPr>
          <w:p w14:paraId="489DA9FE" w14:textId="1EF5BFC2"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40</w:t>
            </w:r>
          </w:p>
        </w:tc>
        <w:tc>
          <w:tcPr>
            <w:tcW w:w="1313" w:type="dxa"/>
            <w:shd w:val="clear" w:color="auto" w:fill="auto"/>
            <w:vAlign w:val="center"/>
          </w:tcPr>
          <w:p w14:paraId="638F52EF" w14:textId="54CA4054"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2" w:type="dxa"/>
            <w:shd w:val="clear" w:color="auto" w:fill="auto"/>
            <w:vAlign w:val="center"/>
          </w:tcPr>
          <w:p w14:paraId="0C6D769D" w14:textId="6E12C1F6"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62</w:t>
            </w:r>
          </w:p>
        </w:tc>
        <w:tc>
          <w:tcPr>
            <w:tcW w:w="1313" w:type="dxa"/>
            <w:shd w:val="clear" w:color="auto" w:fill="auto"/>
            <w:vAlign w:val="center"/>
          </w:tcPr>
          <w:p w14:paraId="5E6C2C11" w14:textId="60A7E656"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122</w:t>
            </w:r>
          </w:p>
        </w:tc>
        <w:tc>
          <w:tcPr>
            <w:tcW w:w="1313" w:type="dxa"/>
            <w:shd w:val="clear" w:color="auto" w:fill="auto"/>
            <w:vAlign w:val="center"/>
          </w:tcPr>
          <w:p w14:paraId="76E36981" w14:textId="243C67B5"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44</w:t>
            </w:r>
            <w:r>
              <w:rPr>
                <w:rFonts w:cstheme="minorHAnsi"/>
                <w:color w:val="000000" w:themeColor="text1"/>
                <w:sz w:val="16"/>
                <w:szCs w:val="16"/>
                <w:lang w:eastAsia="en-AU"/>
              </w:rPr>
              <w:t>,</w:t>
            </w:r>
            <w:r w:rsidRPr="00A64C84">
              <w:rPr>
                <w:rFonts w:cstheme="minorHAnsi"/>
                <w:color w:val="000000" w:themeColor="text1"/>
                <w:sz w:val="16"/>
                <w:szCs w:val="16"/>
                <w:lang w:eastAsia="en-AU"/>
              </w:rPr>
              <w:t>530</w:t>
            </w:r>
          </w:p>
        </w:tc>
      </w:tr>
      <w:tr w:rsidR="00161649" w:rsidRPr="00A030E3" w14:paraId="727ECA03" w14:textId="77777777" w:rsidTr="000674C4">
        <w:trPr>
          <w:trHeight w:val="300"/>
        </w:trPr>
        <w:tc>
          <w:tcPr>
            <w:tcW w:w="1418" w:type="dxa"/>
            <w:shd w:val="clear" w:color="auto" w:fill="auto"/>
            <w:hideMark/>
          </w:tcPr>
          <w:p w14:paraId="5636D33B"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Peninsula Health</w:t>
            </w:r>
          </w:p>
        </w:tc>
        <w:tc>
          <w:tcPr>
            <w:tcW w:w="1312" w:type="dxa"/>
            <w:vAlign w:val="center"/>
          </w:tcPr>
          <w:p w14:paraId="105259B3" w14:textId="77777777" w:rsidR="00161649" w:rsidRPr="00E10814" w:rsidRDefault="00161649" w:rsidP="00161649">
            <w:pPr>
              <w:jc w:val="right"/>
            </w:pPr>
          </w:p>
        </w:tc>
        <w:tc>
          <w:tcPr>
            <w:tcW w:w="1313" w:type="dxa"/>
            <w:shd w:val="clear" w:color="auto" w:fill="auto"/>
            <w:vAlign w:val="center"/>
          </w:tcPr>
          <w:p w14:paraId="4247E4A5" w14:textId="7031C877"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5B1B65C2" w14:textId="40E46CCD"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2" w:type="dxa"/>
            <w:shd w:val="clear" w:color="auto" w:fill="auto"/>
            <w:vAlign w:val="center"/>
          </w:tcPr>
          <w:p w14:paraId="451B98D2" w14:textId="162EB9C9"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30</w:t>
            </w:r>
          </w:p>
        </w:tc>
        <w:tc>
          <w:tcPr>
            <w:tcW w:w="1313" w:type="dxa"/>
            <w:shd w:val="clear" w:color="auto" w:fill="auto"/>
            <w:vAlign w:val="center"/>
          </w:tcPr>
          <w:p w14:paraId="4EC285DB" w14:textId="199A082C"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70</w:t>
            </w:r>
          </w:p>
        </w:tc>
        <w:tc>
          <w:tcPr>
            <w:tcW w:w="1313" w:type="dxa"/>
            <w:shd w:val="clear" w:color="auto" w:fill="auto"/>
            <w:vAlign w:val="center"/>
          </w:tcPr>
          <w:p w14:paraId="17960D09" w14:textId="453843A5"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25</w:t>
            </w:r>
            <w:r>
              <w:rPr>
                <w:rFonts w:cstheme="minorHAnsi"/>
                <w:color w:val="000000" w:themeColor="text1"/>
                <w:sz w:val="16"/>
                <w:szCs w:val="16"/>
                <w:lang w:eastAsia="en-AU"/>
              </w:rPr>
              <w:t>,</w:t>
            </w:r>
            <w:r w:rsidRPr="00A64C84">
              <w:rPr>
                <w:rFonts w:cstheme="minorHAnsi"/>
                <w:color w:val="000000" w:themeColor="text1"/>
                <w:sz w:val="16"/>
                <w:szCs w:val="16"/>
                <w:lang w:eastAsia="en-AU"/>
              </w:rPr>
              <w:t>550</w:t>
            </w:r>
          </w:p>
        </w:tc>
      </w:tr>
      <w:tr w:rsidR="00161649" w:rsidRPr="00A030E3" w14:paraId="323BAC79" w14:textId="77777777" w:rsidTr="000674C4">
        <w:trPr>
          <w:trHeight w:val="300"/>
        </w:trPr>
        <w:tc>
          <w:tcPr>
            <w:tcW w:w="1418" w:type="dxa"/>
            <w:shd w:val="clear" w:color="auto" w:fill="auto"/>
            <w:hideMark/>
          </w:tcPr>
          <w:p w14:paraId="0518DAB1"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St Vincent’s Hospital</w:t>
            </w:r>
          </w:p>
        </w:tc>
        <w:tc>
          <w:tcPr>
            <w:tcW w:w="1312" w:type="dxa"/>
            <w:vAlign w:val="center"/>
          </w:tcPr>
          <w:p w14:paraId="258A66AF" w14:textId="77777777" w:rsidR="00161649" w:rsidRPr="00E10814" w:rsidRDefault="00161649" w:rsidP="00161649">
            <w:pPr>
              <w:jc w:val="right"/>
            </w:pPr>
          </w:p>
        </w:tc>
        <w:tc>
          <w:tcPr>
            <w:tcW w:w="1313" w:type="dxa"/>
            <w:shd w:val="clear" w:color="auto" w:fill="auto"/>
            <w:vAlign w:val="center"/>
          </w:tcPr>
          <w:p w14:paraId="49920BC2" w14:textId="532018B4"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02D9F68F" w14:textId="116083BD"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10</w:t>
            </w:r>
          </w:p>
        </w:tc>
        <w:tc>
          <w:tcPr>
            <w:tcW w:w="1312" w:type="dxa"/>
            <w:shd w:val="clear" w:color="auto" w:fill="auto"/>
            <w:vAlign w:val="center"/>
          </w:tcPr>
          <w:p w14:paraId="7ED480B2" w14:textId="3EAAB50A"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60</w:t>
            </w:r>
          </w:p>
        </w:tc>
        <w:tc>
          <w:tcPr>
            <w:tcW w:w="1313" w:type="dxa"/>
            <w:shd w:val="clear" w:color="auto" w:fill="auto"/>
            <w:vAlign w:val="center"/>
          </w:tcPr>
          <w:p w14:paraId="395A2813" w14:textId="35F01022"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90</w:t>
            </w:r>
          </w:p>
        </w:tc>
        <w:tc>
          <w:tcPr>
            <w:tcW w:w="1313" w:type="dxa"/>
            <w:shd w:val="clear" w:color="auto" w:fill="auto"/>
            <w:vAlign w:val="center"/>
          </w:tcPr>
          <w:p w14:paraId="52C03199" w14:textId="55A7B77A"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32</w:t>
            </w:r>
            <w:r>
              <w:rPr>
                <w:rFonts w:cstheme="minorHAnsi"/>
                <w:color w:val="000000" w:themeColor="text1"/>
                <w:sz w:val="16"/>
                <w:szCs w:val="16"/>
                <w:lang w:eastAsia="en-AU"/>
              </w:rPr>
              <w:t>,</w:t>
            </w:r>
            <w:r w:rsidRPr="00A64C84">
              <w:rPr>
                <w:rFonts w:cstheme="minorHAnsi"/>
                <w:color w:val="000000" w:themeColor="text1"/>
                <w:sz w:val="16"/>
                <w:szCs w:val="16"/>
                <w:lang w:eastAsia="en-AU"/>
              </w:rPr>
              <w:t>850</w:t>
            </w:r>
          </w:p>
        </w:tc>
      </w:tr>
      <w:tr w:rsidR="00161649" w:rsidRPr="00A030E3" w14:paraId="04C66187" w14:textId="77777777" w:rsidTr="000674C4">
        <w:trPr>
          <w:trHeight w:val="300"/>
        </w:trPr>
        <w:tc>
          <w:tcPr>
            <w:tcW w:w="1418" w:type="dxa"/>
            <w:shd w:val="clear" w:color="auto" w:fill="auto"/>
            <w:hideMark/>
          </w:tcPr>
          <w:p w14:paraId="36547B65"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lastRenderedPageBreak/>
              <w:t>Victorian Institute of Forensic Mental Health</w:t>
            </w:r>
          </w:p>
        </w:tc>
        <w:tc>
          <w:tcPr>
            <w:tcW w:w="1312" w:type="dxa"/>
            <w:vAlign w:val="center"/>
          </w:tcPr>
          <w:p w14:paraId="620E9892" w14:textId="14EC8191" w:rsidR="00161649" w:rsidRPr="00E42F62" w:rsidRDefault="00161649" w:rsidP="00161649">
            <w:pPr>
              <w:jc w:val="right"/>
              <w:rPr>
                <w:rFonts w:cs="Arial"/>
                <w:color w:val="000000" w:themeColor="text1"/>
                <w:lang w:eastAsia="en-AU"/>
              </w:rPr>
            </w:pPr>
            <w:r w:rsidRPr="00D735E1">
              <w:rPr>
                <w:rFonts w:cstheme="minorHAnsi"/>
                <w:color w:val="000000" w:themeColor="text1"/>
                <w:sz w:val="16"/>
                <w:szCs w:val="16"/>
                <w:lang w:eastAsia="en-AU"/>
              </w:rPr>
              <w:t>82</w:t>
            </w:r>
          </w:p>
        </w:tc>
        <w:tc>
          <w:tcPr>
            <w:tcW w:w="1313" w:type="dxa"/>
            <w:shd w:val="clear" w:color="auto" w:fill="auto"/>
            <w:vAlign w:val="center"/>
          </w:tcPr>
          <w:p w14:paraId="650012CC"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4EDDFC51" w14:textId="77777777" w:rsidR="00161649" w:rsidRPr="00685B35" w:rsidRDefault="00161649" w:rsidP="00161649">
            <w:pPr>
              <w:jc w:val="right"/>
              <w:rPr>
                <w:rFonts w:cs="Arial"/>
                <w:color w:val="000000" w:themeColor="text1"/>
                <w:sz w:val="16"/>
                <w:szCs w:val="16"/>
                <w:lang w:eastAsia="en-AU"/>
              </w:rPr>
            </w:pPr>
          </w:p>
        </w:tc>
        <w:tc>
          <w:tcPr>
            <w:tcW w:w="1312" w:type="dxa"/>
            <w:shd w:val="clear" w:color="auto" w:fill="auto"/>
            <w:vAlign w:val="center"/>
          </w:tcPr>
          <w:p w14:paraId="352591F5"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7D5D385F" w14:textId="503341EF"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82</w:t>
            </w:r>
          </w:p>
        </w:tc>
        <w:tc>
          <w:tcPr>
            <w:tcW w:w="1313" w:type="dxa"/>
            <w:shd w:val="clear" w:color="auto" w:fill="auto"/>
            <w:vAlign w:val="center"/>
          </w:tcPr>
          <w:p w14:paraId="7C488294" w14:textId="597558BF"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29</w:t>
            </w:r>
            <w:r>
              <w:rPr>
                <w:rFonts w:cstheme="minorHAnsi"/>
                <w:color w:val="000000" w:themeColor="text1"/>
                <w:sz w:val="16"/>
                <w:szCs w:val="16"/>
                <w:lang w:eastAsia="en-AU"/>
              </w:rPr>
              <w:t>,</w:t>
            </w:r>
            <w:r w:rsidRPr="00A64C84">
              <w:rPr>
                <w:rFonts w:cstheme="minorHAnsi"/>
                <w:color w:val="000000" w:themeColor="text1"/>
                <w:sz w:val="16"/>
                <w:szCs w:val="16"/>
                <w:lang w:eastAsia="en-AU"/>
              </w:rPr>
              <w:t>930</w:t>
            </w:r>
          </w:p>
        </w:tc>
      </w:tr>
      <w:tr w:rsidR="00161649" w:rsidRPr="00A030E3" w14:paraId="263EB913" w14:textId="77777777" w:rsidTr="000674C4">
        <w:trPr>
          <w:trHeight w:val="300"/>
        </w:trPr>
        <w:tc>
          <w:tcPr>
            <w:tcW w:w="1418" w:type="dxa"/>
            <w:shd w:val="clear" w:color="auto" w:fill="auto"/>
          </w:tcPr>
          <w:p w14:paraId="499831F6" w14:textId="77777777" w:rsidR="00161649" w:rsidRPr="00685B35" w:rsidRDefault="00161649" w:rsidP="00161649">
            <w:pPr>
              <w:rPr>
                <w:rFonts w:cs="Arial"/>
                <w:color w:val="000000" w:themeColor="text1"/>
                <w:sz w:val="16"/>
                <w:szCs w:val="16"/>
                <w:lang w:eastAsia="en-AU"/>
              </w:rPr>
            </w:pPr>
            <w:r w:rsidRPr="00685B35">
              <w:rPr>
                <w:rFonts w:cs="Arial"/>
                <w:color w:val="000000" w:themeColor="text1"/>
                <w:sz w:val="16"/>
                <w:szCs w:val="16"/>
                <w:lang w:eastAsia="en-AU"/>
              </w:rPr>
              <w:t xml:space="preserve">Western Health </w:t>
            </w:r>
          </w:p>
        </w:tc>
        <w:tc>
          <w:tcPr>
            <w:tcW w:w="1312" w:type="dxa"/>
            <w:vAlign w:val="center"/>
          </w:tcPr>
          <w:p w14:paraId="6EC193DD" w14:textId="77777777" w:rsidR="00161649" w:rsidRPr="00E10814" w:rsidRDefault="00161649" w:rsidP="00161649">
            <w:pPr>
              <w:jc w:val="right"/>
            </w:pPr>
          </w:p>
        </w:tc>
        <w:tc>
          <w:tcPr>
            <w:tcW w:w="1313" w:type="dxa"/>
            <w:shd w:val="clear" w:color="auto" w:fill="auto"/>
            <w:vAlign w:val="center"/>
          </w:tcPr>
          <w:p w14:paraId="13527BE6" w14:textId="2E89E027"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20</w:t>
            </w:r>
          </w:p>
        </w:tc>
        <w:tc>
          <w:tcPr>
            <w:tcW w:w="1313" w:type="dxa"/>
            <w:shd w:val="clear" w:color="auto" w:fill="auto"/>
            <w:vAlign w:val="center"/>
          </w:tcPr>
          <w:p w14:paraId="5E67EEB6" w14:textId="7A69069D" w:rsidR="00161649" w:rsidRPr="00685B35"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22</w:t>
            </w:r>
          </w:p>
        </w:tc>
        <w:tc>
          <w:tcPr>
            <w:tcW w:w="1312" w:type="dxa"/>
            <w:shd w:val="clear" w:color="auto" w:fill="auto"/>
            <w:vAlign w:val="center"/>
          </w:tcPr>
          <w:p w14:paraId="543D92E2" w14:textId="77777777" w:rsidR="00161649" w:rsidRPr="00685B35" w:rsidRDefault="00161649" w:rsidP="00161649">
            <w:pPr>
              <w:jc w:val="right"/>
              <w:rPr>
                <w:rFonts w:cs="Arial"/>
                <w:color w:val="000000" w:themeColor="text1"/>
                <w:sz w:val="16"/>
                <w:szCs w:val="16"/>
                <w:lang w:eastAsia="en-AU"/>
              </w:rPr>
            </w:pPr>
          </w:p>
        </w:tc>
        <w:tc>
          <w:tcPr>
            <w:tcW w:w="1313" w:type="dxa"/>
            <w:shd w:val="clear" w:color="auto" w:fill="auto"/>
            <w:vAlign w:val="center"/>
          </w:tcPr>
          <w:p w14:paraId="5938CEFA" w14:textId="2A2FBC0F" w:rsidR="00161649" w:rsidRPr="00D21D30" w:rsidRDefault="00161649" w:rsidP="00161649">
            <w:pPr>
              <w:jc w:val="right"/>
              <w:rPr>
                <w:rFonts w:cs="Arial"/>
                <w:color w:val="000000" w:themeColor="text1"/>
                <w:lang w:eastAsia="en-AU"/>
              </w:rPr>
            </w:pPr>
            <w:r w:rsidRPr="00A64C84">
              <w:rPr>
                <w:rFonts w:cstheme="minorHAnsi"/>
                <w:color w:val="000000" w:themeColor="text1"/>
                <w:sz w:val="16"/>
                <w:szCs w:val="16"/>
                <w:lang w:eastAsia="en-AU"/>
              </w:rPr>
              <w:t>42</w:t>
            </w:r>
          </w:p>
        </w:tc>
        <w:tc>
          <w:tcPr>
            <w:tcW w:w="1313" w:type="dxa"/>
            <w:shd w:val="clear" w:color="auto" w:fill="auto"/>
            <w:vAlign w:val="center"/>
          </w:tcPr>
          <w:p w14:paraId="736935B8" w14:textId="044E4B38" w:rsidR="00161649" w:rsidRPr="009606BD" w:rsidRDefault="00161649" w:rsidP="00161649">
            <w:pPr>
              <w:jc w:val="right"/>
              <w:rPr>
                <w:rFonts w:cs="Arial"/>
                <w:color w:val="000000" w:themeColor="text1"/>
                <w:sz w:val="16"/>
                <w:szCs w:val="16"/>
                <w:lang w:eastAsia="en-AU"/>
              </w:rPr>
            </w:pPr>
            <w:r w:rsidRPr="00A64C84">
              <w:rPr>
                <w:rFonts w:cstheme="minorHAnsi"/>
                <w:color w:val="000000" w:themeColor="text1"/>
                <w:sz w:val="16"/>
                <w:szCs w:val="16"/>
                <w:lang w:eastAsia="en-AU"/>
              </w:rPr>
              <w:t>15</w:t>
            </w:r>
            <w:r>
              <w:rPr>
                <w:rFonts w:cstheme="minorHAnsi"/>
                <w:color w:val="000000" w:themeColor="text1"/>
                <w:sz w:val="16"/>
                <w:szCs w:val="16"/>
                <w:lang w:eastAsia="en-AU"/>
              </w:rPr>
              <w:t>,</w:t>
            </w:r>
            <w:r w:rsidRPr="00A64C84">
              <w:rPr>
                <w:rFonts w:cstheme="minorHAnsi"/>
                <w:color w:val="000000" w:themeColor="text1"/>
                <w:sz w:val="16"/>
                <w:szCs w:val="16"/>
                <w:lang w:eastAsia="en-AU"/>
              </w:rPr>
              <w:t>330</w:t>
            </w:r>
          </w:p>
        </w:tc>
      </w:tr>
    </w:tbl>
    <w:p w14:paraId="1B001129" w14:textId="77777777" w:rsidR="004F0D45" w:rsidRPr="00E00C4E" w:rsidRDefault="004F0D45" w:rsidP="00E00C4E">
      <w:pPr>
        <w:pStyle w:val="Body"/>
      </w:pPr>
    </w:p>
    <w:p w14:paraId="0A6FA544" w14:textId="77777777" w:rsidR="005B699B" w:rsidRDefault="005B699B" w:rsidP="00902A5C">
      <w:pPr>
        <w:pStyle w:val="Body"/>
      </w:pPr>
      <w:bookmarkStart w:id="2675" w:name="_Toc109894147"/>
      <w:bookmarkStart w:id="2676" w:name="_Toc12780582"/>
      <w:bookmarkStart w:id="2677" w:name="_Toc14194838"/>
      <w:bookmarkStart w:id="2678" w:name="_Toc33704019"/>
      <w:r w:rsidRPr="00E00C4E">
        <w:t>Subregional and rural</w:t>
      </w:r>
      <w:bookmarkEnd w:id="2675"/>
    </w:p>
    <w:tbl>
      <w:tblPr>
        <w:tblStyle w:val="TableGrid1"/>
        <w:tblW w:w="9875" w:type="dxa"/>
        <w:tblLook w:val="04A0" w:firstRow="1" w:lastRow="0" w:firstColumn="1" w:lastColumn="0" w:noHBand="0" w:noVBand="1"/>
      </w:tblPr>
      <w:tblGrid>
        <w:gridCol w:w="1475"/>
        <w:gridCol w:w="1379"/>
        <w:gridCol w:w="1413"/>
        <w:gridCol w:w="1341"/>
        <w:gridCol w:w="1341"/>
        <w:gridCol w:w="1342"/>
        <w:gridCol w:w="1584"/>
      </w:tblGrid>
      <w:tr w:rsidR="00E233F1" w:rsidRPr="00260F93" w14:paraId="195A5E7E" w14:textId="77777777" w:rsidTr="3E1FFCAD">
        <w:trPr>
          <w:cnfStyle w:val="100000000000" w:firstRow="1" w:lastRow="0" w:firstColumn="0" w:lastColumn="0" w:oddVBand="0" w:evenVBand="0" w:oddHBand="0" w:evenHBand="0" w:firstRowFirstColumn="0" w:firstRowLastColumn="0" w:lastRowFirstColumn="0" w:lastRowLastColumn="0"/>
          <w:trHeight w:val="305"/>
        </w:trPr>
        <w:tc>
          <w:tcPr>
            <w:tcW w:w="1475" w:type="dxa"/>
            <w:shd w:val="clear" w:color="auto" w:fill="auto"/>
          </w:tcPr>
          <w:p w14:paraId="7F2E93D8" w14:textId="77777777" w:rsidR="00E233F1" w:rsidRPr="00685B35" w:rsidRDefault="00E233F1">
            <w:pPr>
              <w:pStyle w:val="Tablecolheadlandscape"/>
            </w:pPr>
            <w:r w:rsidRPr="003E2E75">
              <w:rPr>
                <w:lang w:eastAsia="en-AU"/>
              </w:rPr>
              <w:t>Health service</w:t>
            </w:r>
          </w:p>
        </w:tc>
        <w:tc>
          <w:tcPr>
            <w:tcW w:w="1379" w:type="dxa"/>
            <w:shd w:val="clear" w:color="auto" w:fill="auto"/>
          </w:tcPr>
          <w:p w14:paraId="38EAB4D0" w14:textId="77777777" w:rsidR="00E233F1" w:rsidRDefault="00E233F1">
            <w:pPr>
              <w:jc w:val="right"/>
              <w:rPr>
                <w:rFonts w:cs="Arial"/>
                <w:b/>
                <w:bCs/>
                <w:color w:val="53565A"/>
                <w:sz w:val="16"/>
                <w:szCs w:val="16"/>
              </w:rPr>
            </w:pPr>
            <w:r>
              <w:rPr>
                <w:rFonts w:cs="Arial"/>
                <w:b/>
                <w:bCs/>
                <w:color w:val="53565A"/>
                <w:sz w:val="16"/>
                <w:szCs w:val="16"/>
              </w:rPr>
              <w:t>Mental health funded bed – non-acute</w:t>
            </w:r>
          </w:p>
          <w:p w14:paraId="1F276668" w14:textId="77777777" w:rsidR="00E233F1" w:rsidRPr="003E2E75" w:rsidRDefault="00E233F1">
            <w:pPr>
              <w:pStyle w:val="Tablecolheadlandscape"/>
              <w:jc w:val="right"/>
              <w:rPr>
                <w:lang w:eastAsia="en-AU"/>
              </w:rPr>
            </w:pPr>
          </w:p>
        </w:tc>
        <w:tc>
          <w:tcPr>
            <w:tcW w:w="1413" w:type="dxa"/>
            <w:shd w:val="clear" w:color="auto" w:fill="auto"/>
          </w:tcPr>
          <w:p w14:paraId="45906B43" w14:textId="77777777" w:rsidR="00E233F1" w:rsidRPr="00685B35" w:rsidRDefault="00E233F1">
            <w:pPr>
              <w:pStyle w:val="Tablecolheadlandscape"/>
              <w:jc w:val="right"/>
            </w:pPr>
            <w:r w:rsidRPr="003E2E75">
              <w:rPr>
                <w:lang w:eastAsia="en-AU"/>
              </w:rPr>
              <w:t>Mental health funded bed – subacute CCU</w:t>
            </w:r>
          </w:p>
        </w:tc>
        <w:tc>
          <w:tcPr>
            <w:tcW w:w="1341" w:type="dxa"/>
            <w:shd w:val="clear" w:color="auto" w:fill="auto"/>
          </w:tcPr>
          <w:p w14:paraId="506FCE1E" w14:textId="77777777" w:rsidR="00E233F1" w:rsidRPr="00685B35" w:rsidRDefault="00E233F1">
            <w:pPr>
              <w:pStyle w:val="Tablecolheadlandscape"/>
              <w:jc w:val="right"/>
            </w:pPr>
            <w:r w:rsidRPr="003E2E75">
              <w:rPr>
                <w:lang w:eastAsia="en-AU"/>
              </w:rPr>
              <w:t>Mental health funded bed – subacute PARC</w:t>
            </w:r>
          </w:p>
        </w:tc>
        <w:tc>
          <w:tcPr>
            <w:tcW w:w="1341" w:type="dxa"/>
            <w:shd w:val="clear" w:color="auto" w:fill="auto"/>
          </w:tcPr>
          <w:p w14:paraId="6C433A80" w14:textId="77777777" w:rsidR="00E233F1" w:rsidRPr="00685B35" w:rsidRDefault="00E233F1">
            <w:pPr>
              <w:pStyle w:val="Tablecolheadlandscape"/>
              <w:jc w:val="right"/>
            </w:pPr>
            <w:r w:rsidRPr="003E2E75">
              <w:rPr>
                <w:lang w:eastAsia="en-AU"/>
              </w:rPr>
              <w:t>Mental health funded bed – residential</w:t>
            </w:r>
          </w:p>
        </w:tc>
        <w:tc>
          <w:tcPr>
            <w:tcW w:w="1342" w:type="dxa"/>
            <w:shd w:val="clear" w:color="auto" w:fill="auto"/>
          </w:tcPr>
          <w:p w14:paraId="6A282607" w14:textId="77777777" w:rsidR="00E233F1" w:rsidRDefault="00E233F1">
            <w:pPr>
              <w:pStyle w:val="Tablecolheadlandscape"/>
              <w:jc w:val="right"/>
              <w:rPr>
                <w:lang w:eastAsia="en-AU"/>
              </w:rPr>
            </w:pPr>
            <w:r>
              <w:rPr>
                <w:lang w:eastAsia="en-AU"/>
              </w:rPr>
              <w:t>Total</w:t>
            </w:r>
          </w:p>
          <w:p w14:paraId="2147B92E" w14:textId="77777777" w:rsidR="00E233F1" w:rsidRPr="00685B35" w:rsidRDefault="00E233F1">
            <w:pPr>
              <w:pStyle w:val="Tablecolheadlandscape"/>
              <w:jc w:val="right"/>
            </w:pPr>
            <w:r w:rsidRPr="003E2E75">
              <w:rPr>
                <w:lang w:eastAsia="en-AU"/>
              </w:rPr>
              <w:t>Mental health funded subacute and residential bed</w:t>
            </w:r>
          </w:p>
        </w:tc>
        <w:tc>
          <w:tcPr>
            <w:tcW w:w="1584" w:type="dxa"/>
            <w:shd w:val="clear" w:color="auto" w:fill="auto"/>
          </w:tcPr>
          <w:p w14:paraId="5797DCFF" w14:textId="77777777" w:rsidR="00E233F1" w:rsidRDefault="00E233F1">
            <w:pPr>
              <w:pStyle w:val="Tablecolheadlandscape"/>
              <w:jc w:val="right"/>
              <w:rPr>
                <w:lang w:eastAsia="en-AU"/>
              </w:rPr>
            </w:pPr>
            <w:r>
              <w:rPr>
                <w:lang w:eastAsia="en-AU"/>
              </w:rPr>
              <w:t>Total</w:t>
            </w:r>
          </w:p>
          <w:p w14:paraId="780600D2" w14:textId="77777777" w:rsidR="00E233F1" w:rsidRPr="00685B35" w:rsidRDefault="00E233F1">
            <w:pPr>
              <w:pStyle w:val="Tablecolheadlandscape"/>
              <w:jc w:val="right"/>
            </w:pPr>
            <w:r w:rsidRPr="003E2E75">
              <w:rPr>
                <w:lang w:eastAsia="en-AU"/>
              </w:rPr>
              <w:t>Mental health funded subacute and residential bed days</w:t>
            </w:r>
          </w:p>
        </w:tc>
      </w:tr>
      <w:tr w:rsidR="00161649" w:rsidRPr="00260F93" w14:paraId="5C1E3730" w14:textId="77777777" w:rsidTr="3E1FFCAD">
        <w:trPr>
          <w:trHeight w:val="305"/>
        </w:trPr>
        <w:tc>
          <w:tcPr>
            <w:tcW w:w="1475" w:type="dxa"/>
            <w:shd w:val="clear" w:color="auto" w:fill="auto"/>
            <w:hideMark/>
          </w:tcPr>
          <w:p w14:paraId="3AE7D852" w14:textId="77777777" w:rsidR="00161649" w:rsidRPr="00260F93" w:rsidRDefault="00161649" w:rsidP="00161649">
            <w:pPr>
              <w:rPr>
                <w:rFonts w:cs="Arial"/>
                <w:color w:val="000000"/>
                <w:sz w:val="16"/>
                <w:szCs w:val="16"/>
                <w:lang w:eastAsia="en-AU"/>
              </w:rPr>
            </w:pPr>
            <w:r w:rsidRPr="00260F93">
              <w:rPr>
                <w:rFonts w:cs="Arial"/>
                <w:color w:val="000000"/>
                <w:sz w:val="16"/>
                <w:szCs w:val="16"/>
                <w:lang w:eastAsia="en-AU"/>
              </w:rPr>
              <w:t>Mildura Base Hospital</w:t>
            </w:r>
          </w:p>
        </w:tc>
        <w:tc>
          <w:tcPr>
            <w:tcW w:w="1379" w:type="dxa"/>
          </w:tcPr>
          <w:p w14:paraId="6B62A5BE" w14:textId="77777777" w:rsidR="00161649" w:rsidRPr="005705A0" w:rsidRDefault="00161649" w:rsidP="00161649">
            <w:pPr>
              <w:jc w:val="right"/>
            </w:pPr>
          </w:p>
        </w:tc>
        <w:tc>
          <w:tcPr>
            <w:tcW w:w="1413" w:type="dxa"/>
            <w:shd w:val="clear" w:color="auto" w:fill="auto"/>
          </w:tcPr>
          <w:p w14:paraId="427D4FB4" w14:textId="108A464C" w:rsidR="00161649" w:rsidRPr="00260F93" w:rsidRDefault="00161649" w:rsidP="00161649">
            <w:pPr>
              <w:jc w:val="right"/>
              <w:rPr>
                <w:rFonts w:cs="Arial"/>
                <w:color w:val="000000"/>
                <w:sz w:val="16"/>
                <w:szCs w:val="16"/>
                <w:lang w:eastAsia="en-AU"/>
              </w:rPr>
            </w:pPr>
          </w:p>
        </w:tc>
        <w:tc>
          <w:tcPr>
            <w:tcW w:w="1341" w:type="dxa"/>
            <w:shd w:val="clear" w:color="auto" w:fill="auto"/>
          </w:tcPr>
          <w:p w14:paraId="5C677299" w14:textId="57DD447D" w:rsidR="00161649" w:rsidRPr="00260F93" w:rsidRDefault="00161649" w:rsidP="00161649">
            <w:pPr>
              <w:jc w:val="right"/>
              <w:rPr>
                <w:rFonts w:cs="Arial"/>
                <w:color w:val="000000"/>
                <w:sz w:val="16"/>
                <w:szCs w:val="16"/>
                <w:lang w:eastAsia="en-AU"/>
              </w:rPr>
            </w:pPr>
            <w:r w:rsidRPr="00D735E1">
              <w:rPr>
                <w:sz w:val="16"/>
                <w:szCs w:val="16"/>
              </w:rPr>
              <w:t>10</w:t>
            </w:r>
          </w:p>
        </w:tc>
        <w:tc>
          <w:tcPr>
            <w:tcW w:w="1341" w:type="dxa"/>
            <w:shd w:val="clear" w:color="auto" w:fill="auto"/>
          </w:tcPr>
          <w:p w14:paraId="07A438FE" w14:textId="06CB1DB7" w:rsidR="00161649" w:rsidRPr="00260F93" w:rsidRDefault="00161649" w:rsidP="3E1FFCAD">
            <w:pPr>
              <w:jc w:val="right"/>
              <w:rPr>
                <w:sz w:val="16"/>
                <w:szCs w:val="16"/>
                <w:lang w:eastAsia="en-AU"/>
              </w:rPr>
            </w:pPr>
          </w:p>
        </w:tc>
        <w:tc>
          <w:tcPr>
            <w:tcW w:w="1342" w:type="dxa"/>
            <w:shd w:val="clear" w:color="auto" w:fill="auto"/>
          </w:tcPr>
          <w:p w14:paraId="422B20D8" w14:textId="3A9772A5" w:rsidR="00161649" w:rsidRPr="00260F93" w:rsidRDefault="00161649" w:rsidP="00161649">
            <w:pPr>
              <w:jc w:val="right"/>
              <w:rPr>
                <w:rFonts w:cs="Arial"/>
                <w:color w:val="000000"/>
                <w:sz w:val="16"/>
                <w:szCs w:val="16"/>
                <w:lang w:eastAsia="en-AU"/>
              </w:rPr>
            </w:pPr>
            <w:r w:rsidRPr="00D735E1">
              <w:rPr>
                <w:sz w:val="16"/>
                <w:szCs w:val="16"/>
              </w:rPr>
              <w:t>10</w:t>
            </w:r>
          </w:p>
        </w:tc>
        <w:tc>
          <w:tcPr>
            <w:tcW w:w="1584" w:type="dxa"/>
            <w:shd w:val="clear" w:color="auto" w:fill="auto"/>
          </w:tcPr>
          <w:p w14:paraId="0B97DDA2" w14:textId="5F15F17E" w:rsidR="00161649" w:rsidRPr="00260F93" w:rsidRDefault="00161649" w:rsidP="00161649">
            <w:pPr>
              <w:jc w:val="right"/>
              <w:rPr>
                <w:rFonts w:cs="Arial"/>
                <w:color w:val="000000"/>
                <w:sz w:val="16"/>
                <w:szCs w:val="16"/>
                <w:lang w:eastAsia="en-AU"/>
              </w:rPr>
            </w:pPr>
            <w:r>
              <w:rPr>
                <w:rFonts w:cs="Arial"/>
                <w:color w:val="000000"/>
                <w:sz w:val="16"/>
                <w:szCs w:val="16"/>
                <w:lang w:eastAsia="en-AU"/>
              </w:rPr>
              <w:t>3,650</w:t>
            </w:r>
          </w:p>
        </w:tc>
      </w:tr>
      <w:tr w:rsidR="00161649" w:rsidRPr="00260F93" w14:paraId="0F4C9102" w14:textId="77777777" w:rsidTr="3E1FFCAD">
        <w:trPr>
          <w:trHeight w:val="305"/>
        </w:trPr>
        <w:tc>
          <w:tcPr>
            <w:tcW w:w="1475" w:type="dxa"/>
            <w:shd w:val="clear" w:color="auto" w:fill="auto"/>
            <w:hideMark/>
          </w:tcPr>
          <w:p w14:paraId="0E381424" w14:textId="77777777" w:rsidR="00161649" w:rsidRPr="00260F93" w:rsidRDefault="00161649" w:rsidP="00161649">
            <w:pPr>
              <w:rPr>
                <w:rFonts w:cs="Arial"/>
                <w:color w:val="000000"/>
                <w:sz w:val="16"/>
                <w:szCs w:val="16"/>
                <w:lang w:eastAsia="en-AU"/>
              </w:rPr>
            </w:pPr>
            <w:r w:rsidRPr="00260F93">
              <w:rPr>
                <w:rFonts w:cs="Arial"/>
                <w:color w:val="000000"/>
                <w:sz w:val="16"/>
                <w:szCs w:val="16"/>
                <w:lang w:eastAsia="en-AU"/>
              </w:rPr>
              <w:t>South West Health</w:t>
            </w:r>
          </w:p>
        </w:tc>
        <w:tc>
          <w:tcPr>
            <w:tcW w:w="1379" w:type="dxa"/>
          </w:tcPr>
          <w:p w14:paraId="18696B8B" w14:textId="77777777" w:rsidR="00161649" w:rsidRPr="005705A0" w:rsidRDefault="00161649" w:rsidP="00161649">
            <w:pPr>
              <w:jc w:val="right"/>
            </w:pPr>
          </w:p>
        </w:tc>
        <w:tc>
          <w:tcPr>
            <w:tcW w:w="1413" w:type="dxa"/>
            <w:shd w:val="clear" w:color="auto" w:fill="auto"/>
          </w:tcPr>
          <w:p w14:paraId="1F4F6B65" w14:textId="23B7859D" w:rsidR="00161649" w:rsidRPr="00260F93" w:rsidRDefault="00161649" w:rsidP="00161649">
            <w:pPr>
              <w:jc w:val="right"/>
              <w:rPr>
                <w:rFonts w:cs="Arial"/>
                <w:color w:val="000000"/>
                <w:sz w:val="16"/>
                <w:szCs w:val="16"/>
                <w:lang w:eastAsia="en-AU"/>
              </w:rPr>
            </w:pPr>
          </w:p>
        </w:tc>
        <w:tc>
          <w:tcPr>
            <w:tcW w:w="1341" w:type="dxa"/>
            <w:shd w:val="clear" w:color="auto" w:fill="auto"/>
          </w:tcPr>
          <w:p w14:paraId="44D7C880" w14:textId="5591A0D6" w:rsidR="00161649" w:rsidRPr="00260F93" w:rsidRDefault="00161649" w:rsidP="00161649">
            <w:pPr>
              <w:jc w:val="right"/>
              <w:rPr>
                <w:rFonts w:cs="Arial"/>
                <w:color w:val="000000"/>
                <w:sz w:val="16"/>
                <w:szCs w:val="16"/>
                <w:lang w:eastAsia="en-AU"/>
              </w:rPr>
            </w:pPr>
            <w:r w:rsidRPr="00D735E1">
              <w:rPr>
                <w:sz w:val="16"/>
                <w:szCs w:val="16"/>
              </w:rPr>
              <w:t>15</w:t>
            </w:r>
          </w:p>
        </w:tc>
        <w:tc>
          <w:tcPr>
            <w:tcW w:w="1341" w:type="dxa"/>
            <w:shd w:val="clear" w:color="auto" w:fill="auto"/>
          </w:tcPr>
          <w:p w14:paraId="2533A2EE" w14:textId="4ED40F41" w:rsidR="00161649" w:rsidRPr="00260F93" w:rsidRDefault="00161649" w:rsidP="00161649">
            <w:pPr>
              <w:jc w:val="right"/>
              <w:rPr>
                <w:rFonts w:cs="Arial"/>
                <w:color w:val="000000"/>
                <w:sz w:val="16"/>
                <w:szCs w:val="16"/>
                <w:lang w:eastAsia="en-AU"/>
              </w:rPr>
            </w:pPr>
            <w:r w:rsidRPr="00D735E1">
              <w:rPr>
                <w:sz w:val="16"/>
                <w:szCs w:val="16"/>
              </w:rPr>
              <w:t>13</w:t>
            </w:r>
          </w:p>
        </w:tc>
        <w:tc>
          <w:tcPr>
            <w:tcW w:w="1342" w:type="dxa"/>
            <w:shd w:val="clear" w:color="auto" w:fill="auto"/>
          </w:tcPr>
          <w:p w14:paraId="48FE426D" w14:textId="3859FE77" w:rsidR="00161649" w:rsidRPr="00260F93" w:rsidRDefault="00161649" w:rsidP="00161649">
            <w:pPr>
              <w:jc w:val="right"/>
              <w:rPr>
                <w:rFonts w:cs="Arial"/>
                <w:color w:val="000000"/>
                <w:sz w:val="16"/>
                <w:szCs w:val="16"/>
                <w:lang w:eastAsia="en-AU"/>
              </w:rPr>
            </w:pPr>
            <w:r w:rsidRPr="00D735E1">
              <w:rPr>
                <w:sz w:val="16"/>
                <w:szCs w:val="16"/>
              </w:rPr>
              <w:t>28</w:t>
            </w:r>
          </w:p>
        </w:tc>
        <w:tc>
          <w:tcPr>
            <w:tcW w:w="1584" w:type="dxa"/>
            <w:shd w:val="clear" w:color="auto" w:fill="auto"/>
          </w:tcPr>
          <w:p w14:paraId="5D4731C1" w14:textId="6F83EA81" w:rsidR="00161649" w:rsidRPr="00260F93" w:rsidRDefault="00161649" w:rsidP="00161649">
            <w:pPr>
              <w:jc w:val="right"/>
              <w:rPr>
                <w:rFonts w:cs="Arial"/>
                <w:color w:val="000000"/>
                <w:sz w:val="16"/>
                <w:szCs w:val="16"/>
                <w:lang w:eastAsia="en-AU"/>
              </w:rPr>
            </w:pPr>
            <w:r>
              <w:rPr>
                <w:rFonts w:cs="Arial"/>
                <w:color w:val="000000"/>
                <w:sz w:val="16"/>
                <w:szCs w:val="16"/>
                <w:lang w:eastAsia="en-AU"/>
              </w:rPr>
              <w:t>10,220</w:t>
            </w:r>
          </w:p>
        </w:tc>
      </w:tr>
    </w:tbl>
    <w:p w14:paraId="3ECD670C" w14:textId="77777777" w:rsidR="00171453" w:rsidRPr="00E00C4E" w:rsidRDefault="00171453" w:rsidP="00902A5C">
      <w:pPr>
        <w:pStyle w:val="Body"/>
      </w:pPr>
    </w:p>
    <w:p w14:paraId="7823E057" w14:textId="77777777" w:rsidR="005B699B" w:rsidRPr="00E00C4E" w:rsidRDefault="005B699B" w:rsidP="00902A5C">
      <w:pPr>
        <w:pStyle w:val="Body"/>
      </w:pPr>
      <w:r w:rsidRPr="00E00C4E">
        <w:t>Combined total</w:t>
      </w:r>
    </w:p>
    <w:tbl>
      <w:tblPr>
        <w:tblStyle w:val="TableGrid1"/>
        <w:tblW w:w="9831" w:type="dxa"/>
        <w:tblLook w:val="04A0" w:firstRow="1" w:lastRow="0" w:firstColumn="1" w:lastColumn="0" w:noHBand="0" w:noVBand="1"/>
      </w:tblPr>
      <w:tblGrid>
        <w:gridCol w:w="1443"/>
        <w:gridCol w:w="1355"/>
        <w:gridCol w:w="1355"/>
        <w:gridCol w:w="1343"/>
        <w:gridCol w:w="1343"/>
        <w:gridCol w:w="1344"/>
        <w:gridCol w:w="1648"/>
      </w:tblGrid>
      <w:tr w:rsidR="00E82103" w:rsidRPr="00941A98" w14:paraId="47F311A5" w14:textId="77777777" w:rsidTr="3E1FFCAD">
        <w:trPr>
          <w:cnfStyle w:val="100000000000" w:firstRow="1" w:lastRow="0" w:firstColumn="0" w:lastColumn="0" w:oddVBand="0" w:evenVBand="0" w:oddHBand="0" w:evenHBand="0" w:firstRowFirstColumn="0" w:firstRowLastColumn="0" w:lastRowFirstColumn="0" w:lastRowLastColumn="0"/>
          <w:trHeight w:val="272"/>
          <w:tblHeader/>
        </w:trPr>
        <w:tc>
          <w:tcPr>
            <w:tcW w:w="1443" w:type="dxa"/>
            <w:shd w:val="clear" w:color="auto" w:fill="auto"/>
          </w:tcPr>
          <w:p w14:paraId="301F20D6" w14:textId="77777777" w:rsidR="00E82103" w:rsidRPr="00685B35" w:rsidRDefault="00E82103">
            <w:pPr>
              <w:pStyle w:val="Tablecolheadlandscape"/>
              <w:rPr>
                <w:b w:val="0"/>
              </w:rPr>
            </w:pPr>
            <w:r w:rsidRPr="003E2E75">
              <w:rPr>
                <w:lang w:eastAsia="en-AU"/>
              </w:rPr>
              <w:t>Health service</w:t>
            </w:r>
          </w:p>
        </w:tc>
        <w:tc>
          <w:tcPr>
            <w:tcW w:w="1355" w:type="dxa"/>
            <w:shd w:val="clear" w:color="auto" w:fill="auto"/>
          </w:tcPr>
          <w:p w14:paraId="353B84D7" w14:textId="77777777" w:rsidR="00E82103" w:rsidRDefault="00E82103">
            <w:pPr>
              <w:jc w:val="right"/>
              <w:rPr>
                <w:rFonts w:cs="Arial"/>
                <w:b/>
                <w:bCs/>
                <w:color w:val="53565A"/>
                <w:sz w:val="16"/>
                <w:szCs w:val="16"/>
              </w:rPr>
            </w:pPr>
            <w:r>
              <w:rPr>
                <w:rFonts w:cs="Arial"/>
                <w:b/>
                <w:bCs/>
                <w:color w:val="53565A"/>
                <w:sz w:val="16"/>
                <w:szCs w:val="16"/>
              </w:rPr>
              <w:t>Mental health funded bed – non-acute</w:t>
            </w:r>
          </w:p>
          <w:p w14:paraId="4763F071" w14:textId="77777777" w:rsidR="00E82103" w:rsidRPr="003E2E75" w:rsidRDefault="00E82103">
            <w:pPr>
              <w:pStyle w:val="Tablecolheadlandscape"/>
              <w:jc w:val="right"/>
              <w:rPr>
                <w:lang w:eastAsia="en-AU"/>
              </w:rPr>
            </w:pPr>
          </w:p>
        </w:tc>
        <w:tc>
          <w:tcPr>
            <w:tcW w:w="1355" w:type="dxa"/>
            <w:shd w:val="clear" w:color="auto" w:fill="auto"/>
          </w:tcPr>
          <w:p w14:paraId="600BEBB3" w14:textId="77777777" w:rsidR="00E82103" w:rsidRPr="00685B35" w:rsidRDefault="00E82103">
            <w:pPr>
              <w:pStyle w:val="Tablecolheadlandscape"/>
              <w:jc w:val="right"/>
              <w:rPr>
                <w:b w:val="0"/>
              </w:rPr>
            </w:pPr>
            <w:r w:rsidRPr="003E2E75">
              <w:rPr>
                <w:lang w:eastAsia="en-AU"/>
              </w:rPr>
              <w:t>Mental health funded bed – subacute CCU</w:t>
            </w:r>
          </w:p>
        </w:tc>
        <w:tc>
          <w:tcPr>
            <w:tcW w:w="1343" w:type="dxa"/>
            <w:shd w:val="clear" w:color="auto" w:fill="auto"/>
          </w:tcPr>
          <w:p w14:paraId="445E2B43" w14:textId="77777777" w:rsidR="00E82103" w:rsidRPr="00685B35" w:rsidRDefault="00E82103">
            <w:pPr>
              <w:pStyle w:val="Tablecolheadlandscape"/>
              <w:jc w:val="right"/>
              <w:rPr>
                <w:b w:val="0"/>
              </w:rPr>
            </w:pPr>
            <w:r w:rsidRPr="003E2E75">
              <w:rPr>
                <w:lang w:eastAsia="en-AU"/>
              </w:rPr>
              <w:t>Mental health funded bed – subacute PARC</w:t>
            </w:r>
          </w:p>
        </w:tc>
        <w:tc>
          <w:tcPr>
            <w:tcW w:w="1343" w:type="dxa"/>
            <w:shd w:val="clear" w:color="auto" w:fill="auto"/>
          </w:tcPr>
          <w:p w14:paraId="6BAE7F21" w14:textId="77777777" w:rsidR="00E82103" w:rsidRPr="00685B35" w:rsidRDefault="00E82103">
            <w:pPr>
              <w:pStyle w:val="Tablecolheadlandscape"/>
              <w:jc w:val="right"/>
              <w:rPr>
                <w:b w:val="0"/>
              </w:rPr>
            </w:pPr>
            <w:r w:rsidRPr="003E2E75">
              <w:rPr>
                <w:lang w:eastAsia="en-AU"/>
              </w:rPr>
              <w:t>Mental health funded bed – residential</w:t>
            </w:r>
          </w:p>
        </w:tc>
        <w:tc>
          <w:tcPr>
            <w:tcW w:w="1344" w:type="dxa"/>
            <w:shd w:val="clear" w:color="auto" w:fill="auto"/>
          </w:tcPr>
          <w:p w14:paraId="2050145E" w14:textId="77777777" w:rsidR="00E82103" w:rsidRDefault="00E82103">
            <w:pPr>
              <w:pStyle w:val="Tablecolheadlandscape"/>
              <w:jc w:val="right"/>
              <w:rPr>
                <w:lang w:eastAsia="en-AU"/>
              </w:rPr>
            </w:pPr>
            <w:r>
              <w:rPr>
                <w:lang w:eastAsia="en-AU"/>
              </w:rPr>
              <w:t>Total</w:t>
            </w:r>
          </w:p>
          <w:p w14:paraId="3B2A2BE5" w14:textId="77777777" w:rsidR="00E82103" w:rsidRPr="00685B35" w:rsidRDefault="00E82103">
            <w:pPr>
              <w:pStyle w:val="Tablecolheadlandscape"/>
              <w:jc w:val="right"/>
              <w:rPr>
                <w:b w:val="0"/>
              </w:rPr>
            </w:pPr>
            <w:r w:rsidRPr="003E2E75">
              <w:rPr>
                <w:lang w:eastAsia="en-AU"/>
              </w:rPr>
              <w:t>Mental health funded subacute and residential bed</w:t>
            </w:r>
          </w:p>
        </w:tc>
        <w:tc>
          <w:tcPr>
            <w:tcW w:w="1648" w:type="dxa"/>
            <w:shd w:val="clear" w:color="auto" w:fill="auto"/>
          </w:tcPr>
          <w:p w14:paraId="5BE2D08C" w14:textId="77777777" w:rsidR="00E82103" w:rsidRDefault="00E82103">
            <w:pPr>
              <w:pStyle w:val="Tablecolheadlandscape"/>
              <w:jc w:val="right"/>
              <w:rPr>
                <w:lang w:eastAsia="en-AU"/>
              </w:rPr>
            </w:pPr>
            <w:r>
              <w:rPr>
                <w:lang w:eastAsia="en-AU"/>
              </w:rPr>
              <w:t>Total</w:t>
            </w:r>
          </w:p>
          <w:p w14:paraId="27677B54" w14:textId="77777777" w:rsidR="00E82103" w:rsidRPr="00685B35" w:rsidRDefault="00E82103">
            <w:pPr>
              <w:pStyle w:val="Tablecolheadlandscape"/>
              <w:jc w:val="right"/>
              <w:rPr>
                <w:b w:val="0"/>
              </w:rPr>
            </w:pPr>
            <w:r w:rsidRPr="003E2E75">
              <w:rPr>
                <w:lang w:eastAsia="en-AU"/>
              </w:rPr>
              <w:t>Mental health funded subacute and residential bed days</w:t>
            </w:r>
          </w:p>
        </w:tc>
      </w:tr>
      <w:tr w:rsidR="00161649" w:rsidRPr="002F392F" w14:paraId="287C811C" w14:textId="77777777" w:rsidTr="3E1FFCAD">
        <w:trPr>
          <w:trHeight w:val="272"/>
        </w:trPr>
        <w:tc>
          <w:tcPr>
            <w:tcW w:w="1443" w:type="dxa"/>
            <w:shd w:val="clear" w:color="auto" w:fill="auto"/>
            <w:hideMark/>
          </w:tcPr>
          <w:p w14:paraId="52F8AF65" w14:textId="77777777" w:rsidR="00161649" w:rsidRPr="00941A98" w:rsidRDefault="00161649" w:rsidP="00161649">
            <w:pPr>
              <w:rPr>
                <w:rFonts w:cs="Arial"/>
                <w:b/>
                <w:bCs/>
                <w:color w:val="000000"/>
                <w:sz w:val="16"/>
                <w:szCs w:val="16"/>
                <w:lang w:eastAsia="en-AU"/>
              </w:rPr>
            </w:pPr>
            <w:r w:rsidRPr="00941A98">
              <w:rPr>
                <w:rFonts w:cs="Arial"/>
                <w:b/>
                <w:bCs/>
                <w:color w:val="000000"/>
                <w:sz w:val="16"/>
                <w:szCs w:val="16"/>
                <w:lang w:eastAsia="en-AU"/>
              </w:rPr>
              <w:t>Total</w:t>
            </w:r>
          </w:p>
        </w:tc>
        <w:tc>
          <w:tcPr>
            <w:tcW w:w="1355" w:type="dxa"/>
          </w:tcPr>
          <w:p w14:paraId="296DA855" w14:textId="09830D3A" w:rsidR="00161649" w:rsidRPr="004773AF" w:rsidRDefault="00161649" w:rsidP="00161649">
            <w:pPr>
              <w:jc w:val="right"/>
            </w:pPr>
            <w:r w:rsidRPr="00D735E1">
              <w:rPr>
                <w:sz w:val="16"/>
                <w:szCs w:val="16"/>
              </w:rPr>
              <w:t>82</w:t>
            </w:r>
          </w:p>
        </w:tc>
        <w:tc>
          <w:tcPr>
            <w:tcW w:w="1355" w:type="dxa"/>
            <w:shd w:val="clear" w:color="auto" w:fill="auto"/>
          </w:tcPr>
          <w:p w14:paraId="6EDF9B45" w14:textId="039F1E4D" w:rsidR="00161649" w:rsidRPr="00941A98" w:rsidRDefault="00161649" w:rsidP="00161649">
            <w:pPr>
              <w:jc w:val="right"/>
              <w:rPr>
                <w:rFonts w:cs="Arial"/>
                <w:b/>
                <w:bCs/>
                <w:color w:val="000000"/>
                <w:sz w:val="16"/>
                <w:szCs w:val="16"/>
                <w:lang w:eastAsia="en-AU"/>
              </w:rPr>
            </w:pPr>
            <w:r w:rsidRPr="00D735E1">
              <w:rPr>
                <w:sz w:val="16"/>
                <w:szCs w:val="16"/>
              </w:rPr>
              <w:t>336</w:t>
            </w:r>
          </w:p>
        </w:tc>
        <w:tc>
          <w:tcPr>
            <w:tcW w:w="1343" w:type="dxa"/>
            <w:shd w:val="clear" w:color="auto" w:fill="auto"/>
          </w:tcPr>
          <w:p w14:paraId="13549078" w14:textId="3A8AC254" w:rsidR="00161649" w:rsidRPr="00941A98" w:rsidRDefault="63C524FF" w:rsidP="3E1FFCAD">
            <w:pPr>
              <w:jc w:val="right"/>
              <w:rPr>
                <w:sz w:val="16"/>
                <w:szCs w:val="16"/>
                <w:lang w:eastAsia="en-AU"/>
              </w:rPr>
            </w:pPr>
            <w:r w:rsidRPr="3E1FFCAD">
              <w:rPr>
                <w:sz w:val="16"/>
                <w:szCs w:val="16"/>
              </w:rPr>
              <w:t>313</w:t>
            </w:r>
          </w:p>
        </w:tc>
        <w:tc>
          <w:tcPr>
            <w:tcW w:w="1343" w:type="dxa"/>
            <w:shd w:val="clear" w:color="auto" w:fill="auto"/>
          </w:tcPr>
          <w:p w14:paraId="2E36FC60" w14:textId="1E457C52" w:rsidR="00161649" w:rsidRPr="00941A98" w:rsidRDefault="63C524FF" w:rsidP="3E1FFCAD">
            <w:pPr>
              <w:jc w:val="right"/>
              <w:rPr>
                <w:sz w:val="16"/>
                <w:szCs w:val="16"/>
                <w:lang w:eastAsia="en-AU"/>
              </w:rPr>
            </w:pPr>
            <w:r w:rsidRPr="3E1FFCAD">
              <w:rPr>
                <w:sz w:val="16"/>
                <w:szCs w:val="16"/>
              </w:rPr>
              <w:t>491</w:t>
            </w:r>
          </w:p>
        </w:tc>
        <w:tc>
          <w:tcPr>
            <w:tcW w:w="1344" w:type="dxa"/>
            <w:shd w:val="clear" w:color="auto" w:fill="auto"/>
          </w:tcPr>
          <w:p w14:paraId="5FDA37F1" w14:textId="4DB9430E" w:rsidR="00161649" w:rsidRPr="00161649" w:rsidRDefault="00161649" w:rsidP="00161649">
            <w:pPr>
              <w:jc w:val="right"/>
              <w:rPr>
                <w:sz w:val="16"/>
                <w:szCs w:val="16"/>
              </w:rPr>
            </w:pPr>
            <w:r w:rsidRPr="00D735E1">
              <w:rPr>
                <w:sz w:val="16"/>
                <w:szCs w:val="16"/>
              </w:rPr>
              <w:t>1,222</w:t>
            </w:r>
          </w:p>
        </w:tc>
        <w:tc>
          <w:tcPr>
            <w:tcW w:w="1648" w:type="dxa"/>
            <w:shd w:val="clear" w:color="auto" w:fill="auto"/>
          </w:tcPr>
          <w:p w14:paraId="51A0FFA7" w14:textId="73E72BAF" w:rsidR="00161649" w:rsidRPr="002F392F" w:rsidRDefault="00161649" w:rsidP="00161649">
            <w:pPr>
              <w:jc w:val="right"/>
              <w:rPr>
                <w:rFonts w:cs="Arial"/>
                <w:color w:val="000000"/>
                <w:sz w:val="16"/>
                <w:szCs w:val="16"/>
                <w:lang w:eastAsia="en-AU"/>
              </w:rPr>
            </w:pPr>
            <w:r w:rsidRPr="002F392F">
              <w:rPr>
                <w:rFonts w:cs="Arial"/>
                <w:color w:val="000000"/>
                <w:sz w:val="16"/>
                <w:szCs w:val="16"/>
                <w:lang w:eastAsia="en-AU"/>
              </w:rPr>
              <w:t>446,030</w:t>
            </w:r>
          </w:p>
        </w:tc>
      </w:tr>
    </w:tbl>
    <w:p w14:paraId="1362641E" w14:textId="77777777" w:rsidR="005B699B" w:rsidRPr="00D64B3A" w:rsidRDefault="005B699B" w:rsidP="005B699B">
      <w:pPr>
        <w:pStyle w:val="Body"/>
      </w:pPr>
    </w:p>
    <w:bookmarkEnd w:id="2676"/>
    <w:bookmarkEnd w:id="2677"/>
    <w:bookmarkEnd w:id="2678"/>
    <w:p w14:paraId="4A70A7D0" w14:textId="77777777" w:rsidR="005B699B" w:rsidRDefault="005B699B" w:rsidP="005B699B">
      <w:pPr>
        <w:pStyle w:val="Body"/>
      </w:pPr>
    </w:p>
    <w:p w14:paraId="5EE2A589" w14:textId="77777777" w:rsidR="005B699B" w:rsidRDefault="005B699B" w:rsidP="00902A5C">
      <w:pPr>
        <w:pStyle w:val="Heading3"/>
        <w:numPr>
          <w:ilvl w:val="0"/>
          <w:numId w:val="0"/>
        </w:numPr>
        <w:sectPr w:rsidR="005B699B" w:rsidSect="00252E66">
          <w:headerReference w:type="default" r:id="rId86"/>
          <w:footerReference w:type="even" r:id="rId87"/>
          <w:footerReference w:type="default" r:id="rId88"/>
          <w:headerReference w:type="first" r:id="rId89"/>
          <w:pgSz w:w="11906" w:h="16838" w:code="9"/>
          <w:pgMar w:top="1418" w:right="1304" w:bottom="1134" w:left="1304" w:header="624" w:footer="510" w:gutter="0"/>
          <w:cols w:space="340"/>
          <w:docGrid w:linePitch="360"/>
        </w:sectPr>
      </w:pPr>
      <w:bookmarkStart w:id="2679" w:name="_Toc12780678"/>
      <w:bookmarkStart w:id="2680" w:name="_Toc14172319"/>
      <w:bookmarkStart w:id="2681" w:name="_Toc33703993"/>
      <w:bookmarkStart w:id="2682" w:name="_Toc55381181"/>
      <w:bookmarkStart w:id="2683" w:name="_Toc100263385"/>
    </w:p>
    <w:p w14:paraId="1A6BBA86" w14:textId="6B660E8E" w:rsidR="00394A92" w:rsidRDefault="005B699B" w:rsidP="001E4292">
      <w:pPr>
        <w:pStyle w:val="Heading2"/>
        <w:numPr>
          <w:ilvl w:val="1"/>
          <w:numId w:val="13"/>
        </w:numPr>
        <w:ind w:left="1134" w:hanging="1134"/>
      </w:pPr>
      <w:bookmarkStart w:id="2684" w:name="_Toc165961879"/>
      <w:bookmarkStart w:id="2685" w:name="_Toc178963665"/>
      <w:r>
        <w:lastRenderedPageBreak/>
        <w:t xml:space="preserve">Mental health </w:t>
      </w:r>
      <w:r w:rsidRPr="000A1079">
        <w:t>ambulatory</w:t>
      </w:r>
      <w:r>
        <w:t xml:space="preserve"> targets </w:t>
      </w:r>
      <w:bookmarkEnd w:id="2679"/>
      <w:bookmarkEnd w:id="2680"/>
      <w:bookmarkEnd w:id="2681"/>
      <w:bookmarkEnd w:id="2682"/>
      <w:r>
        <w:t>2024–2</w:t>
      </w:r>
      <w:bookmarkEnd w:id="2683"/>
      <w:r>
        <w:t>5</w:t>
      </w:r>
      <w:bookmarkStart w:id="2686" w:name="_Toc12780584"/>
      <w:bookmarkStart w:id="2687" w:name="_Toc14194840"/>
      <w:bookmarkStart w:id="2688" w:name="_Toc33704021"/>
      <w:bookmarkStart w:id="2689" w:name="_Toc109894150"/>
      <w:bookmarkEnd w:id="2684"/>
      <w:bookmarkEnd w:id="2685"/>
    </w:p>
    <w:p w14:paraId="5C041E99" w14:textId="0D5D68CB" w:rsidR="005B699B" w:rsidRDefault="00462DC7" w:rsidP="00297FC9">
      <w:pPr>
        <w:pStyle w:val="Tablecaption"/>
      </w:pPr>
      <w:bookmarkStart w:id="2690" w:name="_Toc176510433"/>
      <w:r>
        <w:t xml:space="preserve">Table </w:t>
      </w:r>
      <w:r w:rsidR="00110E39">
        <w:t>2</w:t>
      </w:r>
      <w:r w:rsidR="000E0ED2">
        <w:t>.</w:t>
      </w:r>
      <w:r>
        <w:fldChar w:fldCharType="begin"/>
      </w:r>
      <w:r>
        <w:instrText>SEQ Table \* ARABIC \s 1</w:instrText>
      </w:r>
      <w:r>
        <w:fldChar w:fldCharType="separate"/>
      </w:r>
      <w:r w:rsidR="00F30C16">
        <w:rPr>
          <w:noProof/>
        </w:rPr>
        <w:t>20</w:t>
      </w:r>
      <w:r>
        <w:fldChar w:fldCharType="end"/>
      </w:r>
      <w:r w:rsidRPr="00271AC6">
        <w:t xml:space="preserve">: </w:t>
      </w:r>
      <w:r w:rsidR="005B699B" w:rsidRPr="00DE5BFB">
        <w:t xml:space="preserve">Mental health </w:t>
      </w:r>
      <w:r w:rsidR="001A6B90">
        <w:t>ambulatory targets</w:t>
      </w:r>
      <w:r w:rsidR="005B699B" w:rsidRPr="00AA57BF">
        <w:t xml:space="preserve"> </w:t>
      </w:r>
      <w:bookmarkEnd w:id="2686"/>
      <w:bookmarkEnd w:id="2687"/>
      <w:bookmarkEnd w:id="2688"/>
      <w:r w:rsidR="005B699B" w:rsidRPr="00AA57BF">
        <w:t>2024–2</w:t>
      </w:r>
      <w:bookmarkEnd w:id="2689"/>
      <w:r w:rsidR="005B699B" w:rsidRPr="00AA57BF">
        <w:t>5</w:t>
      </w:r>
      <w:bookmarkEnd w:id="2690"/>
    </w:p>
    <w:p w14:paraId="39DB02ED" w14:textId="704715E7" w:rsidR="005B699B" w:rsidRDefault="005B699B" w:rsidP="005B699B">
      <w:pPr>
        <w:pStyle w:val="Body"/>
      </w:pPr>
      <w:r>
        <w:t>Metropolitan and regional</w:t>
      </w:r>
    </w:p>
    <w:tbl>
      <w:tblPr>
        <w:tblStyle w:val="TableGrid1"/>
        <w:tblW w:w="6227" w:type="dxa"/>
        <w:tblLook w:val="04A0" w:firstRow="1" w:lastRow="0" w:firstColumn="1" w:lastColumn="0" w:noHBand="0" w:noVBand="1"/>
      </w:tblPr>
      <w:tblGrid>
        <w:gridCol w:w="2940"/>
        <w:gridCol w:w="3287"/>
      </w:tblGrid>
      <w:tr w:rsidR="00FF50BA" w:rsidRPr="00A030E3" w14:paraId="4E090A72" w14:textId="77777777">
        <w:trPr>
          <w:cnfStyle w:val="100000000000" w:firstRow="1" w:lastRow="0" w:firstColumn="0" w:lastColumn="0" w:oddVBand="0" w:evenVBand="0" w:oddHBand="0" w:evenHBand="0" w:firstRowFirstColumn="0" w:firstRowLastColumn="0" w:lastRowFirstColumn="0" w:lastRowLastColumn="0"/>
          <w:trHeight w:val="420"/>
        </w:trPr>
        <w:tc>
          <w:tcPr>
            <w:tcW w:w="2940" w:type="dxa"/>
            <w:shd w:val="clear" w:color="auto" w:fill="auto"/>
            <w:hideMark/>
          </w:tcPr>
          <w:p w14:paraId="4373DC94" w14:textId="77777777" w:rsidR="00FF50BA" w:rsidRPr="00685B35" w:rsidRDefault="00FF50BA">
            <w:pPr>
              <w:pStyle w:val="Tablecolheadlandscape"/>
              <w:rPr>
                <w:b w:val="0"/>
              </w:rPr>
            </w:pPr>
            <w:r w:rsidRPr="00685B35">
              <w:t>Health service</w:t>
            </w:r>
          </w:p>
        </w:tc>
        <w:tc>
          <w:tcPr>
            <w:tcW w:w="3287" w:type="dxa"/>
            <w:shd w:val="clear" w:color="auto" w:fill="auto"/>
            <w:hideMark/>
          </w:tcPr>
          <w:p w14:paraId="4EE1F88D" w14:textId="77777777" w:rsidR="00FF50BA" w:rsidRPr="00685B35" w:rsidRDefault="00FF50BA">
            <w:pPr>
              <w:pStyle w:val="Tablecolheadlandscape"/>
              <w:jc w:val="right"/>
              <w:rPr>
                <w:b w:val="0"/>
              </w:rPr>
            </w:pPr>
            <w:r w:rsidRPr="00685B35">
              <w:t>Ambulatory contacts</w:t>
            </w:r>
          </w:p>
        </w:tc>
      </w:tr>
      <w:tr w:rsidR="00262552" w:rsidRPr="007909C4" w14:paraId="6E271398" w14:textId="77777777">
        <w:trPr>
          <w:trHeight w:val="300"/>
        </w:trPr>
        <w:tc>
          <w:tcPr>
            <w:tcW w:w="2940" w:type="dxa"/>
            <w:shd w:val="clear" w:color="auto" w:fill="auto"/>
            <w:vAlign w:val="center"/>
            <w:hideMark/>
          </w:tcPr>
          <w:p w14:paraId="4BE28D5B" w14:textId="0CAB0A3E" w:rsidR="00262552" w:rsidRPr="00685B35" w:rsidRDefault="00262552" w:rsidP="00262552">
            <w:pPr>
              <w:rPr>
                <w:rFonts w:cs="Arial"/>
                <w:color w:val="000000" w:themeColor="text1"/>
                <w:sz w:val="16"/>
                <w:szCs w:val="16"/>
                <w:lang w:eastAsia="en-AU"/>
              </w:rPr>
            </w:pPr>
            <w:r>
              <w:rPr>
                <w:rFonts w:cs="Arial"/>
                <w:color w:val="000000"/>
                <w:sz w:val="16"/>
                <w:szCs w:val="16"/>
              </w:rPr>
              <w:t>Albury Wodonga Health</w:t>
            </w:r>
          </w:p>
        </w:tc>
        <w:tc>
          <w:tcPr>
            <w:tcW w:w="3287" w:type="dxa"/>
            <w:shd w:val="clear" w:color="auto" w:fill="auto"/>
            <w:vAlign w:val="center"/>
          </w:tcPr>
          <w:p w14:paraId="4D55C302" w14:textId="6553D2B2" w:rsidR="00262552" w:rsidRPr="007909C4" w:rsidRDefault="00262552" w:rsidP="00262552">
            <w:pPr>
              <w:jc w:val="right"/>
              <w:rPr>
                <w:rFonts w:cs="Arial"/>
                <w:color w:val="000000" w:themeColor="text1"/>
                <w:sz w:val="16"/>
                <w:szCs w:val="16"/>
                <w:lang w:eastAsia="en-AU"/>
              </w:rPr>
            </w:pPr>
            <w:r>
              <w:rPr>
                <w:rFonts w:cs="Arial"/>
                <w:color w:val="000000"/>
                <w:sz w:val="16"/>
                <w:szCs w:val="16"/>
              </w:rPr>
              <w:t>45,891</w:t>
            </w:r>
          </w:p>
        </w:tc>
      </w:tr>
      <w:tr w:rsidR="00262552" w:rsidRPr="007909C4" w14:paraId="07309320" w14:textId="77777777">
        <w:trPr>
          <w:trHeight w:val="300"/>
        </w:trPr>
        <w:tc>
          <w:tcPr>
            <w:tcW w:w="2940" w:type="dxa"/>
            <w:shd w:val="clear" w:color="auto" w:fill="auto"/>
            <w:vAlign w:val="center"/>
            <w:hideMark/>
          </w:tcPr>
          <w:p w14:paraId="6C278F53" w14:textId="79123A33" w:rsidR="00262552" w:rsidRPr="00685B35" w:rsidRDefault="00262552" w:rsidP="00262552">
            <w:pPr>
              <w:rPr>
                <w:rFonts w:cs="Arial"/>
                <w:color w:val="000000" w:themeColor="text1"/>
                <w:sz w:val="16"/>
                <w:szCs w:val="16"/>
                <w:lang w:eastAsia="en-AU"/>
              </w:rPr>
            </w:pPr>
            <w:r>
              <w:rPr>
                <w:rFonts w:cs="Arial"/>
                <w:color w:val="000000"/>
                <w:sz w:val="16"/>
                <w:szCs w:val="16"/>
              </w:rPr>
              <w:t>Alfred Health</w:t>
            </w:r>
          </w:p>
        </w:tc>
        <w:tc>
          <w:tcPr>
            <w:tcW w:w="3287" w:type="dxa"/>
            <w:shd w:val="clear" w:color="auto" w:fill="auto"/>
            <w:vAlign w:val="center"/>
          </w:tcPr>
          <w:p w14:paraId="44B24C94" w14:textId="4CBD2EB2" w:rsidR="00262552" w:rsidRPr="007909C4" w:rsidRDefault="00262552" w:rsidP="00262552">
            <w:pPr>
              <w:jc w:val="right"/>
              <w:rPr>
                <w:rFonts w:cs="Arial"/>
                <w:color w:val="000000" w:themeColor="text1"/>
                <w:sz w:val="16"/>
                <w:szCs w:val="16"/>
                <w:lang w:eastAsia="en-AU"/>
              </w:rPr>
            </w:pPr>
            <w:r>
              <w:rPr>
                <w:rFonts w:cs="Arial"/>
                <w:color w:val="000000"/>
                <w:sz w:val="16"/>
                <w:szCs w:val="16"/>
              </w:rPr>
              <w:t>139,315</w:t>
            </w:r>
          </w:p>
        </w:tc>
      </w:tr>
      <w:tr w:rsidR="00262552" w:rsidRPr="007909C4" w14:paraId="411D9918" w14:textId="77777777">
        <w:trPr>
          <w:trHeight w:val="300"/>
        </w:trPr>
        <w:tc>
          <w:tcPr>
            <w:tcW w:w="2940" w:type="dxa"/>
            <w:shd w:val="clear" w:color="auto" w:fill="auto"/>
            <w:vAlign w:val="center"/>
            <w:hideMark/>
          </w:tcPr>
          <w:p w14:paraId="6D88DF6E" w14:textId="15FE3A18" w:rsidR="00262552" w:rsidRPr="00685B35" w:rsidRDefault="00262552" w:rsidP="00262552">
            <w:pPr>
              <w:rPr>
                <w:rFonts w:cs="Arial"/>
                <w:color w:val="000000" w:themeColor="text1"/>
                <w:sz w:val="16"/>
                <w:szCs w:val="16"/>
                <w:lang w:eastAsia="en-AU"/>
              </w:rPr>
            </w:pPr>
            <w:r>
              <w:rPr>
                <w:rFonts w:cs="Arial"/>
                <w:color w:val="000000"/>
                <w:sz w:val="16"/>
                <w:szCs w:val="16"/>
              </w:rPr>
              <w:t>Austin Health</w:t>
            </w:r>
          </w:p>
        </w:tc>
        <w:tc>
          <w:tcPr>
            <w:tcW w:w="3287" w:type="dxa"/>
            <w:shd w:val="clear" w:color="auto" w:fill="auto"/>
            <w:vAlign w:val="center"/>
          </w:tcPr>
          <w:p w14:paraId="36F070A1" w14:textId="1AA66872" w:rsidR="00262552" w:rsidRPr="007909C4" w:rsidRDefault="00262552" w:rsidP="00262552">
            <w:pPr>
              <w:jc w:val="right"/>
              <w:rPr>
                <w:rFonts w:cs="Arial"/>
                <w:color w:val="000000" w:themeColor="text1"/>
                <w:sz w:val="16"/>
                <w:szCs w:val="16"/>
                <w:lang w:eastAsia="en-AU"/>
              </w:rPr>
            </w:pPr>
            <w:r>
              <w:rPr>
                <w:rFonts w:cs="Arial"/>
                <w:color w:val="000000"/>
                <w:sz w:val="16"/>
                <w:szCs w:val="16"/>
              </w:rPr>
              <w:t>87,901</w:t>
            </w:r>
          </w:p>
        </w:tc>
      </w:tr>
      <w:tr w:rsidR="00262552" w:rsidRPr="007909C4" w14:paraId="257F209B" w14:textId="77777777">
        <w:trPr>
          <w:trHeight w:val="300"/>
        </w:trPr>
        <w:tc>
          <w:tcPr>
            <w:tcW w:w="2940" w:type="dxa"/>
            <w:shd w:val="clear" w:color="auto" w:fill="auto"/>
            <w:vAlign w:val="center"/>
            <w:hideMark/>
          </w:tcPr>
          <w:p w14:paraId="278707EF" w14:textId="41C119BF" w:rsidR="00262552" w:rsidRPr="00685B35" w:rsidRDefault="00262552" w:rsidP="00262552">
            <w:pPr>
              <w:rPr>
                <w:rFonts w:cs="Arial"/>
                <w:color w:val="000000" w:themeColor="text1"/>
                <w:sz w:val="16"/>
                <w:szCs w:val="16"/>
                <w:lang w:eastAsia="en-AU"/>
              </w:rPr>
            </w:pPr>
            <w:r>
              <w:rPr>
                <w:rFonts w:cs="Arial"/>
                <w:color w:val="000000"/>
                <w:sz w:val="16"/>
                <w:szCs w:val="16"/>
              </w:rPr>
              <w:t>Barwon Health</w:t>
            </w:r>
          </w:p>
        </w:tc>
        <w:tc>
          <w:tcPr>
            <w:tcW w:w="3287" w:type="dxa"/>
            <w:shd w:val="clear" w:color="auto" w:fill="auto"/>
            <w:vAlign w:val="center"/>
          </w:tcPr>
          <w:p w14:paraId="024829FB" w14:textId="7A8F7D52" w:rsidR="00262552" w:rsidRPr="007909C4" w:rsidRDefault="00262552" w:rsidP="00262552">
            <w:pPr>
              <w:jc w:val="right"/>
              <w:rPr>
                <w:rFonts w:cs="Arial"/>
                <w:color w:val="000000" w:themeColor="text1"/>
                <w:sz w:val="16"/>
                <w:szCs w:val="16"/>
                <w:lang w:eastAsia="en-AU"/>
              </w:rPr>
            </w:pPr>
            <w:r>
              <w:rPr>
                <w:rFonts w:cs="Arial"/>
                <w:color w:val="000000"/>
                <w:sz w:val="16"/>
                <w:szCs w:val="16"/>
              </w:rPr>
              <w:t>113,970</w:t>
            </w:r>
          </w:p>
        </w:tc>
      </w:tr>
      <w:tr w:rsidR="00262552" w:rsidRPr="007909C4" w14:paraId="7E8EBF38" w14:textId="77777777">
        <w:trPr>
          <w:trHeight w:val="300"/>
        </w:trPr>
        <w:tc>
          <w:tcPr>
            <w:tcW w:w="2940" w:type="dxa"/>
            <w:shd w:val="clear" w:color="auto" w:fill="auto"/>
            <w:vAlign w:val="center"/>
            <w:hideMark/>
          </w:tcPr>
          <w:p w14:paraId="1912AA69" w14:textId="2266BDCC" w:rsidR="00262552" w:rsidRPr="00685B35" w:rsidRDefault="00262552" w:rsidP="00262552">
            <w:pPr>
              <w:rPr>
                <w:rFonts w:cs="Arial"/>
                <w:color w:val="000000" w:themeColor="text1"/>
                <w:sz w:val="16"/>
                <w:szCs w:val="16"/>
                <w:lang w:eastAsia="en-AU"/>
              </w:rPr>
            </w:pPr>
            <w:r>
              <w:rPr>
                <w:rFonts w:cs="Arial"/>
                <w:color w:val="000000"/>
                <w:sz w:val="16"/>
                <w:szCs w:val="16"/>
              </w:rPr>
              <w:t>Bendigo Health</w:t>
            </w:r>
          </w:p>
        </w:tc>
        <w:tc>
          <w:tcPr>
            <w:tcW w:w="3287" w:type="dxa"/>
            <w:shd w:val="clear" w:color="auto" w:fill="auto"/>
            <w:vAlign w:val="center"/>
          </w:tcPr>
          <w:p w14:paraId="7C204F4A" w14:textId="4757EAA0" w:rsidR="00262552" w:rsidRPr="007909C4" w:rsidRDefault="00262552" w:rsidP="00262552">
            <w:pPr>
              <w:jc w:val="right"/>
              <w:rPr>
                <w:rFonts w:cs="Arial"/>
                <w:color w:val="000000" w:themeColor="text1"/>
                <w:sz w:val="16"/>
                <w:szCs w:val="16"/>
                <w:lang w:eastAsia="en-AU"/>
              </w:rPr>
            </w:pPr>
            <w:r>
              <w:rPr>
                <w:rFonts w:cs="Arial"/>
                <w:color w:val="000000"/>
                <w:sz w:val="16"/>
                <w:szCs w:val="16"/>
              </w:rPr>
              <w:t>98,863</w:t>
            </w:r>
          </w:p>
        </w:tc>
      </w:tr>
      <w:tr w:rsidR="00262552" w:rsidRPr="007909C4" w14:paraId="7350A447" w14:textId="77777777">
        <w:trPr>
          <w:trHeight w:val="300"/>
        </w:trPr>
        <w:tc>
          <w:tcPr>
            <w:tcW w:w="2940" w:type="dxa"/>
            <w:shd w:val="clear" w:color="auto" w:fill="auto"/>
            <w:vAlign w:val="center"/>
            <w:hideMark/>
          </w:tcPr>
          <w:p w14:paraId="454AB291" w14:textId="7331196E" w:rsidR="00262552" w:rsidRPr="00685B35" w:rsidRDefault="00262552" w:rsidP="00262552">
            <w:pPr>
              <w:rPr>
                <w:rFonts w:cs="Arial"/>
                <w:color w:val="000000" w:themeColor="text1"/>
                <w:sz w:val="16"/>
                <w:szCs w:val="16"/>
                <w:lang w:eastAsia="en-AU"/>
              </w:rPr>
            </w:pPr>
            <w:r>
              <w:rPr>
                <w:rFonts w:cs="Arial"/>
                <w:color w:val="000000"/>
                <w:sz w:val="16"/>
                <w:szCs w:val="16"/>
              </w:rPr>
              <w:t>Eastern Health</w:t>
            </w:r>
          </w:p>
        </w:tc>
        <w:tc>
          <w:tcPr>
            <w:tcW w:w="3287" w:type="dxa"/>
            <w:shd w:val="clear" w:color="auto" w:fill="auto"/>
            <w:vAlign w:val="center"/>
          </w:tcPr>
          <w:p w14:paraId="5DB13BD1" w14:textId="2CC58EEC" w:rsidR="00262552" w:rsidRPr="007909C4" w:rsidRDefault="00262552" w:rsidP="00262552">
            <w:pPr>
              <w:jc w:val="right"/>
              <w:rPr>
                <w:rFonts w:cs="Arial"/>
                <w:color w:val="000000" w:themeColor="text1"/>
                <w:sz w:val="16"/>
                <w:szCs w:val="16"/>
                <w:lang w:eastAsia="en-AU"/>
              </w:rPr>
            </w:pPr>
            <w:r>
              <w:rPr>
                <w:rFonts w:cs="Arial"/>
                <w:color w:val="000000"/>
                <w:sz w:val="16"/>
                <w:szCs w:val="16"/>
              </w:rPr>
              <w:t>239,691</w:t>
            </w:r>
          </w:p>
        </w:tc>
      </w:tr>
      <w:tr w:rsidR="00262552" w:rsidRPr="007909C4" w14:paraId="72140B1F" w14:textId="77777777">
        <w:trPr>
          <w:trHeight w:val="300"/>
        </w:trPr>
        <w:tc>
          <w:tcPr>
            <w:tcW w:w="2940" w:type="dxa"/>
            <w:shd w:val="clear" w:color="auto" w:fill="auto"/>
            <w:vAlign w:val="center"/>
            <w:hideMark/>
          </w:tcPr>
          <w:p w14:paraId="77BB3273" w14:textId="1276639C" w:rsidR="00262552" w:rsidRPr="00685B35" w:rsidRDefault="00262552" w:rsidP="00262552">
            <w:pPr>
              <w:rPr>
                <w:rFonts w:cs="Arial"/>
                <w:color w:val="000000" w:themeColor="text1"/>
                <w:sz w:val="16"/>
                <w:szCs w:val="16"/>
                <w:lang w:eastAsia="en-AU"/>
              </w:rPr>
            </w:pPr>
            <w:r>
              <w:rPr>
                <w:rFonts w:cs="Arial"/>
                <w:color w:val="000000"/>
                <w:sz w:val="16"/>
                <w:szCs w:val="16"/>
              </w:rPr>
              <w:t>Goulburn Valley Health</w:t>
            </w:r>
          </w:p>
        </w:tc>
        <w:tc>
          <w:tcPr>
            <w:tcW w:w="3287" w:type="dxa"/>
            <w:shd w:val="clear" w:color="auto" w:fill="auto"/>
            <w:vAlign w:val="center"/>
          </w:tcPr>
          <w:p w14:paraId="638B4CF4" w14:textId="15F119D1" w:rsidR="00262552" w:rsidRPr="007909C4" w:rsidRDefault="00262552" w:rsidP="00262552">
            <w:pPr>
              <w:jc w:val="right"/>
              <w:rPr>
                <w:rFonts w:cs="Arial"/>
                <w:color w:val="000000" w:themeColor="text1"/>
                <w:sz w:val="16"/>
                <w:szCs w:val="16"/>
                <w:lang w:eastAsia="en-AU"/>
              </w:rPr>
            </w:pPr>
            <w:r>
              <w:rPr>
                <w:rFonts w:cs="Arial"/>
                <w:color w:val="000000"/>
                <w:sz w:val="16"/>
                <w:szCs w:val="16"/>
              </w:rPr>
              <w:t>55,083</w:t>
            </w:r>
          </w:p>
        </w:tc>
      </w:tr>
      <w:tr w:rsidR="00262552" w:rsidRPr="007909C4" w14:paraId="1D7DE094" w14:textId="77777777">
        <w:trPr>
          <w:trHeight w:val="300"/>
        </w:trPr>
        <w:tc>
          <w:tcPr>
            <w:tcW w:w="2940" w:type="dxa"/>
            <w:shd w:val="clear" w:color="auto" w:fill="auto"/>
            <w:vAlign w:val="center"/>
          </w:tcPr>
          <w:p w14:paraId="05FBA657" w14:textId="626620ED" w:rsidR="00262552" w:rsidRPr="00685B35" w:rsidRDefault="00262552" w:rsidP="00262552">
            <w:pPr>
              <w:rPr>
                <w:rFonts w:cs="Arial"/>
                <w:color w:val="000000" w:themeColor="text1"/>
                <w:sz w:val="16"/>
                <w:szCs w:val="16"/>
                <w:lang w:eastAsia="en-AU"/>
              </w:rPr>
            </w:pPr>
            <w:r>
              <w:rPr>
                <w:rFonts w:cs="Arial"/>
                <w:color w:val="000000"/>
                <w:sz w:val="16"/>
                <w:szCs w:val="16"/>
              </w:rPr>
              <w:t>Grampians Health (Ballarat)</w:t>
            </w:r>
          </w:p>
        </w:tc>
        <w:tc>
          <w:tcPr>
            <w:tcW w:w="3287" w:type="dxa"/>
            <w:shd w:val="clear" w:color="auto" w:fill="auto"/>
            <w:vAlign w:val="center"/>
          </w:tcPr>
          <w:p w14:paraId="222917AC" w14:textId="3425B1EB" w:rsidR="00262552" w:rsidRPr="007909C4" w:rsidRDefault="00262552" w:rsidP="00262552">
            <w:pPr>
              <w:jc w:val="right"/>
              <w:rPr>
                <w:sz w:val="16"/>
                <w:szCs w:val="16"/>
              </w:rPr>
            </w:pPr>
            <w:r>
              <w:rPr>
                <w:rFonts w:cs="Arial"/>
                <w:color w:val="000000"/>
                <w:sz w:val="16"/>
                <w:szCs w:val="16"/>
              </w:rPr>
              <w:t>77,344</w:t>
            </w:r>
          </w:p>
        </w:tc>
      </w:tr>
      <w:tr w:rsidR="00262552" w:rsidRPr="007909C4" w14:paraId="45F923D6" w14:textId="77777777">
        <w:trPr>
          <w:trHeight w:val="300"/>
        </w:trPr>
        <w:tc>
          <w:tcPr>
            <w:tcW w:w="2940" w:type="dxa"/>
            <w:shd w:val="clear" w:color="auto" w:fill="auto"/>
            <w:vAlign w:val="center"/>
            <w:hideMark/>
          </w:tcPr>
          <w:p w14:paraId="011D3EFF" w14:textId="6F342A5F" w:rsidR="00262552" w:rsidRPr="00685B35" w:rsidRDefault="00262552" w:rsidP="00262552">
            <w:pPr>
              <w:rPr>
                <w:rFonts w:cs="Arial"/>
                <w:color w:val="000000" w:themeColor="text1"/>
                <w:sz w:val="16"/>
                <w:szCs w:val="16"/>
                <w:lang w:eastAsia="en-AU"/>
              </w:rPr>
            </w:pPr>
            <w:r>
              <w:rPr>
                <w:rFonts w:cs="Arial"/>
                <w:color w:val="000000"/>
                <w:sz w:val="16"/>
                <w:szCs w:val="16"/>
              </w:rPr>
              <w:t>Latrobe Regional Hospital</w:t>
            </w:r>
          </w:p>
        </w:tc>
        <w:tc>
          <w:tcPr>
            <w:tcW w:w="3287" w:type="dxa"/>
            <w:shd w:val="clear" w:color="auto" w:fill="auto"/>
            <w:vAlign w:val="center"/>
          </w:tcPr>
          <w:p w14:paraId="5A067D13" w14:textId="2653D698" w:rsidR="00262552" w:rsidRPr="007909C4" w:rsidRDefault="00262552" w:rsidP="00262552">
            <w:pPr>
              <w:jc w:val="right"/>
              <w:rPr>
                <w:rFonts w:cs="Arial"/>
                <w:color w:val="000000" w:themeColor="text1"/>
                <w:sz w:val="16"/>
                <w:szCs w:val="16"/>
                <w:lang w:eastAsia="en-AU"/>
              </w:rPr>
            </w:pPr>
            <w:r>
              <w:rPr>
                <w:rFonts w:cs="Arial"/>
                <w:color w:val="000000"/>
                <w:sz w:val="16"/>
                <w:szCs w:val="16"/>
              </w:rPr>
              <w:t>90,716</w:t>
            </w:r>
          </w:p>
        </w:tc>
      </w:tr>
      <w:tr w:rsidR="00262552" w:rsidRPr="007909C4" w14:paraId="6398557B" w14:textId="77777777">
        <w:trPr>
          <w:trHeight w:val="300"/>
        </w:trPr>
        <w:tc>
          <w:tcPr>
            <w:tcW w:w="2940" w:type="dxa"/>
            <w:shd w:val="clear" w:color="auto" w:fill="auto"/>
            <w:vAlign w:val="center"/>
            <w:hideMark/>
          </w:tcPr>
          <w:p w14:paraId="01E09732" w14:textId="64679A45" w:rsidR="00262552" w:rsidRPr="00685B35" w:rsidRDefault="00262552" w:rsidP="00262552">
            <w:pPr>
              <w:rPr>
                <w:rFonts w:cs="Arial"/>
                <w:color w:val="000000" w:themeColor="text1"/>
                <w:sz w:val="16"/>
                <w:szCs w:val="16"/>
                <w:lang w:eastAsia="en-AU"/>
              </w:rPr>
            </w:pPr>
            <w:r>
              <w:rPr>
                <w:rFonts w:cs="Arial"/>
                <w:color w:val="000000"/>
                <w:sz w:val="16"/>
                <w:szCs w:val="16"/>
              </w:rPr>
              <w:t>Melbourne Health</w:t>
            </w:r>
          </w:p>
        </w:tc>
        <w:tc>
          <w:tcPr>
            <w:tcW w:w="3287" w:type="dxa"/>
            <w:shd w:val="clear" w:color="auto" w:fill="auto"/>
            <w:vAlign w:val="center"/>
          </w:tcPr>
          <w:p w14:paraId="20151376" w14:textId="1FAE42F3" w:rsidR="00262552" w:rsidRPr="007909C4" w:rsidRDefault="00262552" w:rsidP="00262552">
            <w:pPr>
              <w:jc w:val="right"/>
              <w:rPr>
                <w:rFonts w:cs="Arial"/>
                <w:color w:val="000000" w:themeColor="text1"/>
                <w:sz w:val="16"/>
                <w:szCs w:val="16"/>
                <w:lang w:eastAsia="en-AU"/>
              </w:rPr>
            </w:pPr>
            <w:r>
              <w:rPr>
                <w:rFonts w:cs="Arial"/>
                <w:color w:val="000000"/>
                <w:sz w:val="16"/>
                <w:szCs w:val="16"/>
              </w:rPr>
              <w:t>169,416</w:t>
            </w:r>
          </w:p>
        </w:tc>
      </w:tr>
      <w:tr w:rsidR="00262552" w:rsidRPr="007909C4" w14:paraId="29B7279A" w14:textId="77777777">
        <w:trPr>
          <w:trHeight w:val="300"/>
        </w:trPr>
        <w:tc>
          <w:tcPr>
            <w:tcW w:w="2940" w:type="dxa"/>
            <w:shd w:val="clear" w:color="auto" w:fill="auto"/>
            <w:vAlign w:val="center"/>
            <w:hideMark/>
          </w:tcPr>
          <w:p w14:paraId="661448B1" w14:textId="0E5BF070" w:rsidR="00262552" w:rsidRPr="00685B35" w:rsidRDefault="00262552" w:rsidP="00262552">
            <w:pPr>
              <w:rPr>
                <w:rFonts w:cs="Arial"/>
                <w:color w:val="000000" w:themeColor="text1"/>
                <w:sz w:val="16"/>
                <w:szCs w:val="16"/>
                <w:lang w:eastAsia="en-AU"/>
              </w:rPr>
            </w:pPr>
            <w:r>
              <w:rPr>
                <w:rFonts w:cs="Arial"/>
                <w:color w:val="000000"/>
                <w:sz w:val="16"/>
                <w:szCs w:val="16"/>
              </w:rPr>
              <w:t>Mercy Health</w:t>
            </w:r>
          </w:p>
        </w:tc>
        <w:tc>
          <w:tcPr>
            <w:tcW w:w="3287" w:type="dxa"/>
            <w:shd w:val="clear" w:color="auto" w:fill="auto"/>
            <w:vAlign w:val="center"/>
          </w:tcPr>
          <w:p w14:paraId="3335958E" w14:textId="0E4DF961" w:rsidR="00262552" w:rsidRPr="007909C4" w:rsidRDefault="00262552" w:rsidP="00262552">
            <w:pPr>
              <w:jc w:val="right"/>
              <w:rPr>
                <w:rFonts w:cs="Arial"/>
                <w:color w:val="000000" w:themeColor="text1"/>
                <w:sz w:val="16"/>
                <w:szCs w:val="16"/>
                <w:lang w:eastAsia="en-AU"/>
              </w:rPr>
            </w:pPr>
            <w:r>
              <w:rPr>
                <w:rFonts w:cs="Arial"/>
                <w:color w:val="000000"/>
                <w:sz w:val="16"/>
                <w:szCs w:val="16"/>
              </w:rPr>
              <w:t>91,461</w:t>
            </w:r>
          </w:p>
        </w:tc>
      </w:tr>
      <w:tr w:rsidR="00262552" w:rsidRPr="007909C4" w14:paraId="11C58737" w14:textId="77777777">
        <w:trPr>
          <w:trHeight w:val="300"/>
        </w:trPr>
        <w:tc>
          <w:tcPr>
            <w:tcW w:w="2940" w:type="dxa"/>
            <w:shd w:val="clear" w:color="auto" w:fill="auto"/>
            <w:vAlign w:val="center"/>
            <w:hideMark/>
          </w:tcPr>
          <w:p w14:paraId="72770F91" w14:textId="10C099A4" w:rsidR="00262552" w:rsidRPr="00685B35" w:rsidRDefault="00262552" w:rsidP="00262552">
            <w:pPr>
              <w:rPr>
                <w:rFonts w:cs="Arial"/>
                <w:color w:val="000000" w:themeColor="text1"/>
                <w:sz w:val="16"/>
                <w:szCs w:val="16"/>
                <w:lang w:eastAsia="en-AU"/>
              </w:rPr>
            </w:pPr>
            <w:r>
              <w:rPr>
                <w:rFonts w:cs="Arial"/>
                <w:color w:val="000000"/>
                <w:sz w:val="16"/>
                <w:szCs w:val="16"/>
              </w:rPr>
              <w:t>Monash Health</w:t>
            </w:r>
          </w:p>
        </w:tc>
        <w:tc>
          <w:tcPr>
            <w:tcW w:w="3287" w:type="dxa"/>
            <w:shd w:val="clear" w:color="auto" w:fill="auto"/>
            <w:vAlign w:val="center"/>
          </w:tcPr>
          <w:p w14:paraId="5C9D1899" w14:textId="7F6D9576" w:rsidR="00262552" w:rsidRPr="007909C4" w:rsidRDefault="00262552" w:rsidP="00262552">
            <w:pPr>
              <w:jc w:val="right"/>
              <w:rPr>
                <w:rFonts w:cs="Arial"/>
                <w:color w:val="000000" w:themeColor="text1"/>
                <w:sz w:val="16"/>
                <w:szCs w:val="16"/>
                <w:lang w:eastAsia="en-AU"/>
              </w:rPr>
            </w:pPr>
            <w:r>
              <w:rPr>
                <w:rFonts w:cs="Arial"/>
                <w:color w:val="000000"/>
                <w:sz w:val="16"/>
                <w:szCs w:val="16"/>
              </w:rPr>
              <w:t>282,294</w:t>
            </w:r>
          </w:p>
        </w:tc>
      </w:tr>
      <w:tr w:rsidR="00262552" w:rsidRPr="007909C4" w14:paraId="6799ADCC" w14:textId="77777777">
        <w:trPr>
          <w:trHeight w:val="300"/>
        </w:trPr>
        <w:tc>
          <w:tcPr>
            <w:tcW w:w="2940" w:type="dxa"/>
            <w:shd w:val="clear" w:color="auto" w:fill="auto"/>
            <w:vAlign w:val="center"/>
          </w:tcPr>
          <w:p w14:paraId="61E11674" w14:textId="21BB99FA" w:rsidR="00262552" w:rsidRPr="00685B35" w:rsidRDefault="00262552" w:rsidP="00262552">
            <w:pPr>
              <w:rPr>
                <w:rFonts w:cs="Arial"/>
                <w:color w:val="000000" w:themeColor="text1"/>
                <w:sz w:val="16"/>
                <w:szCs w:val="16"/>
                <w:lang w:eastAsia="en-AU"/>
              </w:rPr>
            </w:pPr>
            <w:r>
              <w:rPr>
                <w:rFonts w:cs="Arial"/>
                <w:color w:val="000000"/>
                <w:sz w:val="16"/>
                <w:szCs w:val="16"/>
              </w:rPr>
              <w:t>Northern Health</w:t>
            </w:r>
          </w:p>
        </w:tc>
        <w:tc>
          <w:tcPr>
            <w:tcW w:w="3287" w:type="dxa"/>
            <w:shd w:val="clear" w:color="auto" w:fill="auto"/>
            <w:vAlign w:val="center"/>
          </w:tcPr>
          <w:p w14:paraId="1327594D" w14:textId="16F4FCEC" w:rsidR="00262552" w:rsidRPr="007909C4" w:rsidRDefault="00262552" w:rsidP="00262552">
            <w:pPr>
              <w:jc w:val="right"/>
              <w:rPr>
                <w:rFonts w:cs="Arial"/>
                <w:color w:val="000000" w:themeColor="text1"/>
                <w:sz w:val="16"/>
                <w:szCs w:val="16"/>
                <w:lang w:eastAsia="en-AU"/>
              </w:rPr>
            </w:pPr>
            <w:r>
              <w:rPr>
                <w:rFonts w:cs="Arial"/>
                <w:color w:val="000000"/>
                <w:sz w:val="16"/>
                <w:szCs w:val="16"/>
              </w:rPr>
              <w:t>190,454</w:t>
            </w:r>
          </w:p>
        </w:tc>
      </w:tr>
      <w:tr w:rsidR="00262552" w:rsidRPr="007909C4" w14:paraId="232E49DC" w14:textId="77777777">
        <w:trPr>
          <w:trHeight w:val="300"/>
        </w:trPr>
        <w:tc>
          <w:tcPr>
            <w:tcW w:w="2940" w:type="dxa"/>
            <w:shd w:val="clear" w:color="auto" w:fill="auto"/>
            <w:vAlign w:val="center"/>
            <w:hideMark/>
          </w:tcPr>
          <w:p w14:paraId="0DAD4840" w14:textId="0A622528" w:rsidR="00262552" w:rsidRPr="00685B35" w:rsidRDefault="00262552" w:rsidP="00262552">
            <w:pPr>
              <w:rPr>
                <w:rFonts w:cs="Arial"/>
                <w:color w:val="000000" w:themeColor="text1"/>
                <w:sz w:val="16"/>
                <w:szCs w:val="16"/>
                <w:lang w:eastAsia="en-AU"/>
              </w:rPr>
            </w:pPr>
            <w:r>
              <w:rPr>
                <w:rFonts w:cs="Arial"/>
                <w:color w:val="000000"/>
                <w:sz w:val="16"/>
                <w:szCs w:val="16"/>
              </w:rPr>
              <w:t>Peninsula Health</w:t>
            </w:r>
          </w:p>
        </w:tc>
        <w:tc>
          <w:tcPr>
            <w:tcW w:w="3287" w:type="dxa"/>
            <w:shd w:val="clear" w:color="auto" w:fill="auto"/>
            <w:vAlign w:val="center"/>
          </w:tcPr>
          <w:p w14:paraId="4BB96A42" w14:textId="7180D46B" w:rsidR="00262552" w:rsidRPr="007909C4" w:rsidRDefault="00262552" w:rsidP="00262552">
            <w:pPr>
              <w:jc w:val="right"/>
              <w:rPr>
                <w:rFonts w:cs="Arial"/>
                <w:color w:val="000000" w:themeColor="text1"/>
                <w:sz w:val="16"/>
                <w:szCs w:val="16"/>
                <w:lang w:eastAsia="en-AU"/>
              </w:rPr>
            </w:pPr>
            <w:r>
              <w:rPr>
                <w:rFonts w:cs="Arial"/>
                <w:color w:val="000000"/>
                <w:sz w:val="16"/>
                <w:szCs w:val="16"/>
              </w:rPr>
              <w:t>99,759</w:t>
            </w:r>
          </w:p>
        </w:tc>
      </w:tr>
      <w:tr w:rsidR="00262552" w:rsidRPr="007909C4" w14:paraId="4724BDDA" w14:textId="77777777">
        <w:trPr>
          <w:trHeight w:val="300"/>
        </w:trPr>
        <w:tc>
          <w:tcPr>
            <w:tcW w:w="2940" w:type="dxa"/>
            <w:shd w:val="clear" w:color="auto" w:fill="auto"/>
            <w:vAlign w:val="center"/>
            <w:hideMark/>
          </w:tcPr>
          <w:p w14:paraId="41D43545" w14:textId="284C3E4B" w:rsidR="00262552" w:rsidRPr="00685B35" w:rsidRDefault="00262552" w:rsidP="00262552">
            <w:pPr>
              <w:rPr>
                <w:rFonts w:cs="Arial"/>
                <w:color w:val="000000" w:themeColor="text1"/>
                <w:sz w:val="16"/>
                <w:szCs w:val="16"/>
                <w:lang w:eastAsia="en-AU"/>
              </w:rPr>
            </w:pPr>
            <w:r>
              <w:rPr>
                <w:rFonts w:cs="Arial"/>
                <w:color w:val="000000"/>
                <w:sz w:val="16"/>
                <w:szCs w:val="16"/>
              </w:rPr>
              <w:t>St Vincent’s Hospital</w:t>
            </w:r>
          </w:p>
        </w:tc>
        <w:tc>
          <w:tcPr>
            <w:tcW w:w="3287" w:type="dxa"/>
            <w:shd w:val="clear" w:color="auto" w:fill="auto"/>
            <w:vAlign w:val="center"/>
          </w:tcPr>
          <w:p w14:paraId="050C6253" w14:textId="31D814F7" w:rsidR="00262552" w:rsidRPr="007909C4" w:rsidRDefault="00262552" w:rsidP="00262552">
            <w:pPr>
              <w:jc w:val="right"/>
              <w:rPr>
                <w:rFonts w:cs="Arial"/>
                <w:color w:val="000000" w:themeColor="text1"/>
                <w:sz w:val="16"/>
                <w:szCs w:val="16"/>
                <w:lang w:eastAsia="en-AU"/>
              </w:rPr>
            </w:pPr>
            <w:r>
              <w:rPr>
                <w:rFonts w:cs="Arial"/>
                <w:color w:val="000000"/>
                <w:sz w:val="16"/>
                <w:szCs w:val="16"/>
              </w:rPr>
              <w:t>84,915</w:t>
            </w:r>
          </w:p>
        </w:tc>
      </w:tr>
      <w:tr w:rsidR="00262552" w:rsidRPr="007909C4" w14:paraId="4FA2A85A" w14:textId="77777777">
        <w:trPr>
          <w:trHeight w:val="300"/>
        </w:trPr>
        <w:tc>
          <w:tcPr>
            <w:tcW w:w="2940" w:type="dxa"/>
            <w:shd w:val="clear" w:color="auto" w:fill="auto"/>
            <w:vAlign w:val="center"/>
            <w:hideMark/>
          </w:tcPr>
          <w:p w14:paraId="67943AC5" w14:textId="75495470" w:rsidR="00262552" w:rsidRPr="00685B35" w:rsidRDefault="00262552" w:rsidP="00262552">
            <w:pPr>
              <w:rPr>
                <w:rFonts w:cs="Arial"/>
                <w:color w:val="000000" w:themeColor="text1"/>
                <w:sz w:val="16"/>
                <w:szCs w:val="16"/>
                <w:lang w:eastAsia="en-AU"/>
              </w:rPr>
            </w:pPr>
            <w:r>
              <w:rPr>
                <w:rFonts w:cs="Arial"/>
                <w:color w:val="000000"/>
                <w:sz w:val="16"/>
                <w:szCs w:val="16"/>
              </w:rPr>
              <w:t>The Royal Children’s Hospital</w:t>
            </w:r>
          </w:p>
        </w:tc>
        <w:tc>
          <w:tcPr>
            <w:tcW w:w="3287" w:type="dxa"/>
            <w:shd w:val="clear" w:color="auto" w:fill="auto"/>
            <w:vAlign w:val="center"/>
          </w:tcPr>
          <w:p w14:paraId="3C9F8AF5" w14:textId="4361F9F1" w:rsidR="00262552" w:rsidRPr="007909C4" w:rsidRDefault="00262552" w:rsidP="00262552">
            <w:pPr>
              <w:jc w:val="right"/>
              <w:rPr>
                <w:rFonts w:cs="Arial"/>
                <w:color w:val="000000" w:themeColor="text1"/>
                <w:sz w:val="16"/>
                <w:szCs w:val="16"/>
                <w:lang w:eastAsia="en-AU"/>
              </w:rPr>
            </w:pPr>
            <w:r>
              <w:rPr>
                <w:rFonts w:cs="Arial"/>
                <w:color w:val="000000"/>
                <w:sz w:val="16"/>
                <w:szCs w:val="16"/>
              </w:rPr>
              <w:t>49,656</w:t>
            </w:r>
          </w:p>
        </w:tc>
      </w:tr>
      <w:tr w:rsidR="00262552" w:rsidRPr="007909C4" w14:paraId="3A5F9D6F" w14:textId="77777777">
        <w:trPr>
          <w:trHeight w:val="300"/>
        </w:trPr>
        <w:tc>
          <w:tcPr>
            <w:tcW w:w="2940" w:type="dxa"/>
            <w:shd w:val="clear" w:color="auto" w:fill="auto"/>
            <w:vAlign w:val="center"/>
          </w:tcPr>
          <w:p w14:paraId="2E216C3F" w14:textId="43A771A1" w:rsidR="00262552" w:rsidRPr="00685B35" w:rsidRDefault="00262552" w:rsidP="00262552">
            <w:pPr>
              <w:rPr>
                <w:rFonts w:cs="Arial"/>
                <w:color w:val="000000" w:themeColor="text1"/>
                <w:sz w:val="16"/>
                <w:szCs w:val="16"/>
                <w:lang w:eastAsia="en-AU"/>
              </w:rPr>
            </w:pPr>
            <w:r>
              <w:rPr>
                <w:rFonts w:cs="Arial"/>
                <w:color w:val="000000"/>
                <w:sz w:val="16"/>
                <w:szCs w:val="16"/>
              </w:rPr>
              <w:t>Western Health</w:t>
            </w:r>
          </w:p>
        </w:tc>
        <w:tc>
          <w:tcPr>
            <w:tcW w:w="3287" w:type="dxa"/>
            <w:shd w:val="clear" w:color="auto" w:fill="auto"/>
            <w:vAlign w:val="center"/>
          </w:tcPr>
          <w:p w14:paraId="534287C6" w14:textId="0268FD98" w:rsidR="00262552" w:rsidRPr="007909C4" w:rsidRDefault="00262552" w:rsidP="00262552">
            <w:pPr>
              <w:jc w:val="right"/>
              <w:rPr>
                <w:rFonts w:cs="Arial"/>
                <w:color w:val="000000" w:themeColor="text1"/>
                <w:sz w:val="16"/>
                <w:szCs w:val="16"/>
                <w:lang w:eastAsia="en-AU"/>
              </w:rPr>
            </w:pPr>
            <w:r>
              <w:rPr>
                <w:rFonts w:cs="Arial"/>
                <w:color w:val="000000"/>
                <w:sz w:val="16"/>
                <w:szCs w:val="16"/>
              </w:rPr>
              <w:t>77,278</w:t>
            </w:r>
          </w:p>
        </w:tc>
      </w:tr>
    </w:tbl>
    <w:p w14:paraId="4FEAE0FF" w14:textId="77777777" w:rsidR="00F21A50" w:rsidRDefault="00F21A50" w:rsidP="005B699B">
      <w:pPr>
        <w:pStyle w:val="Body"/>
        <w:spacing w:before="60"/>
      </w:pPr>
    </w:p>
    <w:p w14:paraId="459A5CE0" w14:textId="7A13427E" w:rsidR="005B699B" w:rsidRDefault="005B699B" w:rsidP="005B699B">
      <w:pPr>
        <w:pStyle w:val="Body"/>
        <w:spacing w:before="60"/>
      </w:pPr>
      <w:r>
        <w:t xml:space="preserve">Subregional </w:t>
      </w:r>
      <w:r w:rsidRPr="00F2096A">
        <w:t>and</w:t>
      </w:r>
      <w:r>
        <w:t xml:space="preserve"> </w:t>
      </w:r>
      <w:r w:rsidRPr="00F2096A">
        <w:t>local</w:t>
      </w:r>
      <w:r>
        <w:t xml:space="preserve"> </w:t>
      </w:r>
    </w:p>
    <w:tbl>
      <w:tblPr>
        <w:tblStyle w:val="TableGrid1"/>
        <w:tblpPr w:leftFromText="180" w:rightFromText="180" w:vertAnchor="text" w:tblpY="1"/>
        <w:tblOverlap w:val="never"/>
        <w:tblW w:w="6227" w:type="dxa"/>
        <w:tblLook w:val="04A0" w:firstRow="1" w:lastRow="0" w:firstColumn="1" w:lastColumn="0" w:noHBand="0" w:noVBand="1"/>
      </w:tblPr>
      <w:tblGrid>
        <w:gridCol w:w="2924"/>
        <w:gridCol w:w="3303"/>
      </w:tblGrid>
      <w:tr w:rsidR="00E33521" w:rsidRPr="00E77D60" w14:paraId="2ECB612C" w14:textId="77777777">
        <w:trPr>
          <w:cnfStyle w:val="100000000000" w:firstRow="1" w:lastRow="0" w:firstColumn="0" w:lastColumn="0" w:oddVBand="0" w:evenVBand="0" w:oddHBand="0" w:evenHBand="0" w:firstRowFirstColumn="0" w:firstRowLastColumn="0" w:lastRowFirstColumn="0" w:lastRowLastColumn="0"/>
          <w:trHeight w:val="420"/>
        </w:trPr>
        <w:tc>
          <w:tcPr>
            <w:tcW w:w="2924" w:type="dxa"/>
            <w:shd w:val="clear" w:color="auto" w:fill="auto"/>
            <w:hideMark/>
          </w:tcPr>
          <w:p w14:paraId="5FC36944" w14:textId="77777777" w:rsidR="00E33521" w:rsidRPr="00685B35" w:rsidRDefault="00E33521">
            <w:pPr>
              <w:pStyle w:val="Tablecolheadlandscape"/>
              <w:rPr>
                <w:b w:val="0"/>
              </w:rPr>
            </w:pPr>
            <w:r w:rsidRPr="00685B35">
              <w:t>Health service</w:t>
            </w:r>
          </w:p>
        </w:tc>
        <w:tc>
          <w:tcPr>
            <w:tcW w:w="3303" w:type="dxa"/>
            <w:shd w:val="clear" w:color="auto" w:fill="auto"/>
            <w:hideMark/>
          </w:tcPr>
          <w:p w14:paraId="66AA4FFC" w14:textId="77777777" w:rsidR="00E33521" w:rsidRPr="00685B35" w:rsidRDefault="00E33521">
            <w:pPr>
              <w:pStyle w:val="Tablecolheadlandscape"/>
              <w:jc w:val="right"/>
              <w:rPr>
                <w:b w:val="0"/>
              </w:rPr>
            </w:pPr>
            <w:r w:rsidRPr="00685B35">
              <w:t>Ambulatory contacts</w:t>
            </w:r>
          </w:p>
        </w:tc>
      </w:tr>
      <w:tr w:rsidR="00544542" w:rsidRPr="00E77D60" w14:paraId="5F5252F4" w14:textId="77777777">
        <w:trPr>
          <w:trHeight w:val="300"/>
        </w:trPr>
        <w:tc>
          <w:tcPr>
            <w:tcW w:w="2924" w:type="dxa"/>
            <w:shd w:val="clear" w:color="auto" w:fill="auto"/>
            <w:vAlign w:val="center"/>
            <w:hideMark/>
          </w:tcPr>
          <w:p w14:paraId="4B5B9AAB" w14:textId="0781895B" w:rsidR="00544542" w:rsidRPr="00E77D60" w:rsidRDefault="00544542" w:rsidP="00544542">
            <w:pPr>
              <w:rPr>
                <w:rFonts w:cs="Arial"/>
                <w:color w:val="000000"/>
                <w:sz w:val="16"/>
                <w:szCs w:val="16"/>
                <w:lang w:eastAsia="en-AU"/>
              </w:rPr>
            </w:pPr>
            <w:r>
              <w:rPr>
                <w:rFonts w:cs="Arial"/>
                <w:color w:val="000000"/>
                <w:sz w:val="16"/>
                <w:szCs w:val="16"/>
              </w:rPr>
              <w:t>Mildura Base Hospital</w:t>
            </w:r>
          </w:p>
        </w:tc>
        <w:tc>
          <w:tcPr>
            <w:tcW w:w="3303" w:type="dxa"/>
            <w:shd w:val="clear" w:color="auto" w:fill="auto"/>
            <w:vAlign w:val="center"/>
          </w:tcPr>
          <w:p w14:paraId="1449691E" w14:textId="1CABCD49" w:rsidR="00544542" w:rsidRPr="007C7111" w:rsidRDefault="00544542" w:rsidP="00544542">
            <w:pPr>
              <w:jc w:val="right"/>
              <w:rPr>
                <w:rFonts w:cs="Arial"/>
                <w:color w:val="000000"/>
                <w:sz w:val="16"/>
                <w:szCs w:val="16"/>
                <w:lang w:eastAsia="en-AU"/>
              </w:rPr>
            </w:pPr>
            <w:r>
              <w:rPr>
                <w:rFonts w:cs="Arial"/>
                <w:color w:val="000000"/>
                <w:sz w:val="16"/>
                <w:szCs w:val="16"/>
              </w:rPr>
              <w:t>34,133</w:t>
            </w:r>
          </w:p>
        </w:tc>
      </w:tr>
      <w:tr w:rsidR="00544542" w:rsidRPr="00E77D60" w14:paraId="489574A9" w14:textId="77777777">
        <w:trPr>
          <w:trHeight w:val="300"/>
        </w:trPr>
        <w:tc>
          <w:tcPr>
            <w:tcW w:w="2924" w:type="dxa"/>
            <w:shd w:val="clear" w:color="auto" w:fill="auto"/>
            <w:vAlign w:val="center"/>
            <w:hideMark/>
          </w:tcPr>
          <w:p w14:paraId="7445372D" w14:textId="43B097DB" w:rsidR="00544542" w:rsidRPr="00E77D60" w:rsidRDefault="00544542" w:rsidP="00544542">
            <w:pPr>
              <w:rPr>
                <w:rFonts w:cs="Arial"/>
                <w:color w:val="000000"/>
                <w:sz w:val="16"/>
                <w:szCs w:val="16"/>
                <w:lang w:eastAsia="en-AU"/>
              </w:rPr>
            </w:pPr>
            <w:r>
              <w:rPr>
                <w:rFonts w:cs="Arial"/>
                <w:color w:val="000000"/>
                <w:sz w:val="16"/>
                <w:szCs w:val="16"/>
              </w:rPr>
              <w:t>South West Healthcare</w:t>
            </w:r>
          </w:p>
        </w:tc>
        <w:tc>
          <w:tcPr>
            <w:tcW w:w="3303" w:type="dxa"/>
            <w:shd w:val="clear" w:color="auto" w:fill="auto"/>
            <w:vAlign w:val="center"/>
          </w:tcPr>
          <w:p w14:paraId="1E629FB4" w14:textId="7241F130" w:rsidR="00544542" w:rsidRPr="007C7111" w:rsidRDefault="00544542" w:rsidP="00544542">
            <w:pPr>
              <w:jc w:val="right"/>
              <w:rPr>
                <w:rFonts w:cs="Arial"/>
                <w:color w:val="000000"/>
                <w:sz w:val="16"/>
                <w:szCs w:val="16"/>
                <w:lang w:eastAsia="en-AU"/>
              </w:rPr>
            </w:pPr>
            <w:r>
              <w:rPr>
                <w:rFonts w:cs="Arial"/>
                <w:color w:val="000000"/>
                <w:sz w:val="16"/>
                <w:szCs w:val="16"/>
              </w:rPr>
              <w:t>43,375</w:t>
            </w:r>
          </w:p>
        </w:tc>
      </w:tr>
    </w:tbl>
    <w:p w14:paraId="4DE9DE68" w14:textId="77777777" w:rsidR="005B699B" w:rsidRDefault="005B699B" w:rsidP="005B699B">
      <w:pPr>
        <w:pStyle w:val="Body"/>
        <w:spacing w:before="60"/>
      </w:pPr>
    </w:p>
    <w:p w14:paraId="25C2D790" w14:textId="77777777" w:rsidR="005B699B" w:rsidRDefault="005B699B" w:rsidP="005B699B">
      <w:pPr>
        <w:pStyle w:val="Body"/>
        <w:spacing w:before="60"/>
      </w:pPr>
    </w:p>
    <w:p w14:paraId="3ED47B24" w14:textId="77777777" w:rsidR="005B699B" w:rsidRDefault="005B699B" w:rsidP="005B699B">
      <w:pPr>
        <w:pStyle w:val="Body"/>
        <w:spacing w:before="60"/>
      </w:pPr>
    </w:p>
    <w:p w14:paraId="50A49870" w14:textId="77777777" w:rsidR="00452262" w:rsidRDefault="00452262" w:rsidP="00E33521">
      <w:pPr>
        <w:pStyle w:val="Body"/>
        <w:spacing w:before="60"/>
      </w:pPr>
    </w:p>
    <w:p w14:paraId="383A7953" w14:textId="6784119D" w:rsidR="00E33521" w:rsidRDefault="00E33521" w:rsidP="00E33521">
      <w:pPr>
        <w:pStyle w:val="Body"/>
        <w:spacing w:before="60"/>
      </w:pPr>
      <w:r>
        <w:t xml:space="preserve">Combined </w:t>
      </w:r>
      <w:r w:rsidRPr="00F2096A">
        <w:t>total</w:t>
      </w:r>
    </w:p>
    <w:tbl>
      <w:tblPr>
        <w:tblStyle w:val="TableGrid1"/>
        <w:tblW w:w="6227" w:type="dxa"/>
        <w:tblLook w:val="04A0" w:firstRow="1" w:lastRow="0" w:firstColumn="1" w:lastColumn="0" w:noHBand="0" w:noVBand="1"/>
      </w:tblPr>
      <w:tblGrid>
        <w:gridCol w:w="3380"/>
        <w:gridCol w:w="2847"/>
      </w:tblGrid>
      <w:tr w:rsidR="00452262" w:rsidRPr="000D6B56" w14:paraId="10D6A444" w14:textId="1C320BE6" w:rsidTr="00452262">
        <w:trPr>
          <w:cnfStyle w:val="100000000000" w:firstRow="1" w:lastRow="0" w:firstColumn="0" w:lastColumn="0" w:oddVBand="0" w:evenVBand="0" w:oddHBand="0" w:evenHBand="0" w:firstRowFirstColumn="0" w:firstRowLastColumn="0" w:lastRowFirstColumn="0" w:lastRowLastColumn="0"/>
          <w:trHeight w:val="420"/>
        </w:trPr>
        <w:tc>
          <w:tcPr>
            <w:tcW w:w="3380" w:type="dxa"/>
            <w:shd w:val="clear" w:color="auto" w:fill="auto"/>
            <w:hideMark/>
          </w:tcPr>
          <w:p w14:paraId="3AEEE2F4" w14:textId="77777777" w:rsidR="00452262" w:rsidRPr="00685B35" w:rsidRDefault="00452262">
            <w:pPr>
              <w:pStyle w:val="Tablecolheadlandscape"/>
              <w:rPr>
                <w:b w:val="0"/>
              </w:rPr>
            </w:pPr>
            <w:r w:rsidRPr="003E2E75">
              <w:t>Health service</w:t>
            </w:r>
          </w:p>
        </w:tc>
        <w:tc>
          <w:tcPr>
            <w:tcW w:w="2847" w:type="dxa"/>
            <w:shd w:val="clear" w:color="auto" w:fill="auto"/>
            <w:hideMark/>
          </w:tcPr>
          <w:p w14:paraId="79857B43" w14:textId="77777777" w:rsidR="00452262" w:rsidRPr="00685B35" w:rsidRDefault="00452262">
            <w:pPr>
              <w:pStyle w:val="Tablecolheadlandscape"/>
              <w:jc w:val="right"/>
              <w:rPr>
                <w:b w:val="0"/>
              </w:rPr>
            </w:pPr>
            <w:r w:rsidRPr="00685B35">
              <w:t>Ambulatory contacts</w:t>
            </w:r>
          </w:p>
        </w:tc>
      </w:tr>
      <w:tr w:rsidR="00452262" w:rsidRPr="000D6B56" w14:paraId="2281E39F" w14:textId="109EE543" w:rsidTr="00544542">
        <w:trPr>
          <w:trHeight w:val="300"/>
        </w:trPr>
        <w:tc>
          <w:tcPr>
            <w:tcW w:w="3380" w:type="dxa"/>
            <w:hideMark/>
          </w:tcPr>
          <w:p w14:paraId="15687FF9" w14:textId="77777777" w:rsidR="00452262" w:rsidRPr="000D6B56" w:rsidRDefault="00452262">
            <w:pPr>
              <w:rPr>
                <w:rFonts w:cs="Arial"/>
                <w:b/>
                <w:bCs/>
                <w:color w:val="000000"/>
                <w:sz w:val="16"/>
                <w:szCs w:val="16"/>
                <w:lang w:eastAsia="en-AU"/>
              </w:rPr>
            </w:pPr>
            <w:r w:rsidRPr="000D6B56">
              <w:rPr>
                <w:rFonts w:cs="Arial"/>
                <w:b/>
                <w:bCs/>
                <w:color w:val="000000"/>
                <w:sz w:val="16"/>
                <w:szCs w:val="16"/>
                <w:lang w:eastAsia="en-AU"/>
              </w:rPr>
              <w:t>Total</w:t>
            </w:r>
          </w:p>
        </w:tc>
        <w:tc>
          <w:tcPr>
            <w:tcW w:w="2847" w:type="dxa"/>
            <w:vAlign w:val="center"/>
            <w:hideMark/>
          </w:tcPr>
          <w:p w14:paraId="650240EE" w14:textId="2CCADEE8" w:rsidR="00452262" w:rsidRPr="000D6B56" w:rsidRDefault="00544542" w:rsidP="00544542">
            <w:pPr>
              <w:spacing w:after="0" w:line="240" w:lineRule="auto"/>
              <w:jc w:val="right"/>
              <w:rPr>
                <w:rFonts w:cs="Arial"/>
                <w:color w:val="000000"/>
                <w:sz w:val="16"/>
                <w:szCs w:val="16"/>
                <w:lang w:eastAsia="en-AU"/>
              </w:rPr>
            </w:pPr>
            <w:r>
              <w:rPr>
                <w:rFonts w:cs="Arial"/>
                <w:color w:val="000000"/>
                <w:sz w:val="16"/>
                <w:szCs w:val="16"/>
              </w:rPr>
              <w:t>2,071,515</w:t>
            </w:r>
          </w:p>
        </w:tc>
      </w:tr>
    </w:tbl>
    <w:p w14:paraId="63D93D5B" w14:textId="77777777" w:rsidR="00E33521" w:rsidRDefault="00E33521" w:rsidP="005B699B">
      <w:pPr>
        <w:pStyle w:val="Body"/>
        <w:spacing w:before="60"/>
      </w:pPr>
    </w:p>
    <w:p w14:paraId="7884E705" w14:textId="77777777" w:rsidR="005B699B" w:rsidRPr="000D6B56" w:rsidRDefault="005B699B" w:rsidP="005B699B">
      <w:pPr>
        <w:pStyle w:val="Body"/>
        <w:sectPr w:rsidR="005B699B" w:rsidRPr="000D6B56" w:rsidSect="005B699B">
          <w:headerReference w:type="even" r:id="rId90"/>
          <w:footerReference w:type="even" r:id="rId91"/>
          <w:headerReference w:type="first" r:id="rId92"/>
          <w:pgSz w:w="11906" w:h="16838" w:code="9"/>
          <w:pgMar w:top="1418" w:right="1304" w:bottom="1134" w:left="1304" w:header="680" w:footer="283" w:gutter="0"/>
          <w:cols w:space="340"/>
          <w:docGrid w:linePitch="360"/>
        </w:sectPr>
      </w:pPr>
      <w:bookmarkStart w:id="2691" w:name="_Toc110950079"/>
      <w:bookmarkStart w:id="2692" w:name="_Toc12780679"/>
      <w:bookmarkStart w:id="2693" w:name="_Toc14172320"/>
      <w:bookmarkStart w:id="2694" w:name="_Toc33703994"/>
      <w:bookmarkStart w:id="2695" w:name="_Toc55381182"/>
      <w:bookmarkStart w:id="2696" w:name="_Toc100263386"/>
      <w:bookmarkEnd w:id="2691"/>
    </w:p>
    <w:p w14:paraId="1D9FADF1" w14:textId="64808609" w:rsidR="005B699B" w:rsidRDefault="005B699B" w:rsidP="001E4292">
      <w:pPr>
        <w:pStyle w:val="Heading2"/>
        <w:numPr>
          <w:ilvl w:val="1"/>
          <w:numId w:val="13"/>
        </w:numPr>
        <w:ind w:left="1134" w:hanging="1134"/>
      </w:pPr>
      <w:bookmarkStart w:id="2697" w:name="_Toc165961880"/>
      <w:bookmarkStart w:id="2698" w:name="_Toc178963666"/>
      <w:r>
        <w:lastRenderedPageBreak/>
        <w:t xml:space="preserve">Alcohol and </w:t>
      </w:r>
      <w:r w:rsidR="00E00C4E">
        <w:t xml:space="preserve">other drugs </w:t>
      </w:r>
      <w:r w:rsidR="00E00C4E" w:rsidRPr="000A1079">
        <w:t>output</w:t>
      </w:r>
      <w:r w:rsidR="00E00C4E">
        <w:t xml:space="preserve"> targets </w:t>
      </w:r>
      <w:bookmarkEnd w:id="2692"/>
      <w:bookmarkEnd w:id="2693"/>
      <w:bookmarkEnd w:id="2694"/>
      <w:bookmarkEnd w:id="2695"/>
      <w:r>
        <w:t>2024–2</w:t>
      </w:r>
      <w:bookmarkEnd w:id="2696"/>
      <w:r>
        <w:t>5</w:t>
      </w:r>
      <w:bookmarkEnd w:id="2697"/>
      <w:bookmarkEnd w:id="2698"/>
    </w:p>
    <w:p w14:paraId="11E0CB73" w14:textId="015699F8" w:rsidR="005B699B" w:rsidRDefault="00462DC7" w:rsidP="00297FC9">
      <w:pPr>
        <w:pStyle w:val="Tablecaption"/>
      </w:pPr>
      <w:bookmarkStart w:id="2699" w:name="_Toc14194841"/>
      <w:bookmarkStart w:id="2700" w:name="_Toc33704022"/>
      <w:bookmarkStart w:id="2701" w:name="_Toc109894151"/>
      <w:bookmarkStart w:id="2702" w:name="_Toc176510434"/>
      <w:r w:rsidRPr="00DE5BFB">
        <w:t xml:space="preserve">Table </w:t>
      </w:r>
      <w:r w:rsidR="00110E39">
        <w:t>2</w:t>
      </w:r>
      <w:r w:rsidR="000E0ED2">
        <w:t>.</w:t>
      </w:r>
      <w:r>
        <w:fldChar w:fldCharType="begin"/>
      </w:r>
      <w:r>
        <w:instrText>SEQ Table \* ARABIC \s 1</w:instrText>
      </w:r>
      <w:r>
        <w:fldChar w:fldCharType="separate"/>
      </w:r>
      <w:r w:rsidR="00F30C16">
        <w:rPr>
          <w:noProof/>
        </w:rPr>
        <w:t>21</w:t>
      </w:r>
      <w:r>
        <w:fldChar w:fldCharType="end"/>
      </w:r>
      <w:r w:rsidRPr="00DE5BFB">
        <w:t xml:space="preserve">: </w:t>
      </w:r>
      <w:r w:rsidR="005B699B">
        <w:t>Alcohol and other drugs output targets</w:t>
      </w:r>
      <w:r w:rsidR="005B699B" w:rsidRPr="007A725F">
        <w:t xml:space="preserve"> </w:t>
      </w:r>
      <w:bookmarkEnd w:id="2699"/>
      <w:bookmarkEnd w:id="2700"/>
      <w:r w:rsidR="005B699B" w:rsidRPr="00D31096">
        <w:t>202</w:t>
      </w:r>
      <w:r w:rsidR="005B699B">
        <w:t>4–</w:t>
      </w:r>
      <w:r w:rsidR="005B699B" w:rsidRPr="00D31096">
        <w:t>2</w:t>
      </w:r>
      <w:bookmarkEnd w:id="2701"/>
      <w:r w:rsidR="005B699B">
        <w:t>5</w:t>
      </w:r>
      <w:bookmarkEnd w:id="2702"/>
    </w:p>
    <w:p w14:paraId="20E4B4E6" w14:textId="77777777" w:rsidR="006270A2" w:rsidRPr="00011D13" w:rsidRDefault="006270A2" w:rsidP="006270A2">
      <w:pPr>
        <w:rPr>
          <w:rFonts w:eastAsia="Times"/>
        </w:rPr>
      </w:pPr>
      <w:r w:rsidRPr="00011D13">
        <w:rPr>
          <w:rFonts w:eastAsia="Times"/>
        </w:rPr>
        <w:t>Metropolitan and regional</w:t>
      </w:r>
    </w:p>
    <w:tbl>
      <w:tblPr>
        <w:tblStyle w:val="TableGrid12"/>
        <w:tblW w:w="14743" w:type="dxa"/>
        <w:tblInd w:w="-147" w:type="dxa"/>
        <w:tblLayout w:type="fixed"/>
        <w:tblLook w:val="06A0" w:firstRow="1" w:lastRow="0" w:firstColumn="1" w:lastColumn="0" w:noHBand="1" w:noVBand="1"/>
      </w:tblPr>
      <w:tblGrid>
        <w:gridCol w:w="1537"/>
        <w:gridCol w:w="880"/>
        <w:gridCol w:w="880"/>
        <w:gridCol w:w="881"/>
        <w:gridCol w:w="880"/>
        <w:gridCol w:w="881"/>
        <w:gridCol w:w="880"/>
        <w:gridCol w:w="880"/>
        <w:gridCol w:w="881"/>
        <w:gridCol w:w="880"/>
        <w:gridCol w:w="881"/>
        <w:gridCol w:w="880"/>
        <w:gridCol w:w="880"/>
        <w:gridCol w:w="881"/>
        <w:gridCol w:w="880"/>
        <w:gridCol w:w="881"/>
      </w:tblGrid>
      <w:tr w:rsidR="00CC7914" w:rsidRPr="00011D13" w14:paraId="1B6146A4" w14:textId="77777777" w:rsidTr="004F55EA">
        <w:trPr>
          <w:cnfStyle w:val="100000000000" w:firstRow="1" w:lastRow="0" w:firstColumn="0" w:lastColumn="0" w:oddVBand="0" w:evenVBand="0" w:oddHBand="0" w:evenHBand="0" w:firstRowFirstColumn="0" w:firstRowLastColumn="0" w:lastRowFirstColumn="0" w:lastRowLastColumn="0"/>
          <w:trHeight w:val="871"/>
          <w:tblHeader/>
        </w:trPr>
        <w:tc>
          <w:tcPr>
            <w:tcW w:w="1537" w:type="dxa"/>
            <w:tcBorders>
              <w:top w:val="single" w:sz="4" w:space="0" w:color="auto"/>
              <w:left w:val="single" w:sz="4" w:space="0" w:color="auto"/>
              <w:bottom w:val="single" w:sz="4" w:space="0" w:color="auto"/>
              <w:right w:val="single" w:sz="4" w:space="0" w:color="auto"/>
            </w:tcBorders>
            <w:shd w:val="clear" w:color="auto" w:fill="auto"/>
            <w:hideMark/>
          </w:tcPr>
          <w:p w14:paraId="00FCAF07" w14:textId="77777777" w:rsidR="006270A2" w:rsidRPr="00011D13" w:rsidRDefault="006270A2">
            <w:pPr>
              <w:spacing w:before="80" w:after="60"/>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Health service</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78D3605A"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 xml:space="preserve">DTAU – activity </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60246178"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residential drug withdrawal</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6EBC18E0"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residential rehabilitation</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411332E0"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Intake and assessment</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18938BA0"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Care and recovery coordination</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6F604134"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counselling</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5AB25E0D"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Mobile overdose response service</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07CF03CD"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Non-residential withdrawal</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2BD1723E"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Rural withdrawal</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1D1872CB"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Specialist Pharmacotherapy</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4DF8870C"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Specialist Pharmacotherapy Service</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5261C521" w14:textId="0A37DE0B"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Youth AOD supported accommodation</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0BD460CD" w14:textId="1EC68C85"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 xml:space="preserve">Episode of care – </w:t>
            </w:r>
            <w:r w:rsidR="00B85113">
              <w:rPr>
                <w:rFonts w:eastAsia="Times New Roman" w:cs="Times New Roman"/>
                <w:b/>
                <w:color w:val="53565A"/>
                <w:sz w:val="16"/>
                <w:szCs w:val="16"/>
                <w:lang w:eastAsia="en-AU"/>
                <w14:ligatures w14:val="none"/>
              </w:rPr>
              <w:t>Y</w:t>
            </w:r>
            <w:r w:rsidRPr="00011D13">
              <w:rPr>
                <w:rFonts w:eastAsia="Times New Roman" w:cs="Times New Roman"/>
                <w:b/>
                <w:color w:val="53565A"/>
                <w:sz w:val="16"/>
                <w:szCs w:val="16"/>
                <w:lang w:eastAsia="en-AU"/>
                <w14:ligatures w14:val="none"/>
              </w:rPr>
              <w:t>outh A&amp;D supported accommodation rural</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6D925BD5"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–Youth Outreach</w:t>
            </w:r>
          </w:p>
        </w:tc>
        <w:tc>
          <w:tcPr>
            <w:tcW w:w="881" w:type="dxa"/>
            <w:tcBorders>
              <w:top w:val="single" w:sz="4" w:space="0" w:color="auto"/>
              <w:left w:val="single" w:sz="4" w:space="0" w:color="auto"/>
              <w:bottom w:val="single" w:sz="4" w:space="0" w:color="auto"/>
              <w:right w:val="single" w:sz="4" w:space="0" w:color="auto"/>
            </w:tcBorders>
            <w:shd w:val="clear" w:color="auto" w:fill="auto"/>
            <w:hideMark/>
          </w:tcPr>
          <w:p w14:paraId="22D9DF89"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Total</w:t>
            </w:r>
          </w:p>
        </w:tc>
      </w:tr>
      <w:tr w:rsidR="00CC7914" w:rsidRPr="00011D13" w14:paraId="45B53868"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7DDFBA12"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Alfred Health</w:t>
            </w:r>
          </w:p>
        </w:tc>
        <w:tc>
          <w:tcPr>
            <w:tcW w:w="880" w:type="dxa"/>
            <w:tcBorders>
              <w:top w:val="single" w:sz="4" w:space="0" w:color="auto"/>
              <w:left w:val="single" w:sz="4" w:space="0" w:color="auto"/>
              <w:bottom w:val="single" w:sz="4" w:space="0" w:color="auto"/>
              <w:right w:val="single" w:sz="4" w:space="0" w:color="auto"/>
            </w:tcBorders>
            <w:noWrap/>
            <w:hideMark/>
          </w:tcPr>
          <w:p w14:paraId="0AF24319"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0B04C19E"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50849254"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08EE88BF"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4200ADE6"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F1C3855"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8A9DE4E"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57C256D6"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58A3D49"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35E08CA"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983FD1B" w14:textId="77777777" w:rsidR="006270A2" w:rsidRPr="00011D13" w:rsidRDefault="006270A2">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140</w:t>
            </w:r>
          </w:p>
        </w:tc>
        <w:tc>
          <w:tcPr>
            <w:tcW w:w="880" w:type="dxa"/>
            <w:tcBorders>
              <w:top w:val="single" w:sz="4" w:space="0" w:color="auto"/>
              <w:left w:val="single" w:sz="4" w:space="0" w:color="auto"/>
              <w:bottom w:val="single" w:sz="4" w:space="0" w:color="auto"/>
              <w:right w:val="single" w:sz="4" w:space="0" w:color="auto"/>
            </w:tcBorders>
            <w:noWrap/>
            <w:hideMark/>
          </w:tcPr>
          <w:p w14:paraId="1791D8D7"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51387663"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7E229C56"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10D4906C" w14:textId="77777777" w:rsidR="006270A2" w:rsidRPr="00011D13" w:rsidRDefault="006270A2">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140</w:t>
            </w:r>
          </w:p>
        </w:tc>
      </w:tr>
      <w:tr w:rsidR="00CC7914" w:rsidRPr="00011D13" w14:paraId="163114E3"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5441B7F6"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Austin Health</w:t>
            </w:r>
          </w:p>
        </w:tc>
        <w:tc>
          <w:tcPr>
            <w:tcW w:w="880" w:type="dxa"/>
            <w:tcBorders>
              <w:top w:val="single" w:sz="4" w:space="0" w:color="auto"/>
              <w:left w:val="single" w:sz="4" w:space="0" w:color="auto"/>
              <w:bottom w:val="single" w:sz="4" w:space="0" w:color="auto"/>
              <w:right w:val="single" w:sz="4" w:space="0" w:color="auto"/>
            </w:tcBorders>
            <w:noWrap/>
            <w:hideMark/>
          </w:tcPr>
          <w:p w14:paraId="783B2B7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10FF389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2A29DF5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3696C6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1E6FE7C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61AD67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0EA3718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2F46DBA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C6645F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A966DC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7FDE70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140</w:t>
            </w:r>
          </w:p>
        </w:tc>
        <w:tc>
          <w:tcPr>
            <w:tcW w:w="880" w:type="dxa"/>
            <w:tcBorders>
              <w:top w:val="single" w:sz="4" w:space="0" w:color="auto"/>
              <w:left w:val="single" w:sz="4" w:space="0" w:color="auto"/>
              <w:bottom w:val="single" w:sz="4" w:space="0" w:color="auto"/>
              <w:right w:val="single" w:sz="4" w:space="0" w:color="auto"/>
            </w:tcBorders>
            <w:noWrap/>
            <w:hideMark/>
          </w:tcPr>
          <w:p w14:paraId="72949D7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4A6967E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8C3A6A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14DDA5D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140</w:t>
            </w:r>
          </w:p>
        </w:tc>
      </w:tr>
      <w:tr w:rsidR="00CC7914" w:rsidRPr="00011D13" w14:paraId="0E0496D4"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73FAF6C5"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Barwon Health</w:t>
            </w:r>
          </w:p>
        </w:tc>
        <w:tc>
          <w:tcPr>
            <w:tcW w:w="880" w:type="dxa"/>
            <w:tcBorders>
              <w:top w:val="single" w:sz="4" w:space="0" w:color="auto"/>
              <w:left w:val="single" w:sz="4" w:space="0" w:color="auto"/>
              <w:bottom w:val="single" w:sz="4" w:space="0" w:color="auto"/>
              <w:right w:val="single" w:sz="4" w:space="0" w:color="auto"/>
            </w:tcBorders>
            <w:noWrap/>
            <w:hideMark/>
          </w:tcPr>
          <w:p w14:paraId="7DD9C725"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26B9BFB8"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EFCB14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7F2932C0" w14:textId="77777777" w:rsidR="006270A2" w:rsidRPr="00011D13" w:rsidRDefault="006270A2" w:rsidP="00B83418">
            <w:pPr>
              <w:jc w:val="right"/>
              <w:rPr>
                <w:rFonts w:eastAsia="Times New Roman"/>
                <w14:ligatures w14:val="none"/>
              </w:rPr>
            </w:pPr>
            <w:r w:rsidRPr="00011D13">
              <w:rPr>
                <w:rFonts w:eastAsia="Times New Roman" w:cs="Arial"/>
                <w:color w:val="000000" w:themeColor="text1"/>
                <w:sz w:val="16"/>
                <w:szCs w:val="16"/>
                <w:lang w:eastAsia="en-AU"/>
                <w14:ligatures w14:val="none"/>
              </w:rPr>
              <w:t>705</w:t>
            </w:r>
          </w:p>
        </w:tc>
        <w:tc>
          <w:tcPr>
            <w:tcW w:w="881" w:type="dxa"/>
            <w:tcBorders>
              <w:top w:val="single" w:sz="4" w:space="0" w:color="auto"/>
              <w:left w:val="single" w:sz="4" w:space="0" w:color="auto"/>
              <w:bottom w:val="single" w:sz="4" w:space="0" w:color="auto"/>
              <w:right w:val="single" w:sz="4" w:space="0" w:color="auto"/>
            </w:tcBorders>
            <w:noWrap/>
            <w:hideMark/>
          </w:tcPr>
          <w:p w14:paraId="6A8CE0A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263</w:t>
            </w:r>
          </w:p>
        </w:tc>
        <w:tc>
          <w:tcPr>
            <w:tcW w:w="880" w:type="dxa"/>
            <w:tcBorders>
              <w:top w:val="single" w:sz="4" w:space="0" w:color="auto"/>
              <w:left w:val="single" w:sz="4" w:space="0" w:color="auto"/>
              <w:bottom w:val="single" w:sz="4" w:space="0" w:color="auto"/>
              <w:right w:val="single" w:sz="4" w:space="0" w:color="auto"/>
            </w:tcBorders>
            <w:noWrap/>
            <w:hideMark/>
          </w:tcPr>
          <w:p w14:paraId="3993CFC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669</w:t>
            </w:r>
          </w:p>
        </w:tc>
        <w:tc>
          <w:tcPr>
            <w:tcW w:w="880" w:type="dxa"/>
            <w:tcBorders>
              <w:top w:val="single" w:sz="4" w:space="0" w:color="auto"/>
              <w:left w:val="single" w:sz="4" w:space="0" w:color="auto"/>
              <w:bottom w:val="single" w:sz="4" w:space="0" w:color="auto"/>
              <w:right w:val="single" w:sz="4" w:space="0" w:color="auto"/>
            </w:tcBorders>
            <w:noWrap/>
            <w:hideMark/>
          </w:tcPr>
          <w:p w14:paraId="769695A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9F70BE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304</w:t>
            </w:r>
          </w:p>
        </w:tc>
        <w:tc>
          <w:tcPr>
            <w:tcW w:w="880" w:type="dxa"/>
            <w:tcBorders>
              <w:top w:val="single" w:sz="4" w:space="0" w:color="auto"/>
              <w:left w:val="single" w:sz="4" w:space="0" w:color="auto"/>
              <w:bottom w:val="single" w:sz="4" w:space="0" w:color="auto"/>
              <w:right w:val="single" w:sz="4" w:space="0" w:color="auto"/>
            </w:tcBorders>
            <w:noWrap/>
            <w:hideMark/>
          </w:tcPr>
          <w:p w14:paraId="659011E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630BB038"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274445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16F6C7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AA0F26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5</w:t>
            </w:r>
          </w:p>
        </w:tc>
        <w:tc>
          <w:tcPr>
            <w:tcW w:w="880" w:type="dxa"/>
            <w:tcBorders>
              <w:top w:val="single" w:sz="4" w:space="0" w:color="auto"/>
              <w:left w:val="single" w:sz="4" w:space="0" w:color="auto"/>
              <w:bottom w:val="single" w:sz="4" w:space="0" w:color="auto"/>
              <w:right w:val="single" w:sz="4" w:space="0" w:color="auto"/>
            </w:tcBorders>
            <w:noWrap/>
            <w:hideMark/>
          </w:tcPr>
          <w:p w14:paraId="4B809689"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55</w:t>
            </w:r>
          </w:p>
        </w:tc>
        <w:tc>
          <w:tcPr>
            <w:tcW w:w="881" w:type="dxa"/>
            <w:tcBorders>
              <w:top w:val="single" w:sz="4" w:space="0" w:color="auto"/>
              <w:left w:val="single" w:sz="4" w:space="0" w:color="auto"/>
              <w:bottom w:val="single" w:sz="4" w:space="0" w:color="auto"/>
              <w:right w:val="single" w:sz="4" w:space="0" w:color="auto"/>
            </w:tcBorders>
            <w:noWrap/>
            <w:hideMark/>
          </w:tcPr>
          <w:p w14:paraId="1F1BF14B" w14:textId="277AE6DF"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w:t>
            </w:r>
            <w:r w:rsidR="001968BF">
              <w:rPr>
                <w:rFonts w:eastAsia="Times New Roman" w:cs="Arial"/>
                <w:color w:val="000000"/>
                <w:sz w:val="16"/>
                <w:szCs w:val="16"/>
                <w:lang w:eastAsia="en-AU"/>
                <w14:ligatures w14:val="none"/>
              </w:rPr>
              <w:t>,</w:t>
            </w:r>
            <w:r w:rsidRPr="00011D13">
              <w:rPr>
                <w:rFonts w:eastAsia="Times New Roman" w:cs="Arial"/>
                <w:color w:val="000000"/>
                <w:sz w:val="16"/>
                <w:szCs w:val="16"/>
                <w:lang w:eastAsia="en-AU"/>
                <w14:ligatures w14:val="none"/>
              </w:rPr>
              <w:t>001</w:t>
            </w:r>
          </w:p>
        </w:tc>
      </w:tr>
      <w:tr w:rsidR="00CC7914" w:rsidRPr="00011D13" w14:paraId="1664D1C7"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611AE88E"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Bendigo Health</w:t>
            </w:r>
          </w:p>
        </w:tc>
        <w:tc>
          <w:tcPr>
            <w:tcW w:w="880" w:type="dxa"/>
            <w:tcBorders>
              <w:top w:val="single" w:sz="4" w:space="0" w:color="auto"/>
              <w:left w:val="single" w:sz="4" w:space="0" w:color="auto"/>
              <w:bottom w:val="single" w:sz="4" w:space="0" w:color="auto"/>
              <w:right w:val="single" w:sz="4" w:space="0" w:color="auto"/>
            </w:tcBorders>
            <w:noWrap/>
            <w:hideMark/>
          </w:tcPr>
          <w:p w14:paraId="6058698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2,391</w:t>
            </w:r>
          </w:p>
        </w:tc>
        <w:tc>
          <w:tcPr>
            <w:tcW w:w="880" w:type="dxa"/>
            <w:tcBorders>
              <w:top w:val="single" w:sz="4" w:space="0" w:color="auto"/>
              <w:left w:val="single" w:sz="4" w:space="0" w:color="auto"/>
              <w:bottom w:val="single" w:sz="4" w:space="0" w:color="auto"/>
              <w:right w:val="single" w:sz="4" w:space="0" w:color="auto"/>
            </w:tcBorders>
            <w:noWrap/>
            <w:hideMark/>
          </w:tcPr>
          <w:p w14:paraId="3AD42C2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78AE3658"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E67C2E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7DAE132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1A20BDB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751A0DE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395737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177BC74B"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299560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F85EC7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FCE35C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4F0FC6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C0F428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6078D3D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2,391</w:t>
            </w:r>
          </w:p>
        </w:tc>
      </w:tr>
      <w:tr w:rsidR="00CC7914" w:rsidRPr="00011D13" w14:paraId="4058EC68"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34D088E0"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Eastern Health</w:t>
            </w:r>
          </w:p>
        </w:tc>
        <w:tc>
          <w:tcPr>
            <w:tcW w:w="880" w:type="dxa"/>
            <w:tcBorders>
              <w:top w:val="single" w:sz="4" w:space="0" w:color="auto"/>
              <w:left w:val="single" w:sz="4" w:space="0" w:color="auto"/>
              <w:bottom w:val="single" w:sz="4" w:space="0" w:color="auto"/>
              <w:right w:val="single" w:sz="4" w:space="0" w:color="auto"/>
            </w:tcBorders>
            <w:noWrap/>
            <w:hideMark/>
          </w:tcPr>
          <w:p w14:paraId="3F1FBB16"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3F59204C" w14:textId="7C00FA04"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2</w:t>
            </w:r>
            <w:r w:rsidR="00994F36">
              <w:rPr>
                <w:rFonts w:eastAsia="Times New Roman" w:cs="Arial"/>
                <w:color w:val="000000" w:themeColor="text1"/>
                <w:sz w:val="16"/>
                <w:szCs w:val="16"/>
                <w:lang w:eastAsia="en-AU"/>
                <w14:ligatures w14:val="none"/>
              </w:rPr>
              <w:t>,</w:t>
            </w:r>
            <w:r w:rsidRPr="00011D13">
              <w:rPr>
                <w:rFonts w:eastAsia="Times New Roman" w:cs="Arial"/>
                <w:color w:val="000000" w:themeColor="text1"/>
                <w:sz w:val="16"/>
                <w:szCs w:val="16"/>
                <w:lang w:eastAsia="en-AU"/>
                <w14:ligatures w14:val="none"/>
              </w:rPr>
              <w:t>850</w:t>
            </w:r>
          </w:p>
        </w:tc>
        <w:tc>
          <w:tcPr>
            <w:tcW w:w="881" w:type="dxa"/>
            <w:tcBorders>
              <w:top w:val="single" w:sz="4" w:space="0" w:color="auto"/>
              <w:left w:val="single" w:sz="4" w:space="0" w:color="auto"/>
              <w:bottom w:val="single" w:sz="4" w:space="0" w:color="auto"/>
              <w:right w:val="single" w:sz="4" w:space="0" w:color="auto"/>
            </w:tcBorders>
            <w:noWrap/>
            <w:hideMark/>
          </w:tcPr>
          <w:p w14:paraId="5938CD4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7327726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1,246</w:t>
            </w:r>
          </w:p>
        </w:tc>
        <w:tc>
          <w:tcPr>
            <w:tcW w:w="881" w:type="dxa"/>
            <w:tcBorders>
              <w:top w:val="single" w:sz="4" w:space="0" w:color="auto"/>
              <w:left w:val="single" w:sz="4" w:space="0" w:color="auto"/>
              <w:bottom w:val="single" w:sz="4" w:space="0" w:color="auto"/>
              <w:right w:val="single" w:sz="4" w:space="0" w:color="auto"/>
            </w:tcBorders>
            <w:noWrap/>
            <w:hideMark/>
          </w:tcPr>
          <w:p w14:paraId="4B5BFAC8"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562</w:t>
            </w:r>
          </w:p>
        </w:tc>
        <w:tc>
          <w:tcPr>
            <w:tcW w:w="880" w:type="dxa"/>
            <w:tcBorders>
              <w:top w:val="single" w:sz="4" w:space="0" w:color="auto"/>
              <w:left w:val="single" w:sz="4" w:space="0" w:color="auto"/>
              <w:bottom w:val="single" w:sz="4" w:space="0" w:color="auto"/>
              <w:right w:val="single" w:sz="4" w:space="0" w:color="auto"/>
            </w:tcBorders>
            <w:noWrap/>
            <w:hideMark/>
          </w:tcPr>
          <w:p w14:paraId="22B0BB2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1,786</w:t>
            </w:r>
          </w:p>
        </w:tc>
        <w:tc>
          <w:tcPr>
            <w:tcW w:w="880" w:type="dxa"/>
            <w:tcBorders>
              <w:top w:val="single" w:sz="4" w:space="0" w:color="auto"/>
              <w:left w:val="single" w:sz="4" w:space="0" w:color="auto"/>
              <w:bottom w:val="single" w:sz="4" w:space="0" w:color="auto"/>
              <w:right w:val="single" w:sz="4" w:space="0" w:color="auto"/>
            </w:tcBorders>
            <w:noWrap/>
            <w:hideMark/>
          </w:tcPr>
          <w:p w14:paraId="710786C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19</w:t>
            </w:r>
          </w:p>
        </w:tc>
        <w:tc>
          <w:tcPr>
            <w:tcW w:w="881" w:type="dxa"/>
            <w:tcBorders>
              <w:top w:val="single" w:sz="4" w:space="0" w:color="auto"/>
              <w:left w:val="single" w:sz="4" w:space="0" w:color="auto"/>
              <w:bottom w:val="single" w:sz="4" w:space="0" w:color="auto"/>
              <w:right w:val="single" w:sz="4" w:space="0" w:color="auto"/>
            </w:tcBorders>
            <w:noWrap/>
            <w:hideMark/>
          </w:tcPr>
          <w:p w14:paraId="48C9629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669</w:t>
            </w:r>
          </w:p>
        </w:tc>
        <w:tc>
          <w:tcPr>
            <w:tcW w:w="880" w:type="dxa"/>
            <w:tcBorders>
              <w:top w:val="single" w:sz="4" w:space="0" w:color="auto"/>
              <w:left w:val="single" w:sz="4" w:space="0" w:color="auto"/>
              <w:bottom w:val="single" w:sz="4" w:space="0" w:color="auto"/>
              <w:right w:val="single" w:sz="4" w:space="0" w:color="auto"/>
            </w:tcBorders>
            <w:noWrap/>
            <w:hideMark/>
          </w:tcPr>
          <w:p w14:paraId="70D7476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DDAA4B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100</w:t>
            </w:r>
          </w:p>
        </w:tc>
        <w:tc>
          <w:tcPr>
            <w:tcW w:w="880" w:type="dxa"/>
            <w:tcBorders>
              <w:top w:val="single" w:sz="4" w:space="0" w:color="auto"/>
              <w:left w:val="single" w:sz="4" w:space="0" w:color="auto"/>
              <w:bottom w:val="single" w:sz="4" w:space="0" w:color="auto"/>
              <w:right w:val="single" w:sz="4" w:space="0" w:color="auto"/>
            </w:tcBorders>
            <w:noWrap/>
            <w:hideMark/>
          </w:tcPr>
          <w:p w14:paraId="17ECDA5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70</w:t>
            </w:r>
          </w:p>
        </w:tc>
        <w:tc>
          <w:tcPr>
            <w:tcW w:w="880" w:type="dxa"/>
            <w:tcBorders>
              <w:top w:val="single" w:sz="4" w:space="0" w:color="auto"/>
              <w:left w:val="single" w:sz="4" w:space="0" w:color="auto"/>
              <w:bottom w:val="single" w:sz="4" w:space="0" w:color="auto"/>
              <w:right w:val="single" w:sz="4" w:space="0" w:color="auto"/>
            </w:tcBorders>
            <w:noWrap/>
            <w:hideMark/>
          </w:tcPr>
          <w:p w14:paraId="7482073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B5C86C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7AA5AA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D63950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7,302</w:t>
            </w:r>
          </w:p>
        </w:tc>
      </w:tr>
      <w:tr w:rsidR="00CC7914" w:rsidRPr="00011D13" w14:paraId="14D3104D"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2E723AD5"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Goulburn Valley Health</w:t>
            </w:r>
          </w:p>
        </w:tc>
        <w:tc>
          <w:tcPr>
            <w:tcW w:w="880" w:type="dxa"/>
            <w:tcBorders>
              <w:top w:val="single" w:sz="4" w:space="0" w:color="auto"/>
              <w:left w:val="single" w:sz="4" w:space="0" w:color="auto"/>
              <w:bottom w:val="single" w:sz="4" w:space="0" w:color="auto"/>
              <w:right w:val="single" w:sz="4" w:space="0" w:color="auto"/>
            </w:tcBorders>
            <w:noWrap/>
            <w:hideMark/>
          </w:tcPr>
          <w:p w14:paraId="6F47CA2E"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30242785"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933</w:t>
            </w:r>
          </w:p>
        </w:tc>
        <w:tc>
          <w:tcPr>
            <w:tcW w:w="881" w:type="dxa"/>
            <w:tcBorders>
              <w:top w:val="single" w:sz="4" w:space="0" w:color="auto"/>
              <w:left w:val="single" w:sz="4" w:space="0" w:color="auto"/>
              <w:bottom w:val="single" w:sz="4" w:space="0" w:color="auto"/>
              <w:right w:val="single" w:sz="4" w:space="0" w:color="auto"/>
            </w:tcBorders>
            <w:noWrap/>
            <w:hideMark/>
          </w:tcPr>
          <w:p w14:paraId="760CE6D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801AC69" w14:textId="77777777" w:rsidR="006270A2" w:rsidRPr="00011D13" w:rsidRDefault="006270A2" w:rsidP="00B83418">
            <w:pPr>
              <w:jc w:val="right"/>
              <w:rPr>
                <w:rFonts w:eastAsia="Times New Roman"/>
                <w14:ligatures w14:val="none"/>
              </w:rPr>
            </w:pPr>
            <w:r w:rsidRPr="00011D13">
              <w:rPr>
                <w:rFonts w:eastAsia="Times New Roman" w:cs="Arial"/>
                <w:color w:val="000000" w:themeColor="text1"/>
                <w:sz w:val="16"/>
                <w:szCs w:val="16"/>
                <w:lang w:eastAsia="en-AU"/>
                <w14:ligatures w14:val="none"/>
              </w:rPr>
              <w:t>237</w:t>
            </w:r>
          </w:p>
        </w:tc>
        <w:tc>
          <w:tcPr>
            <w:tcW w:w="881" w:type="dxa"/>
            <w:tcBorders>
              <w:top w:val="single" w:sz="4" w:space="0" w:color="auto"/>
              <w:left w:val="single" w:sz="4" w:space="0" w:color="auto"/>
              <w:bottom w:val="single" w:sz="4" w:space="0" w:color="auto"/>
              <w:right w:val="single" w:sz="4" w:space="0" w:color="auto"/>
            </w:tcBorders>
            <w:noWrap/>
            <w:hideMark/>
          </w:tcPr>
          <w:p w14:paraId="2340295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196</w:t>
            </w:r>
          </w:p>
        </w:tc>
        <w:tc>
          <w:tcPr>
            <w:tcW w:w="880" w:type="dxa"/>
            <w:tcBorders>
              <w:top w:val="single" w:sz="4" w:space="0" w:color="auto"/>
              <w:left w:val="single" w:sz="4" w:space="0" w:color="auto"/>
              <w:bottom w:val="single" w:sz="4" w:space="0" w:color="auto"/>
              <w:right w:val="single" w:sz="4" w:space="0" w:color="auto"/>
            </w:tcBorders>
            <w:noWrap/>
            <w:hideMark/>
          </w:tcPr>
          <w:p w14:paraId="6F7F99D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622</w:t>
            </w:r>
          </w:p>
        </w:tc>
        <w:tc>
          <w:tcPr>
            <w:tcW w:w="880" w:type="dxa"/>
            <w:tcBorders>
              <w:top w:val="single" w:sz="4" w:space="0" w:color="auto"/>
              <w:left w:val="single" w:sz="4" w:space="0" w:color="auto"/>
              <w:bottom w:val="single" w:sz="4" w:space="0" w:color="auto"/>
              <w:right w:val="single" w:sz="4" w:space="0" w:color="auto"/>
            </w:tcBorders>
            <w:noWrap/>
            <w:hideMark/>
          </w:tcPr>
          <w:p w14:paraId="0D3EC5A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C3034D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226</w:t>
            </w:r>
          </w:p>
        </w:tc>
        <w:tc>
          <w:tcPr>
            <w:tcW w:w="880" w:type="dxa"/>
            <w:tcBorders>
              <w:top w:val="single" w:sz="4" w:space="0" w:color="auto"/>
              <w:left w:val="single" w:sz="4" w:space="0" w:color="auto"/>
              <w:bottom w:val="single" w:sz="4" w:space="0" w:color="auto"/>
              <w:right w:val="single" w:sz="4" w:space="0" w:color="auto"/>
            </w:tcBorders>
            <w:noWrap/>
            <w:hideMark/>
          </w:tcPr>
          <w:p w14:paraId="2068BC6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6D11A00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8340A3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F7A029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66C2C77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96B84F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CD9A67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2,213</w:t>
            </w:r>
          </w:p>
        </w:tc>
      </w:tr>
      <w:tr w:rsidR="00CC7914" w:rsidRPr="00011D13" w14:paraId="7EC4A30C"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002505E3"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Monash Health</w:t>
            </w:r>
          </w:p>
        </w:tc>
        <w:tc>
          <w:tcPr>
            <w:tcW w:w="880" w:type="dxa"/>
            <w:tcBorders>
              <w:top w:val="single" w:sz="4" w:space="0" w:color="auto"/>
              <w:left w:val="single" w:sz="4" w:space="0" w:color="auto"/>
              <w:bottom w:val="single" w:sz="4" w:space="0" w:color="auto"/>
              <w:right w:val="single" w:sz="4" w:space="0" w:color="auto"/>
            </w:tcBorders>
            <w:noWrap/>
            <w:hideMark/>
          </w:tcPr>
          <w:p w14:paraId="275F7383"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13DF3C37"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3,113</w:t>
            </w:r>
          </w:p>
        </w:tc>
        <w:tc>
          <w:tcPr>
            <w:tcW w:w="881" w:type="dxa"/>
            <w:tcBorders>
              <w:top w:val="single" w:sz="4" w:space="0" w:color="auto"/>
              <w:left w:val="single" w:sz="4" w:space="0" w:color="auto"/>
              <w:bottom w:val="single" w:sz="4" w:space="0" w:color="auto"/>
              <w:right w:val="single" w:sz="4" w:space="0" w:color="auto"/>
            </w:tcBorders>
            <w:noWrap/>
            <w:hideMark/>
          </w:tcPr>
          <w:p w14:paraId="7615C0C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B907D7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12AE214"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52FDF8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89FE63C" w14:textId="77777777" w:rsidR="006270A2" w:rsidRPr="00011D13" w:rsidRDefault="006270A2" w:rsidP="00B83418">
            <w:pPr>
              <w:jc w:val="right"/>
              <w:rPr>
                <w:rFonts w:eastAsia="Times New Roman" w:cs="Arial"/>
                <w:color w:val="000000"/>
                <w:sz w:val="16"/>
                <w:szCs w:val="16"/>
                <w:lang w:eastAsia="en-AU"/>
                <w14:ligatures w14:val="none"/>
              </w:rPr>
            </w:pPr>
          </w:p>
        </w:tc>
        <w:tc>
          <w:tcPr>
            <w:tcW w:w="881" w:type="dxa"/>
            <w:tcBorders>
              <w:top w:val="single" w:sz="4" w:space="0" w:color="auto"/>
              <w:left w:val="single" w:sz="4" w:space="0" w:color="auto"/>
              <w:bottom w:val="single" w:sz="4" w:space="0" w:color="auto"/>
              <w:right w:val="single" w:sz="4" w:space="0" w:color="auto"/>
            </w:tcBorders>
            <w:noWrap/>
            <w:hideMark/>
          </w:tcPr>
          <w:p w14:paraId="1950669D"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C7D4E3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2E2E116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85FA26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47E6CD9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32</w:t>
            </w:r>
          </w:p>
        </w:tc>
        <w:tc>
          <w:tcPr>
            <w:tcW w:w="881" w:type="dxa"/>
            <w:tcBorders>
              <w:top w:val="single" w:sz="4" w:space="0" w:color="auto"/>
              <w:left w:val="single" w:sz="4" w:space="0" w:color="auto"/>
              <w:bottom w:val="single" w:sz="4" w:space="0" w:color="auto"/>
              <w:right w:val="single" w:sz="4" w:space="0" w:color="auto"/>
            </w:tcBorders>
            <w:noWrap/>
            <w:hideMark/>
          </w:tcPr>
          <w:p w14:paraId="7C6926B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8FE272B"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28</w:t>
            </w:r>
          </w:p>
        </w:tc>
        <w:tc>
          <w:tcPr>
            <w:tcW w:w="881" w:type="dxa"/>
            <w:tcBorders>
              <w:top w:val="single" w:sz="4" w:space="0" w:color="auto"/>
              <w:left w:val="single" w:sz="4" w:space="0" w:color="auto"/>
              <w:bottom w:val="single" w:sz="4" w:space="0" w:color="auto"/>
              <w:right w:val="single" w:sz="4" w:space="0" w:color="auto"/>
            </w:tcBorders>
            <w:noWrap/>
            <w:hideMark/>
          </w:tcPr>
          <w:p w14:paraId="793198E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3,173</w:t>
            </w:r>
          </w:p>
        </w:tc>
      </w:tr>
      <w:tr w:rsidR="00CC7914" w:rsidRPr="00011D13" w14:paraId="5DD67616"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58AFF360"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Peninsula Health</w:t>
            </w:r>
          </w:p>
        </w:tc>
        <w:tc>
          <w:tcPr>
            <w:tcW w:w="880" w:type="dxa"/>
            <w:tcBorders>
              <w:top w:val="single" w:sz="4" w:space="0" w:color="auto"/>
              <w:left w:val="single" w:sz="4" w:space="0" w:color="auto"/>
              <w:bottom w:val="single" w:sz="4" w:space="0" w:color="auto"/>
              <w:right w:val="single" w:sz="4" w:space="0" w:color="auto"/>
            </w:tcBorders>
            <w:noWrap/>
            <w:hideMark/>
          </w:tcPr>
          <w:p w14:paraId="711898FE"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57B2306C"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69F88BA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7F127F7F" w14:textId="77777777" w:rsidR="006270A2" w:rsidRPr="00011D13" w:rsidRDefault="006270A2" w:rsidP="00B83418">
            <w:pPr>
              <w:jc w:val="right"/>
              <w:rPr>
                <w:rFonts w:eastAsia="Times New Roman"/>
                <w14:ligatures w14:val="none"/>
              </w:rPr>
            </w:pPr>
            <w:r w:rsidRPr="00011D13">
              <w:rPr>
                <w:rFonts w:eastAsia="Times New Roman" w:cs="Arial"/>
                <w:color w:val="000000" w:themeColor="text1"/>
                <w:sz w:val="16"/>
                <w:szCs w:val="16"/>
                <w:lang w:eastAsia="en-AU"/>
                <w14:ligatures w14:val="none"/>
              </w:rPr>
              <w:t>516</w:t>
            </w:r>
          </w:p>
        </w:tc>
        <w:tc>
          <w:tcPr>
            <w:tcW w:w="881" w:type="dxa"/>
            <w:tcBorders>
              <w:top w:val="single" w:sz="4" w:space="0" w:color="auto"/>
              <w:left w:val="single" w:sz="4" w:space="0" w:color="auto"/>
              <w:bottom w:val="single" w:sz="4" w:space="0" w:color="auto"/>
              <w:right w:val="single" w:sz="4" w:space="0" w:color="auto"/>
            </w:tcBorders>
            <w:noWrap/>
            <w:hideMark/>
          </w:tcPr>
          <w:p w14:paraId="03B238AE" w14:textId="77777777" w:rsidR="006270A2" w:rsidRPr="00011D13" w:rsidRDefault="006270A2" w:rsidP="00B83418">
            <w:pPr>
              <w:jc w:val="right"/>
              <w:rPr>
                <w:rFonts w:eastAsia="Times New Roman" w:cs="Times New Roman"/>
                <w:szCs w:val="20"/>
                <w14:ligatures w14:val="none"/>
              </w:rPr>
            </w:pPr>
            <w:r w:rsidRPr="00011D13">
              <w:rPr>
                <w:rFonts w:eastAsia="Times New Roman" w:cs="Arial"/>
                <w:color w:val="000000" w:themeColor="text1"/>
                <w:sz w:val="16"/>
                <w:szCs w:val="16"/>
                <w:lang w:eastAsia="en-AU"/>
                <w14:ligatures w14:val="none"/>
              </w:rPr>
              <w:t>140</w:t>
            </w:r>
          </w:p>
        </w:tc>
        <w:tc>
          <w:tcPr>
            <w:tcW w:w="880" w:type="dxa"/>
            <w:tcBorders>
              <w:top w:val="single" w:sz="4" w:space="0" w:color="auto"/>
              <w:left w:val="single" w:sz="4" w:space="0" w:color="auto"/>
              <w:bottom w:val="single" w:sz="4" w:space="0" w:color="auto"/>
              <w:right w:val="single" w:sz="4" w:space="0" w:color="auto"/>
            </w:tcBorders>
            <w:noWrap/>
            <w:hideMark/>
          </w:tcPr>
          <w:p w14:paraId="67352355"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562</w:t>
            </w:r>
          </w:p>
        </w:tc>
        <w:tc>
          <w:tcPr>
            <w:tcW w:w="880" w:type="dxa"/>
            <w:tcBorders>
              <w:top w:val="single" w:sz="4" w:space="0" w:color="auto"/>
              <w:left w:val="single" w:sz="4" w:space="0" w:color="auto"/>
              <w:bottom w:val="single" w:sz="4" w:space="0" w:color="auto"/>
              <w:right w:val="single" w:sz="4" w:space="0" w:color="auto"/>
            </w:tcBorders>
            <w:noWrap/>
            <w:hideMark/>
          </w:tcPr>
          <w:p w14:paraId="7C994F96" w14:textId="77777777" w:rsidR="006270A2" w:rsidRPr="00011D13" w:rsidRDefault="006270A2" w:rsidP="00B83418">
            <w:pPr>
              <w:jc w:val="right"/>
              <w:rPr>
                <w:rFonts w:eastAsia="Times New Roman" w:cs="Arial"/>
                <w:color w:val="000000"/>
                <w:sz w:val="16"/>
                <w:szCs w:val="16"/>
                <w:lang w:eastAsia="en-AU"/>
                <w14:ligatures w14:val="none"/>
              </w:rPr>
            </w:pPr>
          </w:p>
        </w:tc>
        <w:tc>
          <w:tcPr>
            <w:tcW w:w="881" w:type="dxa"/>
            <w:tcBorders>
              <w:top w:val="single" w:sz="4" w:space="0" w:color="auto"/>
              <w:left w:val="single" w:sz="4" w:space="0" w:color="auto"/>
              <w:bottom w:val="single" w:sz="4" w:space="0" w:color="auto"/>
              <w:right w:val="single" w:sz="4" w:space="0" w:color="auto"/>
            </w:tcBorders>
            <w:noWrap/>
            <w:hideMark/>
          </w:tcPr>
          <w:p w14:paraId="208F3A49" w14:textId="77777777"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253</w:t>
            </w:r>
          </w:p>
        </w:tc>
        <w:tc>
          <w:tcPr>
            <w:tcW w:w="880" w:type="dxa"/>
            <w:tcBorders>
              <w:top w:val="single" w:sz="4" w:space="0" w:color="auto"/>
              <w:left w:val="single" w:sz="4" w:space="0" w:color="auto"/>
              <w:bottom w:val="single" w:sz="4" w:space="0" w:color="auto"/>
              <w:right w:val="single" w:sz="4" w:space="0" w:color="auto"/>
            </w:tcBorders>
            <w:noWrap/>
            <w:hideMark/>
          </w:tcPr>
          <w:p w14:paraId="31BBC1A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B02352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EBD3C08"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CB4E13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8</w:t>
            </w:r>
          </w:p>
        </w:tc>
        <w:tc>
          <w:tcPr>
            <w:tcW w:w="881" w:type="dxa"/>
            <w:tcBorders>
              <w:top w:val="single" w:sz="4" w:space="0" w:color="auto"/>
              <w:left w:val="single" w:sz="4" w:space="0" w:color="auto"/>
              <w:bottom w:val="single" w:sz="4" w:space="0" w:color="auto"/>
              <w:right w:val="single" w:sz="4" w:space="0" w:color="auto"/>
            </w:tcBorders>
            <w:noWrap/>
            <w:hideMark/>
          </w:tcPr>
          <w:p w14:paraId="7230BA7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26D7B8F"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109</w:t>
            </w:r>
          </w:p>
        </w:tc>
        <w:tc>
          <w:tcPr>
            <w:tcW w:w="881" w:type="dxa"/>
            <w:tcBorders>
              <w:top w:val="single" w:sz="4" w:space="0" w:color="auto"/>
              <w:left w:val="single" w:sz="4" w:space="0" w:color="auto"/>
              <w:bottom w:val="single" w:sz="4" w:space="0" w:color="auto"/>
              <w:right w:val="single" w:sz="4" w:space="0" w:color="auto"/>
            </w:tcBorders>
            <w:noWrap/>
            <w:hideMark/>
          </w:tcPr>
          <w:p w14:paraId="4D29F63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1,589</w:t>
            </w:r>
          </w:p>
        </w:tc>
      </w:tr>
      <w:tr w:rsidR="00CC7914" w:rsidRPr="00011D13" w14:paraId="4CD108CF"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077D245B"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St Vincent’s Hospital Melbourne Limited</w:t>
            </w:r>
          </w:p>
        </w:tc>
        <w:tc>
          <w:tcPr>
            <w:tcW w:w="880" w:type="dxa"/>
            <w:tcBorders>
              <w:top w:val="single" w:sz="4" w:space="0" w:color="auto"/>
              <w:left w:val="single" w:sz="4" w:space="0" w:color="auto"/>
              <w:bottom w:val="single" w:sz="4" w:space="0" w:color="auto"/>
              <w:right w:val="single" w:sz="4" w:space="0" w:color="auto"/>
            </w:tcBorders>
            <w:noWrap/>
            <w:hideMark/>
          </w:tcPr>
          <w:p w14:paraId="66E85BEC" w14:textId="77777777" w:rsidR="006270A2" w:rsidRPr="00011D13" w:rsidRDefault="006270A2" w:rsidP="00B83418">
            <w:pPr>
              <w:jc w:val="right"/>
              <w:rPr>
                <w:rFonts w:eastAsia="Times New Roman" w:cs="Arial"/>
                <w:color w:val="000000"/>
                <w:sz w:val="16"/>
                <w:szCs w:val="16"/>
                <w:lang w:eastAsia="en-AU"/>
                <w14:ligatures w14:val="none"/>
              </w:rPr>
            </w:pPr>
          </w:p>
        </w:tc>
        <w:tc>
          <w:tcPr>
            <w:tcW w:w="880" w:type="dxa"/>
            <w:tcBorders>
              <w:top w:val="single" w:sz="4" w:space="0" w:color="auto"/>
              <w:left w:val="single" w:sz="4" w:space="0" w:color="auto"/>
              <w:bottom w:val="single" w:sz="4" w:space="0" w:color="auto"/>
              <w:right w:val="single" w:sz="4" w:space="0" w:color="auto"/>
            </w:tcBorders>
            <w:noWrap/>
            <w:hideMark/>
          </w:tcPr>
          <w:p w14:paraId="7B1B54A8" w14:textId="4C846C08" w:rsidR="006270A2" w:rsidRPr="00011D13" w:rsidRDefault="006270A2" w:rsidP="00B83418">
            <w:pPr>
              <w:jc w:val="right"/>
              <w:rPr>
                <w:rFonts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2</w:t>
            </w:r>
            <w:r w:rsidR="00994F36">
              <w:rPr>
                <w:rFonts w:eastAsia="Times New Roman" w:cs="Arial"/>
                <w:color w:val="000000" w:themeColor="text1"/>
                <w:sz w:val="16"/>
                <w:szCs w:val="16"/>
                <w:lang w:eastAsia="en-AU"/>
                <w14:ligatures w14:val="none"/>
              </w:rPr>
              <w:t>,</w:t>
            </w:r>
            <w:r w:rsidRPr="00011D13">
              <w:rPr>
                <w:rFonts w:eastAsia="Times New Roman" w:cs="Arial"/>
                <w:color w:val="000000" w:themeColor="text1"/>
                <w:sz w:val="16"/>
                <w:szCs w:val="16"/>
                <w:lang w:eastAsia="en-AU"/>
                <w14:ligatures w14:val="none"/>
              </w:rPr>
              <w:t>769</w:t>
            </w:r>
          </w:p>
        </w:tc>
        <w:tc>
          <w:tcPr>
            <w:tcW w:w="881" w:type="dxa"/>
            <w:tcBorders>
              <w:top w:val="single" w:sz="4" w:space="0" w:color="auto"/>
              <w:left w:val="single" w:sz="4" w:space="0" w:color="auto"/>
              <w:bottom w:val="single" w:sz="4" w:space="0" w:color="auto"/>
              <w:right w:val="single" w:sz="4" w:space="0" w:color="auto"/>
            </w:tcBorders>
            <w:noWrap/>
            <w:hideMark/>
          </w:tcPr>
          <w:p w14:paraId="628BAEC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3BC40E3"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8121A5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9890ED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A0C01E9"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19B2286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62C3D7D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E3B712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197195AE"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3587EEE1"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AE4103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A4E1B9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184558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2,769</w:t>
            </w:r>
          </w:p>
        </w:tc>
      </w:tr>
      <w:tr w:rsidR="00CC7914" w:rsidRPr="00011D13" w14:paraId="12EC9558" w14:textId="77777777" w:rsidTr="004F55EA">
        <w:trPr>
          <w:trHeight w:val="284"/>
        </w:trPr>
        <w:tc>
          <w:tcPr>
            <w:tcW w:w="1537" w:type="dxa"/>
            <w:tcBorders>
              <w:top w:val="single" w:sz="4" w:space="0" w:color="auto"/>
              <w:left w:val="single" w:sz="4" w:space="0" w:color="auto"/>
              <w:bottom w:val="single" w:sz="4" w:space="0" w:color="auto"/>
              <w:right w:val="single" w:sz="4" w:space="0" w:color="auto"/>
            </w:tcBorders>
            <w:hideMark/>
          </w:tcPr>
          <w:p w14:paraId="0A4BC9F7" w14:textId="77777777" w:rsidR="006270A2" w:rsidRPr="00011D13" w:rsidRDefault="006270A2">
            <w:pPr>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Western Health</w:t>
            </w:r>
          </w:p>
        </w:tc>
        <w:tc>
          <w:tcPr>
            <w:tcW w:w="880" w:type="dxa"/>
            <w:tcBorders>
              <w:top w:val="single" w:sz="4" w:space="0" w:color="auto"/>
              <w:left w:val="single" w:sz="4" w:space="0" w:color="auto"/>
              <w:bottom w:val="single" w:sz="4" w:space="0" w:color="auto"/>
              <w:right w:val="single" w:sz="4" w:space="0" w:color="auto"/>
            </w:tcBorders>
            <w:noWrap/>
            <w:hideMark/>
          </w:tcPr>
          <w:p w14:paraId="188FC2BA" w14:textId="77777777" w:rsidR="006270A2" w:rsidRPr="00011D13" w:rsidRDefault="006270A2" w:rsidP="00B83418">
            <w:pPr>
              <w:jc w:val="right"/>
              <w:rPr>
                <w:rFonts w:eastAsia="Times New Roman"/>
                <w14:ligatures w14:val="none"/>
              </w:rPr>
            </w:pPr>
            <w:r w:rsidRPr="00011D13">
              <w:rPr>
                <w:rFonts w:eastAsia="Times New Roman" w:cs="Arial"/>
                <w:color w:val="000000" w:themeColor="text1"/>
                <w:sz w:val="16"/>
                <w:szCs w:val="16"/>
                <w:lang w:eastAsia="en-AU"/>
                <w14:ligatures w14:val="none"/>
              </w:rPr>
              <w:t>8,297</w:t>
            </w:r>
          </w:p>
        </w:tc>
        <w:tc>
          <w:tcPr>
            <w:tcW w:w="880" w:type="dxa"/>
            <w:tcBorders>
              <w:top w:val="single" w:sz="4" w:space="0" w:color="auto"/>
              <w:left w:val="single" w:sz="4" w:space="0" w:color="auto"/>
              <w:bottom w:val="single" w:sz="4" w:space="0" w:color="auto"/>
              <w:right w:val="single" w:sz="4" w:space="0" w:color="auto"/>
            </w:tcBorders>
            <w:noWrap/>
            <w:hideMark/>
          </w:tcPr>
          <w:p w14:paraId="5E2E23AC" w14:textId="0F313D0F"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themeColor="text1"/>
                <w:sz w:val="16"/>
                <w:szCs w:val="16"/>
                <w:lang w:eastAsia="en-AU"/>
                <w14:ligatures w14:val="none"/>
              </w:rPr>
              <w:t> 2</w:t>
            </w:r>
            <w:r w:rsidR="00994F36">
              <w:rPr>
                <w:rFonts w:eastAsia="Times New Roman" w:cs="Arial"/>
                <w:color w:val="000000" w:themeColor="text1"/>
                <w:sz w:val="16"/>
                <w:szCs w:val="16"/>
                <w:lang w:eastAsia="en-AU"/>
                <w14:ligatures w14:val="none"/>
              </w:rPr>
              <w:t>,</w:t>
            </w:r>
            <w:r w:rsidRPr="00011D13">
              <w:rPr>
                <w:rFonts w:eastAsia="Times New Roman" w:cs="Arial"/>
                <w:color w:val="000000" w:themeColor="text1"/>
                <w:sz w:val="16"/>
                <w:szCs w:val="16"/>
                <w:lang w:eastAsia="en-AU"/>
                <w14:ligatures w14:val="none"/>
              </w:rPr>
              <w:t>765</w:t>
            </w:r>
          </w:p>
        </w:tc>
        <w:tc>
          <w:tcPr>
            <w:tcW w:w="881" w:type="dxa"/>
            <w:tcBorders>
              <w:top w:val="single" w:sz="4" w:space="0" w:color="auto"/>
              <w:left w:val="single" w:sz="4" w:space="0" w:color="auto"/>
              <w:bottom w:val="single" w:sz="4" w:space="0" w:color="auto"/>
              <w:right w:val="single" w:sz="4" w:space="0" w:color="auto"/>
            </w:tcBorders>
            <w:noWrap/>
            <w:hideMark/>
          </w:tcPr>
          <w:p w14:paraId="2B1B6FF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6A39246"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497</w:t>
            </w:r>
          </w:p>
        </w:tc>
        <w:tc>
          <w:tcPr>
            <w:tcW w:w="881" w:type="dxa"/>
            <w:tcBorders>
              <w:top w:val="single" w:sz="4" w:space="0" w:color="auto"/>
              <w:left w:val="single" w:sz="4" w:space="0" w:color="auto"/>
              <w:bottom w:val="single" w:sz="4" w:space="0" w:color="auto"/>
              <w:right w:val="single" w:sz="4" w:space="0" w:color="auto"/>
            </w:tcBorders>
            <w:noWrap/>
            <w:hideMark/>
          </w:tcPr>
          <w:p w14:paraId="5C2F7A12"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392</w:t>
            </w:r>
          </w:p>
        </w:tc>
        <w:tc>
          <w:tcPr>
            <w:tcW w:w="880" w:type="dxa"/>
            <w:tcBorders>
              <w:top w:val="single" w:sz="4" w:space="0" w:color="auto"/>
              <w:left w:val="single" w:sz="4" w:space="0" w:color="auto"/>
              <w:bottom w:val="single" w:sz="4" w:space="0" w:color="auto"/>
              <w:right w:val="single" w:sz="4" w:space="0" w:color="auto"/>
            </w:tcBorders>
            <w:noWrap/>
            <w:hideMark/>
          </w:tcPr>
          <w:p w14:paraId="246ADAEF" w14:textId="77777777" w:rsidR="006270A2" w:rsidRPr="00011D13" w:rsidRDefault="006270A2" w:rsidP="00B83418">
            <w:pPr>
              <w:jc w:val="right"/>
              <w:rPr>
                <w:rFonts w:eastAsia="Times New Roman"/>
                <w14:ligatures w14:val="none"/>
              </w:rPr>
            </w:pPr>
            <w:r w:rsidRPr="00011D13">
              <w:rPr>
                <w:rFonts w:eastAsia="Times New Roman" w:cs="Arial"/>
                <w:color w:val="000000" w:themeColor="text1"/>
                <w:sz w:val="16"/>
                <w:szCs w:val="16"/>
                <w:lang w:eastAsia="en-AU"/>
                <w14:ligatures w14:val="none"/>
              </w:rPr>
              <w:t>1,583</w:t>
            </w:r>
          </w:p>
        </w:tc>
        <w:tc>
          <w:tcPr>
            <w:tcW w:w="880" w:type="dxa"/>
            <w:tcBorders>
              <w:top w:val="single" w:sz="4" w:space="0" w:color="auto"/>
              <w:left w:val="single" w:sz="4" w:space="0" w:color="auto"/>
              <w:bottom w:val="single" w:sz="4" w:space="0" w:color="auto"/>
              <w:right w:val="single" w:sz="4" w:space="0" w:color="auto"/>
            </w:tcBorders>
            <w:noWrap/>
            <w:hideMark/>
          </w:tcPr>
          <w:p w14:paraId="325DC6D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52A2BD10"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578</w:t>
            </w:r>
          </w:p>
        </w:tc>
        <w:tc>
          <w:tcPr>
            <w:tcW w:w="880" w:type="dxa"/>
            <w:tcBorders>
              <w:top w:val="single" w:sz="4" w:space="0" w:color="auto"/>
              <w:left w:val="single" w:sz="4" w:space="0" w:color="auto"/>
              <w:bottom w:val="single" w:sz="4" w:space="0" w:color="auto"/>
              <w:right w:val="single" w:sz="4" w:space="0" w:color="auto"/>
            </w:tcBorders>
            <w:noWrap/>
            <w:hideMark/>
          </w:tcPr>
          <w:p w14:paraId="483BF22B"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3EC62FEA"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54290B1C"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140</w:t>
            </w:r>
          </w:p>
        </w:tc>
        <w:tc>
          <w:tcPr>
            <w:tcW w:w="880" w:type="dxa"/>
            <w:tcBorders>
              <w:top w:val="single" w:sz="4" w:space="0" w:color="auto"/>
              <w:left w:val="single" w:sz="4" w:space="0" w:color="auto"/>
              <w:bottom w:val="single" w:sz="4" w:space="0" w:color="auto"/>
              <w:right w:val="single" w:sz="4" w:space="0" w:color="auto"/>
            </w:tcBorders>
            <w:noWrap/>
            <w:hideMark/>
          </w:tcPr>
          <w:p w14:paraId="459C089D"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1" w:type="dxa"/>
            <w:tcBorders>
              <w:top w:val="single" w:sz="4" w:space="0" w:color="auto"/>
              <w:left w:val="single" w:sz="4" w:space="0" w:color="auto"/>
              <w:bottom w:val="single" w:sz="4" w:space="0" w:color="auto"/>
              <w:right w:val="single" w:sz="4" w:space="0" w:color="auto"/>
            </w:tcBorders>
            <w:noWrap/>
            <w:hideMark/>
          </w:tcPr>
          <w:p w14:paraId="0E0347E7"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 </w:t>
            </w:r>
          </w:p>
        </w:tc>
        <w:tc>
          <w:tcPr>
            <w:tcW w:w="880" w:type="dxa"/>
            <w:tcBorders>
              <w:top w:val="single" w:sz="4" w:space="0" w:color="auto"/>
              <w:left w:val="single" w:sz="4" w:space="0" w:color="auto"/>
              <w:bottom w:val="single" w:sz="4" w:space="0" w:color="auto"/>
              <w:right w:val="single" w:sz="4" w:space="0" w:color="auto"/>
            </w:tcBorders>
            <w:noWrap/>
            <w:hideMark/>
          </w:tcPr>
          <w:p w14:paraId="2EEA2CBB"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220</w:t>
            </w:r>
          </w:p>
        </w:tc>
        <w:tc>
          <w:tcPr>
            <w:tcW w:w="881" w:type="dxa"/>
            <w:tcBorders>
              <w:top w:val="single" w:sz="4" w:space="0" w:color="auto"/>
              <w:left w:val="single" w:sz="4" w:space="0" w:color="auto"/>
              <w:bottom w:val="single" w:sz="4" w:space="0" w:color="auto"/>
              <w:right w:val="single" w:sz="4" w:space="0" w:color="auto"/>
            </w:tcBorders>
            <w:noWrap/>
            <w:hideMark/>
          </w:tcPr>
          <w:p w14:paraId="68C2C42B" w14:textId="77777777" w:rsidR="006270A2" w:rsidRPr="00011D13" w:rsidRDefault="006270A2" w:rsidP="00B83418">
            <w:pPr>
              <w:jc w:val="right"/>
              <w:rPr>
                <w:rFonts w:eastAsia="Times New Roman" w:cs="Arial"/>
                <w:color w:val="000000"/>
                <w:sz w:val="16"/>
                <w:szCs w:val="16"/>
                <w:lang w:eastAsia="en-AU"/>
                <w14:ligatures w14:val="none"/>
              </w:rPr>
            </w:pPr>
            <w:r w:rsidRPr="00011D13">
              <w:rPr>
                <w:rFonts w:eastAsia="Times New Roman" w:cs="Arial"/>
                <w:color w:val="000000"/>
                <w:sz w:val="16"/>
                <w:szCs w:val="16"/>
                <w:lang w:eastAsia="en-AU"/>
                <w14:ligatures w14:val="none"/>
              </w:rPr>
              <w:t>14,472</w:t>
            </w:r>
          </w:p>
        </w:tc>
      </w:tr>
    </w:tbl>
    <w:p w14:paraId="03E67FC9" w14:textId="77777777" w:rsidR="006270A2" w:rsidRPr="00011D13" w:rsidRDefault="006270A2" w:rsidP="006270A2">
      <w:pPr>
        <w:rPr>
          <w:rFonts w:eastAsia="Times"/>
        </w:rPr>
      </w:pPr>
      <w:r w:rsidRPr="00011D13">
        <w:rPr>
          <w:rFonts w:eastAsia="Times"/>
        </w:rPr>
        <w:lastRenderedPageBreak/>
        <w:t>Subregional and local</w:t>
      </w:r>
    </w:p>
    <w:tbl>
      <w:tblPr>
        <w:tblStyle w:val="TableGrid12"/>
        <w:tblW w:w="14743" w:type="dxa"/>
        <w:tblInd w:w="-147" w:type="dxa"/>
        <w:tblLayout w:type="fixed"/>
        <w:tblLook w:val="06A0" w:firstRow="1" w:lastRow="0" w:firstColumn="1" w:lastColumn="0" w:noHBand="1" w:noVBand="1"/>
      </w:tblPr>
      <w:tblGrid>
        <w:gridCol w:w="1560"/>
        <w:gridCol w:w="878"/>
        <w:gridCol w:w="879"/>
        <w:gridCol w:w="879"/>
        <w:gridCol w:w="879"/>
        <w:gridCol w:w="879"/>
        <w:gridCol w:w="879"/>
        <w:gridCol w:w="879"/>
        <w:gridCol w:w="878"/>
        <w:gridCol w:w="879"/>
        <w:gridCol w:w="879"/>
        <w:gridCol w:w="879"/>
        <w:gridCol w:w="879"/>
        <w:gridCol w:w="936"/>
        <w:gridCol w:w="822"/>
        <w:gridCol w:w="879"/>
      </w:tblGrid>
      <w:tr w:rsidR="006270A2" w:rsidRPr="00011D13" w14:paraId="4AF16AD3" w14:textId="77777777" w:rsidTr="00C01F23">
        <w:trPr>
          <w:cnfStyle w:val="100000000000" w:firstRow="1" w:lastRow="0" w:firstColumn="0" w:lastColumn="0" w:oddVBand="0" w:evenVBand="0" w:oddHBand="0" w:evenHBand="0" w:firstRowFirstColumn="0" w:firstRowLastColumn="0" w:lastRowFirstColumn="0" w:lastRowLastColumn="0"/>
          <w:cantSplit/>
          <w:trHeight w:val="841"/>
          <w:tblHeader/>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C0EDEE" w14:textId="77777777" w:rsidR="006270A2" w:rsidRPr="00011D13" w:rsidRDefault="006270A2">
            <w:pPr>
              <w:spacing w:before="80" w:after="60"/>
              <w:rPr>
                <w:rFonts w:eastAsia="Times New Roman" w:cs="Times New Roman"/>
                <w:color w:val="53565A"/>
                <w:sz w:val="16"/>
                <w:szCs w:val="16"/>
                <w:lang w:eastAsia="en-AU"/>
                <w14:ligatures w14:val="none"/>
              </w:rPr>
            </w:pPr>
            <w:r w:rsidRPr="00011D13">
              <w:rPr>
                <w:rFonts w:eastAsia="Times New Roman" w:cs="Times New Roman"/>
                <w:b/>
                <w:color w:val="53565A"/>
                <w:sz w:val="16"/>
                <w:szCs w:val="16"/>
                <w:lang w:eastAsia="en-AU"/>
                <w14:ligatures w14:val="none"/>
              </w:rPr>
              <w:t>Health service</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507487DF"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 xml:space="preserve">DTAU – activity </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218D49A2"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residential drug withdrawal</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444E9A9A"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residential rehabilitation</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168DDC1E"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Intake and assessment</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5B421A07"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Care and recovery coordination</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11ED620D"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counselling</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5AD74897"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Mobile overdose response service</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14:paraId="1008A7B8"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Non-residential withdrawal</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3716EFAC"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DTAU – Rural withdrawal</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05F56B4F"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Specialist Pharmacotherapy</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332276AA"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Specialist Pharmacotherapy Service</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4C2F1DBE" w14:textId="585C4C61"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Youth A&amp;D supported accommodation</w:t>
            </w: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694CE86" w14:textId="2997CA85"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 Youth A&amp;D supported accommodation rural</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14:paraId="55C3D5FA"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Episode of care –Youth Outreach</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14:paraId="54F4B5DB" w14:textId="77777777" w:rsidR="006270A2" w:rsidRPr="00011D13" w:rsidRDefault="006270A2" w:rsidP="00C01F23">
            <w:pPr>
              <w:spacing w:before="80" w:after="60"/>
              <w:jc w:val="right"/>
              <w:rPr>
                <w:rFonts w:eastAsia="Times New Roman" w:cs="Times New Roman"/>
                <w:b/>
                <w:color w:val="53565A"/>
                <w:sz w:val="16"/>
                <w:szCs w:val="16"/>
                <w:lang w:eastAsia="en-AU"/>
                <w14:ligatures w14:val="none"/>
              </w:rPr>
            </w:pPr>
            <w:r w:rsidRPr="00011D13">
              <w:rPr>
                <w:rFonts w:eastAsia="Times New Roman" w:cs="Times New Roman"/>
                <w:b/>
                <w:color w:val="53565A"/>
                <w:sz w:val="16"/>
                <w:szCs w:val="16"/>
                <w:lang w:eastAsia="en-AU"/>
                <w14:ligatures w14:val="none"/>
              </w:rPr>
              <w:t>Total</w:t>
            </w:r>
          </w:p>
        </w:tc>
      </w:tr>
      <w:tr w:rsidR="006270A2" w:rsidRPr="00011D13" w14:paraId="2737A226"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2A9BF972" w14:textId="77777777" w:rsidR="006270A2" w:rsidRPr="00C6255C" w:rsidRDefault="006270A2">
            <w:pPr>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Albury Wodonga Health</w:t>
            </w:r>
          </w:p>
        </w:tc>
        <w:tc>
          <w:tcPr>
            <w:tcW w:w="878" w:type="dxa"/>
            <w:tcBorders>
              <w:top w:val="single" w:sz="4" w:space="0" w:color="auto"/>
              <w:left w:val="single" w:sz="4" w:space="0" w:color="auto"/>
              <w:bottom w:val="single" w:sz="4" w:space="0" w:color="auto"/>
              <w:right w:val="single" w:sz="4" w:space="0" w:color="auto"/>
            </w:tcBorders>
            <w:noWrap/>
          </w:tcPr>
          <w:p w14:paraId="3CBD4742" w14:textId="77777777" w:rsidR="006270A2" w:rsidRPr="00011D13" w:rsidRDefault="006270A2">
            <w:pPr>
              <w:jc w:val="right"/>
              <w:rPr>
                <w:rFonts w:eastAsia="Times New Roman" w:cs="Arial"/>
                <w:color w:val="000000" w:themeColor="text1"/>
                <w:sz w:val="16"/>
                <w:szCs w:val="16"/>
                <w:highlight w:val="yellow"/>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4463755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238</w:t>
            </w:r>
          </w:p>
        </w:tc>
        <w:tc>
          <w:tcPr>
            <w:tcW w:w="879" w:type="dxa"/>
            <w:tcBorders>
              <w:top w:val="single" w:sz="4" w:space="0" w:color="auto"/>
              <w:left w:val="single" w:sz="4" w:space="0" w:color="auto"/>
              <w:bottom w:val="single" w:sz="4" w:space="0" w:color="auto"/>
              <w:right w:val="single" w:sz="4" w:space="0" w:color="auto"/>
            </w:tcBorders>
            <w:noWrap/>
          </w:tcPr>
          <w:p w14:paraId="36992D39"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2D68BA67"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25C3BAF7"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60E85C63"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4D2D26D1"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8" w:type="dxa"/>
            <w:tcBorders>
              <w:top w:val="single" w:sz="4" w:space="0" w:color="auto"/>
              <w:left w:val="single" w:sz="4" w:space="0" w:color="auto"/>
              <w:bottom w:val="single" w:sz="4" w:space="0" w:color="auto"/>
              <w:right w:val="single" w:sz="4" w:space="0" w:color="auto"/>
            </w:tcBorders>
            <w:noWrap/>
          </w:tcPr>
          <w:p w14:paraId="58370C7F"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52E7458B"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0D63C46F"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47738F1F"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374665F7"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936" w:type="dxa"/>
            <w:tcBorders>
              <w:top w:val="single" w:sz="4" w:space="0" w:color="auto"/>
              <w:left w:val="single" w:sz="4" w:space="0" w:color="auto"/>
              <w:bottom w:val="single" w:sz="4" w:space="0" w:color="auto"/>
              <w:right w:val="single" w:sz="4" w:space="0" w:color="auto"/>
            </w:tcBorders>
            <w:noWrap/>
          </w:tcPr>
          <w:p w14:paraId="22C27612"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22" w:type="dxa"/>
            <w:tcBorders>
              <w:top w:val="single" w:sz="4" w:space="0" w:color="auto"/>
              <w:left w:val="single" w:sz="4" w:space="0" w:color="auto"/>
              <w:bottom w:val="single" w:sz="4" w:space="0" w:color="auto"/>
              <w:right w:val="single" w:sz="4" w:space="0" w:color="auto"/>
            </w:tcBorders>
            <w:noWrap/>
          </w:tcPr>
          <w:p w14:paraId="19385301"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20D50543" w14:textId="77777777" w:rsidR="006270A2" w:rsidRPr="00C6255C" w:rsidRDefault="006270A2" w:rsidP="00B83418">
            <w:pPr>
              <w:jc w:val="right"/>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238</w:t>
            </w:r>
          </w:p>
        </w:tc>
      </w:tr>
      <w:tr w:rsidR="006270A2" w:rsidRPr="00011D13" w14:paraId="1C0F8CEB"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1C54583C" w14:textId="77777777" w:rsidR="006270A2" w:rsidRPr="00C6255C"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Bairnsdale Regional Health Service</w:t>
            </w:r>
          </w:p>
        </w:tc>
        <w:tc>
          <w:tcPr>
            <w:tcW w:w="878" w:type="dxa"/>
            <w:tcBorders>
              <w:top w:val="single" w:sz="4" w:space="0" w:color="auto"/>
              <w:left w:val="single" w:sz="4" w:space="0" w:color="auto"/>
              <w:bottom w:val="single" w:sz="4" w:space="0" w:color="auto"/>
              <w:right w:val="single" w:sz="4" w:space="0" w:color="auto"/>
            </w:tcBorders>
            <w:noWrap/>
            <w:hideMark/>
          </w:tcPr>
          <w:p w14:paraId="6AC9B3C3" w14:textId="77777777" w:rsidR="006270A2" w:rsidRPr="00011D13" w:rsidRDefault="006270A2">
            <w:pPr>
              <w:rPr>
                <w:rFonts w:eastAsia="Times New Roman" w:cs="Arial"/>
                <w:color w:val="000000" w:themeColor="text1"/>
                <w:sz w:val="16"/>
                <w:szCs w:val="16"/>
                <w:highlight w:val="yellow"/>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570221FF" w14:textId="77777777" w:rsidR="006270A2" w:rsidRPr="00011D13" w:rsidRDefault="006270A2" w:rsidP="00B83418">
            <w:pPr>
              <w:jc w:val="right"/>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xml:space="preserve"> 483</w:t>
            </w:r>
          </w:p>
        </w:tc>
        <w:tc>
          <w:tcPr>
            <w:tcW w:w="879" w:type="dxa"/>
            <w:tcBorders>
              <w:top w:val="single" w:sz="4" w:space="0" w:color="auto"/>
              <w:left w:val="single" w:sz="4" w:space="0" w:color="auto"/>
              <w:bottom w:val="single" w:sz="4" w:space="0" w:color="auto"/>
              <w:right w:val="single" w:sz="4" w:space="0" w:color="auto"/>
            </w:tcBorders>
            <w:noWrap/>
            <w:hideMark/>
          </w:tcPr>
          <w:p w14:paraId="07DF0BAE"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2CFD61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A55464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4764A1E"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9063472"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4E16C132"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9FE757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1ECB84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165A30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32B2DD5"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5A8A47BA"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05EE947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CC1A624" w14:textId="77777777" w:rsidR="006270A2" w:rsidRPr="00C6255C" w:rsidRDefault="006270A2" w:rsidP="00B83418">
            <w:pPr>
              <w:jc w:val="right"/>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483</w:t>
            </w:r>
          </w:p>
        </w:tc>
      </w:tr>
      <w:tr w:rsidR="006270A2" w:rsidRPr="00011D13" w14:paraId="0A6BADE4"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1B9DE50C"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Central Gippsland Health Service</w:t>
            </w:r>
          </w:p>
        </w:tc>
        <w:tc>
          <w:tcPr>
            <w:tcW w:w="878" w:type="dxa"/>
            <w:tcBorders>
              <w:top w:val="single" w:sz="4" w:space="0" w:color="auto"/>
              <w:left w:val="single" w:sz="4" w:space="0" w:color="auto"/>
              <w:bottom w:val="single" w:sz="4" w:space="0" w:color="auto"/>
              <w:right w:val="single" w:sz="4" w:space="0" w:color="auto"/>
            </w:tcBorders>
            <w:noWrap/>
            <w:hideMark/>
          </w:tcPr>
          <w:p w14:paraId="1368B063" w14:textId="77777777" w:rsidR="006270A2" w:rsidRPr="00011D13" w:rsidRDefault="006270A2">
            <w:pPr>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32439431" w14:textId="77777777" w:rsidR="006270A2" w:rsidRPr="00011D13" w:rsidRDefault="006270A2" w:rsidP="00B83418">
            <w:pPr>
              <w:jc w:val="right"/>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476</w:t>
            </w:r>
          </w:p>
        </w:tc>
        <w:tc>
          <w:tcPr>
            <w:tcW w:w="879" w:type="dxa"/>
            <w:tcBorders>
              <w:top w:val="single" w:sz="4" w:space="0" w:color="auto"/>
              <w:left w:val="single" w:sz="4" w:space="0" w:color="auto"/>
              <w:bottom w:val="single" w:sz="4" w:space="0" w:color="auto"/>
              <w:right w:val="single" w:sz="4" w:space="0" w:color="auto"/>
            </w:tcBorders>
            <w:noWrap/>
            <w:hideMark/>
          </w:tcPr>
          <w:p w14:paraId="6598E78D"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5F7FE90"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5EDBB3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C3341B0"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56BAC3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2EBAAB6C"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A4F283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9C6F250"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04ADE9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3497C6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053559F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6AC8886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A25E26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476</w:t>
            </w:r>
          </w:p>
        </w:tc>
      </w:tr>
      <w:tr w:rsidR="006270A2" w:rsidRPr="00011D13" w14:paraId="50A0336E"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5FFAABD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Colac Area Health</w:t>
            </w:r>
          </w:p>
        </w:tc>
        <w:tc>
          <w:tcPr>
            <w:tcW w:w="878" w:type="dxa"/>
            <w:tcBorders>
              <w:top w:val="single" w:sz="4" w:space="0" w:color="auto"/>
              <w:left w:val="single" w:sz="4" w:space="0" w:color="auto"/>
              <w:bottom w:val="single" w:sz="4" w:space="0" w:color="auto"/>
              <w:right w:val="single" w:sz="4" w:space="0" w:color="auto"/>
            </w:tcBorders>
            <w:noWrap/>
            <w:hideMark/>
          </w:tcPr>
          <w:p w14:paraId="2E9F30CC"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C1FC5D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9F5D11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6639FEC"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6FAF387"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45D773C"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0B3EF9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71FA856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2DCF10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11751F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6B041F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2DF0395"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0099521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w:t>
            </w:r>
          </w:p>
        </w:tc>
        <w:tc>
          <w:tcPr>
            <w:tcW w:w="822" w:type="dxa"/>
            <w:tcBorders>
              <w:top w:val="single" w:sz="4" w:space="0" w:color="auto"/>
              <w:left w:val="single" w:sz="4" w:space="0" w:color="auto"/>
              <w:bottom w:val="single" w:sz="4" w:space="0" w:color="auto"/>
              <w:right w:val="single" w:sz="4" w:space="0" w:color="auto"/>
            </w:tcBorders>
            <w:noWrap/>
            <w:hideMark/>
          </w:tcPr>
          <w:p w14:paraId="14EEB92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5412E7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w:t>
            </w:r>
          </w:p>
        </w:tc>
      </w:tr>
      <w:tr w:rsidR="006270A2" w:rsidRPr="00011D13" w14:paraId="5CF764F3"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2CE1DAE4"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Gippsland Southern Health Service</w:t>
            </w:r>
          </w:p>
        </w:tc>
        <w:tc>
          <w:tcPr>
            <w:tcW w:w="878" w:type="dxa"/>
            <w:tcBorders>
              <w:top w:val="single" w:sz="4" w:space="0" w:color="auto"/>
              <w:left w:val="single" w:sz="4" w:space="0" w:color="auto"/>
              <w:bottom w:val="single" w:sz="4" w:space="0" w:color="auto"/>
              <w:right w:val="single" w:sz="4" w:space="0" w:color="auto"/>
            </w:tcBorders>
            <w:noWrap/>
            <w:hideMark/>
          </w:tcPr>
          <w:p w14:paraId="6F972967" w14:textId="77777777" w:rsidR="006270A2" w:rsidRPr="00011D13" w:rsidRDefault="006270A2">
            <w:pPr>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151C46B0" w14:textId="77777777" w:rsidR="006270A2" w:rsidRPr="00011D13" w:rsidRDefault="006270A2" w:rsidP="00B83418">
            <w:pPr>
              <w:jc w:val="right"/>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238</w:t>
            </w:r>
          </w:p>
        </w:tc>
        <w:tc>
          <w:tcPr>
            <w:tcW w:w="879" w:type="dxa"/>
            <w:tcBorders>
              <w:top w:val="single" w:sz="4" w:space="0" w:color="auto"/>
              <w:left w:val="single" w:sz="4" w:space="0" w:color="auto"/>
              <w:bottom w:val="single" w:sz="4" w:space="0" w:color="auto"/>
              <w:right w:val="single" w:sz="4" w:space="0" w:color="auto"/>
            </w:tcBorders>
            <w:noWrap/>
            <w:hideMark/>
          </w:tcPr>
          <w:p w14:paraId="78D0818F"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20750EB"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DB83EE2"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0513327"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6242AD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348C8BD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EDD9C1D"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6BAB250"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357A69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49ECE8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0B665C4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70EDCE1A"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E08A6E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238</w:t>
            </w:r>
          </w:p>
        </w:tc>
      </w:tr>
      <w:tr w:rsidR="006270A2" w:rsidRPr="00011D13" w14:paraId="43F5FEF0"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19E89C51"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Mildura Base Public Hospital</w:t>
            </w:r>
          </w:p>
        </w:tc>
        <w:tc>
          <w:tcPr>
            <w:tcW w:w="878" w:type="dxa"/>
            <w:tcBorders>
              <w:top w:val="single" w:sz="4" w:space="0" w:color="auto"/>
              <w:left w:val="single" w:sz="4" w:space="0" w:color="auto"/>
              <w:bottom w:val="single" w:sz="4" w:space="0" w:color="auto"/>
              <w:right w:val="single" w:sz="4" w:space="0" w:color="auto"/>
            </w:tcBorders>
            <w:noWrap/>
            <w:hideMark/>
          </w:tcPr>
          <w:p w14:paraId="0BC18155" w14:textId="77777777" w:rsidR="006270A2" w:rsidRPr="00011D13" w:rsidRDefault="006270A2">
            <w:pPr>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198B4C4F" w14:textId="77777777" w:rsidR="006270A2" w:rsidRPr="00011D13" w:rsidRDefault="006270A2" w:rsidP="00B83418">
            <w:pPr>
              <w:jc w:val="right"/>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308</w:t>
            </w:r>
          </w:p>
        </w:tc>
        <w:tc>
          <w:tcPr>
            <w:tcW w:w="879" w:type="dxa"/>
            <w:tcBorders>
              <w:top w:val="single" w:sz="4" w:space="0" w:color="auto"/>
              <w:left w:val="single" w:sz="4" w:space="0" w:color="auto"/>
              <w:bottom w:val="single" w:sz="4" w:space="0" w:color="auto"/>
              <w:right w:val="single" w:sz="4" w:space="0" w:color="auto"/>
            </w:tcBorders>
            <w:noWrap/>
            <w:hideMark/>
          </w:tcPr>
          <w:p w14:paraId="0FFB2F8B"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25BADDB"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229738B"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B424BD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963BD9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526C1AF6"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8534243"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D21D0B1"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254FF3AA"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74380AD"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43AC1E00"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3D07C5D5"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E3D626E"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308</w:t>
            </w:r>
          </w:p>
        </w:tc>
      </w:tr>
      <w:tr w:rsidR="006270A2" w:rsidRPr="00011D13" w14:paraId="79658DD6" w14:textId="77777777" w:rsidTr="00C01F23">
        <w:trPr>
          <w:trHeight w:val="245"/>
        </w:trPr>
        <w:tc>
          <w:tcPr>
            <w:tcW w:w="1560" w:type="dxa"/>
            <w:tcBorders>
              <w:top w:val="single" w:sz="4" w:space="0" w:color="auto"/>
              <w:left w:val="single" w:sz="4" w:space="0" w:color="auto"/>
              <w:bottom w:val="single" w:sz="4" w:space="0" w:color="auto"/>
              <w:right w:val="single" w:sz="4" w:space="0" w:color="auto"/>
            </w:tcBorders>
            <w:hideMark/>
          </w:tcPr>
          <w:p w14:paraId="4F420318" w14:textId="77777777" w:rsidR="006270A2" w:rsidRPr="00C6255C" w:rsidRDefault="006270A2">
            <w:pPr>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Northeast Health Wangaratta</w:t>
            </w:r>
          </w:p>
        </w:tc>
        <w:tc>
          <w:tcPr>
            <w:tcW w:w="878" w:type="dxa"/>
            <w:tcBorders>
              <w:top w:val="single" w:sz="4" w:space="0" w:color="auto"/>
              <w:left w:val="single" w:sz="4" w:space="0" w:color="auto"/>
              <w:bottom w:val="single" w:sz="4" w:space="0" w:color="auto"/>
              <w:right w:val="single" w:sz="4" w:space="0" w:color="auto"/>
            </w:tcBorders>
            <w:noWrap/>
          </w:tcPr>
          <w:p w14:paraId="327D9B9E" w14:textId="77777777" w:rsidR="006270A2" w:rsidRPr="00011D13" w:rsidRDefault="006270A2">
            <w:pPr>
              <w:rPr>
                <w:rFonts w:eastAsia="Times New Roman" w:cs="Arial"/>
                <w:color w:val="000000" w:themeColor="text1"/>
                <w:sz w:val="16"/>
                <w:szCs w:val="16"/>
                <w:highlight w:val="yellow"/>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17C7C575" w14:textId="77777777" w:rsidR="006270A2" w:rsidRPr="00C6255C" w:rsidRDefault="006270A2" w:rsidP="00B83418">
            <w:pPr>
              <w:jc w:val="right"/>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238</w:t>
            </w:r>
          </w:p>
        </w:tc>
        <w:tc>
          <w:tcPr>
            <w:tcW w:w="879" w:type="dxa"/>
            <w:tcBorders>
              <w:top w:val="single" w:sz="4" w:space="0" w:color="auto"/>
              <w:left w:val="single" w:sz="4" w:space="0" w:color="auto"/>
              <w:bottom w:val="single" w:sz="4" w:space="0" w:color="auto"/>
              <w:right w:val="single" w:sz="4" w:space="0" w:color="auto"/>
            </w:tcBorders>
            <w:noWrap/>
          </w:tcPr>
          <w:p w14:paraId="65EED0CD"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15CD2443"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79F4E55E"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43104ED8"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63AD8C82"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8" w:type="dxa"/>
            <w:tcBorders>
              <w:top w:val="single" w:sz="4" w:space="0" w:color="auto"/>
              <w:left w:val="single" w:sz="4" w:space="0" w:color="auto"/>
              <w:bottom w:val="single" w:sz="4" w:space="0" w:color="auto"/>
              <w:right w:val="single" w:sz="4" w:space="0" w:color="auto"/>
            </w:tcBorders>
            <w:noWrap/>
          </w:tcPr>
          <w:p w14:paraId="13F4417A"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1C80AE87"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0FB43648"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0F931557"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18A67264"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936" w:type="dxa"/>
            <w:tcBorders>
              <w:top w:val="single" w:sz="4" w:space="0" w:color="auto"/>
              <w:left w:val="single" w:sz="4" w:space="0" w:color="auto"/>
              <w:bottom w:val="single" w:sz="4" w:space="0" w:color="auto"/>
              <w:right w:val="single" w:sz="4" w:space="0" w:color="auto"/>
            </w:tcBorders>
            <w:noWrap/>
          </w:tcPr>
          <w:p w14:paraId="447F1A41" w14:textId="77777777" w:rsidR="006270A2" w:rsidRPr="00011D13" w:rsidRDefault="006270A2" w:rsidP="00B83418">
            <w:pPr>
              <w:jc w:val="right"/>
              <w:rPr>
                <w:rFonts w:eastAsia="Times New Roman" w:cs="Arial"/>
                <w:color w:val="000000" w:themeColor="text1"/>
                <w:sz w:val="16"/>
                <w:szCs w:val="16"/>
                <w:highlight w:val="yellow"/>
                <w:lang w:eastAsia="en-AU"/>
                <w14:ligatures w14:val="none"/>
              </w:rPr>
            </w:pPr>
          </w:p>
        </w:tc>
        <w:tc>
          <w:tcPr>
            <w:tcW w:w="822" w:type="dxa"/>
            <w:tcBorders>
              <w:top w:val="single" w:sz="4" w:space="0" w:color="auto"/>
              <w:left w:val="single" w:sz="4" w:space="0" w:color="auto"/>
              <w:bottom w:val="single" w:sz="4" w:space="0" w:color="auto"/>
              <w:right w:val="single" w:sz="4" w:space="0" w:color="auto"/>
            </w:tcBorders>
            <w:noWrap/>
          </w:tcPr>
          <w:p w14:paraId="5B1F04BB" w14:textId="77777777" w:rsidR="006270A2" w:rsidRPr="00011D13" w:rsidRDefault="006270A2" w:rsidP="00B83418">
            <w:pPr>
              <w:jc w:val="right"/>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tcPr>
          <w:p w14:paraId="500560F6" w14:textId="77777777" w:rsidR="006270A2" w:rsidRPr="00C6255C" w:rsidRDefault="006270A2" w:rsidP="00B83418">
            <w:pPr>
              <w:jc w:val="right"/>
              <w:rPr>
                <w:rFonts w:eastAsia="Times New Roman" w:cs="Arial"/>
                <w:color w:val="000000" w:themeColor="text1"/>
                <w:sz w:val="16"/>
                <w:szCs w:val="16"/>
                <w:lang w:eastAsia="en-AU"/>
                <w14:ligatures w14:val="none"/>
              </w:rPr>
            </w:pPr>
            <w:r w:rsidRPr="00C6255C">
              <w:rPr>
                <w:rFonts w:eastAsia="Times New Roman" w:cs="Arial"/>
                <w:color w:val="000000" w:themeColor="text1"/>
                <w:sz w:val="16"/>
                <w:szCs w:val="16"/>
                <w:lang w:eastAsia="en-AU"/>
                <w14:ligatures w14:val="none"/>
              </w:rPr>
              <w:t>238</w:t>
            </w:r>
          </w:p>
        </w:tc>
      </w:tr>
      <w:tr w:rsidR="006270A2" w:rsidRPr="00011D13" w14:paraId="7C7FBB10"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47FF4E1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Portland District Health</w:t>
            </w:r>
          </w:p>
        </w:tc>
        <w:tc>
          <w:tcPr>
            <w:tcW w:w="878" w:type="dxa"/>
            <w:tcBorders>
              <w:top w:val="single" w:sz="4" w:space="0" w:color="auto"/>
              <w:left w:val="single" w:sz="4" w:space="0" w:color="auto"/>
              <w:bottom w:val="single" w:sz="4" w:space="0" w:color="auto"/>
              <w:right w:val="single" w:sz="4" w:space="0" w:color="auto"/>
            </w:tcBorders>
            <w:noWrap/>
            <w:hideMark/>
          </w:tcPr>
          <w:p w14:paraId="2863B23B"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3B94E2A"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6F854BC"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FD781F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9A1E07C"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22DC345"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0A9202F"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4344770D"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4980E9B"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87524D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112AEA8"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4C35479"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648C7FF2"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w:t>
            </w:r>
          </w:p>
        </w:tc>
        <w:tc>
          <w:tcPr>
            <w:tcW w:w="822" w:type="dxa"/>
            <w:tcBorders>
              <w:top w:val="single" w:sz="4" w:space="0" w:color="auto"/>
              <w:left w:val="single" w:sz="4" w:space="0" w:color="auto"/>
              <w:bottom w:val="single" w:sz="4" w:space="0" w:color="auto"/>
              <w:right w:val="single" w:sz="4" w:space="0" w:color="auto"/>
            </w:tcBorders>
            <w:noWrap/>
            <w:hideMark/>
          </w:tcPr>
          <w:p w14:paraId="7D154685"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43F53D4" w14:textId="77777777" w:rsidR="006270A2" w:rsidRPr="00011D13" w:rsidRDefault="006270A2" w:rsidP="00B83418">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w:t>
            </w:r>
          </w:p>
        </w:tc>
      </w:tr>
      <w:tr w:rsidR="006270A2" w:rsidRPr="00011D13" w14:paraId="1ED73B6A"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4B3846DA"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Ramsay Health Care Australia PTY LTD</w:t>
            </w:r>
          </w:p>
        </w:tc>
        <w:tc>
          <w:tcPr>
            <w:tcW w:w="878" w:type="dxa"/>
            <w:tcBorders>
              <w:top w:val="single" w:sz="4" w:space="0" w:color="auto"/>
              <w:left w:val="single" w:sz="4" w:space="0" w:color="auto"/>
              <w:bottom w:val="single" w:sz="4" w:space="0" w:color="auto"/>
              <w:right w:val="single" w:sz="4" w:space="0" w:color="auto"/>
            </w:tcBorders>
            <w:noWrap/>
            <w:hideMark/>
          </w:tcPr>
          <w:p w14:paraId="490304B8" w14:textId="77777777" w:rsidR="006270A2" w:rsidRPr="00011D13" w:rsidRDefault="006270A2">
            <w:pPr>
              <w:rPr>
                <w:rFonts w:eastAsia="Times New Roman" w:cs="Arial"/>
                <w:color w:val="000000" w:themeColor="text1"/>
                <w:sz w:val="16"/>
                <w:szCs w:val="16"/>
                <w:lang w:eastAsia="en-AU"/>
                <w14:ligatures w14:val="none"/>
              </w:rPr>
            </w:pPr>
          </w:p>
        </w:tc>
        <w:tc>
          <w:tcPr>
            <w:tcW w:w="879" w:type="dxa"/>
            <w:tcBorders>
              <w:top w:val="single" w:sz="4" w:space="0" w:color="auto"/>
              <w:left w:val="single" w:sz="4" w:space="0" w:color="auto"/>
              <w:bottom w:val="single" w:sz="4" w:space="0" w:color="auto"/>
              <w:right w:val="single" w:sz="4" w:space="0" w:color="auto"/>
            </w:tcBorders>
            <w:noWrap/>
            <w:hideMark/>
          </w:tcPr>
          <w:p w14:paraId="13D8D36C" w14:textId="77777777" w:rsidR="006270A2" w:rsidRPr="00011D13" w:rsidRDefault="006270A2">
            <w:pPr>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033A224"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7DFF2A1"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56BE321"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6F54CA4"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B8A1FC0"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1CF0B902"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9F6344D"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5415F1D"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7EAC004"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3D52330"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72B391B8"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6DEA4344"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4F23789F" w14:textId="77777777" w:rsidR="006270A2" w:rsidRPr="00011D13" w:rsidRDefault="006270A2">
            <w:pPr>
              <w:rPr>
                <w:rFonts w:eastAsia="Times New Roman" w:cs="Arial"/>
                <w:color w:val="000000" w:themeColor="text1"/>
                <w:sz w:val="16"/>
                <w:szCs w:val="16"/>
                <w:lang w:eastAsia="en-AU"/>
                <w14:ligatures w14:val="none"/>
              </w:rPr>
            </w:pPr>
          </w:p>
        </w:tc>
      </w:tr>
      <w:tr w:rsidR="006270A2" w:rsidRPr="00011D13" w14:paraId="02D34AC0" w14:textId="77777777" w:rsidTr="00C01F23">
        <w:trPr>
          <w:trHeight w:val="311"/>
        </w:trPr>
        <w:tc>
          <w:tcPr>
            <w:tcW w:w="1560" w:type="dxa"/>
            <w:tcBorders>
              <w:top w:val="single" w:sz="4" w:space="0" w:color="auto"/>
              <w:left w:val="single" w:sz="4" w:space="0" w:color="auto"/>
              <w:bottom w:val="single" w:sz="4" w:space="0" w:color="auto"/>
              <w:right w:val="single" w:sz="4" w:space="0" w:color="auto"/>
            </w:tcBorders>
            <w:hideMark/>
          </w:tcPr>
          <w:p w14:paraId="420F0835" w14:textId="77777777" w:rsidR="006270A2" w:rsidRPr="00011D13" w:rsidRDefault="006270A2">
            <w:pPr>
              <w:rPr>
                <w:rFonts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lastRenderedPageBreak/>
              <w:t>South West Healthcare</w:t>
            </w:r>
          </w:p>
        </w:tc>
        <w:tc>
          <w:tcPr>
            <w:tcW w:w="878" w:type="dxa"/>
            <w:tcBorders>
              <w:top w:val="single" w:sz="4" w:space="0" w:color="auto"/>
              <w:left w:val="single" w:sz="4" w:space="0" w:color="auto"/>
              <w:bottom w:val="single" w:sz="4" w:space="0" w:color="auto"/>
              <w:right w:val="single" w:sz="4" w:space="0" w:color="auto"/>
            </w:tcBorders>
            <w:noWrap/>
            <w:hideMark/>
          </w:tcPr>
          <w:p w14:paraId="55BAA3A8"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4254C0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5E2AD3D"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741CF15F"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564BF2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5505F589"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60A975B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8" w:type="dxa"/>
            <w:tcBorders>
              <w:top w:val="single" w:sz="4" w:space="0" w:color="auto"/>
              <w:left w:val="single" w:sz="4" w:space="0" w:color="auto"/>
              <w:bottom w:val="single" w:sz="4" w:space="0" w:color="auto"/>
              <w:right w:val="single" w:sz="4" w:space="0" w:color="auto"/>
            </w:tcBorders>
            <w:noWrap/>
            <w:hideMark/>
          </w:tcPr>
          <w:p w14:paraId="6015CB5D"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3F279F7A" w14:textId="77777777" w:rsidR="006270A2" w:rsidRPr="00011D13" w:rsidRDefault="006270A2">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120</w:t>
            </w:r>
          </w:p>
        </w:tc>
        <w:tc>
          <w:tcPr>
            <w:tcW w:w="879" w:type="dxa"/>
            <w:tcBorders>
              <w:top w:val="single" w:sz="4" w:space="0" w:color="auto"/>
              <w:left w:val="single" w:sz="4" w:space="0" w:color="auto"/>
              <w:bottom w:val="single" w:sz="4" w:space="0" w:color="auto"/>
              <w:right w:val="single" w:sz="4" w:space="0" w:color="auto"/>
            </w:tcBorders>
            <w:noWrap/>
            <w:hideMark/>
          </w:tcPr>
          <w:p w14:paraId="6E1DEC5A"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0D011B28" w14:textId="77777777" w:rsidR="006270A2" w:rsidRPr="00011D13" w:rsidRDefault="006270A2">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12</w:t>
            </w:r>
          </w:p>
        </w:tc>
        <w:tc>
          <w:tcPr>
            <w:tcW w:w="879" w:type="dxa"/>
            <w:tcBorders>
              <w:top w:val="single" w:sz="4" w:space="0" w:color="auto"/>
              <w:left w:val="single" w:sz="4" w:space="0" w:color="auto"/>
              <w:bottom w:val="single" w:sz="4" w:space="0" w:color="auto"/>
              <w:right w:val="single" w:sz="4" w:space="0" w:color="auto"/>
            </w:tcBorders>
            <w:noWrap/>
            <w:hideMark/>
          </w:tcPr>
          <w:p w14:paraId="7E7B74B7"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936" w:type="dxa"/>
            <w:tcBorders>
              <w:top w:val="single" w:sz="4" w:space="0" w:color="auto"/>
              <w:left w:val="single" w:sz="4" w:space="0" w:color="auto"/>
              <w:bottom w:val="single" w:sz="4" w:space="0" w:color="auto"/>
              <w:right w:val="single" w:sz="4" w:space="0" w:color="auto"/>
            </w:tcBorders>
            <w:noWrap/>
            <w:hideMark/>
          </w:tcPr>
          <w:p w14:paraId="6139909B"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22" w:type="dxa"/>
            <w:tcBorders>
              <w:top w:val="single" w:sz="4" w:space="0" w:color="auto"/>
              <w:left w:val="single" w:sz="4" w:space="0" w:color="auto"/>
              <w:bottom w:val="single" w:sz="4" w:space="0" w:color="auto"/>
              <w:right w:val="single" w:sz="4" w:space="0" w:color="auto"/>
            </w:tcBorders>
            <w:noWrap/>
            <w:hideMark/>
          </w:tcPr>
          <w:p w14:paraId="786D7B86" w14:textId="77777777" w:rsidR="006270A2" w:rsidRPr="00011D13" w:rsidRDefault="006270A2">
            <w:pPr>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 </w:t>
            </w:r>
          </w:p>
        </w:tc>
        <w:tc>
          <w:tcPr>
            <w:tcW w:w="879" w:type="dxa"/>
            <w:tcBorders>
              <w:top w:val="single" w:sz="4" w:space="0" w:color="auto"/>
              <w:left w:val="single" w:sz="4" w:space="0" w:color="auto"/>
              <w:bottom w:val="single" w:sz="4" w:space="0" w:color="auto"/>
              <w:right w:val="single" w:sz="4" w:space="0" w:color="auto"/>
            </w:tcBorders>
            <w:noWrap/>
            <w:hideMark/>
          </w:tcPr>
          <w:p w14:paraId="1B28AF21" w14:textId="77777777" w:rsidR="006270A2" w:rsidRPr="00011D13" w:rsidRDefault="006270A2">
            <w:pPr>
              <w:jc w:val="right"/>
              <w:rPr>
                <w:rFonts w:eastAsia="Times New Roman" w:cs="Arial"/>
                <w:color w:val="000000" w:themeColor="text1"/>
                <w:sz w:val="16"/>
                <w:szCs w:val="16"/>
                <w:lang w:eastAsia="en-AU"/>
                <w14:ligatures w14:val="none"/>
              </w:rPr>
            </w:pPr>
            <w:r w:rsidRPr="00011D13">
              <w:rPr>
                <w:rFonts w:eastAsia="Times New Roman" w:cs="Arial"/>
                <w:color w:val="000000" w:themeColor="text1"/>
                <w:sz w:val="16"/>
                <w:szCs w:val="16"/>
                <w:lang w:eastAsia="en-AU"/>
                <w14:ligatures w14:val="none"/>
              </w:rPr>
              <w:t>132</w:t>
            </w:r>
          </w:p>
        </w:tc>
      </w:tr>
    </w:tbl>
    <w:p w14:paraId="7EE75F58" w14:textId="77777777" w:rsidR="006270A2" w:rsidRPr="00011D13" w:rsidRDefault="006270A2" w:rsidP="006270A2">
      <w:pPr>
        <w:rPr>
          <w:rFonts w:eastAsia="Times"/>
        </w:rPr>
      </w:pPr>
    </w:p>
    <w:p w14:paraId="0D41AAA3" w14:textId="77777777" w:rsidR="006270A2" w:rsidRPr="00011D13" w:rsidRDefault="006270A2" w:rsidP="006270A2">
      <w:pPr>
        <w:rPr>
          <w:rFonts w:eastAsia="Times"/>
        </w:rPr>
      </w:pPr>
      <w:r w:rsidRPr="00011D13">
        <w:rPr>
          <w:rFonts w:eastAsia="Times"/>
        </w:rPr>
        <w:t>Combined total</w:t>
      </w:r>
    </w:p>
    <w:tbl>
      <w:tblPr>
        <w:tblW w:w="14743" w:type="dxa"/>
        <w:tblInd w:w="-147" w:type="dxa"/>
        <w:tblLayout w:type="fixed"/>
        <w:tblLook w:val="04A0" w:firstRow="1" w:lastRow="0" w:firstColumn="1" w:lastColumn="0" w:noHBand="0" w:noVBand="1"/>
      </w:tblPr>
      <w:tblGrid>
        <w:gridCol w:w="1560"/>
        <w:gridCol w:w="878"/>
        <w:gridCol w:w="879"/>
        <w:gridCol w:w="879"/>
        <w:gridCol w:w="879"/>
        <w:gridCol w:w="879"/>
        <w:gridCol w:w="879"/>
        <w:gridCol w:w="879"/>
        <w:gridCol w:w="878"/>
        <w:gridCol w:w="879"/>
        <w:gridCol w:w="879"/>
        <w:gridCol w:w="879"/>
        <w:gridCol w:w="879"/>
        <w:gridCol w:w="879"/>
        <w:gridCol w:w="879"/>
        <w:gridCol w:w="879"/>
      </w:tblGrid>
      <w:tr w:rsidR="006270A2" w:rsidRPr="00011D13" w14:paraId="6D734F0E" w14:textId="77777777" w:rsidTr="00C01F23">
        <w:trPr>
          <w:trHeight w:val="992"/>
        </w:trPr>
        <w:tc>
          <w:tcPr>
            <w:tcW w:w="1560" w:type="dxa"/>
            <w:tcBorders>
              <w:top w:val="single" w:sz="4" w:space="0" w:color="auto"/>
              <w:left w:val="single" w:sz="4" w:space="0" w:color="auto"/>
              <w:bottom w:val="single" w:sz="4" w:space="0" w:color="auto"/>
              <w:right w:val="single" w:sz="4" w:space="0" w:color="auto"/>
            </w:tcBorders>
            <w:hideMark/>
          </w:tcPr>
          <w:p w14:paraId="2B3BD667" w14:textId="77777777" w:rsidR="006270A2" w:rsidRPr="00011D13" w:rsidRDefault="006270A2">
            <w:pPr>
              <w:spacing w:before="80" w:after="60" w:line="240" w:lineRule="auto"/>
              <w:rPr>
                <w:color w:val="53565A"/>
                <w:sz w:val="16"/>
                <w:szCs w:val="16"/>
              </w:rPr>
            </w:pPr>
            <w:r w:rsidRPr="00011D13">
              <w:rPr>
                <w:b/>
                <w:color w:val="53565A"/>
                <w:sz w:val="16"/>
                <w:szCs w:val="16"/>
              </w:rPr>
              <w:t>Health service</w:t>
            </w:r>
          </w:p>
        </w:tc>
        <w:tc>
          <w:tcPr>
            <w:tcW w:w="878" w:type="dxa"/>
            <w:tcBorders>
              <w:top w:val="single" w:sz="4" w:space="0" w:color="auto"/>
              <w:left w:val="nil"/>
              <w:bottom w:val="single" w:sz="4" w:space="0" w:color="auto"/>
              <w:right w:val="single" w:sz="4" w:space="0" w:color="auto"/>
            </w:tcBorders>
            <w:hideMark/>
          </w:tcPr>
          <w:p w14:paraId="319D072F" w14:textId="77777777" w:rsidR="006270A2" w:rsidRPr="00011D13" w:rsidRDefault="006270A2">
            <w:pPr>
              <w:spacing w:before="80" w:after="60" w:line="240" w:lineRule="auto"/>
              <w:jc w:val="right"/>
              <w:rPr>
                <w:color w:val="53565A"/>
                <w:sz w:val="16"/>
                <w:szCs w:val="16"/>
              </w:rPr>
            </w:pPr>
            <w:r w:rsidRPr="00011D13">
              <w:rPr>
                <w:b/>
                <w:color w:val="53565A"/>
                <w:sz w:val="16"/>
                <w:szCs w:val="16"/>
              </w:rPr>
              <w:t xml:space="preserve">DTAU – activity </w:t>
            </w:r>
          </w:p>
        </w:tc>
        <w:tc>
          <w:tcPr>
            <w:tcW w:w="879" w:type="dxa"/>
            <w:tcBorders>
              <w:top w:val="single" w:sz="4" w:space="0" w:color="auto"/>
              <w:left w:val="nil"/>
              <w:bottom w:val="single" w:sz="4" w:space="0" w:color="auto"/>
              <w:right w:val="single" w:sz="4" w:space="0" w:color="auto"/>
            </w:tcBorders>
            <w:hideMark/>
          </w:tcPr>
          <w:p w14:paraId="702960C6"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residential drug withdrawal</w:t>
            </w:r>
          </w:p>
        </w:tc>
        <w:tc>
          <w:tcPr>
            <w:tcW w:w="879" w:type="dxa"/>
            <w:tcBorders>
              <w:top w:val="single" w:sz="4" w:space="0" w:color="auto"/>
              <w:left w:val="nil"/>
              <w:bottom w:val="single" w:sz="4" w:space="0" w:color="auto"/>
              <w:right w:val="single" w:sz="4" w:space="0" w:color="auto"/>
            </w:tcBorders>
            <w:hideMark/>
          </w:tcPr>
          <w:p w14:paraId="7E728FCD"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residential rehabilitation</w:t>
            </w:r>
          </w:p>
        </w:tc>
        <w:tc>
          <w:tcPr>
            <w:tcW w:w="879" w:type="dxa"/>
            <w:tcBorders>
              <w:top w:val="single" w:sz="4" w:space="0" w:color="auto"/>
              <w:left w:val="nil"/>
              <w:bottom w:val="single" w:sz="4" w:space="0" w:color="auto"/>
              <w:right w:val="single" w:sz="4" w:space="0" w:color="auto"/>
            </w:tcBorders>
            <w:hideMark/>
          </w:tcPr>
          <w:p w14:paraId="0C039FB1"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Intake and assessment</w:t>
            </w:r>
          </w:p>
        </w:tc>
        <w:tc>
          <w:tcPr>
            <w:tcW w:w="879" w:type="dxa"/>
            <w:tcBorders>
              <w:top w:val="single" w:sz="4" w:space="0" w:color="auto"/>
              <w:left w:val="nil"/>
              <w:bottom w:val="single" w:sz="4" w:space="0" w:color="auto"/>
              <w:right w:val="single" w:sz="4" w:space="0" w:color="auto"/>
            </w:tcBorders>
            <w:hideMark/>
          </w:tcPr>
          <w:p w14:paraId="0211F24A"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Care and recovery coordination</w:t>
            </w:r>
          </w:p>
        </w:tc>
        <w:tc>
          <w:tcPr>
            <w:tcW w:w="879" w:type="dxa"/>
            <w:tcBorders>
              <w:top w:val="single" w:sz="4" w:space="0" w:color="auto"/>
              <w:left w:val="nil"/>
              <w:bottom w:val="single" w:sz="4" w:space="0" w:color="auto"/>
              <w:right w:val="single" w:sz="4" w:space="0" w:color="auto"/>
            </w:tcBorders>
            <w:hideMark/>
          </w:tcPr>
          <w:p w14:paraId="0588C213"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counselling</w:t>
            </w:r>
          </w:p>
        </w:tc>
        <w:tc>
          <w:tcPr>
            <w:tcW w:w="879" w:type="dxa"/>
            <w:tcBorders>
              <w:top w:val="single" w:sz="4" w:space="0" w:color="auto"/>
              <w:left w:val="nil"/>
              <w:bottom w:val="single" w:sz="4" w:space="0" w:color="auto"/>
              <w:right w:val="single" w:sz="4" w:space="0" w:color="auto"/>
            </w:tcBorders>
            <w:hideMark/>
          </w:tcPr>
          <w:p w14:paraId="6A8A076D"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 Mobile overdose response service</w:t>
            </w:r>
          </w:p>
        </w:tc>
        <w:tc>
          <w:tcPr>
            <w:tcW w:w="878" w:type="dxa"/>
            <w:tcBorders>
              <w:top w:val="single" w:sz="4" w:space="0" w:color="auto"/>
              <w:left w:val="nil"/>
              <w:bottom w:val="single" w:sz="4" w:space="0" w:color="auto"/>
              <w:right w:val="single" w:sz="4" w:space="0" w:color="auto"/>
            </w:tcBorders>
            <w:hideMark/>
          </w:tcPr>
          <w:p w14:paraId="4C4BDE18"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Non-residential withdrawal</w:t>
            </w:r>
          </w:p>
        </w:tc>
        <w:tc>
          <w:tcPr>
            <w:tcW w:w="879" w:type="dxa"/>
            <w:tcBorders>
              <w:top w:val="single" w:sz="4" w:space="0" w:color="auto"/>
              <w:left w:val="nil"/>
              <w:bottom w:val="single" w:sz="4" w:space="0" w:color="auto"/>
              <w:right w:val="single" w:sz="4" w:space="0" w:color="auto"/>
            </w:tcBorders>
            <w:hideMark/>
          </w:tcPr>
          <w:p w14:paraId="159412CB" w14:textId="77777777" w:rsidR="006270A2" w:rsidRPr="00011D13" w:rsidRDefault="006270A2">
            <w:pPr>
              <w:spacing w:before="80" w:after="60" w:line="240" w:lineRule="auto"/>
              <w:jc w:val="right"/>
              <w:rPr>
                <w:color w:val="53565A"/>
                <w:sz w:val="16"/>
                <w:szCs w:val="16"/>
              </w:rPr>
            </w:pPr>
            <w:r w:rsidRPr="00011D13">
              <w:rPr>
                <w:b/>
                <w:color w:val="53565A"/>
                <w:sz w:val="16"/>
                <w:szCs w:val="16"/>
              </w:rPr>
              <w:t>DTAU – Rural withdrawal</w:t>
            </w:r>
          </w:p>
        </w:tc>
        <w:tc>
          <w:tcPr>
            <w:tcW w:w="879" w:type="dxa"/>
            <w:tcBorders>
              <w:top w:val="single" w:sz="4" w:space="0" w:color="auto"/>
              <w:left w:val="nil"/>
              <w:bottom w:val="single" w:sz="4" w:space="0" w:color="auto"/>
              <w:right w:val="single" w:sz="4" w:space="0" w:color="auto"/>
            </w:tcBorders>
            <w:hideMark/>
          </w:tcPr>
          <w:p w14:paraId="6CA1A194"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 Specialist Pharmacotherapy</w:t>
            </w:r>
          </w:p>
        </w:tc>
        <w:tc>
          <w:tcPr>
            <w:tcW w:w="879" w:type="dxa"/>
            <w:tcBorders>
              <w:top w:val="single" w:sz="4" w:space="0" w:color="auto"/>
              <w:left w:val="nil"/>
              <w:bottom w:val="single" w:sz="4" w:space="0" w:color="auto"/>
              <w:right w:val="single" w:sz="4" w:space="0" w:color="auto"/>
            </w:tcBorders>
            <w:hideMark/>
          </w:tcPr>
          <w:p w14:paraId="0FC08E93"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 Specialist Pharmacotherapy Service</w:t>
            </w:r>
          </w:p>
        </w:tc>
        <w:tc>
          <w:tcPr>
            <w:tcW w:w="879" w:type="dxa"/>
            <w:tcBorders>
              <w:top w:val="single" w:sz="4" w:space="0" w:color="auto"/>
              <w:left w:val="nil"/>
              <w:bottom w:val="single" w:sz="4" w:space="0" w:color="auto"/>
              <w:right w:val="single" w:sz="4" w:space="0" w:color="auto"/>
            </w:tcBorders>
            <w:hideMark/>
          </w:tcPr>
          <w:p w14:paraId="692A4EC7"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  Youth A&amp;D supported accommodation</w:t>
            </w:r>
          </w:p>
        </w:tc>
        <w:tc>
          <w:tcPr>
            <w:tcW w:w="879" w:type="dxa"/>
            <w:tcBorders>
              <w:top w:val="single" w:sz="4" w:space="0" w:color="auto"/>
              <w:left w:val="nil"/>
              <w:bottom w:val="single" w:sz="4" w:space="0" w:color="auto"/>
              <w:right w:val="single" w:sz="4" w:space="0" w:color="auto"/>
            </w:tcBorders>
            <w:hideMark/>
          </w:tcPr>
          <w:p w14:paraId="171D1D09"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  Youth A&amp;D supported accommodation rural</w:t>
            </w:r>
          </w:p>
        </w:tc>
        <w:tc>
          <w:tcPr>
            <w:tcW w:w="879" w:type="dxa"/>
            <w:tcBorders>
              <w:top w:val="single" w:sz="4" w:space="0" w:color="auto"/>
              <w:left w:val="nil"/>
              <w:bottom w:val="single" w:sz="4" w:space="0" w:color="auto"/>
              <w:right w:val="single" w:sz="4" w:space="0" w:color="auto"/>
            </w:tcBorders>
            <w:hideMark/>
          </w:tcPr>
          <w:p w14:paraId="52EF9598" w14:textId="77777777" w:rsidR="006270A2" w:rsidRPr="00011D13" w:rsidRDefault="006270A2">
            <w:pPr>
              <w:spacing w:before="80" w:after="60" w:line="240" w:lineRule="auto"/>
              <w:jc w:val="right"/>
              <w:rPr>
                <w:color w:val="53565A"/>
                <w:sz w:val="16"/>
                <w:szCs w:val="16"/>
              </w:rPr>
            </w:pPr>
            <w:r w:rsidRPr="00011D13">
              <w:rPr>
                <w:b/>
                <w:color w:val="53565A"/>
                <w:sz w:val="16"/>
                <w:szCs w:val="16"/>
              </w:rPr>
              <w:t>Episode of care –Youth Outreach</w:t>
            </w:r>
          </w:p>
        </w:tc>
        <w:tc>
          <w:tcPr>
            <w:tcW w:w="879" w:type="dxa"/>
            <w:tcBorders>
              <w:top w:val="single" w:sz="4" w:space="0" w:color="auto"/>
              <w:left w:val="nil"/>
              <w:bottom w:val="single" w:sz="4" w:space="0" w:color="auto"/>
              <w:right w:val="single" w:sz="4" w:space="0" w:color="auto"/>
            </w:tcBorders>
            <w:hideMark/>
          </w:tcPr>
          <w:p w14:paraId="4C4AD251" w14:textId="77777777" w:rsidR="006270A2" w:rsidRPr="00011D13" w:rsidRDefault="006270A2">
            <w:pPr>
              <w:spacing w:before="80" w:after="60" w:line="240" w:lineRule="auto"/>
              <w:jc w:val="right"/>
              <w:rPr>
                <w:color w:val="53565A"/>
                <w:sz w:val="16"/>
                <w:szCs w:val="16"/>
              </w:rPr>
            </w:pPr>
            <w:r w:rsidRPr="00011D13">
              <w:rPr>
                <w:b/>
                <w:color w:val="53565A"/>
                <w:sz w:val="16"/>
                <w:szCs w:val="16"/>
              </w:rPr>
              <w:t>Total</w:t>
            </w:r>
          </w:p>
        </w:tc>
      </w:tr>
      <w:tr w:rsidR="00147D8F" w:rsidRPr="00011D13" w14:paraId="5306074F" w14:textId="77777777" w:rsidTr="00C01F23">
        <w:trPr>
          <w:trHeight w:val="291"/>
        </w:trPr>
        <w:tc>
          <w:tcPr>
            <w:tcW w:w="1560" w:type="dxa"/>
            <w:tcBorders>
              <w:top w:val="nil"/>
              <w:left w:val="single" w:sz="4" w:space="0" w:color="auto"/>
              <w:bottom w:val="single" w:sz="4" w:space="0" w:color="auto"/>
              <w:right w:val="single" w:sz="4" w:space="0" w:color="auto"/>
            </w:tcBorders>
            <w:vAlign w:val="bottom"/>
            <w:hideMark/>
          </w:tcPr>
          <w:p w14:paraId="7BACBFEC" w14:textId="77777777" w:rsidR="006270A2" w:rsidRPr="00011D13" w:rsidRDefault="006270A2">
            <w:pPr>
              <w:spacing w:after="0" w:line="240" w:lineRule="auto"/>
              <w:rPr>
                <w:rFonts w:cs="Arial"/>
                <w:b/>
                <w:bCs/>
                <w:color w:val="000000" w:themeColor="text1"/>
                <w:sz w:val="16"/>
                <w:szCs w:val="16"/>
                <w:lang w:eastAsia="en-AU"/>
              </w:rPr>
            </w:pPr>
            <w:r w:rsidRPr="00011D13">
              <w:rPr>
                <w:rFonts w:cs="Arial"/>
                <w:b/>
                <w:bCs/>
                <w:color w:val="000000" w:themeColor="text1"/>
                <w:sz w:val="16"/>
                <w:szCs w:val="16"/>
                <w:lang w:eastAsia="en-AU"/>
              </w:rPr>
              <w:t>Total</w:t>
            </w:r>
          </w:p>
        </w:tc>
        <w:tc>
          <w:tcPr>
            <w:tcW w:w="878" w:type="dxa"/>
            <w:tcBorders>
              <w:top w:val="nil"/>
              <w:left w:val="nil"/>
              <w:bottom w:val="single" w:sz="4" w:space="0" w:color="auto"/>
              <w:right w:val="single" w:sz="4" w:space="0" w:color="auto"/>
            </w:tcBorders>
            <w:vAlign w:val="bottom"/>
            <w:hideMark/>
          </w:tcPr>
          <w:p w14:paraId="2D4BBA0B"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10,688</w:t>
            </w:r>
          </w:p>
        </w:tc>
        <w:tc>
          <w:tcPr>
            <w:tcW w:w="879" w:type="dxa"/>
            <w:tcBorders>
              <w:top w:val="nil"/>
              <w:left w:val="nil"/>
              <w:bottom w:val="single" w:sz="4" w:space="0" w:color="auto"/>
              <w:right w:val="single" w:sz="4" w:space="0" w:color="auto"/>
            </w:tcBorders>
            <w:vAlign w:val="bottom"/>
            <w:hideMark/>
          </w:tcPr>
          <w:p w14:paraId="4D2D14D5"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 xml:space="preserve"> 14,411</w:t>
            </w:r>
          </w:p>
        </w:tc>
        <w:tc>
          <w:tcPr>
            <w:tcW w:w="879" w:type="dxa"/>
            <w:tcBorders>
              <w:top w:val="nil"/>
              <w:left w:val="nil"/>
              <w:bottom w:val="single" w:sz="4" w:space="0" w:color="auto"/>
              <w:right w:val="single" w:sz="4" w:space="0" w:color="auto"/>
            </w:tcBorders>
            <w:vAlign w:val="bottom"/>
            <w:hideMark/>
          </w:tcPr>
          <w:p w14:paraId="55850B3D" w14:textId="77777777" w:rsidR="006270A2" w:rsidRPr="00011D13" w:rsidRDefault="006270A2" w:rsidP="00B83418">
            <w:pPr>
              <w:jc w:val="right"/>
            </w:pPr>
          </w:p>
        </w:tc>
        <w:tc>
          <w:tcPr>
            <w:tcW w:w="879" w:type="dxa"/>
            <w:tcBorders>
              <w:top w:val="nil"/>
              <w:left w:val="nil"/>
              <w:bottom w:val="single" w:sz="4" w:space="0" w:color="auto"/>
              <w:right w:val="single" w:sz="4" w:space="0" w:color="auto"/>
            </w:tcBorders>
            <w:vAlign w:val="bottom"/>
            <w:hideMark/>
          </w:tcPr>
          <w:p w14:paraId="6C0D1785"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3,201</w:t>
            </w:r>
          </w:p>
        </w:tc>
        <w:tc>
          <w:tcPr>
            <w:tcW w:w="879" w:type="dxa"/>
            <w:tcBorders>
              <w:top w:val="nil"/>
              <w:left w:val="nil"/>
              <w:bottom w:val="single" w:sz="4" w:space="0" w:color="auto"/>
              <w:right w:val="single" w:sz="4" w:space="0" w:color="auto"/>
            </w:tcBorders>
            <w:vAlign w:val="bottom"/>
            <w:hideMark/>
          </w:tcPr>
          <w:p w14:paraId="4D4C4CE4"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1,553</w:t>
            </w:r>
          </w:p>
        </w:tc>
        <w:tc>
          <w:tcPr>
            <w:tcW w:w="879" w:type="dxa"/>
            <w:tcBorders>
              <w:top w:val="nil"/>
              <w:left w:val="nil"/>
              <w:bottom w:val="single" w:sz="4" w:space="0" w:color="auto"/>
              <w:right w:val="single" w:sz="4" w:space="0" w:color="auto"/>
            </w:tcBorders>
            <w:vAlign w:val="bottom"/>
            <w:hideMark/>
          </w:tcPr>
          <w:p w14:paraId="032E9F2C"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5,222</w:t>
            </w:r>
          </w:p>
        </w:tc>
        <w:tc>
          <w:tcPr>
            <w:tcW w:w="879" w:type="dxa"/>
            <w:tcBorders>
              <w:top w:val="nil"/>
              <w:left w:val="nil"/>
              <w:bottom w:val="single" w:sz="4" w:space="0" w:color="auto"/>
              <w:right w:val="single" w:sz="4" w:space="0" w:color="auto"/>
            </w:tcBorders>
            <w:vAlign w:val="bottom"/>
            <w:hideMark/>
          </w:tcPr>
          <w:p w14:paraId="2E9D1461"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19</w:t>
            </w:r>
          </w:p>
        </w:tc>
        <w:tc>
          <w:tcPr>
            <w:tcW w:w="878" w:type="dxa"/>
            <w:tcBorders>
              <w:top w:val="nil"/>
              <w:left w:val="nil"/>
              <w:bottom w:val="single" w:sz="4" w:space="0" w:color="auto"/>
              <w:right w:val="single" w:sz="4" w:space="0" w:color="auto"/>
            </w:tcBorders>
            <w:vAlign w:val="bottom"/>
            <w:hideMark/>
          </w:tcPr>
          <w:p w14:paraId="5B23AC53" w14:textId="77777777" w:rsidR="006270A2" w:rsidRPr="00011D13" w:rsidRDefault="006270A2" w:rsidP="00B83418">
            <w:pPr>
              <w:spacing w:after="0" w:line="240" w:lineRule="auto"/>
              <w:jc w:val="right"/>
            </w:pPr>
            <w:r w:rsidRPr="00011D13">
              <w:rPr>
                <w:rFonts w:cs="Arial"/>
                <w:b/>
                <w:bCs/>
                <w:color w:val="000000" w:themeColor="text1"/>
                <w:sz w:val="16"/>
                <w:szCs w:val="16"/>
                <w:lang w:eastAsia="en-AU"/>
              </w:rPr>
              <w:t>2030</w:t>
            </w:r>
          </w:p>
        </w:tc>
        <w:tc>
          <w:tcPr>
            <w:tcW w:w="879" w:type="dxa"/>
            <w:tcBorders>
              <w:top w:val="nil"/>
              <w:left w:val="nil"/>
              <w:bottom w:val="single" w:sz="4" w:space="0" w:color="auto"/>
              <w:right w:val="single" w:sz="4" w:space="0" w:color="auto"/>
            </w:tcBorders>
            <w:vAlign w:val="bottom"/>
            <w:hideMark/>
          </w:tcPr>
          <w:p w14:paraId="0296C9E4"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120</w:t>
            </w:r>
          </w:p>
        </w:tc>
        <w:tc>
          <w:tcPr>
            <w:tcW w:w="879" w:type="dxa"/>
            <w:tcBorders>
              <w:top w:val="nil"/>
              <w:left w:val="nil"/>
              <w:bottom w:val="single" w:sz="4" w:space="0" w:color="auto"/>
              <w:right w:val="single" w:sz="4" w:space="0" w:color="auto"/>
            </w:tcBorders>
            <w:vAlign w:val="bottom"/>
            <w:hideMark/>
          </w:tcPr>
          <w:p w14:paraId="6DCBEC38"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100</w:t>
            </w:r>
          </w:p>
        </w:tc>
        <w:tc>
          <w:tcPr>
            <w:tcW w:w="879" w:type="dxa"/>
            <w:tcBorders>
              <w:top w:val="nil"/>
              <w:left w:val="nil"/>
              <w:bottom w:val="single" w:sz="4" w:space="0" w:color="auto"/>
              <w:right w:val="single" w:sz="4" w:space="0" w:color="auto"/>
            </w:tcBorders>
            <w:vAlign w:val="bottom"/>
            <w:hideMark/>
          </w:tcPr>
          <w:p w14:paraId="4332099F"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502</w:t>
            </w:r>
          </w:p>
        </w:tc>
        <w:tc>
          <w:tcPr>
            <w:tcW w:w="879" w:type="dxa"/>
            <w:tcBorders>
              <w:top w:val="nil"/>
              <w:left w:val="nil"/>
              <w:bottom w:val="single" w:sz="4" w:space="0" w:color="auto"/>
              <w:right w:val="single" w:sz="4" w:space="0" w:color="auto"/>
            </w:tcBorders>
            <w:vAlign w:val="bottom"/>
            <w:hideMark/>
          </w:tcPr>
          <w:p w14:paraId="71A7EB1B"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40</w:t>
            </w:r>
          </w:p>
        </w:tc>
        <w:tc>
          <w:tcPr>
            <w:tcW w:w="879" w:type="dxa"/>
            <w:tcBorders>
              <w:top w:val="nil"/>
              <w:left w:val="nil"/>
              <w:bottom w:val="single" w:sz="4" w:space="0" w:color="auto"/>
              <w:right w:val="single" w:sz="4" w:space="0" w:color="auto"/>
            </w:tcBorders>
            <w:vAlign w:val="bottom"/>
            <w:hideMark/>
          </w:tcPr>
          <w:p w14:paraId="51F35C8D"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7</w:t>
            </w:r>
          </w:p>
        </w:tc>
        <w:tc>
          <w:tcPr>
            <w:tcW w:w="879" w:type="dxa"/>
            <w:tcBorders>
              <w:top w:val="nil"/>
              <w:left w:val="nil"/>
              <w:bottom w:val="single" w:sz="4" w:space="0" w:color="auto"/>
              <w:right w:val="single" w:sz="4" w:space="0" w:color="auto"/>
            </w:tcBorders>
            <w:vAlign w:val="bottom"/>
            <w:hideMark/>
          </w:tcPr>
          <w:p w14:paraId="00325CE0" w14:textId="77777777" w:rsidR="006270A2" w:rsidRPr="00011D13" w:rsidRDefault="006270A2" w:rsidP="00B83418">
            <w:pPr>
              <w:spacing w:after="0" w:line="240" w:lineRule="auto"/>
              <w:jc w:val="right"/>
              <w:rPr>
                <w:rFonts w:cs="Arial"/>
                <w:b/>
                <w:bCs/>
                <w:color w:val="000000" w:themeColor="text1"/>
                <w:sz w:val="16"/>
                <w:szCs w:val="16"/>
                <w:lang w:eastAsia="en-AU"/>
              </w:rPr>
            </w:pPr>
            <w:r w:rsidRPr="00011D13">
              <w:rPr>
                <w:rFonts w:cs="Arial"/>
                <w:b/>
                <w:bCs/>
                <w:color w:val="000000" w:themeColor="text1"/>
                <w:sz w:val="16"/>
                <w:szCs w:val="16"/>
                <w:lang w:eastAsia="en-AU"/>
              </w:rPr>
              <w:t>412</w:t>
            </w:r>
          </w:p>
        </w:tc>
        <w:tc>
          <w:tcPr>
            <w:tcW w:w="879" w:type="dxa"/>
            <w:tcBorders>
              <w:top w:val="nil"/>
              <w:left w:val="nil"/>
              <w:bottom w:val="single" w:sz="4" w:space="0" w:color="auto"/>
              <w:right w:val="single" w:sz="4" w:space="0" w:color="auto"/>
            </w:tcBorders>
            <w:vAlign w:val="bottom"/>
          </w:tcPr>
          <w:p w14:paraId="2721B413" w14:textId="77777777" w:rsidR="006270A2" w:rsidRPr="00011D13" w:rsidRDefault="006270A2" w:rsidP="00B83418">
            <w:pPr>
              <w:spacing w:after="0" w:line="240" w:lineRule="auto"/>
              <w:jc w:val="right"/>
              <w:rPr>
                <w:rFonts w:cs="Arial"/>
                <w:b/>
                <w:bCs/>
                <w:color w:val="000000" w:themeColor="text1"/>
                <w:sz w:val="16"/>
                <w:szCs w:val="16"/>
                <w:highlight w:val="yellow"/>
                <w:lang w:eastAsia="en-AU"/>
              </w:rPr>
            </w:pPr>
            <w:r w:rsidRPr="00011D13">
              <w:rPr>
                <w:rFonts w:cs="Arial"/>
                <w:b/>
                <w:bCs/>
                <w:color w:val="000000" w:themeColor="text1"/>
                <w:sz w:val="16"/>
                <w:szCs w:val="16"/>
                <w:lang w:eastAsia="en-AU"/>
              </w:rPr>
              <w:t xml:space="preserve"> 38,305</w:t>
            </w:r>
          </w:p>
        </w:tc>
      </w:tr>
    </w:tbl>
    <w:p w14:paraId="295331B9" w14:textId="77777777" w:rsidR="006270A2" w:rsidRPr="00011D13" w:rsidRDefault="006270A2" w:rsidP="006270A2"/>
    <w:p w14:paraId="24557E49" w14:textId="77777777" w:rsidR="005B699B" w:rsidRPr="00E00C4E" w:rsidRDefault="005B699B" w:rsidP="006F12BC">
      <w:pPr>
        <w:pStyle w:val="Body"/>
      </w:pPr>
      <w:r w:rsidRPr="00E00C4E">
        <w:br w:type="page"/>
      </w:r>
    </w:p>
    <w:p w14:paraId="7EDA6A71" w14:textId="6589532D" w:rsidR="005B699B" w:rsidRDefault="005B699B" w:rsidP="001E4292">
      <w:pPr>
        <w:pStyle w:val="Heading2"/>
        <w:numPr>
          <w:ilvl w:val="1"/>
          <w:numId w:val="13"/>
        </w:numPr>
        <w:ind w:left="1143" w:hanging="1143"/>
      </w:pPr>
      <w:bookmarkStart w:id="2703" w:name="_Toc165961881"/>
      <w:bookmarkStart w:id="2704" w:name="_Toc178963667"/>
      <w:r>
        <w:lastRenderedPageBreak/>
        <w:t xml:space="preserve">Localised pricing adjustments to </w:t>
      </w:r>
      <w:r w:rsidRPr="000A1079">
        <w:t>the</w:t>
      </w:r>
      <w:r>
        <w:t xml:space="preserve"> Victorian </w:t>
      </w:r>
      <w:r w:rsidR="003A4C46">
        <w:t xml:space="preserve">ABF </w:t>
      </w:r>
      <w:r>
        <w:t>Pricing Framework</w:t>
      </w:r>
      <w:bookmarkEnd w:id="2703"/>
      <w:bookmarkEnd w:id="2704"/>
    </w:p>
    <w:p w14:paraId="1C326C89" w14:textId="481EE6E4" w:rsidR="005B699B" w:rsidRDefault="00462DC7" w:rsidP="00297FC9">
      <w:pPr>
        <w:pStyle w:val="Tablecaption"/>
      </w:pPr>
      <w:bookmarkStart w:id="2705" w:name="_Ref165635076"/>
      <w:bookmarkStart w:id="2706" w:name="_Toc176510435"/>
      <w:r>
        <w:t xml:space="preserve">Table </w:t>
      </w:r>
      <w:r w:rsidR="00110E39">
        <w:t>2</w:t>
      </w:r>
      <w:r w:rsidR="000E0ED2">
        <w:t>.</w:t>
      </w:r>
      <w:r>
        <w:fldChar w:fldCharType="begin"/>
      </w:r>
      <w:r>
        <w:instrText>SEQ Table \* ARABIC \s 1</w:instrText>
      </w:r>
      <w:r>
        <w:fldChar w:fldCharType="separate"/>
      </w:r>
      <w:r w:rsidR="00F30C16">
        <w:rPr>
          <w:noProof/>
        </w:rPr>
        <w:t>22</w:t>
      </w:r>
      <w:r>
        <w:fldChar w:fldCharType="end"/>
      </w:r>
      <w:r>
        <w:t xml:space="preserve">: </w:t>
      </w:r>
      <w:r w:rsidR="005B699B">
        <w:t xml:space="preserve">Victorian pricing adjustments </w:t>
      </w:r>
      <w:r w:rsidR="005B699B" w:rsidRPr="00D31096">
        <w:t>202</w:t>
      </w:r>
      <w:r w:rsidR="005B699B">
        <w:t>4–</w:t>
      </w:r>
      <w:r w:rsidR="005B699B" w:rsidRPr="00D31096">
        <w:t>2</w:t>
      </w:r>
      <w:r w:rsidR="005B699B">
        <w:t>5</w:t>
      </w:r>
      <w:bookmarkEnd w:id="2705"/>
      <w:bookmarkEnd w:id="2706"/>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gridCol w:w="5492"/>
      </w:tblGrid>
      <w:tr w:rsidR="005B699B" w:rsidRPr="00410037" w14:paraId="301EEB85" w14:textId="77777777" w:rsidTr="00785BA1">
        <w:trPr>
          <w:trHeight w:val="397"/>
          <w:tblHeader/>
        </w:trPr>
        <w:tc>
          <w:tcPr>
            <w:tcW w:w="1541" w:type="pct"/>
            <w:shd w:val="clear" w:color="auto" w:fill="auto"/>
            <w:hideMark/>
          </w:tcPr>
          <w:p w14:paraId="557A846F" w14:textId="77777777" w:rsidR="005B699B" w:rsidRPr="0016166B" w:rsidRDefault="005B699B" w:rsidP="00785BA1">
            <w:pPr>
              <w:pStyle w:val="Tablecolhead"/>
              <w:rPr>
                <w:szCs w:val="21"/>
                <w:lang w:eastAsia="en-AU"/>
              </w:rPr>
            </w:pPr>
            <w:r w:rsidRPr="0016166B">
              <w:rPr>
                <w:szCs w:val="21"/>
                <w:lang w:eastAsia="en-AU"/>
              </w:rPr>
              <w:t>Grant name</w:t>
            </w:r>
          </w:p>
        </w:tc>
        <w:tc>
          <w:tcPr>
            <w:tcW w:w="1591" w:type="pct"/>
            <w:shd w:val="clear" w:color="auto" w:fill="auto"/>
            <w:hideMark/>
          </w:tcPr>
          <w:p w14:paraId="583766CC" w14:textId="77777777" w:rsidR="005B699B" w:rsidRPr="0016166B" w:rsidRDefault="005B699B" w:rsidP="00785BA1">
            <w:pPr>
              <w:pStyle w:val="Tablecolhead"/>
              <w:rPr>
                <w:szCs w:val="21"/>
                <w:lang w:eastAsia="en-AU"/>
              </w:rPr>
            </w:pPr>
            <w:r w:rsidRPr="0016166B">
              <w:rPr>
                <w:szCs w:val="21"/>
                <w:lang w:eastAsia="en-AU"/>
              </w:rPr>
              <w:t>Adjustment type</w:t>
            </w:r>
          </w:p>
        </w:tc>
        <w:tc>
          <w:tcPr>
            <w:tcW w:w="1868" w:type="pct"/>
            <w:shd w:val="clear" w:color="auto" w:fill="auto"/>
          </w:tcPr>
          <w:p w14:paraId="606F7D18" w14:textId="77777777" w:rsidR="005B699B" w:rsidRPr="0016166B" w:rsidRDefault="005B699B" w:rsidP="00785BA1">
            <w:pPr>
              <w:pStyle w:val="Tablecolhead"/>
              <w:rPr>
                <w:szCs w:val="21"/>
                <w:lang w:eastAsia="en-AU"/>
              </w:rPr>
            </w:pPr>
            <w:r w:rsidRPr="0016166B">
              <w:rPr>
                <w:szCs w:val="21"/>
                <w:lang w:eastAsia="en-AU"/>
              </w:rPr>
              <w:t>Notes</w:t>
            </w:r>
          </w:p>
        </w:tc>
      </w:tr>
      <w:tr w:rsidR="005B699B" w:rsidRPr="00410037" w14:paraId="790F4909" w14:textId="77777777" w:rsidTr="00785BA1">
        <w:trPr>
          <w:trHeight w:val="397"/>
        </w:trPr>
        <w:tc>
          <w:tcPr>
            <w:tcW w:w="1541" w:type="pct"/>
            <w:shd w:val="clear" w:color="auto" w:fill="auto"/>
            <w:hideMark/>
          </w:tcPr>
          <w:p w14:paraId="2D3E1313" w14:textId="2E426D30" w:rsidR="005B699B" w:rsidRPr="00D126FD" w:rsidRDefault="005B699B" w:rsidP="006F12BC">
            <w:pPr>
              <w:pStyle w:val="Tabletext9pt"/>
              <w:rPr>
                <w:lang w:eastAsia="en-AU"/>
              </w:rPr>
            </w:pPr>
            <w:r w:rsidRPr="00D126FD">
              <w:rPr>
                <w:lang w:eastAsia="en-AU"/>
              </w:rPr>
              <w:t xml:space="preserve">1069 </w:t>
            </w:r>
            <w:r w:rsidR="008F470B">
              <w:rPr>
                <w:lang w:eastAsia="en-AU"/>
              </w:rPr>
              <w:t>–</w:t>
            </w:r>
            <w:r w:rsidR="008F470B" w:rsidRPr="00D126FD">
              <w:rPr>
                <w:lang w:eastAsia="en-AU"/>
              </w:rPr>
              <w:t xml:space="preserve"> </w:t>
            </w:r>
            <w:r w:rsidRPr="00D126FD">
              <w:rPr>
                <w:lang w:eastAsia="en-AU"/>
              </w:rPr>
              <w:t>Commissioning Costs</w:t>
            </w:r>
          </w:p>
        </w:tc>
        <w:tc>
          <w:tcPr>
            <w:tcW w:w="1591" w:type="pct"/>
            <w:shd w:val="clear" w:color="auto" w:fill="auto"/>
            <w:hideMark/>
          </w:tcPr>
          <w:p w14:paraId="416E9DDD" w14:textId="77777777" w:rsidR="005B699B" w:rsidRPr="00D126FD" w:rsidRDefault="005B699B" w:rsidP="006F12BC">
            <w:pPr>
              <w:pStyle w:val="Tabletext9pt"/>
              <w:rPr>
                <w:lang w:eastAsia="en-AU"/>
              </w:rPr>
            </w:pPr>
            <w:r w:rsidRPr="00D126FD">
              <w:rPr>
                <w:lang w:eastAsia="en-AU"/>
              </w:rPr>
              <w:t xml:space="preserve">Adjustments for commissioning of new services </w:t>
            </w:r>
          </w:p>
        </w:tc>
        <w:tc>
          <w:tcPr>
            <w:tcW w:w="1868" w:type="pct"/>
            <w:shd w:val="clear" w:color="auto" w:fill="auto"/>
          </w:tcPr>
          <w:p w14:paraId="4BAAF895" w14:textId="77777777" w:rsidR="005B699B" w:rsidRPr="00D126FD" w:rsidRDefault="005B699B" w:rsidP="006F12BC">
            <w:pPr>
              <w:pStyle w:val="Tabletext9pt"/>
              <w:rPr>
                <w:lang w:eastAsia="en-AU"/>
              </w:rPr>
            </w:pPr>
          </w:p>
        </w:tc>
      </w:tr>
      <w:tr w:rsidR="005B699B" w:rsidRPr="00410037" w14:paraId="13FC1E30" w14:textId="77777777" w:rsidTr="00785BA1">
        <w:trPr>
          <w:trHeight w:val="397"/>
        </w:trPr>
        <w:tc>
          <w:tcPr>
            <w:tcW w:w="1541" w:type="pct"/>
            <w:shd w:val="clear" w:color="auto" w:fill="auto"/>
            <w:hideMark/>
          </w:tcPr>
          <w:p w14:paraId="5A71E776" w14:textId="7C245E43" w:rsidR="005B699B" w:rsidRPr="00D126FD" w:rsidRDefault="005B699B" w:rsidP="00936C64">
            <w:pPr>
              <w:pStyle w:val="Tabletext9pt"/>
              <w:rPr>
                <w:lang w:eastAsia="en-AU"/>
              </w:rPr>
            </w:pPr>
            <w:r w:rsidRPr="00D126FD">
              <w:rPr>
                <w:lang w:eastAsia="en-AU"/>
              </w:rPr>
              <w:t xml:space="preserve">106 </w:t>
            </w:r>
            <w:r w:rsidR="008F470B">
              <w:rPr>
                <w:lang w:eastAsia="en-AU"/>
              </w:rPr>
              <w:t>–</w:t>
            </w:r>
            <w:r w:rsidR="008F470B" w:rsidRPr="00D126FD">
              <w:rPr>
                <w:lang w:eastAsia="en-AU"/>
              </w:rPr>
              <w:t xml:space="preserve"> </w:t>
            </w:r>
            <w:r w:rsidRPr="00D126FD">
              <w:rPr>
                <w:lang w:eastAsia="en-AU"/>
              </w:rPr>
              <w:t>Vic</w:t>
            </w:r>
            <w:r w:rsidR="008F470B">
              <w:rPr>
                <w:lang w:eastAsia="en-AU"/>
              </w:rPr>
              <w:t>.</w:t>
            </w:r>
            <w:r w:rsidRPr="00D126FD">
              <w:rPr>
                <w:lang w:eastAsia="en-AU"/>
              </w:rPr>
              <w:t xml:space="preserve"> Infant Hearing Screening Program</w:t>
            </w:r>
          </w:p>
        </w:tc>
        <w:tc>
          <w:tcPr>
            <w:tcW w:w="1591" w:type="pct"/>
            <w:shd w:val="clear" w:color="auto" w:fill="auto"/>
            <w:hideMark/>
          </w:tcPr>
          <w:p w14:paraId="5EC98A2F"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74C711A0" w14:textId="77777777" w:rsidR="005B699B" w:rsidRPr="00D126FD" w:rsidRDefault="005B699B" w:rsidP="00936C64">
            <w:pPr>
              <w:pStyle w:val="Tabletext9pt"/>
              <w:rPr>
                <w:lang w:eastAsia="en-AU"/>
              </w:rPr>
            </w:pPr>
          </w:p>
        </w:tc>
      </w:tr>
      <w:tr w:rsidR="005B699B" w:rsidRPr="00410037" w14:paraId="3428E376" w14:textId="77777777" w:rsidTr="00785BA1">
        <w:trPr>
          <w:trHeight w:val="397"/>
        </w:trPr>
        <w:tc>
          <w:tcPr>
            <w:tcW w:w="1541" w:type="pct"/>
            <w:shd w:val="clear" w:color="auto" w:fill="auto"/>
            <w:hideMark/>
          </w:tcPr>
          <w:p w14:paraId="4A1EE30A" w14:textId="1A413770" w:rsidR="005B699B" w:rsidRPr="00D126FD" w:rsidRDefault="005B699B" w:rsidP="00936C64">
            <w:pPr>
              <w:pStyle w:val="Tabletext9pt"/>
              <w:rPr>
                <w:lang w:eastAsia="en-AU"/>
              </w:rPr>
            </w:pPr>
            <w:r w:rsidRPr="00D126FD">
              <w:rPr>
                <w:lang w:eastAsia="en-AU"/>
              </w:rPr>
              <w:t xml:space="preserve">11 </w:t>
            </w:r>
            <w:r w:rsidR="008F470B">
              <w:rPr>
                <w:lang w:eastAsia="en-AU"/>
              </w:rPr>
              <w:t>–</w:t>
            </w:r>
            <w:r w:rsidR="008F470B" w:rsidRPr="00D126FD">
              <w:rPr>
                <w:lang w:eastAsia="en-AU"/>
              </w:rPr>
              <w:t xml:space="preserve"> </w:t>
            </w:r>
            <w:r w:rsidRPr="00D126FD">
              <w:rPr>
                <w:lang w:eastAsia="en-AU"/>
              </w:rPr>
              <w:t>Statewide Lithotripsy</w:t>
            </w:r>
          </w:p>
        </w:tc>
        <w:tc>
          <w:tcPr>
            <w:tcW w:w="1591" w:type="pct"/>
            <w:shd w:val="clear" w:color="auto" w:fill="auto"/>
            <w:hideMark/>
          </w:tcPr>
          <w:p w14:paraId="1DF8DB0A" w14:textId="77777777" w:rsidR="005B699B" w:rsidRPr="00896472" w:rsidRDefault="005B699B" w:rsidP="00936C64">
            <w:pPr>
              <w:pStyle w:val="Tabletext9pt"/>
              <w:rPr>
                <w:lang w:eastAsia="en-AU"/>
              </w:rPr>
            </w:pPr>
            <w:r w:rsidRPr="00896472">
              <w:rPr>
                <w:lang w:eastAsia="en-AU"/>
              </w:rPr>
              <w:t xml:space="preserve">Adjustments for statewide services </w:t>
            </w:r>
          </w:p>
        </w:tc>
        <w:tc>
          <w:tcPr>
            <w:tcW w:w="1868" w:type="pct"/>
            <w:shd w:val="clear" w:color="auto" w:fill="auto"/>
          </w:tcPr>
          <w:p w14:paraId="6EF7D164" w14:textId="098075B5" w:rsidR="005B699B" w:rsidRPr="002F392F" w:rsidRDefault="005B699B" w:rsidP="00936C64">
            <w:pPr>
              <w:pStyle w:val="Tabletext9pt"/>
              <w:rPr>
                <w:highlight w:val="yellow"/>
                <w:lang w:eastAsia="en-AU"/>
              </w:rPr>
            </w:pPr>
            <w:r w:rsidRPr="00252E66">
              <w:rPr>
                <w:lang w:eastAsia="en-AU"/>
              </w:rPr>
              <w:t xml:space="preserve">See section </w:t>
            </w:r>
            <w:r w:rsidRPr="000F000C">
              <w:rPr>
                <w:lang w:eastAsia="en-AU"/>
              </w:rPr>
              <w:fldChar w:fldCharType="begin"/>
            </w:r>
            <w:r w:rsidRPr="000F000C">
              <w:rPr>
                <w:lang w:eastAsia="en-AU"/>
              </w:rPr>
              <w:instrText xml:space="preserve"> REF _Ref165637050 \r \h  \* MERGEFORMAT </w:instrText>
            </w:r>
            <w:r w:rsidRPr="000F000C">
              <w:rPr>
                <w:lang w:eastAsia="en-AU"/>
              </w:rPr>
            </w:r>
            <w:r w:rsidRPr="000F000C">
              <w:rPr>
                <w:lang w:eastAsia="en-AU"/>
              </w:rPr>
              <w:fldChar w:fldCharType="separate"/>
            </w:r>
            <w:r w:rsidR="00543255" w:rsidRPr="000F000C">
              <w:rPr>
                <w:lang w:eastAsia="en-AU"/>
              </w:rPr>
              <w:t>7.1</w:t>
            </w:r>
            <w:r w:rsidRPr="000F000C">
              <w:rPr>
                <w:lang w:eastAsia="en-AU"/>
              </w:rPr>
              <w:fldChar w:fldCharType="end"/>
            </w:r>
            <w:r w:rsidRPr="00252E66">
              <w:rPr>
                <w:lang w:eastAsia="en-AU"/>
              </w:rPr>
              <w:t xml:space="preserve"> </w:t>
            </w:r>
            <w:r w:rsidRPr="000F000C">
              <w:rPr>
                <w:lang w:eastAsia="en-AU"/>
              </w:rPr>
              <w:fldChar w:fldCharType="begin"/>
            </w:r>
            <w:r w:rsidRPr="00252E66">
              <w:rPr>
                <w:lang w:eastAsia="en-AU"/>
              </w:rPr>
              <w:instrText xml:space="preserve"> REF _Ref165638623 \h  \* MERGEFORMAT </w:instrText>
            </w:r>
            <w:r w:rsidRPr="000F000C">
              <w:rPr>
                <w:lang w:eastAsia="en-AU"/>
              </w:rPr>
            </w:r>
            <w:r w:rsidRPr="000F000C">
              <w:rPr>
                <w:lang w:eastAsia="en-AU"/>
              </w:rPr>
              <w:fldChar w:fldCharType="separate"/>
            </w:r>
            <w:r w:rsidR="009C16DD" w:rsidRPr="000F000C">
              <w:t>Eligibility</w:t>
            </w:r>
            <w:r w:rsidRPr="000F000C">
              <w:rPr>
                <w:lang w:eastAsia="en-AU"/>
              </w:rPr>
              <w:fldChar w:fldCharType="end"/>
            </w:r>
            <w:r w:rsidRPr="00252E66">
              <w:rPr>
                <w:lang w:eastAsia="en-AU"/>
              </w:rPr>
              <w:t>.</w:t>
            </w:r>
          </w:p>
        </w:tc>
      </w:tr>
      <w:tr w:rsidR="005B699B" w:rsidRPr="00410037" w14:paraId="47CC89EA" w14:textId="77777777" w:rsidTr="00785BA1">
        <w:trPr>
          <w:trHeight w:val="397"/>
        </w:trPr>
        <w:tc>
          <w:tcPr>
            <w:tcW w:w="1541" w:type="pct"/>
            <w:shd w:val="clear" w:color="auto" w:fill="auto"/>
            <w:hideMark/>
          </w:tcPr>
          <w:p w14:paraId="1FAB028E" w14:textId="52F88A58" w:rsidR="005B699B" w:rsidRPr="00D126FD" w:rsidRDefault="005B699B" w:rsidP="00936C64">
            <w:pPr>
              <w:pStyle w:val="Tabletext9pt"/>
              <w:rPr>
                <w:lang w:eastAsia="en-AU"/>
              </w:rPr>
            </w:pPr>
            <w:r w:rsidRPr="00D126FD">
              <w:rPr>
                <w:lang w:eastAsia="en-AU"/>
              </w:rPr>
              <w:t xml:space="preserve">122 </w:t>
            </w:r>
            <w:r w:rsidR="008F470B">
              <w:rPr>
                <w:lang w:eastAsia="en-AU"/>
              </w:rPr>
              <w:t>–</w:t>
            </w:r>
            <w:r w:rsidR="008F470B" w:rsidRPr="00D126FD">
              <w:rPr>
                <w:lang w:eastAsia="en-AU"/>
              </w:rPr>
              <w:t xml:space="preserve"> </w:t>
            </w:r>
            <w:r w:rsidRPr="00D126FD">
              <w:rPr>
                <w:lang w:eastAsia="en-AU"/>
              </w:rPr>
              <w:t>ICS Paediatric</w:t>
            </w:r>
          </w:p>
        </w:tc>
        <w:tc>
          <w:tcPr>
            <w:tcW w:w="1591" w:type="pct"/>
            <w:shd w:val="clear" w:color="auto" w:fill="auto"/>
            <w:hideMark/>
          </w:tcPr>
          <w:p w14:paraId="7E8DCF82"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215EAAD6" w14:textId="77777777" w:rsidR="005B699B" w:rsidRPr="00D126FD" w:rsidRDefault="005B699B" w:rsidP="00936C64">
            <w:pPr>
              <w:pStyle w:val="Tabletext9pt"/>
              <w:rPr>
                <w:lang w:eastAsia="en-AU"/>
              </w:rPr>
            </w:pPr>
          </w:p>
        </w:tc>
      </w:tr>
      <w:tr w:rsidR="005B699B" w:rsidRPr="00410037" w14:paraId="3A5484B3" w14:textId="77777777" w:rsidTr="00785BA1">
        <w:trPr>
          <w:trHeight w:val="397"/>
        </w:trPr>
        <w:tc>
          <w:tcPr>
            <w:tcW w:w="1541" w:type="pct"/>
            <w:shd w:val="clear" w:color="auto" w:fill="auto"/>
            <w:hideMark/>
          </w:tcPr>
          <w:p w14:paraId="0CD3BC5D" w14:textId="79967A0D" w:rsidR="005B699B" w:rsidRPr="00D126FD" w:rsidRDefault="005B699B" w:rsidP="00936C64">
            <w:pPr>
              <w:pStyle w:val="Tabletext9pt"/>
              <w:rPr>
                <w:lang w:eastAsia="en-AU"/>
              </w:rPr>
            </w:pPr>
            <w:r w:rsidRPr="00D126FD">
              <w:rPr>
                <w:lang w:eastAsia="en-AU"/>
              </w:rPr>
              <w:t xml:space="preserve">132 </w:t>
            </w:r>
            <w:r w:rsidR="008F470B">
              <w:rPr>
                <w:lang w:eastAsia="en-AU"/>
              </w:rPr>
              <w:t>–</w:t>
            </w:r>
            <w:r w:rsidR="008F470B" w:rsidRPr="00D126FD">
              <w:rPr>
                <w:lang w:eastAsia="en-AU"/>
              </w:rPr>
              <w:t xml:space="preserve"> </w:t>
            </w:r>
            <w:r w:rsidRPr="00D126FD">
              <w:rPr>
                <w:lang w:eastAsia="en-AU"/>
              </w:rPr>
              <w:t>Transplants-Liver</w:t>
            </w:r>
          </w:p>
        </w:tc>
        <w:tc>
          <w:tcPr>
            <w:tcW w:w="1591" w:type="pct"/>
            <w:shd w:val="clear" w:color="auto" w:fill="auto"/>
            <w:hideMark/>
          </w:tcPr>
          <w:p w14:paraId="31EDF3E8"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10B2E6FF" w14:textId="77777777" w:rsidR="005B699B" w:rsidRPr="00D126FD" w:rsidRDefault="005B699B" w:rsidP="00936C64">
            <w:pPr>
              <w:pStyle w:val="Tabletext9pt"/>
              <w:rPr>
                <w:lang w:eastAsia="en-AU"/>
              </w:rPr>
            </w:pPr>
          </w:p>
        </w:tc>
      </w:tr>
      <w:tr w:rsidR="005B699B" w:rsidRPr="00410037" w14:paraId="5F4B5F5D" w14:textId="77777777" w:rsidTr="00785BA1">
        <w:trPr>
          <w:trHeight w:val="397"/>
        </w:trPr>
        <w:tc>
          <w:tcPr>
            <w:tcW w:w="1541" w:type="pct"/>
            <w:shd w:val="clear" w:color="auto" w:fill="auto"/>
            <w:hideMark/>
          </w:tcPr>
          <w:p w14:paraId="5773AC7B" w14:textId="1CD541C8" w:rsidR="005B699B" w:rsidRPr="00D126FD" w:rsidRDefault="005B699B" w:rsidP="00936C64">
            <w:pPr>
              <w:pStyle w:val="Tabletext9pt"/>
              <w:rPr>
                <w:lang w:eastAsia="en-AU"/>
              </w:rPr>
            </w:pPr>
            <w:r w:rsidRPr="00D126FD">
              <w:rPr>
                <w:lang w:eastAsia="en-AU"/>
              </w:rPr>
              <w:t xml:space="preserve">162 </w:t>
            </w:r>
            <w:r w:rsidR="008F470B">
              <w:rPr>
                <w:lang w:eastAsia="en-AU"/>
              </w:rPr>
              <w:t>–</w:t>
            </w:r>
            <w:r w:rsidR="008F470B" w:rsidRPr="00D126FD">
              <w:rPr>
                <w:lang w:eastAsia="en-AU"/>
              </w:rPr>
              <w:t xml:space="preserve"> </w:t>
            </w:r>
            <w:r w:rsidRPr="00D126FD">
              <w:rPr>
                <w:lang w:eastAsia="en-AU"/>
              </w:rPr>
              <w:t>OnTrac Statewide Service</w:t>
            </w:r>
          </w:p>
        </w:tc>
        <w:tc>
          <w:tcPr>
            <w:tcW w:w="1591" w:type="pct"/>
            <w:shd w:val="clear" w:color="auto" w:fill="auto"/>
            <w:hideMark/>
          </w:tcPr>
          <w:p w14:paraId="0BACC247"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7DA5DE3A" w14:textId="77777777" w:rsidR="005B699B" w:rsidRPr="00D126FD" w:rsidRDefault="005B699B" w:rsidP="00936C64">
            <w:pPr>
              <w:pStyle w:val="Tabletext9pt"/>
              <w:rPr>
                <w:lang w:eastAsia="en-AU"/>
              </w:rPr>
            </w:pPr>
          </w:p>
        </w:tc>
      </w:tr>
      <w:tr w:rsidR="005B699B" w:rsidRPr="00410037" w14:paraId="27DAE4E7" w14:textId="77777777" w:rsidTr="00785BA1">
        <w:trPr>
          <w:trHeight w:val="397"/>
        </w:trPr>
        <w:tc>
          <w:tcPr>
            <w:tcW w:w="1541" w:type="pct"/>
            <w:shd w:val="clear" w:color="auto" w:fill="auto"/>
            <w:hideMark/>
          </w:tcPr>
          <w:p w14:paraId="69965C35" w14:textId="3C494F47" w:rsidR="005B699B" w:rsidRPr="00D126FD" w:rsidRDefault="005B699B" w:rsidP="00936C64">
            <w:pPr>
              <w:pStyle w:val="Tabletext9pt"/>
              <w:rPr>
                <w:lang w:eastAsia="en-AU"/>
              </w:rPr>
            </w:pPr>
            <w:r w:rsidRPr="00D126FD">
              <w:rPr>
                <w:lang w:eastAsia="en-AU"/>
              </w:rPr>
              <w:t xml:space="preserve">283 </w:t>
            </w:r>
            <w:r w:rsidR="008F470B">
              <w:rPr>
                <w:lang w:eastAsia="en-AU"/>
              </w:rPr>
              <w:t>–</w:t>
            </w:r>
            <w:r w:rsidR="008F470B" w:rsidRPr="00D126FD">
              <w:rPr>
                <w:lang w:eastAsia="en-AU"/>
              </w:rPr>
              <w:t xml:space="preserve"> </w:t>
            </w:r>
            <w:r w:rsidRPr="00D126FD">
              <w:rPr>
                <w:lang w:eastAsia="en-AU"/>
              </w:rPr>
              <w:t>Transplant Retrieval</w:t>
            </w:r>
          </w:p>
        </w:tc>
        <w:tc>
          <w:tcPr>
            <w:tcW w:w="1591" w:type="pct"/>
            <w:shd w:val="clear" w:color="auto" w:fill="auto"/>
            <w:hideMark/>
          </w:tcPr>
          <w:p w14:paraId="485C4CE6"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17FEDFC2" w14:textId="77777777" w:rsidR="005B699B" w:rsidRPr="00D126FD" w:rsidRDefault="005B699B" w:rsidP="00936C64">
            <w:pPr>
              <w:pStyle w:val="Tabletext9pt"/>
              <w:rPr>
                <w:lang w:eastAsia="en-AU"/>
              </w:rPr>
            </w:pPr>
          </w:p>
        </w:tc>
      </w:tr>
      <w:tr w:rsidR="005B699B" w:rsidRPr="00410037" w14:paraId="51A65689" w14:textId="77777777" w:rsidTr="00785BA1">
        <w:trPr>
          <w:trHeight w:val="397"/>
        </w:trPr>
        <w:tc>
          <w:tcPr>
            <w:tcW w:w="1541" w:type="pct"/>
            <w:shd w:val="clear" w:color="auto" w:fill="auto"/>
            <w:hideMark/>
          </w:tcPr>
          <w:p w14:paraId="138C3A14" w14:textId="6373246B" w:rsidR="005B699B" w:rsidRPr="00D126FD" w:rsidRDefault="005B699B" w:rsidP="00936C64">
            <w:pPr>
              <w:pStyle w:val="Tabletext9pt"/>
              <w:rPr>
                <w:lang w:eastAsia="en-AU"/>
              </w:rPr>
            </w:pPr>
            <w:r w:rsidRPr="00D126FD">
              <w:rPr>
                <w:lang w:eastAsia="en-AU"/>
              </w:rPr>
              <w:t>31</w:t>
            </w:r>
            <w:r w:rsidRPr="00D126FD" w:rsidDel="008F470B">
              <w:rPr>
                <w:lang w:eastAsia="en-AU"/>
              </w:rPr>
              <w:t xml:space="preserve"> </w:t>
            </w:r>
            <w:r w:rsidR="008F470B">
              <w:rPr>
                <w:lang w:eastAsia="en-AU"/>
              </w:rPr>
              <w:t>–</w:t>
            </w:r>
            <w:r w:rsidR="008F470B" w:rsidRPr="00D126FD">
              <w:rPr>
                <w:lang w:eastAsia="en-AU"/>
              </w:rPr>
              <w:t xml:space="preserve"> </w:t>
            </w:r>
            <w:r w:rsidRPr="00D126FD">
              <w:rPr>
                <w:lang w:eastAsia="en-AU"/>
              </w:rPr>
              <w:t>State Neuropathology Service</w:t>
            </w:r>
          </w:p>
        </w:tc>
        <w:tc>
          <w:tcPr>
            <w:tcW w:w="1591" w:type="pct"/>
            <w:shd w:val="clear" w:color="auto" w:fill="auto"/>
            <w:hideMark/>
          </w:tcPr>
          <w:p w14:paraId="059CC1AC"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69BEA3FF" w14:textId="77777777" w:rsidR="005B699B" w:rsidRPr="00D126FD" w:rsidRDefault="005B699B" w:rsidP="00936C64">
            <w:pPr>
              <w:pStyle w:val="Tabletext9pt"/>
              <w:rPr>
                <w:lang w:eastAsia="en-AU"/>
              </w:rPr>
            </w:pPr>
          </w:p>
        </w:tc>
      </w:tr>
      <w:tr w:rsidR="005B699B" w:rsidRPr="00410037" w14:paraId="005FD88C" w14:textId="77777777" w:rsidTr="00785BA1">
        <w:trPr>
          <w:trHeight w:val="397"/>
        </w:trPr>
        <w:tc>
          <w:tcPr>
            <w:tcW w:w="1541" w:type="pct"/>
            <w:shd w:val="clear" w:color="auto" w:fill="auto"/>
            <w:hideMark/>
          </w:tcPr>
          <w:p w14:paraId="7552AAFF" w14:textId="5348FD9A" w:rsidR="005B699B" w:rsidRPr="00D126FD" w:rsidRDefault="005B699B" w:rsidP="00936C64">
            <w:pPr>
              <w:pStyle w:val="Tabletext9pt"/>
              <w:rPr>
                <w:lang w:eastAsia="en-AU"/>
              </w:rPr>
            </w:pPr>
            <w:r w:rsidRPr="00D126FD">
              <w:rPr>
                <w:lang w:eastAsia="en-AU"/>
              </w:rPr>
              <w:t xml:space="preserve">337 </w:t>
            </w:r>
            <w:r w:rsidR="008F470B">
              <w:rPr>
                <w:lang w:eastAsia="en-AU"/>
              </w:rPr>
              <w:t>–</w:t>
            </w:r>
            <w:r w:rsidR="008F470B" w:rsidRPr="00D126FD">
              <w:rPr>
                <w:lang w:eastAsia="en-AU"/>
              </w:rPr>
              <w:t xml:space="preserve"> </w:t>
            </w:r>
            <w:r w:rsidRPr="00D126FD">
              <w:rPr>
                <w:lang w:eastAsia="en-AU"/>
              </w:rPr>
              <w:t>Integrated Cancer Services</w:t>
            </w:r>
          </w:p>
        </w:tc>
        <w:tc>
          <w:tcPr>
            <w:tcW w:w="1591" w:type="pct"/>
            <w:shd w:val="clear" w:color="auto" w:fill="auto"/>
            <w:hideMark/>
          </w:tcPr>
          <w:p w14:paraId="7F76E1AF"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0EBCE9BE" w14:textId="77777777" w:rsidR="005B699B" w:rsidRPr="00D126FD" w:rsidRDefault="005B699B" w:rsidP="00936C64">
            <w:pPr>
              <w:pStyle w:val="Tabletext9pt"/>
              <w:rPr>
                <w:lang w:eastAsia="en-AU"/>
              </w:rPr>
            </w:pPr>
          </w:p>
        </w:tc>
      </w:tr>
      <w:tr w:rsidR="005B699B" w:rsidRPr="00410037" w14:paraId="5D0CF42E" w14:textId="77777777" w:rsidTr="00785BA1">
        <w:trPr>
          <w:trHeight w:val="397"/>
        </w:trPr>
        <w:tc>
          <w:tcPr>
            <w:tcW w:w="1541" w:type="pct"/>
            <w:shd w:val="clear" w:color="auto" w:fill="auto"/>
            <w:hideMark/>
          </w:tcPr>
          <w:p w14:paraId="78032103" w14:textId="3235E9E4" w:rsidR="005B699B" w:rsidRPr="00D126FD" w:rsidRDefault="005B699B" w:rsidP="00936C64">
            <w:pPr>
              <w:pStyle w:val="Tabletext9pt"/>
              <w:rPr>
                <w:lang w:eastAsia="en-AU"/>
              </w:rPr>
            </w:pPr>
            <w:r w:rsidRPr="00D126FD">
              <w:rPr>
                <w:lang w:eastAsia="en-AU"/>
              </w:rPr>
              <w:t xml:space="preserve">352 </w:t>
            </w:r>
            <w:r w:rsidR="008F470B">
              <w:rPr>
                <w:lang w:eastAsia="en-AU"/>
              </w:rPr>
              <w:t>–</w:t>
            </w:r>
            <w:r w:rsidR="008F470B" w:rsidRPr="00D126FD">
              <w:rPr>
                <w:lang w:eastAsia="en-AU"/>
              </w:rPr>
              <w:t xml:space="preserve"> </w:t>
            </w:r>
            <w:r w:rsidRPr="00D126FD">
              <w:rPr>
                <w:lang w:eastAsia="en-AU"/>
              </w:rPr>
              <w:t>Primary Ciliary Dyskinesia</w:t>
            </w:r>
          </w:p>
        </w:tc>
        <w:tc>
          <w:tcPr>
            <w:tcW w:w="1591" w:type="pct"/>
            <w:shd w:val="clear" w:color="auto" w:fill="auto"/>
            <w:hideMark/>
          </w:tcPr>
          <w:p w14:paraId="2B166C19"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163DD479" w14:textId="77777777" w:rsidR="005B699B" w:rsidRPr="00D126FD" w:rsidRDefault="005B699B" w:rsidP="00936C64">
            <w:pPr>
              <w:pStyle w:val="Tabletext9pt"/>
              <w:rPr>
                <w:lang w:eastAsia="en-AU"/>
              </w:rPr>
            </w:pPr>
          </w:p>
        </w:tc>
      </w:tr>
      <w:tr w:rsidR="005B699B" w:rsidRPr="00410037" w14:paraId="4EF9D20D" w14:textId="77777777" w:rsidTr="00785BA1">
        <w:trPr>
          <w:trHeight w:val="397"/>
        </w:trPr>
        <w:tc>
          <w:tcPr>
            <w:tcW w:w="1541" w:type="pct"/>
            <w:shd w:val="clear" w:color="auto" w:fill="auto"/>
            <w:hideMark/>
          </w:tcPr>
          <w:p w14:paraId="55007AD3" w14:textId="595AADB6" w:rsidR="005B699B" w:rsidRPr="00D126FD" w:rsidRDefault="005B699B" w:rsidP="00936C64">
            <w:pPr>
              <w:pStyle w:val="Tabletext9pt"/>
              <w:rPr>
                <w:lang w:eastAsia="en-AU"/>
              </w:rPr>
            </w:pPr>
            <w:r w:rsidRPr="00D126FD">
              <w:rPr>
                <w:lang w:eastAsia="en-AU"/>
              </w:rPr>
              <w:t xml:space="preserve">388 </w:t>
            </w:r>
            <w:r w:rsidR="008F470B">
              <w:rPr>
                <w:lang w:eastAsia="en-AU"/>
              </w:rPr>
              <w:t>–</w:t>
            </w:r>
            <w:r w:rsidR="008F470B" w:rsidRPr="00D126FD">
              <w:rPr>
                <w:lang w:eastAsia="en-AU"/>
              </w:rPr>
              <w:t xml:space="preserve"> </w:t>
            </w:r>
            <w:r w:rsidRPr="00D126FD">
              <w:rPr>
                <w:lang w:eastAsia="en-AU"/>
              </w:rPr>
              <w:t>Hyperbaric Statewide Service</w:t>
            </w:r>
          </w:p>
        </w:tc>
        <w:tc>
          <w:tcPr>
            <w:tcW w:w="1591" w:type="pct"/>
            <w:shd w:val="clear" w:color="auto" w:fill="auto"/>
            <w:hideMark/>
          </w:tcPr>
          <w:p w14:paraId="0E74E2FF"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35350B28" w14:textId="77777777" w:rsidR="005B699B" w:rsidRPr="00D126FD" w:rsidRDefault="005B699B" w:rsidP="00936C64">
            <w:pPr>
              <w:pStyle w:val="Tabletext9pt"/>
              <w:rPr>
                <w:lang w:eastAsia="en-AU"/>
              </w:rPr>
            </w:pPr>
          </w:p>
        </w:tc>
      </w:tr>
      <w:tr w:rsidR="005B699B" w:rsidRPr="00410037" w14:paraId="4CB8A10F" w14:textId="77777777" w:rsidTr="00785BA1">
        <w:trPr>
          <w:trHeight w:val="397"/>
        </w:trPr>
        <w:tc>
          <w:tcPr>
            <w:tcW w:w="1541" w:type="pct"/>
            <w:shd w:val="clear" w:color="auto" w:fill="auto"/>
            <w:hideMark/>
          </w:tcPr>
          <w:p w14:paraId="60FC125D" w14:textId="06C70FD0" w:rsidR="005B699B" w:rsidRPr="00D126FD" w:rsidRDefault="005B699B" w:rsidP="00936C64">
            <w:pPr>
              <w:pStyle w:val="Tabletext9pt"/>
              <w:rPr>
                <w:lang w:eastAsia="en-AU"/>
              </w:rPr>
            </w:pPr>
            <w:r w:rsidRPr="00D126FD">
              <w:rPr>
                <w:lang w:eastAsia="en-AU"/>
              </w:rPr>
              <w:t xml:space="preserve">39 </w:t>
            </w:r>
            <w:r w:rsidR="008F470B">
              <w:rPr>
                <w:lang w:eastAsia="en-AU"/>
              </w:rPr>
              <w:t>–</w:t>
            </w:r>
            <w:r w:rsidR="008F470B" w:rsidRPr="00D126FD">
              <w:rPr>
                <w:lang w:eastAsia="en-AU"/>
              </w:rPr>
              <w:t xml:space="preserve"> </w:t>
            </w:r>
            <w:r w:rsidRPr="00D126FD">
              <w:rPr>
                <w:lang w:eastAsia="en-AU"/>
              </w:rPr>
              <w:t>HIV/AIDS Contract</w:t>
            </w:r>
          </w:p>
        </w:tc>
        <w:tc>
          <w:tcPr>
            <w:tcW w:w="1591" w:type="pct"/>
            <w:shd w:val="clear" w:color="auto" w:fill="auto"/>
            <w:hideMark/>
          </w:tcPr>
          <w:p w14:paraId="41596B3A"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1E736A10" w14:textId="77777777" w:rsidR="005B699B" w:rsidRPr="00D126FD" w:rsidRDefault="005B699B" w:rsidP="00936C64">
            <w:pPr>
              <w:pStyle w:val="Tabletext9pt"/>
              <w:rPr>
                <w:lang w:eastAsia="en-AU"/>
              </w:rPr>
            </w:pPr>
          </w:p>
        </w:tc>
      </w:tr>
      <w:tr w:rsidR="005B699B" w:rsidRPr="00410037" w14:paraId="0626A387" w14:textId="77777777" w:rsidTr="00785BA1">
        <w:trPr>
          <w:trHeight w:val="397"/>
        </w:trPr>
        <w:tc>
          <w:tcPr>
            <w:tcW w:w="1541" w:type="pct"/>
            <w:shd w:val="clear" w:color="auto" w:fill="auto"/>
            <w:hideMark/>
          </w:tcPr>
          <w:p w14:paraId="62078D98" w14:textId="1DB6593C" w:rsidR="005B699B" w:rsidRPr="00D126FD" w:rsidRDefault="005B699B" w:rsidP="00936C64">
            <w:pPr>
              <w:pStyle w:val="Tabletext9pt"/>
              <w:rPr>
                <w:lang w:eastAsia="en-AU"/>
              </w:rPr>
            </w:pPr>
            <w:r w:rsidRPr="00D126FD">
              <w:rPr>
                <w:lang w:eastAsia="en-AU"/>
              </w:rPr>
              <w:t>46</w:t>
            </w:r>
            <w:r w:rsidRPr="00D126FD" w:rsidDel="008F470B">
              <w:rPr>
                <w:lang w:eastAsia="en-AU"/>
              </w:rPr>
              <w:t xml:space="preserve"> </w:t>
            </w:r>
            <w:r w:rsidR="008F470B">
              <w:rPr>
                <w:lang w:eastAsia="en-AU"/>
              </w:rPr>
              <w:t>–</w:t>
            </w:r>
            <w:r w:rsidR="008F470B" w:rsidRPr="00D126FD">
              <w:rPr>
                <w:lang w:eastAsia="en-AU"/>
              </w:rPr>
              <w:t xml:space="preserve"> </w:t>
            </w:r>
            <w:r w:rsidRPr="00D126FD">
              <w:rPr>
                <w:lang w:eastAsia="en-AU"/>
              </w:rPr>
              <w:t>Interstate Paediatric Cardiac Service</w:t>
            </w:r>
          </w:p>
        </w:tc>
        <w:tc>
          <w:tcPr>
            <w:tcW w:w="1591" w:type="pct"/>
            <w:shd w:val="clear" w:color="auto" w:fill="auto"/>
            <w:hideMark/>
          </w:tcPr>
          <w:p w14:paraId="56CFF58E"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030C33AA" w14:textId="77777777" w:rsidR="005B699B" w:rsidRPr="00D126FD" w:rsidRDefault="005B699B" w:rsidP="00936C64">
            <w:pPr>
              <w:pStyle w:val="Tabletext9pt"/>
              <w:rPr>
                <w:lang w:eastAsia="en-AU"/>
              </w:rPr>
            </w:pPr>
          </w:p>
        </w:tc>
      </w:tr>
      <w:tr w:rsidR="005B699B" w:rsidRPr="00410037" w14:paraId="6F62C02F" w14:textId="77777777" w:rsidTr="00785BA1">
        <w:trPr>
          <w:trHeight w:val="397"/>
        </w:trPr>
        <w:tc>
          <w:tcPr>
            <w:tcW w:w="1541" w:type="pct"/>
            <w:shd w:val="clear" w:color="auto" w:fill="auto"/>
            <w:hideMark/>
          </w:tcPr>
          <w:p w14:paraId="135C3050" w14:textId="778A0EE3" w:rsidR="005B699B" w:rsidRPr="00D126FD" w:rsidRDefault="005B699B" w:rsidP="00936C64">
            <w:pPr>
              <w:pStyle w:val="Tabletext9pt"/>
              <w:rPr>
                <w:lang w:eastAsia="en-AU"/>
              </w:rPr>
            </w:pPr>
            <w:r w:rsidRPr="00D126FD">
              <w:rPr>
                <w:lang w:eastAsia="en-AU"/>
              </w:rPr>
              <w:t xml:space="preserve">47 </w:t>
            </w:r>
            <w:r w:rsidR="008F470B">
              <w:rPr>
                <w:lang w:eastAsia="en-AU"/>
              </w:rPr>
              <w:t>–</w:t>
            </w:r>
            <w:r w:rsidR="008F470B" w:rsidRPr="00D126FD">
              <w:rPr>
                <w:lang w:eastAsia="en-AU"/>
              </w:rPr>
              <w:t xml:space="preserve"> </w:t>
            </w:r>
            <w:r w:rsidRPr="00D126FD">
              <w:rPr>
                <w:lang w:eastAsia="en-AU"/>
              </w:rPr>
              <w:t>Transplants-Heart</w:t>
            </w:r>
          </w:p>
        </w:tc>
        <w:tc>
          <w:tcPr>
            <w:tcW w:w="1591" w:type="pct"/>
            <w:shd w:val="clear" w:color="auto" w:fill="auto"/>
            <w:hideMark/>
          </w:tcPr>
          <w:p w14:paraId="52B6355D"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332A0DDE" w14:textId="77777777" w:rsidR="005B699B" w:rsidRPr="00D126FD" w:rsidRDefault="005B699B" w:rsidP="00936C64">
            <w:pPr>
              <w:pStyle w:val="Tabletext9pt"/>
              <w:rPr>
                <w:lang w:eastAsia="en-AU"/>
              </w:rPr>
            </w:pPr>
          </w:p>
        </w:tc>
      </w:tr>
      <w:tr w:rsidR="005B699B" w:rsidRPr="00410037" w14:paraId="1BBA4CE3" w14:textId="77777777" w:rsidTr="00785BA1">
        <w:trPr>
          <w:trHeight w:val="397"/>
        </w:trPr>
        <w:tc>
          <w:tcPr>
            <w:tcW w:w="1541" w:type="pct"/>
            <w:shd w:val="clear" w:color="auto" w:fill="auto"/>
            <w:hideMark/>
          </w:tcPr>
          <w:p w14:paraId="3A73B04E" w14:textId="066A0E3C" w:rsidR="005B699B" w:rsidRPr="00D126FD" w:rsidRDefault="005B699B" w:rsidP="00936C64">
            <w:pPr>
              <w:pStyle w:val="Tabletext9pt"/>
              <w:rPr>
                <w:lang w:eastAsia="en-AU"/>
              </w:rPr>
            </w:pPr>
            <w:r w:rsidRPr="00D126FD">
              <w:rPr>
                <w:lang w:eastAsia="en-AU"/>
              </w:rPr>
              <w:t xml:space="preserve">92 </w:t>
            </w:r>
            <w:r w:rsidR="008F470B">
              <w:rPr>
                <w:lang w:eastAsia="en-AU"/>
              </w:rPr>
              <w:t>–</w:t>
            </w:r>
            <w:r w:rsidR="008F470B" w:rsidRPr="00D126FD">
              <w:rPr>
                <w:lang w:eastAsia="en-AU"/>
              </w:rPr>
              <w:t xml:space="preserve"> </w:t>
            </w:r>
            <w:r w:rsidRPr="00D126FD">
              <w:rPr>
                <w:lang w:eastAsia="en-AU"/>
              </w:rPr>
              <w:t>Transplant-Heart/Lung</w:t>
            </w:r>
          </w:p>
        </w:tc>
        <w:tc>
          <w:tcPr>
            <w:tcW w:w="1591" w:type="pct"/>
            <w:shd w:val="clear" w:color="auto" w:fill="auto"/>
            <w:hideMark/>
          </w:tcPr>
          <w:p w14:paraId="033F631A"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31C989DA" w14:textId="77777777" w:rsidR="005B699B" w:rsidRPr="00D126FD" w:rsidRDefault="005B699B" w:rsidP="00936C64">
            <w:pPr>
              <w:pStyle w:val="Tabletext9pt"/>
              <w:rPr>
                <w:lang w:eastAsia="en-AU"/>
              </w:rPr>
            </w:pPr>
          </w:p>
        </w:tc>
      </w:tr>
      <w:tr w:rsidR="005B699B" w:rsidRPr="00410037" w14:paraId="45388564" w14:textId="77777777" w:rsidTr="00785BA1">
        <w:trPr>
          <w:trHeight w:val="397"/>
        </w:trPr>
        <w:tc>
          <w:tcPr>
            <w:tcW w:w="1541" w:type="pct"/>
            <w:shd w:val="clear" w:color="auto" w:fill="auto"/>
            <w:hideMark/>
          </w:tcPr>
          <w:p w14:paraId="55245F07" w14:textId="24D0C12C" w:rsidR="005B699B" w:rsidRPr="00D126FD" w:rsidRDefault="005B699B" w:rsidP="00936C64">
            <w:pPr>
              <w:pStyle w:val="Tabletext9pt"/>
              <w:rPr>
                <w:lang w:eastAsia="en-AU"/>
              </w:rPr>
            </w:pPr>
            <w:r w:rsidRPr="00D126FD">
              <w:rPr>
                <w:lang w:eastAsia="en-AU"/>
              </w:rPr>
              <w:t xml:space="preserve">384 </w:t>
            </w:r>
            <w:r w:rsidR="008F470B">
              <w:rPr>
                <w:lang w:eastAsia="en-AU"/>
              </w:rPr>
              <w:t>–</w:t>
            </w:r>
            <w:r w:rsidR="008F470B" w:rsidRPr="00D126FD">
              <w:rPr>
                <w:lang w:eastAsia="en-AU"/>
              </w:rPr>
              <w:t xml:space="preserve"> </w:t>
            </w:r>
            <w:r w:rsidRPr="00D126FD">
              <w:rPr>
                <w:lang w:eastAsia="en-AU"/>
              </w:rPr>
              <w:t>Genetic Clinical Activity</w:t>
            </w:r>
          </w:p>
        </w:tc>
        <w:tc>
          <w:tcPr>
            <w:tcW w:w="1591" w:type="pct"/>
            <w:shd w:val="clear" w:color="auto" w:fill="auto"/>
            <w:hideMark/>
          </w:tcPr>
          <w:p w14:paraId="6F5E8314"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17D799EB" w14:textId="202BED31" w:rsidR="005B699B" w:rsidRPr="00D126FD" w:rsidRDefault="005B699B" w:rsidP="00936C64">
            <w:pPr>
              <w:pStyle w:val="Tabletext9pt"/>
              <w:rPr>
                <w:highlight w:val="yellow"/>
                <w:lang w:eastAsia="en-AU"/>
              </w:rPr>
            </w:pPr>
            <w:r w:rsidRPr="009D1F95">
              <w:rPr>
                <w:lang w:eastAsia="en-AU"/>
              </w:rPr>
              <w:t>Work underway to transition genetic clinical activity provided by the Victorian Clinical Genetic Services and metabolic medicine/disease unit at The Royal Melbourne Hospital to the national funding model.</w:t>
            </w:r>
          </w:p>
        </w:tc>
      </w:tr>
      <w:tr w:rsidR="005B699B" w:rsidRPr="00410037" w14:paraId="09033F2B" w14:textId="77777777" w:rsidTr="00785BA1">
        <w:trPr>
          <w:trHeight w:val="397"/>
        </w:trPr>
        <w:tc>
          <w:tcPr>
            <w:tcW w:w="1541" w:type="pct"/>
            <w:shd w:val="clear" w:color="auto" w:fill="auto"/>
            <w:hideMark/>
          </w:tcPr>
          <w:p w14:paraId="24622FF0" w14:textId="677C9962" w:rsidR="005B699B" w:rsidRPr="00D126FD" w:rsidRDefault="005B699B" w:rsidP="00936C64">
            <w:pPr>
              <w:pStyle w:val="Tabletext9pt"/>
              <w:rPr>
                <w:lang w:eastAsia="en-AU"/>
              </w:rPr>
            </w:pPr>
            <w:r w:rsidRPr="00D126FD">
              <w:rPr>
                <w:lang w:eastAsia="en-AU"/>
              </w:rPr>
              <w:t xml:space="preserve">385 </w:t>
            </w:r>
            <w:r w:rsidR="008F470B">
              <w:rPr>
                <w:lang w:eastAsia="en-AU"/>
              </w:rPr>
              <w:t>–</w:t>
            </w:r>
            <w:r w:rsidR="008F470B" w:rsidRPr="00D126FD">
              <w:rPr>
                <w:lang w:eastAsia="en-AU"/>
              </w:rPr>
              <w:t xml:space="preserve"> </w:t>
            </w:r>
            <w:r w:rsidRPr="00D126FD">
              <w:rPr>
                <w:lang w:eastAsia="en-AU"/>
              </w:rPr>
              <w:t>Genetic Testing / Screening</w:t>
            </w:r>
          </w:p>
        </w:tc>
        <w:tc>
          <w:tcPr>
            <w:tcW w:w="1591" w:type="pct"/>
            <w:shd w:val="clear" w:color="auto" w:fill="auto"/>
            <w:hideMark/>
          </w:tcPr>
          <w:p w14:paraId="65D5BF29"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541371D8" w14:textId="77777777" w:rsidR="005B699B" w:rsidRPr="00D126FD" w:rsidRDefault="005B699B" w:rsidP="00936C64">
            <w:pPr>
              <w:pStyle w:val="Tabletext9pt"/>
              <w:rPr>
                <w:highlight w:val="yellow"/>
                <w:lang w:eastAsia="en-AU"/>
              </w:rPr>
            </w:pPr>
          </w:p>
        </w:tc>
      </w:tr>
      <w:tr w:rsidR="005B699B" w:rsidRPr="00410037" w14:paraId="66BDB0EF" w14:textId="77777777" w:rsidTr="00785BA1">
        <w:trPr>
          <w:trHeight w:val="397"/>
        </w:trPr>
        <w:tc>
          <w:tcPr>
            <w:tcW w:w="1541" w:type="pct"/>
            <w:shd w:val="clear" w:color="auto" w:fill="auto"/>
            <w:hideMark/>
          </w:tcPr>
          <w:p w14:paraId="5C9B03F9" w14:textId="01766897" w:rsidR="005B699B" w:rsidRPr="00D126FD" w:rsidRDefault="005B699B" w:rsidP="00936C64">
            <w:pPr>
              <w:pStyle w:val="Tabletext9pt"/>
              <w:rPr>
                <w:lang w:eastAsia="en-AU"/>
              </w:rPr>
            </w:pPr>
            <w:r w:rsidRPr="00D126FD">
              <w:rPr>
                <w:lang w:eastAsia="en-AU"/>
              </w:rPr>
              <w:t xml:space="preserve">643 </w:t>
            </w:r>
            <w:r w:rsidR="008F470B">
              <w:rPr>
                <w:lang w:eastAsia="en-AU"/>
              </w:rPr>
              <w:t>–</w:t>
            </w:r>
            <w:r w:rsidR="008F470B" w:rsidRPr="00D126FD">
              <w:rPr>
                <w:lang w:eastAsia="en-AU"/>
              </w:rPr>
              <w:t xml:space="preserve"> </w:t>
            </w:r>
            <w:r w:rsidRPr="00D126FD">
              <w:rPr>
                <w:lang w:eastAsia="en-AU"/>
              </w:rPr>
              <w:t>Home Cancer Nursing Services</w:t>
            </w:r>
          </w:p>
        </w:tc>
        <w:tc>
          <w:tcPr>
            <w:tcW w:w="1591" w:type="pct"/>
            <w:shd w:val="clear" w:color="auto" w:fill="auto"/>
            <w:hideMark/>
          </w:tcPr>
          <w:p w14:paraId="41F45FDE" w14:textId="77777777" w:rsidR="005B699B" w:rsidRPr="00D126FD" w:rsidRDefault="005B699B" w:rsidP="00936C64">
            <w:pPr>
              <w:pStyle w:val="Tabletext9pt"/>
              <w:rPr>
                <w:lang w:eastAsia="en-AU"/>
              </w:rPr>
            </w:pPr>
            <w:r w:rsidRPr="00D126FD">
              <w:rPr>
                <w:lang w:eastAsia="en-AU"/>
              </w:rPr>
              <w:t>Adjustments for statewide services</w:t>
            </w:r>
          </w:p>
        </w:tc>
        <w:tc>
          <w:tcPr>
            <w:tcW w:w="1868" w:type="pct"/>
            <w:shd w:val="clear" w:color="auto" w:fill="auto"/>
          </w:tcPr>
          <w:p w14:paraId="570E9D84" w14:textId="77777777" w:rsidR="005B699B" w:rsidRPr="00D126FD" w:rsidRDefault="005B699B" w:rsidP="00936C64">
            <w:pPr>
              <w:pStyle w:val="Tabletext9pt"/>
              <w:rPr>
                <w:lang w:eastAsia="en-AU"/>
              </w:rPr>
            </w:pPr>
          </w:p>
        </w:tc>
      </w:tr>
      <w:tr w:rsidR="005B699B" w:rsidRPr="00410037" w14:paraId="374967B0" w14:textId="77777777" w:rsidTr="00785BA1">
        <w:trPr>
          <w:trHeight w:val="397"/>
        </w:trPr>
        <w:tc>
          <w:tcPr>
            <w:tcW w:w="1541" w:type="pct"/>
            <w:shd w:val="clear" w:color="auto" w:fill="auto"/>
            <w:hideMark/>
          </w:tcPr>
          <w:p w14:paraId="1639B4D1" w14:textId="2C7F5846" w:rsidR="005B699B" w:rsidRPr="00D126FD" w:rsidRDefault="005B699B" w:rsidP="00936C64">
            <w:pPr>
              <w:pStyle w:val="Tabletext9pt"/>
              <w:rPr>
                <w:lang w:eastAsia="en-AU"/>
              </w:rPr>
            </w:pPr>
            <w:r w:rsidRPr="00D126FD">
              <w:rPr>
                <w:lang w:eastAsia="en-AU"/>
              </w:rPr>
              <w:lastRenderedPageBreak/>
              <w:t xml:space="preserve">529 </w:t>
            </w:r>
            <w:r w:rsidR="008F470B">
              <w:rPr>
                <w:lang w:eastAsia="en-AU"/>
              </w:rPr>
              <w:t>–</w:t>
            </w:r>
            <w:r w:rsidR="008F470B" w:rsidRPr="00D126FD">
              <w:rPr>
                <w:lang w:eastAsia="en-AU"/>
              </w:rPr>
              <w:t xml:space="preserve"> </w:t>
            </w:r>
            <w:r w:rsidRPr="00D126FD">
              <w:rPr>
                <w:lang w:eastAsia="en-AU"/>
              </w:rPr>
              <w:t>ABI price top up</w:t>
            </w:r>
          </w:p>
        </w:tc>
        <w:tc>
          <w:tcPr>
            <w:tcW w:w="1591" w:type="pct"/>
            <w:shd w:val="clear" w:color="auto" w:fill="auto"/>
            <w:hideMark/>
          </w:tcPr>
          <w:p w14:paraId="3EDA704C"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5D12DA31" w14:textId="77777777" w:rsidR="005B699B" w:rsidRPr="00D126FD" w:rsidRDefault="005B699B" w:rsidP="00936C64">
            <w:pPr>
              <w:pStyle w:val="Tabletext9pt"/>
              <w:rPr>
                <w:lang w:eastAsia="en-AU"/>
              </w:rPr>
            </w:pPr>
          </w:p>
        </w:tc>
      </w:tr>
      <w:tr w:rsidR="005B699B" w:rsidRPr="00410037" w14:paraId="56C31183" w14:textId="77777777" w:rsidTr="00785BA1">
        <w:trPr>
          <w:trHeight w:val="397"/>
        </w:trPr>
        <w:tc>
          <w:tcPr>
            <w:tcW w:w="1541" w:type="pct"/>
            <w:shd w:val="clear" w:color="auto" w:fill="auto"/>
            <w:hideMark/>
          </w:tcPr>
          <w:p w14:paraId="161B9545" w14:textId="2C6A44DB" w:rsidR="005B699B" w:rsidRPr="00D126FD" w:rsidRDefault="005B699B" w:rsidP="00936C64">
            <w:pPr>
              <w:pStyle w:val="Tabletext9pt"/>
              <w:rPr>
                <w:lang w:eastAsia="en-AU"/>
              </w:rPr>
            </w:pPr>
            <w:r w:rsidRPr="00D126FD">
              <w:rPr>
                <w:lang w:eastAsia="en-AU"/>
              </w:rPr>
              <w:t xml:space="preserve">727 </w:t>
            </w:r>
            <w:r w:rsidR="008F470B">
              <w:rPr>
                <w:lang w:eastAsia="en-AU"/>
              </w:rPr>
              <w:t>–</w:t>
            </w:r>
            <w:r w:rsidR="008F470B" w:rsidRPr="00D126FD">
              <w:rPr>
                <w:lang w:eastAsia="en-AU"/>
              </w:rPr>
              <w:t xml:space="preserve"> </w:t>
            </w:r>
            <w:r w:rsidRPr="00D126FD">
              <w:rPr>
                <w:lang w:eastAsia="en-AU"/>
              </w:rPr>
              <w:t>ABI Transition Living Service</w:t>
            </w:r>
          </w:p>
        </w:tc>
        <w:tc>
          <w:tcPr>
            <w:tcW w:w="1591" w:type="pct"/>
            <w:shd w:val="clear" w:color="auto" w:fill="auto"/>
            <w:hideMark/>
          </w:tcPr>
          <w:p w14:paraId="3B3A32BC"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42B938C1" w14:textId="77777777" w:rsidR="005B699B" w:rsidRPr="00D126FD" w:rsidRDefault="005B699B" w:rsidP="00936C64">
            <w:pPr>
              <w:pStyle w:val="Tabletext9pt"/>
              <w:rPr>
                <w:lang w:eastAsia="en-AU"/>
              </w:rPr>
            </w:pPr>
          </w:p>
        </w:tc>
      </w:tr>
      <w:tr w:rsidR="005B699B" w:rsidRPr="00410037" w14:paraId="42E147A6" w14:textId="77777777" w:rsidTr="00785BA1">
        <w:trPr>
          <w:trHeight w:val="397"/>
        </w:trPr>
        <w:tc>
          <w:tcPr>
            <w:tcW w:w="1541" w:type="pct"/>
            <w:shd w:val="clear" w:color="auto" w:fill="auto"/>
            <w:hideMark/>
          </w:tcPr>
          <w:p w14:paraId="1483C0C9" w14:textId="4F123C3F" w:rsidR="005B699B" w:rsidRPr="00D126FD" w:rsidRDefault="005B699B" w:rsidP="00936C64">
            <w:pPr>
              <w:pStyle w:val="Tabletext9pt"/>
              <w:rPr>
                <w:lang w:eastAsia="en-AU"/>
              </w:rPr>
            </w:pPr>
            <w:r w:rsidRPr="00D126FD">
              <w:rPr>
                <w:lang w:eastAsia="en-AU"/>
              </w:rPr>
              <w:t xml:space="preserve">125 </w:t>
            </w:r>
            <w:r w:rsidR="008F470B">
              <w:rPr>
                <w:lang w:eastAsia="en-AU"/>
              </w:rPr>
              <w:t>–</w:t>
            </w:r>
            <w:r w:rsidRPr="00D126FD">
              <w:rPr>
                <w:lang w:eastAsia="en-AU"/>
              </w:rPr>
              <w:t xml:space="preserve"> PCCP </w:t>
            </w:r>
            <w:r w:rsidR="008F470B">
              <w:rPr>
                <w:lang w:eastAsia="en-AU"/>
              </w:rPr>
              <w:t>–</w:t>
            </w:r>
            <w:r w:rsidRPr="00D126FD">
              <w:rPr>
                <w:lang w:eastAsia="en-AU"/>
              </w:rPr>
              <w:t xml:space="preserve"> Forensic Paediatric Medical Services Victoria</w:t>
            </w:r>
          </w:p>
        </w:tc>
        <w:tc>
          <w:tcPr>
            <w:tcW w:w="1591" w:type="pct"/>
            <w:shd w:val="clear" w:color="auto" w:fill="auto"/>
            <w:hideMark/>
          </w:tcPr>
          <w:p w14:paraId="1D878B9B"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74036FB4" w14:textId="77777777" w:rsidR="005B699B" w:rsidRPr="00D126FD" w:rsidRDefault="005B699B" w:rsidP="00936C64">
            <w:pPr>
              <w:pStyle w:val="Tabletext9pt"/>
              <w:rPr>
                <w:lang w:eastAsia="en-AU"/>
              </w:rPr>
            </w:pPr>
          </w:p>
        </w:tc>
      </w:tr>
      <w:tr w:rsidR="005B699B" w:rsidRPr="00410037" w14:paraId="4CE9C8A4" w14:textId="77777777" w:rsidTr="00785BA1">
        <w:trPr>
          <w:trHeight w:val="397"/>
        </w:trPr>
        <w:tc>
          <w:tcPr>
            <w:tcW w:w="1541" w:type="pct"/>
            <w:shd w:val="clear" w:color="auto" w:fill="auto"/>
            <w:hideMark/>
          </w:tcPr>
          <w:p w14:paraId="57867D80" w14:textId="613170B5" w:rsidR="005B699B" w:rsidRPr="00D126FD" w:rsidRDefault="005B699B" w:rsidP="00936C64">
            <w:pPr>
              <w:pStyle w:val="Tabletext9pt"/>
              <w:rPr>
                <w:lang w:eastAsia="en-AU"/>
              </w:rPr>
            </w:pPr>
            <w:r w:rsidRPr="00D126FD">
              <w:rPr>
                <w:lang w:eastAsia="en-AU"/>
              </w:rPr>
              <w:t xml:space="preserve">1589 </w:t>
            </w:r>
            <w:r w:rsidR="008F470B">
              <w:rPr>
                <w:lang w:eastAsia="en-AU"/>
              </w:rPr>
              <w:t>–</w:t>
            </w:r>
            <w:r w:rsidRPr="00D126FD">
              <w:rPr>
                <w:lang w:eastAsia="en-AU"/>
              </w:rPr>
              <w:t xml:space="preserve"> Value Based Healthcare</w:t>
            </w:r>
          </w:p>
        </w:tc>
        <w:tc>
          <w:tcPr>
            <w:tcW w:w="1591" w:type="pct"/>
            <w:shd w:val="clear" w:color="auto" w:fill="auto"/>
            <w:hideMark/>
          </w:tcPr>
          <w:p w14:paraId="5D897B4E" w14:textId="77777777" w:rsidR="005B699B" w:rsidRPr="00D126FD" w:rsidRDefault="005B699B" w:rsidP="00936C64">
            <w:pPr>
              <w:pStyle w:val="Tabletext9pt"/>
              <w:rPr>
                <w:lang w:eastAsia="en-AU"/>
              </w:rPr>
            </w:pPr>
            <w:r w:rsidRPr="00D126FD">
              <w:rPr>
                <w:lang w:eastAsia="en-AU"/>
              </w:rPr>
              <w:t xml:space="preserve">Adjustments for commissioning of new services </w:t>
            </w:r>
          </w:p>
        </w:tc>
        <w:tc>
          <w:tcPr>
            <w:tcW w:w="1868" w:type="pct"/>
            <w:shd w:val="clear" w:color="auto" w:fill="auto"/>
          </w:tcPr>
          <w:p w14:paraId="7E4C3713" w14:textId="77777777" w:rsidR="005B699B" w:rsidRPr="00D126FD" w:rsidRDefault="005B699B" w:rsidP="00936C64">
            <w:pPr>
              <w:pStyle w:val="Tabletext9pt"/>
              <w:rPr>
                <w:lang w:eastAsia="en-AU"/>
              </w:rPr>
            </w:pPr>
          </w:p>
        </w:tc>
      </w:tr>
      <w:tr w:rsidR="005B699B" w:rsidRPr="00410037" w14:paraId="22509E49" w14:textId="77777777" w:rsidTr="00785BA1">
        <w:trPr>
          <w:trHeight w:val="397"/>
        </w:trPr>
        <w:tc>
          <w:tcPr>
            <w:tcW w:w="1541" w:type="pct"/>
            <w:shd w:val="clear" w:color="auto" w:fill="auto"/>
            <w:hideMark/>
          </w:tcPr>
          <w:p w14:paraId="3FC31545" w14:textId="40BDAEC3" w:rsidR="005B699B" w:rsidRPr="00D126FD" w:rsidRDefault="005B699B" w:rsidP="00936C64">
            <w:pPr>
              <w:pStyle w:val="Tabletext9pt"/>
              <w:rPr>
                <w:lang w:eastAsia="en-AU"/>
              </w:rPr>
            </w:pPr>
            <w:r w:rsidRPr="00D126FD">
              <w:rPr>
                <w:lang w:eastAsia="en-AU"/>
              </w:rPr>
              <w:t xml:space="preserve">163 </w:t>
            </w:r>
            <w:r w:rsidR="008F470B">
              <w:rPr>
                <w:lang w:eastAsia="en-AU"/>
              </w:rPr>
              <w:t>–</w:t>
            </w:r>
            <w:r w:rsidRPr="00D126FD">
              <w:rPr>
                <w:lang w:eastAsia="en-AU"/>
              </w:rPr>
              <w:t xml:space="preserve"> PICS Long Term Effects Follow-up VCAP Program</w:t>
            </w:r>
          </w:p>
        </w:tc>
        <w:tc>
          <w:tcPr>
            <w:tcW w:w="1591" w:type="pct"/>
            <w:shd w:val="clear" w:color="auto" w:fill="auto"/>
            <w:hideMark/>
          </w:tcPr>
          <w:p w14:paraId="3A13BBCD"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2218891B" w14:textId="77777777" w:rsidR="005B699B" w:rsidRPr="00D126FD" w:rsidRDefault="005B699B" w:rsidP="00936C64">
            <w:pPr>
              <w:pStyle w:val="Tabletext9pt"/>
              <w:rPr>
                <w:lang w:eastAsia="en-AU"/>
              </w:rPr>
            </w:pPr>
          </w:p>
        </w:tc>
      </w:tr>
      <w:tr w:rsidR="005B699B" w:rsidRPr="00410037" w14:paraId="0AED9A57" w14:textId="77777777" w:rsidTr="00785BA1">
        <w:trPr>
          <w:trHeight w:val="397"/>
        </w:trPr>
        <w:tc>
          <w:tcPr>
            <w:tcW w:w="1541" w:type="pct"/>
            <w:shd w:val="clear" w:color="auto" w:fill="auto"/>
            <w:hideMark/>
          </w:tcPr>
          <w:p w14:paraId="09D52952" w14:textId="47E654F8" w:rsidR="005B699B" w:rsidRPr="00D126FD" w:rsidRDefault="005B699B" w:rsidP="00936C64">
            <w:pPr>
              <w:pStyle w:val="Tabletext9pt"/>
              <w:rPr>
                <w:lang w:eastAsia="en-AU"/>
              </w:rPr>
            </w:pPr>
            <w:r w:rsidRPr="00D126FD">
              <w:rPr>
                <w:lang w:eastAsia="en-AU"/>
              </w:rPr>
              <w:t xml:space="preserve">169 </w:t>
            </w:r>
            <w:r w:rsidR="008F470B">
              <w:rPr>
                <w:lang w:eastAsia="en-AU"/>
              </w:rPr>
              <w:t>–</w:t>
            </w:r>
            <w:r w:rsidRPr="00D126FD">
              <w:rPr>
                <w:lang w:eastAsia="en-AU"/>
              </w:rPr>
              <w:t xml:space="preserve"> Bronchiolitis RSV Strategy</w:t>
            </w:r>
          </w:p>
        </w:tc>
        <w:tc>
          <w:tcPr>
            <w:tcW w:w="1591" w:type="pct"/>
            <w:shd w:val="clear" w:color="auto" w:fill="auto"/>
            <w:hideMark/>
          </w:tcPr>
          <w:p w14:paraId="519ED740"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55B48F63" w14:textId="77777777" w:rsidR="005B699B" w:rsidRPr="00D126FD" w:rsidRDefault="005B699B" w:rsidP="00936C64">
            <w:pPr>
              <w:pStyle w:val="Tabletext9pt"/>
              <w:rPr>
                <w:lang w:eastAsia="en-AU"/>
              </w:rPr>
            </w:pPr>
          </w:p>
        </w:tc>
      </w:tr>
      <w:tr w:rsidR="005B699B" w:rsidRPr="00410037" w14:paraId="4C980A2E" w14:textId="77777777" w:rsidTr="00785BA1">
        <w:trPr>
          <w:trHeight w:val="397"/>
        </w:trPr>
        <w:tc>
          <w:tcPr>
            <w:tcW w:w="1541" w:type="pct"/>
            <w:shd w:val="clear" w:color="auto" w:fill="auto"/>
            <w:hideMark/>
          </w:tcPr>
          <w:p w14:paraId="5846B91F" w14:textId="6A5677AC" w:rsidR="005B699B" w:rsidRPr="00D126FD" w:rsidRDefault="005B699B" w:rsidP="00936C64">
            <w:pPr>
              <w:pStyle w:val="Tabletext9pt"/>
              <w:rPr>
                <w:lang w:eastAsia="en-AU"/>
              </w:rPr>
            </w:pPr>
            <w:r w:rsidRPr="00D126FD">
              <w:rPr>
                <w:lang w:eastAsia="en-AU"/>
              </w:rPr>
              <w:t xml:space="preserve">171 </w:t>
            </w:r>
            <w:r w:rsidR="008F470B">
              <w:rPr>
                <w:lang w:eastAsia="en-AU"/>
              </w:rPr>
              <w:t>–</w:t>
            </w:r>
            <w:r w:rsidR="008F470B" w:rsidRPr="00D126FD">
              <w:rPr>
                <w:lang w:eastAsia="en-AU"/>
              </w:rPr>
              <w:t xml:space="preserve"> </w:t>
            </w:r>
            <w:r w:rsidRPr="00D126FD">
              <w:rPr>
                <w:lang w:eastAsia="en-AU"/>
              </w:rPr>
              <w:t>Chemotherapy Support</w:t>
            </w:r>
          </w:p>
        </w:tc>
        <w:tc>
          <w:tcPr>
            <w:tcW w:w="1591" w:type="pct"/>
            <w:shd w:val="clear" w:color="auto" w:fill="auto"/>
            <w:hideMark/>
          </w:tcPr>
          <w:p w14:paraId="2C38B8F9"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171CF2B7" w14:textId="77777777" w:rsidR="005B699B" w:rsidRPr="00D126FD" w:rsidRDefault="005B699B" w:rsidP="00936C64">
            <w:pPr>
              <w:pStyle w:val="Tabletext9pt"/>
              <w:rPr>
                <w:lang w:eastAsia="en-AU"/>
              </w:rPr>
            </w:pPr>
          </w:p>
        </w:tc>
      </w:tr>
      <w:tr w:rsidR="005B699B" w:rsidRPr="00410037" w14:paraId="197888D4" w14:textId="77777777" w:rsidTr="00785BA1">
        <w:trPr>
          <w:trHeight w:val="397"/>
        </w:trPr>
        <w:tc>
          <w:tcPr>
            <w:tcW w:w="1541" w:type="pct"/>
            <w:shd w:val="clear" w:color="auto" w:fill="auto"/>
            <w:hideMark/>
          </w:tcPr>
          <w:p w14:paraId="7FCB6D49" w14:textId="1239E990" w:rsidR="005B699B" w:rsidRPr="00D126FD" w:rsidRDefault="005B699B" w:rsidP="00936C64">
            <w:pPr>
              <w:pStyle w:val="Tabletext9pt"/>
              <w:rPr>
                <w:lang w:eastAsia="en-AU"/>
              </w:rPr>
            </w:pPr>
            <w:r w:rsidRPr="00D126FD">
              <w:rPr>
                <w:lang w:eastAsia="en-AU"/>
              </w:rPr>
              <w:t xml:space="preserve">26 </w:t>
            </w:r>
            <w:r w:rsidR="008F470B">
              <w:rPr>
                <w:lang w:eastAsia="en-AU"/>
              </w:rPr>
              <w:t>–</w:t>
            </w:r>
            <w:r w:rsidRPr="00D126FD">
              <w:rPr>
                <w:lang w:eastAsia="en-AU"/>
              </w:rPr>
              <w:t xml:space="preserve"> Prison Ward</w:t>
            </w:r>
          </w:p>
        </w:tc>
        <w:tc>
          <w:tcPr>
            <w:tcW w:w="1591" w:type="pct"/>
            <w:shd w:val="clear" w:color="auto" w:fill="auto"/>
            <w:hideMark/>
          </w:tcPr>
          <w:p w14:paraId="3A2C7CE9"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57C0C5FE" w14:textId="77777777" w:rsidR="005B699B" w:rsidRPr="00D126FD" w:rsidRDefault="005B699B" w:rsidP="00936C64">
            <w:pPr>
              <w:pStyle w:val="Tabletext9pt"/>
              <w:rPr>
                <w:lang w:eastAsia="en-AU"/>
              </w:rPr>
            </w:pPr>
          </w:p>
        </w:tc>
      </w:tr>
      <w:tr w:rsidR="005B699B" w:rsidRPr="00410037" w14:paraId="4C5370E6" w14:textId="77777777" w:rsidTr="00785BA1">
        <w:trPr>
          <w:trHeight w:val="397"/>
        </w:trPr>
        <w:tc>
          <w:tcPr>
            <w:tcW w:w="1541" w:type="pct"/>
            <w:shd w:val="clear" w:color="auto" w:fill="auto"/>
            <w:hideMark/>
          </w:tcPr>
          <w:p w14:paraId="4025E18A" w14:textId="765D9F44" w:rsidR="005B699B" w:rsidRPr="00D126FD" w:rsidRDefault="005B699B" w:rsidP="00936C64">
            <w:pPr>
              <w:pStyle w:val="Tabletext9pt"/>
              <w:rPr>
                <w:lang w:eastAsia="en-AU"/>
              </w:rPr>
            </w:pPr>
            <w:r w:rsidRPr="00D126FD">
              <w:rPr>
                <w:lang w:eastAsia="en-AU"/>
              </w:rPr>
              <w:t xml:space="preserve">282 </w:t>
            </w:r>
            <w:r w:rsidR="008F470B">
              <w:rPr>
                <w:lang w:eastAsia="en-AU"/>
              </w:rPr>
              <w:t>–</w:t>
            </w:r>
            <w:r w:rsidR="008F470B" w:rsidRPr="00D126FD">
              <w:rPr>
                <w:lang w:eastAsia="en-AU"/>
              </w:rPr>
              <w:t xml:space="preserve"> </w:t>
            </w:r>
            <w:r w:rsidRPr="00D126FD">
              <w:rPr>
                <w:lang w:eastAsia="en-AU"/>
              </w:rPr>
              <w:t xml:space="preserve">Admin </w:t>
            </w:r>
            <w:r w:rsidR="008F470B">
              <w:rPr>
                <w:lang w:eastAsia="en-AU"/>
              </w:rPr>
              <w:t>–</w:t>
            </w:r>
            <w:r w:rsidRPr="00D126FD">
              <w:rPr>
                <w:lang w:eastAsia="en-AU"/>
              </w:rPr>
              <w:t xml:space="preserve"> Medical Indemnity Insurance Premium (PAM)</w:t>
            </w:r>
          </w:p>
        </w:tc>
        <w:tc>
          <w:tcPr>
            <w:tcW w:w="1591" w:type="pct"/>
            <w:shd w:val="clear" w:color="auto" w:fill="auto"/>
            <w:hideMark/>
          </w:tcPr>
          <w:p w14:paraId="084A51A3" w14:textId="77777777" w:rsidR="005B699B" w:rsidRPr="00D126FD" w:rsidRDefault="005B699B" w:rsidP="00936C64">
            <w:pPr>
              <w:pStyle w:val="Tabletext9pt"/>
              <w:rPr>
                <w:lang w:eastAsia="en-AU"/>
              </w:rPr>
            </w:pPr>
            <w:r w:rsidRPr="00D126FD">
              <w:rPr>
                <w:lang w:eastAsia="en-AU"/>
              </w:rPr>
              <w:t xml:space="preserve">Adjustments for classification </w:t>
            </w:r>
          </w:p>
        </w:tc>
        <w:tc>
          <w:tcPr>
            <w:tcW w:w="1868" w:type="pct"/>
            <w:shd w:val="clear" w:color="auto" w:fill="auto"/>
          </w:tcPr>
          <w:p w14:paraId="262AA046" w14:textId="77777777" w:rsidR="005B699B" w:rsidRPr="00D126FD" w:rsidRDefault="005B699B" w:rsidP="00936C64">
            <w:pPr>
              <w:pStyle w:val="Tabletext9pt"/>
              <w:rPr>
                <w:lang w:eastAsia="en-AU"/>
              </w:rPr>
            </w:pPr>
          </w:p>
        </w:tc>
      </w:tr>
      <w:tr w:rsidR="005B699B" w:rsidRPr="00410037" w14:paraId="552DEEAA" w14:textId="77777777" w:rsidTr="00785BA1">
        <w:trPr>
          <w:trHeight w:val="397"/>
        </w:trPr>
        <w:tc>
          <w:tcPr>
            <w:tcW w:w="1541" w:type="pct"/>
            <w:shd w:val="clear" w:color="auto" w:fill="auto"/>
            <w:hideMark/>
          </w:tcPr>
          <w:p w14:paraId="381F0EBB" w14:textId="3440953E" w:rsidR="005B699B" w:rsidRPr="00D126FD" w:rsidRDefault="005B699B" w:rsidP="00936C64">
            <w:pPr>
              <w:pStyle w:val="Tabletext9pt"/>
              <w:rPr>
                <w:lang w:eastAsia="en-AU"/>
              </w:rPr>
            </w:pPr>
            <w:r w:rsidRPr="00D126FD">
              <w:rPr>
                <w:lang w:eastAsia="en-AU"/>
              </w:rPr>
              <w:t xml:space="preserve">32 </w:t>
            </w:r>
            <w:r w:rsidR="008F470B">
              <w:rPr>
                <w:lang w:eastAsia="en-AU"/>
              </w:rPr>
              <w:t>–</w:t>
            </w:r>
            <w:r w:rsidR="008F470B" w:rsidRPr="00D126FD">
              <w:rPr>
                <w:lang w:eastAsia="en-AU"/>
              </w:rPr>
              <w:t xml:space="preserve"> </w:t>
            </w:r>
            <w:r w:rsidRPr="00D126FD">
              <w:rPr>
                <w:lang w:eastAsia="en-AU"/>
              </w:rPr>
              <w:t xml:space="preserve">Statewide </w:t>
            </w:r>
            <w:r w:rsidR="008F470B" w:rsidRPr="00D126FD">
              <w:rPr>
                <w:lang w:eastAsia="en-AU"/>
              </w:rPr>
              <w:t>Tox</w:t>
            </w:r>
            <w:r w:rsidR="008F470B">
              <w:rPr>
                <w:lang w:eastAsia="en-AU"/>
              </w:rPr>
              <w:t>ic</w:t>
            </w:r>
            <w:r w:rsidR="008F470B" w:rsidRPr="00D126FD">
              <w:rPr>
                <w:lang w:eastAsia="en-AU"/>
              </w:rPr>
              <w:t xml:space="preserve">ology </w:t>
            </w:r>
            <w:r w:rsidRPr="00D126FD">
              <w:rPr>
                <w:lang w:eastAsia="en-AU"/>
              </w:rPr>
              <w:t>Service</w:t>
            </w:r>
          </w:p>
        </w:tc>
        <w:tc>
          <w:tcPr>
            <w:tcW w:w="1591" w:type="pct"/>
            <w:shd w:val="clear" w:color="auto" w:fill="auto"/>
            <w:hideMark/>
          </w:tcPr>
          <w:p w14:paraId="1A84FA59" w14:textId="77777777" w:rsidR="005B699B" w:rsidRPr="00D126FD" w:rsidRDefault="005B699B" w:rsidP="00936C64">
            <w:pPr>
              <w:pStyle w:val="Tabletext9pt"/>
              <w:rPr>
                <w:lang w:eastAsia="en-AU"/>
              </w:rPr>
            </w:pPr>
            <w:r w:rsidRPr="00D126FD">
              <w:rPr>
                <w:lang w:eastAsia="en-AU"/>
              </w:rPr>
              <w:t xml:space="preserve">Adjustments for statewide services </w:t>
            </w:r>
          </w:p>
        </w:tc>
        <w:tc>
          <w:tcPr>
            <w:tcW w:w="1868" w:type="pct"/>
            <w:shd w:val="clear" w:color="auto" w:fill="auto"/>
          </w:tcPr>
          <w:p w14:paraId="7A84D6B6" w14:textId="77777777" w:rsidR="005B699B" w:rsidRPr="00D126FD" w:rsidRDefault="005B699B" w:rsidP="00936C64">
            <w:pPr>
              <w:pStyle w:val="Tabletext9pt"/>
              <w:rPr>
                <w:lang w:eastAsia="en-AU"/>
              </w:rPr>
            </w:pPr>
          </w:p>
        </w:tc>
      </w:tr>
      <w:tr w:rsidR="005B699B" w:rsidRPr="00410037" w14:paraId="164FB202" w14:textId="77777777" w:rsidTr="00785BA1">
        <w:trPr>
          <w:trHeight w:val="397"/>
        </w:trPr>
        <w:tc>
          <w:tcPr>
            <w:tcW w:w="1541" w:type="pct"/>
            <w:shd w:val="clear" w:color="auto" w:fill="auto"/>
            <w:hideMark/>
          </w:tcPr>
          <w:p w14:paraId="5E29D4D6" w14:textId="259A9454" w:rsidR="005B699B" w:rsidRPr="00D126FD" w:rsidRDefault="005B699B" w:rsidP="005258B4">
            <w:pPr>
              <w:pStyle w:val="Tabletext9pt"/>
              <w:rPr>
                <w:lang w:eastAsia="en-AU"/>
              </w:rPr>
            </w:pPr>
            <w:r w:rsidRPr="00D126FD">
              <w:rPr>
                <w:lang w:eastAsia="en-AU"/>
              </w:rPr>
              <w:t xml:space="preserve">387 </w:t>
            </w:r>
            <w:r w:rsidR="008F470B">
              <w:rPr>
                <w:lang w:eastAsia="en-AU"/>
              </w:rPr>
              <w:t>–</w:t>
            </w:r>
            <w:r w:rsidR="008F470B" w:rsidRPr="00D126FD">
              <w:rPr>
                <w:lang w:eastAsia="en-AU"/>
              </w:rPr>
              <w:t xml:space="preserve"> </w:t>
            </w:r>
            <w:r w:rsidRPr="00D126FD">
              <w:rPr>
                <w:lang w:eastAsia="en-AU"/>
              </w:rPr>
              <w:t>Aboriginal Cultural Safety</w:t>
            </w:r>
          </w:p>
        </w:tc>
        <w:tc>
          <w:tcPr>
            <w:tcW w:w="1591" w:type="pct"/>
            <w:shd w:val="clear" w:color="auto" w:fill="auto"/>
            <w:hideMark/>
          </w:tcPr>
          <w:p w14:paraId="05D6F0DC" w14:textId="77777777" w:rsidR="005B699B" w:rsidRPr="00D126FD" w:rsidRDefault="005B699B" w:rsidP="005258B4">
            <w:pPr>
              <w:pStyle w:val="Tabletext9pt"/>
              <w:rPr>
                <w:lang w:eastAsia="en-AU"/>
              </w:rPr>
            </w:pPr>
            <w:r w:rsidRPr="00D126FD">
              <w:rPr>
                <w:lang w:eastAsia="en-AU"/>
              </w:rPr>
              <w:t xml:space="preserve">Adjustments for classification </w:t>
            </w:r>
          </w:p>
        </w:tc>
        <w:tc>
          <w:tcPr>
            <w:tcW w:w="1868" w:type="pct"/>
            <w:shd w:val="clear" w:color="auto" w:fill="auto"/>
          </w:tcPr>
          <w:p w14:paraId="21E2D69B" w14:textId="77777777" w:rsidR="005B699B" w:rsidRPr="00D126FD" w:rsidRDefault="005B699B" w:rsidP="005258B4">
            <w:pPr>
              <w:pStyle w:val="Tabletext9pt"/>
              <w:rPr>
                <w:lang w:eastAsia="en-AU"/>
              </w:rPr>
            </w:pPr>
          </w:p>
        </w:tc>
      </w:tr>
      <w:tr w:rsidR="005B699B" w:rsidRPr="00410037" w14:paraId="4143406C" w14:textId="77777777" w:rsidTr="00785BA1">
        <w:trPr>
          <w:trHeight w:val="397"/>
        </w:trPr>
        <w:tc>
          <w:tcPr>
            <w:tcW w:w="1541" w:type="pct"/>
            <w:shd w:val="clear" w:color="auto" w:fill="auto"/>
            <w:hideMark/>
          </w:tcPr>
          <w:p w14:paraId="0A6CA4F6" w14:textId="6222E1B4" w:rsidR="005B699B" w:rsidRPr="00D126FD" w:rsidRDefault="005B699B" w:rsidP="002A5E3F">
            <w:pPr>
              <w:pStyle w:val="Tabletext9pt"/>
              <w:rPr>
                <w:lang w:eastAsia="en-AU"/>
              </w:rPr>
            </w:pPr>
            <w:r w:rsidRPr="00D126FD">
              <w:rPr>
                <w:lang w:eastAsia="en-AU"/>
              </w:rPr>
              <w:t xml:space="preserve">632 </w:t>
            </w:r>
            <w:r w:rsidR="008F470B">
              <w:rPr>
                <w:lang w:eastAsia="en-AU"/>
              </w:rPr>
              <w:t>–</w:t>
            </w:r>
            <w:r w:rsidR="008F470B" w:rsidRPr="00D126FD">
              <w:rPr>
                <w:lang w:eastAsia="en-AU"/>
              </w:rPr>
              <w:t xml:space="preserve"> </w:t>
            </w:r>
            <w:r w:rsidRPr="00D126FD">
              <w:rPr>
                <w:lang w:eastAsia="en-AU"/>
              </w:rPr>
              <w:t>Interpreter Services Supplement</w:t>
            </w:r>
          </w:p>
        </w:tc>
        <w:tc>
          <w:tcPr>
            <w:tcW w:w="1591" w:type="pct"/>
            <w:shd w:val="clear" w:color="auto" w:fill="auto"/>
            <w:hideMark/>
          </w:tcPr>
          <w:p w14:paraId="0501279F" w14:textId="77777777" w:rsidR="005B699B" w:rsidRPr="00D126FD" w:rsidRDefault="005B699B" w:rsidP="002A5E3F">
            <w:pPr>
              <w:pStyle w:val="Tabletext9pt"/>
              <w:rPr>
                <w:lang w:eastAsia="en-AU"/>
              </w:rPr>
            </w:pPr>
            <w:r w:rsidRPr="00D126FD">
              <w:rPr>
                <w:lang w:eastAsia="en-AU"/>
              </w:rPr>
              <w:t xml:space="preserve">Adjustments for classification </w:t>
            </w:r>
          </w:p>
        </w:tc>
        <w:tc>
          <w:tcPr>
            <w:tcW w:w="1868" w:type="pct"/>
            <w:shd w:val="clear" w:color="auto" w:fill="auto"/>
          </w:tcPr>
          <w:p w14:paraId="18599F5C" w14:textId="77777777" w:rsidR="005B699B" w:rsidRPr="00D126FD" w:rsidRDefault="005B699B" w:rsidP="002A5E3F">
            <w:pPr>
              <w:pStyle w:val="Tabletext9pt"/>
              <w:rPr>
                <w:lang w:eastAsia="en-AU"/>
              </w:rPr>
            </w:pPr>
          </w:p>
        </w:tc>
      </w:tr>
      <w:tr w:rsidR="005B699B" w:rsidRPr="00410037" w14:paraId="2516E70E" w14:textId="77777777" w:rsidTr="00785BA1">
        <w:trPr>
          <w:trHeight w:val="397"/>
        </w:trPr>
        <w:tc>
          <w:tcPr>
            <w:tcW w:w="1541" w:type="pct"/>
            <w:shd w:val="clear" w:color="auto" w:fill="auto"/>
            <w:hideMark/>
          </w:tcPr>
          <w:p w14:paraId="4C0B4B52" w14:textId="6F39A25C" w:rsidR="005B699B" w:rsidRPr="00D126FD" w:rsidRDefault="005B699B" w:rsidP="002A5E3F">
            <w:pPr>
              <w:pStyle w:val="Tabletext9pt"/>
              <w:rPr>
                <w:lang w:eastAsia="en-AU"/>
              </w:rPr>
            </w:pPr>
            <w:r w:rsidRPr="00D126FD">
              <w:rPr>
                <w:lang w:eastAsia="en-AU"/>
              </w:rPr>
              <w:t xml:space="preserve">640 </w:t>
            </w:r>
            <w:r w:rsidR="008F470B">
              <w:rPr>
                <w:lang w:eastAsia="en-AU"/>
              </w:rPr>
              <w:t>–</w:t>
            </w:r>
            <w:r w:rsidR="008F470B" w:rsidRPr="00D126FD">
              <w:rPr>
                <w:lang w:eastAsia="en-AU"/>
              </w:rPr>
              <w:t xml:space="preserve"> </w:t>
            </w:r>
            <w:r w:rsidRPr="00D126FD">
              <w:rPr>
                <w:lang w:eastAsia="en-AU"/>
              </w:rPr>
              <w:t>Prisoners Supplement</w:t>
            </w:r>
          </w:p>
        </w:tc>
        <w:tc>
          <w:tcPr>
            <w:tcW w:w="1591" w:type="pct"/>
            <w:shd w:val="clear" w:color="auto" w:fill="auto"/>
            <w:hideMark/>
          </w:tcPr>
          <w:p w14:paraId="68556BB1" w14:textId="77777777" w:rsidR="005B699B" w:rsidRPr="00D126FD" w:rsidRDefault="005B699B" w:rsidP="002A5E3F">
            <w:pPr>
              <w:pStyle w:val="Tabletext9pt"/>
              <w:rPr>
                <w:lang w:eastAsia="en-AU"/>
              </w:rPr>
            </w:pPr>
            <w:r w:rsidRPr="00D126FD">
              <w:rPr>
                <w:lang w:eastAsia="en-AU"/>
              </w:rPr>
              <w:t xml:space="preserve">Adjustments for statewide services </w:t>
            </w:r>
          </w:p>
        </w:tc>
        <w:tc>
          <w:tcPr>
            <w:tcW w:w="1868" w:type="pct"/>
            <w:shd w:val="clear" w:color="auto" w:fill="auto"/>
          </w:tcPr>
          <w:p w14:paraId="30115C83" w14:textId="77777777" w:rsidR="005B699B" w:rsidRPr="00D126FD" w:rsidRDefault="005B699B" w:rsidP="002A5E3F">
            <w:pPr>
              <w:pStyle w:val="Tabletext9pt"/>
              <w:rPr>
                <w:lang w:eastAsia="en-AU"/>
              </w:rPr>
            </w:pPr>
          </w:p>
        </w:tc>
      </w:tr>
      <w:tr w:rsidR="005B699B" w:rsidRPr="00410037" w14:paraId="72C04CA8" w14:textId="77777777" w:rsidTr="00785BA1">
        <w:trPr>
          <w:trHeight w:val="397"/>
        </w:trPr>
        <w:tc>
          <w:tcPr>
            <w:tcW w:w="1541" w:type="pct"/>
            <w:shd w:val="clear" w:color="auto" w:fill="auto"/>
            <w:hideMark/>
          </w:tcPr>
          <w:p w14:paraId="7AAAD947" w14:textId="111699D0" w:rsidR="005B699B" w:rsidRPr="00D126FD" w:rsidRDefault="005B699B" w:rsidP="002A5E3F">
            <w:pPr>
              <w:pStyle w:val="Tabletext9pt"/>
              <w:rPr>
                <w:lang w:eastAsia="en-AU"/>
              </w:rPr>
            </w:pPr>
            <w:r w:rsidRPr="00D126FD">
              <w:rPr>
                <w:lang w:eastAsia="en-AU"/>
              </w:rPr>
              <w:t xml:space="preserve">679 </w:t>
            </w:r>
            <w:r w:rsidR="008F470B">
              <w:rPr>
                <w:lang w:eastAsia="en-AU"/>
              </w:rPr>
              <w:t>–</w:t>
            </w:r>
            <w:r w:rsidR="008F470B" w:rsidRPr="00D126FD">
              <w:rPr>
                <w:lang w:eastAsia="en-AU"/>
              </w:rPr>
              <w:t xml:space="preserve"> </w:t>
            </w:r>
            <w:r w:rsidRPr="00D126FD">
              <w:rPr>
                <w:lang w:eastAsia="en-AU"/>
              </w:rPr>
              <w:t>Victorian Perinatal Autopsy (VPAS)</w:t>
            </w:r>
          </w:p>
        </w:tc>
        <w:tc>
          <w:tcPr>
            <w:tcW w:w="1591" w:type="pct"/>
            <w:shd w:val="clear" w:color="auto" w:fill="auto"/>
            <w:hideMark/>
          </w:tcPr>
          <w:p w14:paraId="075E66CB" w14:textId="77777777" w:rsidR="005B699B" w:rsidRPr="00D126FD" w:rsidRDefault="005B699B" w:rsidP="002A5E3F">
            <w:pPr>
              <w:pStyle w:val="Tabletext9pt"/>
              <w:rPr>
                <w:lang w:eastAsia="en-AU"/>
              </w:rPr>
            </w:pPr>
            <w:r w:rsidRPr="00D126FD">
              <w:rPr>
                <w:lang w:eastAsia="en-AU"/>
              </w:rPr>
              <w:t xml:space="preserve">Adjustments for statewide services </w:t>
            </w:r>
          </w:p>
        </w:tc>
        <w:tc>
          <w:tcPr>
            <w:tcW w:w="1868" w:type="pct"/>
            <w:shd w:val="clear" w:color="auto" w:fill="auto"/>
          </w:tcPr>
          <w:p w14:paraId="4B9A1FBC" w14:textId="77777777" w:rsidR="005B699B" w:rsidRPr="00D126FD" w:rsidRDefault="005B699B" w:rsidP="002A5E3F">
            <w:pPr>
              <w:pStyle w:val="Tabletext9pt"/>
              <w:rPr>
                <w:lang w:eastAsia="en-AU"/>
              </w:rPr>
            </w:pPr>
          </w:p>
        </w:tc>
      </w:tr>
      <w:tr w:rsidR="005B699B" w:rsidRPr="00410037" w14:paraId="506B0D81" w14:textId="77777777" w:rsidTr="00785BA1">
        <w:trPr>
          <w:trHeight w:val="397"/>
        </w:trPr>
        <w:tc>
          <w:tcPr>
            <w:tcW w:w="1541" w:type="pct"/>
            <w:shd w:val="clear" w:color="auto" w:fill="auto"/>
            <w:hideMark/>
          </w:tcPr>
          <w:p w14:paraId="5649AF4F" w14:textId="2B1773BD" w:rsidR="005B699B" w:rsidRPr="00D126FD" w:rsidRDefault="005B699B" w:rsidP="002A5E3F">
            <w:pPr>
              <w:pStyle w:val="Tabletext9pt"/>
              <w:rPr>
                <w:lang w:eastAsia="en-AU"/>
              </w:rPr>
            </w:pPr>
            <w:r w:rsidRPr="00D126FD">
              <w:rPr>
                <w:lang w:eastAsia="en-AU"/>
              </w:rPr>
              <w:t>8</w:t>
            </w:r>
            <w:r w:rsidRPr="00D126FD" w:rsidDel="008F470B">
              <w:rPr>
                <w:lang w:eastAsia="en-AU"/>
              </w:rPr>
              <w:t xml:space="preserve"> </w:t>
            </w:r>
            <w:r w:rsidR="008F470B">
              <w:rPr>
                <w:lang w:eastAsia="en-AU"/>
              </w:rPr>
              <w:t>–</w:t>
            </w:r>
            <w:r w:rsidR="008F470B" w:rsidRPr="00D126FD">
              <w:rPr>
                <w:lang w:eastAsia="en-AU"/>
              </w:rPr>
              <w:t xml:space="preserve"> </w:t>
            </w:r>
            <w:r w:rsidRPr="00D126FD">
              <w:rPr>
                <w:lang w:eastAsia="en-AU"/>
              </w:rPr>
              <w:t>Cell Separation Service</w:t>
            </w:r>
          </w:p>
        </w:tc>
        <w:tc>
          <w:tcPr>
            <w:tcW w:w="1591" w:type="pct"/>
            <w:shd w:val="clear" w:color="auto" w:fill="auto"/>
            <w:hideMark/>
          </w:tcPr>
          <w:p w14:paraId="63D7414A" w14:textId="77777777" w:rsidR="005B699B" w:rsidRPr="00D126FD" w:rsidRDefault="005B699B" w:rsidP="002A5E3F">
            <w:pPr>
              <w:pStyle w:val="Tabletext9pt"/>
              <w:rPr>
                <w:lang w:eastAsia="en-AU"/>
              </w:rPr>
            </w:pPr>
            <w:r w:rsidRPr="00D126FD">
              <w:rPr>
                <w:lang w:eastAsia="en-AU"/>
              </w:rPr>
              <w:t xml:space="preserve">Adjustments for statewide services </w:t>
            </w:r>
          </w:p>
        </w:tc>
        <w:tc>
          <w:tcPr>
            <w:tcW w:w="1868" w:type="pct"/>
            <w:shd w:val="clear" w:color="auto" w:fill="auto"/>
          </w:tcPr>
          <w:p w14:paraId="53F09AAF" w14:textId="77777777" w:rsidR="005B699B" w:rsidRPr="00D126FD" w:rsidRDefault="005B699B" w:rsidP="002A5E3F">
            <w:pPr>
              <w:pStyle w:val="Tabletext9pt"/>
              <w:rPr>
                <w:lang w:eastAsia="en-AU"/>
              </w:rPr>
            </w:pPr>
          </w:p>
        </w:tc>
      </w:tr>
      <w:tr w:rsidR="005B699B" w:rsidRPr="00410037" w14:paraId="4CF58E41" w14:textId="77777777" w:rsidTr="00785BA1">
        <w:trPr>
          <w:trHeight w:val="397"/>
        </w:trPr>
        <w:tc>
          <w:tcPr>
            <w:tcW w:w="1541" w:type="pct"/>
            <w:shd w:val="clear" w:color="auto" w:fill="auto"/>
            <w:hideMark/>
          </w:tcPr>
          <w:p w14:paraId="0B9A0A09" w14:textId="169CD0DF" w:rsidR="005B699B" w:rsidRPr="00D126FD" w:rsidRDefault="005B699B" w:rsidP="002A5E3F">
            <w:pPr>
              <w:pStyle w:val="Tabletext9pt"/>
              <w:rPr>
                <w:lang w:eastAsia="en-AU"/>
              </w:rPr>
            </w:pPr>
            <w:r w:rsidRPr="00D126FD">
              <w:rPr>
                <w:lang w:eastAsia="en-AU"/>
              </w:rPr>
              <w:t>427</w:t>
            </w:r>
            <w:r w:rsidRPr="00D126FD" w:rsidDel="008F470B">
              <w:rPr>
                <w:lang w:eastAsia="en-AU"/>
              </w:rPr>
              <w:t xml:space="preserve"> </w:t>
            </w:r>
            <w:r w:rsidR="008F470B">
              <w:rPr>
                <w:lang w:eastAsia="en-AU"/>
              </w:rPr>
              <w:t>–</w:t>
            </w:r>
            <w:r w:rsidR="008F470B" w:rsidRPr="00D126FD">
              <w:rPr>
                <w:lang w:eastAsia="en-AU"/>
              </w:rPr>
              <w:t xml:space="preserve"> </w:t>
            </w:r>
            <w:r w:rsidRPr="00D126FD">
              <w:rPr>
                <w:lang w:eastAsia="en-AU"/>
              </w:rPr>
              <w:t>Perinatal and Intensive Paediatric Emergency Retrieval</w:t>
            </w:r>
          </w:p>
        </w:tc>
        <w:tc>
          <w:tcPr>
            <w:tcW w:w="1591" w:type="pct"/>
            <w:shd w:val="clear" w:color="auto" w:fill="auto"/>
            <w:hideMark/>
          </w:tcPr>
          <w:p w14:paraId="2F7FC048" w14:textId="77777777" w:rsidR="005B699B" w:rsidRPr="00D126FD" w:rsidRDefault="005B699B" w:rsidP="002A5E3F">
            <w:pPr>
              <w:pStyle w:val="Tabletext9pt"/>
              <w:rPr>
                <w:lang w:eastAsia="en-AU"/>
              </w:rPr>
            </w:pPr>
            <w:r w:rsidRPr="00D126FD">
              <w:rPr>
                <w:lang w:eastAsia="en-AU"/>
              </w:rPr>
              <w:t xml:space="preserve">Adjustments for statewide services </w:t>
            </w:r>
          </w:p>
        </w:tc>
        <w:tc>
          <w:tcPr>
            <w:tcW w:w="1868" w:type="pct"/>
            <w:shd w:val="clear" w:color="auto" w:fill="auto"/>
          </w:tcPr>
          <w:p w14:paraId="530048CC" w14:textId="77777777" w:rsidR="005B699B" w:rsidRPr="00D126FD" w:rsidRDefault="005B699B" w:rsidP="002A5E3F">
            <w:pPr>
              <w:pStyle w:val="Tabletext9pt"/>
              <w:rPr>
                <w:lang w:eastAsia="en-AU"/>
              </w:rPr>
            </w:pPr>
          </w:p>
        </w:tc>
      </w:tr>
      <w:tr w:rsidR="005B699B" w:rsidRPr="00410037" w14:paraId="0E95F730" w14:textId="77777777" w:rsidTr="00785BA1">
        <w:trPr>
          <w:trHeight w:val="397"/>
        </w:trPr>
        <w:tc>
          <w:tcPr>
            <w:tcW w:w="1541" w:type="pct"/>
            <w:shd w:val="clear" w:color="auto" w:fill="auto"/>
            <w:hideMark/>
          </w:tcPr>
          <w:p w14:paraId="035F2CC8" w14:textId="1905C591" w:rsidR="005B699B" w:rsidRPr="00D126FD" w:rsidRDefault="005B699B" w:rsidP="002A5E3F">
            <w:pPr>
              <w:pStyle w:val="Tabletext9pt"/>
              <w:rPr>
                <w:lang w:eastAsia="en-AU"/>
              </w:rPr>
            </w:pPr>
            <w:r w:rsidRPr="00D126FD">
              <w:rPr>
                <w:lang w:eastAsia="en-AU"/>
              </w:rPr>
              <w:t xml:space="preserve">147 </w:t>
            </w:r>
            <w:r w:rsidR="008F470B">
              <w:rPr>
                <w:lang w:eastAsia="en-AU"/>
              </w:rPr>
              <w:t>–</w:t>
            </w:r>
            <w:r w:rsidR="008F470B" w:rsidRPr="00D126FD">
              <w:rPr>
                <w:lang w:eastAsia="en-AU"/>
              </w:rPr>
              <w:t xml:space="preserve"> </w:t>
            </w:r>
            <w:r w:rsidRPr="00D126FD">
              <w:rPr>
                <w:lang w:eastAsia="en-AU"/>
              </w:rPr>
              <w:t>Family Choice Program</w:t>
            </w:r>
          </w:p>
        </w:tc>
        <w:tc>
          <w:tcPr>
            <w:tcW w:w="1591" w:type="pct"/>
            <w:shd w:val="clear" w:color="auto" w:fill="auto"/>
            <w:hideMark/>
          </w:tcPr>
          <w:p w14:paraId="7545ADF9" w14:textId="77777777" w:rsidR="005B699B" w:rsidRPr="00D126FD" w:rsidRDefault="005B699B" w:rsidP="002A5E3F">
            <w:pPr>
              <w:pStyle w:val="Tabletext9pt"/>
              <w:rPr>
                <w:lang w:eastAsia="en-AU"/>
              </w:rPr>
            </w:pPr>
            <w:r w:rsidRPr="00D126FD">
              <w:rPr>
                <w:lang w:eastAsia="en-AU"/>
              </w:rPr>
              <w:t xml:space="preserve">Adjustments for statewide services </w:t>
            </w:r>
          </w:p>
        </w:tc>
        <w:tc>
          <w:tcPr>
            <w:tcW w:w="1868" w:type="pct"/>
            <w:shd w:val="clear" w:color="auto" w:fill="auto"/>
          </w:tcPr>
          <w:p w14:paraId="0D3027F0" w14:textId="77777777" w:rsidR="005B699B" w:rsidRPr="00D126FD" w:rsidRDefault="005B699B" w:rsidP="002A5E3F">
            <w:pPr>
              <w:pStyle w:val="Tabletext9pt"/>
              <w:rPr>
                <w:lang w:eastAsia="en-AU"/>
              </w:rPr>
            </w:pPr>
            <w:r w:rsidRPr="00D126FD">
              <w:rPr>
                <w:lang w:eastAsia="en-AU"/>
              </w:rPr>
              <w:t>Now known as Complex Care Program.</w:t>
            </w:r>
          </w:p>
          <w:p w14:paraId="0B78ED0B" w14:textId="77777777" w:rsidR="005B699B" w:rsidRPr="00D126FD" w:rsidRDefault="005B699B" w:rsidP="002A5E3F">
            <w:pPr>
              <w:pStyle w:val="Tabletext9pt"/>
              <w:rPr>
                <w:lang w:eastAsia="en-AU"/>
              </w:rPr>
            </w:pPr>
            <w:r w:rsidRPr="00D126FD">
              <w:rPr>
                <w:lang w:eastAsia="en-AU"/>
              </w:rPr>
              <w:t>Activity classified using the Tier 2 non-admitted services classification, and unit of count is ‘service event’.</w:t>
            </w:r>
          </w:p>
          <w:p w14:paraId="392A8415" w14:textId="77777777" w:rsidR="005B699B" w:rsidRPr="00D126FD" w:rsidRDefault="005B699B" w:rsidP="002A5E3F">
            <w:pPr>
              <w:pStyle w:val="Tabletext9pt"/>
              <w:rPr>
                <w:lang w:eastAsia="en-AU"/>
              </w:rPr>
            </w:pPr>
            <w:r w:rsidRPr="00D126FD">
              <w:rPr>
                <w:lang w:eastAsia="en-AU"/>
              </w:rPr>
              <w:t xml:space="preserve">Non-admitted services to be reported as service events through the relevant AIMS form and report contacts through the VINAH minimum dataset. These service events do not attract NWAU. </w:t>
            </w:r>
          </w:p>
          <w:p w14:paraId="2F19DF3D" w14:textId="77777777" w:rsidR="005B699B" w:rsidRPr="00D126FD" w:rsidRDefault="005B699B" w:rsidP="002A5E3F">
            <w:pPr>
              <w:pStyle w:val="Tabletext9pt"/>
              <w:rPr>
                <w:lang w:eastAsia="en-AU"/>
              </w:rPr>
            </w:pPr>
            <w:r w:rsidRPr="00D126FD">
              <w:rPr>
                <w:lang w:eastAsia="en-AU"/>
              </w:rPr>
              <w:lastRenderedPageBreak/>
              <w:t>Providers to maintain and report patient-level costing data to VCDC.</w:t>
            </w:r>
          </w:p>
        </w:tc>
      </w:tr>
      <w:tr w:rsidR="005B699B" w:rsidRPr="00410037" w14:paraId="02AACD04" w14:textId="77777777" w:rsidTr="00785BA1">
        <w:trPr>
          <w:trHeight w:val="397"/>
        </w:trPr>
        <w:tc>
          <w:tcPr>
            <w:tcW w:w="1541" w:type="pct"/>
            <w:shd w:val="clear" w:color="auto" w:fill="auto"/>
            <w:hideMark/>
          </w:tcPr>
          <w:p w14:paraId="2A389F9D" w14:textId="77777777" w:rsidR="005B699B" w:rsidRPr="00D126FD" w:rsidRDefault="005B699B" w:rsidP="002A5E3F">
            <w:pPr>
              <w:pStyle w:val="Tabletext9pt"/>
              <w:rPr>
                <w:lang w:eastAsia="en-AU"/>
              </w:rPr>
            </w:pPr>
            <w:r w:rsidRPr="00D126FD">
              <w:rPr>
                <w:lang w:eastAsia="en-AU"/>
              </w:rPr>
              <w:lastRenderedPageBreak/>
              <w:t>438 – Victorian Artificial Limb Program</w:t>
            </w:r>
          </w:p>
        </w:tc>
        <w:tc>
          <w:tcPr>
            <w:tcW w:w="1591" w:type="pct"/>
            <w:shd w:val="clear" w:color="auto" w:fill="auto"/>
            <w:hideMark/>
          </w:tcPr>
          <w:p w14:paraId="59502632" w14:textId="77777777" w:rsidR="005B699B" w:rsidRPr="00D126FD" w:rsidRDefault="005B699B" w:rsidP="002A5E3F">
            <w:pPr>
              <w:pStyle w:val="Tabletext9pt"/>
              <w:rPr>
                <w:lang w:eastAsia="en-AU"/>
              </w:rPr>
            </w:pPr>
            <w:r w:rsidRPr="00D126FD">
              <w:rPr>
                <w:lang w:eastAsia="en-AU"/>
              </w:rPr>
              <w:t xml:space="preserve">Adjustments for classification </w:t>
            </w:r>
          </w:p>
        </w:tc>
        <w:tc>
          <w:tcPr>
            <w:tcW w:w="1868" w:type="pct"/>
            <w:shd w:val="clear" w:color="auto" w:fill="auto"/>
          </w:tcPr>
          <w:p w14:paraId="72D63609" w14:textId="77777777" w:rsidR="005B699B" w:rsidRPr="00D126FD" w:rsidRDefault="005B699B" w:rsidP="002A5E3F">
            <w:pPr>
              <w:pStyle w:val="Tabletext9pt"/>
              <w:rPr>
                <w:lang w:eastAsia="en-AU"/>
              </w:rPr>
            </w:pPr>
            <w:r w:rsidRPr="00D126FD">
              <w:rPr>
                <w:lang w:eastAsia="en-AU"/>
              </w:rPr>
              <w:t>Activity classified using the Tier 2 non-admitted services classification, and unit of count is ‘service event’.</w:t>
            </w:r>
          </w:p>
          <w:p w14:paraId="1EE3EA5D" w14:textId="77777777" w:rsidR="005B699B" w:rsidRPr="00D126FD" w:rsidRDefault="005B699B" w:rsidP="002A5E3F">
            <w:pPr>
              <w:pStyle w:val="Tabletext9pt"/>
              <w:rPr>
                <w:lang w:eastAsia="en-AU"/>
              </w:rPr>
            </w:pPr>
            <w:r w:rsidRPr="00D126FD">
              <w:rPr>
                <w:lang w:eastAsia="en-AU"/>
              </w:rPr>
              <w:t>Non-admitted services to reported as service events through the relevant AIMS form and report contacts through the VINAH minimum dataset. These service events do not attract NWAU.</w:t>
            </w:r>
          </w:p>
          <w:p w14:paraId="28A2A543" w14:textId="77777777" w:rsidR="005B699B" w:rsidRPr="00D126FD" w:rsidRDefault="005B699B" w:rsidP="002A5E3F">
            <w:pPr>
              <w:pStyle w:val="Tabletext9pt"/>
              <w:rPr>
                <w:lang w:eastAsia="en-AU"/>
              </w:rPr>
            </w:pPr>
            <w:r w:rsidRPr="00D126FD">
              <w:rPr>
                <w:lang w:eastAsia="en-AU"/>
              </w:rPr>
              <w:t>Providers to maintain and report patient-level costing data to VCDC.</w:t>
            </w:r>
          </w:p>
        </w:tc>
      </w:tr>
      <w:tr w:rsidR="00E64277" w:rsidRPr="00410037" w14:paraId="12D24989" w14:textId="77777777" w:rsidTr="00785BA1">
        <w:trPr>
          <w:trHeight w:val="397"/>
        </w:trPr>
        <w:tc>
          <w:tcPr>
            <w:tcW w:w="1541" w:type="pct"/>
            <w:shd w:val="clear" w:color="auto" w:fill="auto"/>
          </w:tcPr>
          <w:p w14:paraId="3D0C6061" w14:textId="1AA15223" w:rsidR="00E64277" w:rsidRPr="00D126FD" w:rsidRDefault="00E64277" w:rsidP="00E64277">
            <w:pPr>
              <w:pStyle w:val="Tabletext9pt"/>
              <w:rPr>
                <w:lang w:eastAsia="en-AU"/>
              </w:rPr>
            </w:pPr>
            <w:r w:rsidRPr="00C53A55">
              <w:rPr>
                <w:lang w:eastAsia="en-AU"/>
              </w:rPr>
              <w:t>2048 - Home Dialysis - Stabilisation</w:t>
            </w:r>
          </w:p>
        </w:tc>
        <w:tc>
          <w:tcPr>
            <w:tcW w:w="1591" w:type="pct"/>
            <w:shd w:val="clear" w:color="auto" w:fill="auto"/>
          </w:tcPr>
          <w:p w14:paraId="1EDA45DA" w14:textId="07156367" w:rsidR="00E64277" w:rsidRPr="00D126FD" w:rsidRDefault="00E64277" w:rsidP="00E64277">
            <w:pPr>
              <w:pStyle w:val="Tabletext9pt"/>
              <w:rPr>
                <w:lang w:eastAsia="en-AU"/>
              </w:rPr>
            </w:pPr>
            <w:r w:rsidRPr="00D126FD">
              <w:rPr>
                <w:lang w:eastAsia="en-AU"/>
              </w:rPr>
              <w:t xml:space="preserve">Adjustments for classification </w:t>
            </w:r>
          </w:p>
        </w:tc>
        <w:tc>
          <w:tcPr>
            <w:tcW w:w="1868" w:type="pct"/>
            <w:shd w:val="clear" w:color="auto" w:fill="auto"/>
          </w:tcPr>
          <w:p w14:paraId="36B68327" w14:textId="77777777" w:rsidR="00E64277" w:rsidRPr="00D126FD" w:rsidRDefault="00E64277" w:rsidP="00E64277">
            <w:pPr>
              <w:pStyle w:val="Tabletext9pt"/>
              <w:rPr>
                <w:lang w:eastAsia="en-AU"/>
              </w:rPr>
            </w:pPr>
          </w:p>
        </w:tc>
      </w:tr>
    </w:tbl>
    <w:p w14:paraId="0DCD5B96" w14:textId="77777777" w:rsidR="005B699B" w:rsidRDefault="005B699B" w:rsidP="005B699B">
      <w:pPr>
        <w:pStyle w:val="Body"/>
      </w:pPr>
    </w:p>
    <w:p w14:paraId="1A3F3182" w14:textId="77777777" w:rsidR="005B699B" w:rsidRDefault="005B699B" w:rsidP="005B699B">
      <w:pPr>
        <w:pStyle w:val="Body"/>
      </w:pPr>
    </w:p>
    <w:p w14:paraId="055AFB8E" w14:textId="77777777" w:rsidR="005B699B" w:rsidRDefault="005B699B" w:rsidP="005B699B">
      <w:pPr>
        <w:pStyle w:val="Body"/>
        <w:sectPr w:rsidR="005B699B" w:rsidSect="005B699B">
          <w:headerReference w:type="default" r:id="rId93"/>
          <w:footerReference w:type="default" r:id="rId94"/>
          <w:headerReference w:type="first" r:id="rId95"/>
          <w:pgSz w:w="16838" w:h="11906" w:orient="landscape" w:code="9"/>
          <w:pgMar w:top="1304" w:right="1418" w:bottom="1304" w:left="1134" w:header="680" w:footer="283" w:gutter="0"/>
          <w:cols w:space="340"/>
          <w:docGrid w:linePitch="360"/>
        </w:sectPr>
      </w:pPr>
    </w:p>
    <w:p w14:paraId="0E713A53" w14:textId="77777777" w:rsidR="005B699B" w:rsidRDefault="005B699B" w:rsidP="00AF18F3">
      <w:pPr>
        <w:pStyle w:val="Heading1"/>
        <w:numPr>
          <w:ilvl w:val="0"/>
          <w:numId w:val="0"/>
        </w:numPr>
      </w:pPr>
      <w:bookmarkStart w:id="2707" w:name="_Toc100263387"/>
      <w:bookmarkStart w:id="2708" w:name="_Toc55381183"/>
      <w:bookmarkStart w:id="2709" w:name="_Toc165961882"/>
      <w:bookmarkStart w:id="2710" w:name="_Toc178963668"/>
      <w:bookmarkEnd w:id="2396"/>
      <w:bookmarkEnd w:id="2397"/>
      <w:r>
        <w:lastRenderedPageBreak/>
        <w:t>List of tables</w:t>
      </w:r>
      <w:bookmarkEnd w:id="2398"/>
      <w:bookmarkEnd w:id="2707"/>
      <w:bookmarkEnd w:id="2708"/>
      <w:bookmarkEnd w:id="2709"/>
      <w:bookmarkEnd w:id="2710"/>
    </w:p>
    <w:p w14:paraId="598BB92B" w14:textId="3168C6A5" w:rsidR="00C50CD4" w:rsidRDefault="005B699B">
      <w:pPr>
        <w:pStyle w:val="TOC4"/>
        <w:rPr>
          <w:rFonts w:asciiTheme="minorHAnsi" w:eastAsiaTheme="minorEastAsia" w:hAnsiTheme="minorHAnsi" w:cstheme="minorBidi"/>
          <w:noProof/>
          <w:kern w:val="2"/>
          <w:sz w:val="24"/>
          <w:szCs w:val="24"/>
          <w:lang w:eastAsia="en-AU"/>
          <w14:ligatures w14:val="standardContextual"/>
        </w:rPr>
      </w:pPr>
      <w:r w:rsidRPr="00F02E93">
        <w:rPr>
          <w:noProof/>
          <w:sz w:val="18"/>
          <w:szCs w:val="18"/>
        </w:rPr>
        <w:fldChar w:fldCharType="begin"/>
      </w:r>
      <w:r w:rsidRPr="00F02E93">
        <w:rPr>
          <w:sz w:val="18"/>
          <w:szCs w:val="18"/>
        </w:rPr>
        <w:instrText xml:space="preserve"> TOC \h \z \t "Table caption,4" </w:instrText>
      </w:r>
      <w:r w:rsidRPr="00F02E93">
        <w:rPr>
          <w:noProof/>
          <w:sz w:val="18"/>
          <w:szCs w:val="18"/>
        </w:rPr>
        <w:fldChar w:fldCharType="separate"/>
      </w:r>
      <w:hyperlink w:anchor="_Toc176510392" w:history="1">
        <w:r w:rsidR="00C50CD4" w:rsidRPr="0042064D">
          <w:rPr>
            <w:rStyle w:val="Hyperlink"/>
            <w:noProof/>
          </w:rPr>
          <w:t>Table 1.1: LPHU cost centres</w:t>
        </w:r>
        <w:r w:rsidR="00C50CD4">
          <w:rPr>
            <w:noProof/>
            <w:webHidden/>
          </w:rPr>
          <w:tab/>
        </w:r>
        <w:r w:rsidR="00C50CD4">
          <w:rPr>
            <w:noProof/>
            <w:webHidden/>
          </w:rPr>
          <w:fldChar w:fldCharType="begin"/>
        </w:r>
        <w:r w:rsidR="00C50CD4">
          <w:rPr>
            <w:noProof/>
            <w:webHidden/>
          </w:rPr>
          <w:instrText xml:space="preserve"> PAGEREF _Toc176510392 \h </w:instrText>
        </w:r>
        <w:r w:rsidR="00C50CD4">
          <w:rPr>
            <w:noProof/>
            <w:webHidden/>
          </w:rPr>
        </w:r>
        <w:r w:rsidR="00C50CD4">
          <w:rPr>
            <w:noProof/>
            <w:webHidden/>
          </w:rPr>
          <w:fldChar w:fldCharType="separate"/>
        </w:r>
        <w:r w:rsidR="00C50CD4">
          <w:rPr>
            <w:noProof/>
            <w:webHidden/>
          </w:rPr>
          <w:t>16</w:t>
        </w:r>
        <w:r w:rsidR="00C50CD4">
          <w:rPr>
            <w:noProof/>
            <w:webHidden/>
          </w:rPr>
          <w:fldChar w:fldCharType="end"/>
        </w:r>
      </w:hyperlink>
    </w:p>
    <w:p w14:paraId="604B7A77" w14:textId="4F6AA7B4"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3" w:history="1">
        <w:r w:rsidR="00C50CD4" w:rsidRPr="0042064D">
          <w:rPr>
            <w:rStyle w:val="Hyperlink"/>
            <w:noProof/>
          </w:rPr>
          <w:t>Table 1.2: Funding arrangements for Department of Veterans’ Affairs patients</w:t>
        </w:r>
        <w:r w:rsidR="00C50CD4">
          <w:rPr>
            <w:noProof/>
            <w:webHidden/>
          </w:rPr>
          <w:tab/>
        </w:r>
        <w:r w:rsidR="00C50CD4">
          <w:rPr>
            <w:noProof/>
            <w:webHidden/>
          </w:rPr>
          <w:fldChar w:fldCharType="begin"/>
        </w:r>
        <w:r w:rsidR="00C50CD4">
          <w:rPr>
            <w:noProof/>
            <w:webHidden/>
          </w:rPr>
          <w:instrText xml:space="preserve"> PAGEREF _Toc176510393 \h </w:instrText>
        </w:r>
        <w:r w:rsidR="00C50CD4">
          <w:rPr>
            <w:noProof/>
            <w:webHidden/>
          </w:rPr>
        </w:r>
        <w:r w:rsidR="00C50CD4">
          <w:rPr>
            <w:noProof/>
            <w:webHidden/>
          </w:rPr>
          <w:fldChar w:fldCharType="separate"/>
        </w:r>
        <w:r w:rsidR="00C50CD4">
          <w:rPr>
            <w:noProof/>
            <w:webHidden/>
          </w:rPr>
          <w:t>24</w:t>
        </w:r>
        <w:r w:rsidR="00C50CD4">
          <w:rPr>
            <w:noProof/>
            <w:webHidden/>
          </w:rPr>
          <w:fldChar w:fldCharType="end"/>
        </w:r>
      </w:hyperlink>
    </w:p>
    <w:p w14:paraId="4AA60AE3" w14:textId="401CDB22"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4" w:history="1">
        <w:r w:rsidR="00C50CD4" w:rsidRPr="0042064D">
          <w:rPr>
            <w:rStyle w:val="Hyperlink"/>
            <w:noProof/>
          </w:rPr>
          <w:t>Table 1.3: Avoidable hospital readmissions and readmission intervals</w:t>
        </w:r>
        <w:r w:rsidR="00C50CD4">
          <w:rPr>
            <w:noProof/>
            <w:webHidden/>
          </w:rPr>
          <w:tab/>
        </w:r>
        <w:r w:rsidR="00C50CD4">
          <w:rPr>
            <w:noProof/>
            <w:webHidden/>
          </w:rPr>
          <w:fldChar w:fldCharType="begin"/>
        </w:r>
        <w:r w:rsidR="00C50CD4">
          <w:rPr>
            <w:noProof/>
            <w:webHidden/>
          </w:rPr>
          <w:instrText xml:space="preserve"> PAGEREF _Toc176510394 \h </w:instrText>
        </w:r>
        <w:r w:rsidR="00C50CD4">
          <w:rPr>
            <w:noProof/>
            <w:webHidden/>
          </w:rPr>
        </w:r>
        <w:r w:rsidR="00C50CD4">
          <w:rPr>
            <w:noProof/>
            <w:webHidden/>
          </w:rPr>
          <w:fldChar w:fldCharType="separate"/>
        </w:r>
        <w:r w:rsidR="00C50CD4">
          <w:rPr>
            <w:noProof/>
            <w:webHidden/>
          </w:rPr>
          <w:t>34</w:t>
        </w:r>
        <w:r w:rsidR="00C50CD4">
          <w:rPr>
            <w:noProof/>
            <w:webHidden/>
          </w:rPr>
          <w:fldChar w:fldCharType="end"/>
        </w:r>
      </w:hyperlink>
    </w:p>
    <w:p w14:paraId="5EFC7045" w14:textId="319C02FC"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5" w:history="1">
        <w:r w:rsidR="00C50CD4" w:rsidRPr="0042064D">
          <w:rPr>
            <w:rStyle w:val="Hyperlink"/>
            <w:noProof/>
          </w:rPr>
          <w:t>Table 1.4: Victorian funding recall rates 2024–25</w:t>
        </w:r>
        <w:r w:rsidR="00C50CD4">
          <w:rPr>
            <w:noProof/>
            <w:webHidden/>
          </w:rPr>
          <w:tab/>
        </w:r>
        <w:r w:rsidR="00C50CD4">
          <w:rPr>
            <w:noProof/>
            <w:webHidden/>
          </w:rPr>
          <w:fldChar w:fldCharType="begin"/>
        </w:r>
        <w:r w:rsidR="00C50CD4">
          <w:rPr>
            <w:noProof/>
            <w:webHidden/>
          </w:rPr>
          <w:instrText xml:space="preserve"> PAGEREF _Toc176510395 \h </w:instrText>
        </w:r>
        <w:r w:rsidR="00C50CD4">
          <w:rPr>
            <w:noProof/>
            <w:webHidden/>
          </w:rPr>
        </w:r>
        <w:r w:rsidR="00C50CD4">
          <w:rPr>
            <w:noProof/>
            <w:webHidden/>
          </w:rPr>
          <w:fldChar w:fldCharType="separate"/>
        </w:r>
        <w:r w:rsidR="00C50CD4">
          <w:rPr>
            <w:noProof/>
            <w:webHidden/>
          </w:rPr>
          <w:t>51</w:t>
        </w:r>
        <w:r w:rsidR="00C50CD4">
          <w:rPr>
            <w:noProof/>
            <w:webHidden/>
          </w:rPr>
          <w:fldChar w:fldCharType="end"/>
        </w:r>
      </w:hyperlink>
    </w:p>
    <w:p w14:paraId="156BDDB0" w14:textId="33C52BBF"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6" w:history="1">
        <w:r w:rsidR="00C50CD4" w:rsidRPr="0042064D">
          <w:rPr>
            <w:rStyle w:val="Hyperlink"/>
            <w:noProof/>
          </w:rPr>
          <w:t>Table 1.5: Funding for throughput above target 2024–25</w:t>
        </w:r>
        <w:r w:rsidR="00C50CD4">
          <w:rPr>
            <w:noProof/>
            <w:webHidden/>
          </w:rPr>
          <w:tab/>
        </w:r>
        <w:r w:rsidR="00C50CD4">
          <w:rPr>
            <w:noProof/>
            <w:webHidden/>
          </w:rPr>
          <w:fldChar w:fldCharType="begin"/>
        </w:r>
        <w:r w:rsidR="00C50CD4">
          <w:rPr>
            <w:noProof/>
            <w:webHidden/>
          </w:rPr>
          <w:instrText xml:space="preserve"> PAGEREF _Toc176510396 \h </w:instrText>
        </w:r>
        <w:r w:rsidR="00C50CD4">
          <w:rPr>
            <w:noProof/>
            <w:webHidden/>
          </w:rPr>
        </w:r>
        <w:r w:rsidR="00C50CD4">
          <w:rPr>
            <w:noProof/>
            <w:webHidden/>
          </w:rPr>
          <w:fldChar w:fldCharType="separate"/>
        </w:r>
        <w:r w:rsidR="00C50CD4">
          <w:rPr>
            <w:noProof/>
            <w:webHidden/>
          </w:rPr>
          <w:t>54</w:t>
        </w:r>
        <w:r w:rsidR="00C50CD4">
          <w:rPr>
            <w:noProof/>
            <w:webHidden/>
          </w:rPr>
          <w:fldChar w:fldCharType="end"/>
        </w:r>
      </w:hyperlink>
    </w:p>
    <w:p w14:paraId="66245B83" w14:textId="37F0FF27"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7" w:history="1">
        <w:r w:rsidR="00C50CD4" w:rsidRPr="0042064D">
          <w:rPr>
            <w:rStyle w:val="Hyperlink"/>
            <w:noProof/>
          </w:rPr>
          <w:t>Table 1.6: NWAU VEP for growth 2024–25</w:t>
        </w:r>
        <w:r w:rsidR="00C50CD4">
          <w:rPr>
            <w:noProof/>
            <w:webHidden/>
          </w:rPr>
          <w:tab/>
        </w:r>
        <w:r w:rsidR="00C50CD4">
          <w:rPr>
            <w:noProof/>
            <w:webHidden/>
          </w:rPr>
          <w:fldChar w:fldCharType="begin"/>
        </w:r>
        <w:r w:rsidR="00C50CD4">
          <w:rPr>
            <w:noProof/>
            <w:webHidden/>
          </w:rPr>
          <w:instrText xml:space="preserve"> PAGEREF _Toc176510397 \h </w:instrText>
        </w:r>
        <w:r w:rsidR="00C50CD4">
          <w:rPr>
            <w:noProof/>
            <w:webHidden/>
          </w:rPr>
        </w:r>
        <w:r w:rsidR="00C50CD4">
          <w:rPr>
            <w:noProof/>
            <w:webHidden/>
          </w:rPr>
          <w:fldChar w:fldCharType="separate"/>
        </w:r>
        <w:r w:rsidR="00C50CD4">
          <w:rPr>
            <w:noProof/>
            <w:webHidden/>
          </w:rPr>
          <w:t>60</w:t>
        </w:r>
        <w:r w:rsidR="00C50CD4">
          <w:rPr>
            <w:noProof/>
            <w:webHidden/>
          </w:rPr>
          <w:fldChar w:fldCharType="end"/>
        </w:r>
      </w:hyperlink>
    </w:p>
    <w:p w14:paraId="1BD7A1BC" w14:textId="5089E610"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8" w:history="1">
        <w:r w:rsidR="00C50CD4" w:rsidRPr="0042064D">
          <w:rPr>
            <w:rStyle w:val="Hyperlink"/>
            <w:noProof/>
          </w:rPr>
          <w:t>Table 1.7: NWAU compensable price rates 2024–25</w:t>
        </w:r>
        <w:r w:rsidR="00C50CD4">
          <w:rPr>
            <w:noProof/>
            <w:webHidden/>
          </w:rPr>
          <w:tab/>
        </w:r>
        <w:r w:rsidR="00C50CD4">
          <w:rPr>
            <w:noProof/>
            <w:webHidden/>
          </w:rPr>
          <w:fldChar w:fldCharType="begin"/>
        </w:r>
        <w:r w:rsidR="00C50CD4">
          <w:rPr>
            <w:noProof/>
            <w:webHidden/>
          </w:rPr>
          <w:instrText xml:space="preserve"> PAGEREF _Toc176510398 \h </w:instrText>
        </w:r>
        <w:r w:rsidR="00C50CD4">
          <w:rPr>
            <w:noProof/>
            <w:webHidden/>
          </w:rPr>
        </w:r>
        <w:r w:rsidR="00C50CD4">
          <w:rPr>
            <w:noProof/>
            <w:webHidden/>
          </w:rPr>
          <w:fldChar w:fldCharType="separate"/>
        </w:r>
        <w:r w:rsidR="00C50CD4">
          <w:rPr>
            <w:noProof/>
            <w:webHidden/>
          </w:rPr>
          <w:t>60</w:t>
        </w:r>
        <w:r w:rsidR="00C50CD4">
          <w:rPr>
            <w:noProof/>
            <w:webHidden/>
          </w:rPr>
          <w:fldChar w:fldCharType="end"/>
        </w:r>
      </w:hyperlink>
    </w:p>
    <w:p w14:paraId="3A64676A" w14:textId="6BC16613"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399" w:history="1">
        <w:r w:rsidR="00C50CD4" w:rsidRPr="0042064D">
          <w:rPr>
            <w:rStyle w:val="Hyperlink"/>
            <w:noProof/>
          </w:rPr>
          <w:t>Table 1.8: Transitional Care Program 2024–25</w:t>
        </w:r>
        <w:r w:rsidR="00C50CD4">
          <w:rPr>
            <w:noProof/>
            <w:webHidden/>
          </w:rPr>
          <w:tab/>
        </w:r>
        <w:r w:rsidR="00C50CD4">
          <w:rPr>
            <w:noProof/>
            <w:webHidden/>
          </w:rPr>
          <w:fldChar w:fldCharType="begin"/>
        </w:r>
        <w:r w:rsidR="00C50CD4">
          <w:rPr>
            <w:noProof/>
            <w:webHidden/>
          </w:rPr>
          <w:instrText xml:space="preserve"> PAGEREF _Toc176510399 \h </w:instrText>
        </w:r>
        <w:r w:rsidR="00C50CD4">
          <w:rPr>
            <w:noProof/>
            <w:webHidden/>
          </w:rPr>
        </w:r>
        <w:r w:rsidR="00C50CD4">
          <w:rPr>
            <w:noProof/>
            <w:webHidden/>
          </w:rPr>
          <w:fldChar w:fldCharType="separate"/>
        </w:r>
        <w:r w:rsidR="00C50CD4">
          <w:rPr>
            <w:noProof/>
            <w:webHidden/>
          </w:rPr>
          <w:t>60</w:t>
        </w:r>
        <w:r w:rsidR="00C50CD4">
          <w:rPr>
            <w:noProof/>
            <w:webHidden/>
          </w:rPr>
          <w:fldChar w:fldCharType="end"/>
        </w:r>
      </w:hyperlink>
    </w:p>
    <w:p w14:paraId="38E0173D" w14:textId="019F595D"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0" w:history="1">
        <w:r w:rsidR="00C50CD4" w:rsidRPr="0042064D">
          <w:rPr>
            <w:rStyle w:val="Hyperlink"/>
            <w:noProof/>
          </w:rPr>
          <w:t>Table 1.9: Non-admitted radiotherapy 2024–25</w:t>
        </w:r>
        <w:r w:rsidR="00C50CD4">
          <w:rPr>
            <w:noProof/>
            <w:webHidden/>
          </w:rPr>
          <w:tab/>
        </w:r>
        <w:r w:rsidR="00C50CD4">
          <w:rPr>
            <w:noProof/>
            <w:webHidden/>
          </w:rPr>
          <w:fldChar w:fldCharType="begin"/>
        </w:r>
        <w:r w:rsidR="00C50CD4">
          <w:rPr>
            <w:noProof/>
            <w:webHidden/>
          </w:rPr>
          <w:instrText xml:space="preserve"> PAGEREF _Toc176510400 \h </w:instrText>
        </w:r>
        <w:r w:rsidR="00C50CD4">
          <w:rPr>
            <w:noProof/>
            <w:webHidden/>
          </w:rPr>
        </w:r>
        <w:r w:rsidR="00C50CD4">
          <w:rPr>
            <w:noProof/>
            <w:webHidden/>
          </w:rPr>
          <w:fldChar w:fldCharType="separate"/>
        </w:r>
        <w:r w:rsidR="00C50CD4">
          <w:rPr>
            <w:noProof/>
            <w:webHidden/>
          </w:rPr>
          <w:t>60</w:t>
        </w:r>
        <w:r w:rsidR="00C50CD4">
          <w:rPr>
            <w:noProof/>
            <w:webHidden/>
          </w:rPr>
          <w:fldChar w:fldCharType="end"/>
        </w:r>
      </w:hyperlink>
    </w:p>
    <w:p w14:paraId="07E84ED0" w14:textId="29C60D74"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1" w:history="1">
        <w:r w:rsidR="00C50CD4" w:rsidRPr="0042064D">
          <w:rPr>
            <w:rStyle w:val="Hyperlink"/>
            <w:noProof/>
          </w:rPr>
          <w:t>Table 1.10: Nationally Funded Centres Program 2024–25</w:t>
        </w:r>
        <w:r w:rsidR="00C50CD4">
          <w:rPr>
            <w:noProof/>
            <w:webHidden/>
          </w:rPr>
          <w:tab/>
        </w:r>
        <w:r w:rsidR="00C50CD4">
          <w:rPr>
            <w:noProof/>
            <w:webHidden/>
          </w:rPr>
          <w:fldChar w:fldCharType="begin"/>
        </w:r>
        <w:r w:rsidR="00C50CD4">
          <w:rPr>
            <w:noProof/>
            <w:webHidden/>
          </w:rPr>
          <w:instrText xml:space="preserve"> PAGEREF _Toc176510401 \h </w:instrText>
        </w:r>
        <w:r w:rsidR="00C50CD4">
          <w:rPr>
            <w:noProof/>
            <w:webHidden/>
          </w:rPr>
        </w:r>
        <w:r w:rsidR="00C50CD4">
          <w:rPr>
            <w:noProof/>
            <w:webHidden/>
          </w:rPr>
          <w:fldChar w:fldCharType="separate"/>
        </w:r>
        <w:r w:rsidR="00C50CD4">
          <w:rPr>
            <w:noProof/>
            <w:webHidden/>
          </w:rPr>
          <w:t>60</w:t>
        </w:r>
        <w:r w:rsidR="00C50CD4">
          <w:rPr>
            <w:noProof/>
            <w:webHidden/>
          </w:rPr>
          <w:fldChar w:fldCharType="end"/>
        </w:r>
      </w:hyperlink>
    </w:p>
    <w:p w14:paraId="76243842" w14:textId="080DBD2D"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2" w:history="1">
        <w:r w:rsidR="00C50CD4" w:rsidRPr="0042064D">
          <w:rPr>
            <w:rStyle w:val="Hyperlink"/>
            <w:noProof/>
          </w:rPr>
          <w:t>Table 1.11: Mental health – funded units applicable to clinical bed-based services 2024–25 – n</w:t>
        </w:r>
        <w:r w:rsidR="00C50CD4" w:rsidRPr="0042064D">
          <w:rPr>
            <w:rStyle w:val="Hyperlink"/>
            <w:noProof/>
            <w:lang w:eastAsia="en-AU"/>
          </w:rPr>
          <w:t>on-admitted care</w:t>
        </w:r>
        <w:r w:rsidR="00C50CD4">
          <w:rPr>
            <w:noProof/>
            <w:webHidden/>
          </w:rPr>
          <w:tab/>
        </w:r>
        <w:r w:rsidR="00C50CD4">
          <w:rPr>
            <w:noProof/>
            <w:webHidden/>
          </w:rPr>
          <w:fldChar w:fldCharType="begin"/>
        </w:r>
        <w:r w:rsidR="00C50CD4">
          <w:rPr>
            <w:noProof/>
            <w:webHidden/>
          </w:rPr>
          <w:instrText xml:space="preserve"> PAGEREF _Toc176510402 \h </w:instrText>
        </w:r>
        <w:r w:rsidR="00C50CD4">
          <w:rPr>
            <w:noProof/>
            <w:webHidden/>
          </w:rPr>
        </w:r>
        <w:r w:rsidR="00C50CD4">
          <w:rPr>
            <w:noProof/>
            <w:webHidden/>
          </w:rPr>
          <w:fldChar w:fldCharType="separate"/>
        </w:r>
        <w:r w:rsidR="00C50CD4">
          <w:rPr>
            <w:noProof/>
            <w:webHidden/>
          </w:rPr>
          <w:t>61</w:t>
        </w:r>
        <w:r w:rsidR="00C50CD4">
          <w:rPr>
            <w:noProof/>
            <w:webHidden/>
          </w:rPr>
          <w:fldChar w:fldCharType="end"/>
        </w:r>
      </w:hyperlink>
    </w:p>
    <w:p w14:paraId="668F2CBE" w14:textId="66DF47A8"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3" w:history="1">
        <w:r w:rsidR="00C50CD4" w:rsidRPr="0042064D">
          <w:rPr>
            <w:rStyle w:val="Hyperlink"/>
            <w:noProof/>
          </w:rPr>
          <w:t>Table 1.13: Mental health community support services unit prices 2024–25 – community</w:t>
        </w:r>
        <w:r w:rsidR="00C50CD4" w:rsidRPr="0042064D">
          <w:rPr>
            <w:rStyle w:val="Hyperlink"/>
            <w:noProof/>
            <w:lang w:eastAsia="en-AU"/>
          </w:rPr>
          <w:t xml:space="preserve"> support services</w:t>
        </w:r>
        <w:r w:rsidR="00C50CD4">
          <w:rPr>
            <w:noProof/>
            <w:webHidden/>
          </w:rPr>
          <w:tab/>
        </w:r>
        <w:r w:rsidR="00C50CD4">
          <w:rPr>
            <w:noProof/>
            <w:webHidden/>
          </w:rPr>
          <w:fldChar w:fldCharType="begin"/>
        </w:r>
        <w:r w:rsidR="00C50CD4">
          <w:rPr>
            <w:noProof/>
            <w:webHidden/>
          </w:rPr>
          <w:instrText xml:space="preserve"> PAGEREF _Toc176510403 \h </w:instrText>
        </w:r>
        <w:r w:rsidR="00C50CD4">
          <w:rPr>
            <w:noProof/>
            <w:webHidden/>
          </w:rPr>
        </w:r>
        <w:r w:rsidR="00C50CD4">
          <w:rPr>
            <w:noProof/>
            <w:webHidden/>
          </w:rPr>
          <w:fldChar w:fldCharType="separate"/>
        </w:r>
        <w:r w:rsidR="00C50CD4">
          <w:rPr>
            <w:noProof/>
            <w:webHidden/>
          </w:rPr>
          <w:t>61</w:t>
        </w:r>
        <w:r w:rsidR="00C50CD4">
          <w:rPr>
            <w:noProof/>
            <w:webHidden/>
          </w:rPr>
          <w:fldChar w:fldCharType="end"/>
        </w:r>
      </w:hyperlink>
    </w:p>
    <w:p w14:paraId="1DB45D1A" w14:textId="40C4A78F"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4" w:history="1">
        <w:r w:rsidR="00C50CD4" w:rsidRPr="0042064D">
          <w:rPr>
            <w:rStyle w:val="Hyperlink"/>
            <w:noProof/>
          </w:rPr>
          <w:t>Table 1.14: Mental health community support services unit prices 2024–25 – m</w:t>
        </w:r>
        <w:r w:rsidR="00C50CD4" w:rsidRPr="0042064D">
          <w:rPr>
            <w:rStyle w:val="Hyperlink"/>
            <w:noProof/>
            <w:lang w:eastAsia="en-AU"/>
          </w:rPr>
          <w:t>utual support and self-help services</w:t>
        </w:r>
        <w:r w:rsidR="00C50CD4">
          <w:rPr>
            <w:noProof/>
            <w:webHidden/>
          </w:rPr>
          <w:tab/>
        </w:r>
        <w:r w:rsidR="00C50CD4">
          <w:rPr>
            <w:noProof/>
            <w:webHidden/>
          </w:rPr>
          <w:fldChar w:fldCharType="begin"/>
        </w:r>
        <w:r w:rsidR="00C50CD4">
          <w:rPr>
            <w:noProof/>
            <w:webHidden/>
          </w:rPr>
          <w:instrText xml:space="preserve"> PAGEREF _Toc176510404 \h </w:instrText>
        </w:r>
        <w:r w:rsidR="00C50CD4">
          <w:rPr>
            <w:noProof/>
            <w:webHidden/>
          </w:rPr>
        </w:r>
        <w:r w:rsidR="00C50CD4">
          <w:rPr>
            <w:noProof/>
            <w:webHidden/>
          </w:rPr>
          <w:fldChar w:fldCharType="separate"/>
        </w:r>
        <w:r w:rsidR="00C50CD4">
          <w:rPr>
            <w:noProof/>
            <w:webHidden/>
          </w:rPr>
          <w:t>61</w:t>
        </w:r>
        <w:r w:rsidR="00C50CD4">
          <w:rPr>
            <w:noProof/>
            <w:webHidden/>
          </w:rPr>
          <w:fldChar w:fldCharType="end"/>
        </w:r>
      </w:hyperlink>
    </w:p>
    <w:p w14:paraId="2B646D63" w14:textId="6FD28052"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5" w:history="1">
        <w:r w:rsidR="00C50CD4" w:rsidRPr="0042064D">
          <w:rPr>
            <w:rStyle w:val="Hyperlink"/>
            <w:noProof/>
          </w:rPr>
          <w:t>Table 1.15: Mental health – funded units applicable to clinical bed-based services 2024–25 – n</w:t>
        </w:r>
        <w:r w:rsidR="00C50CD4" w:rsidRPr="0042064D">
          <w:rPr>
            <w:rStyle w:val="Hyperlink"/>
            <w:noProof/>
            <w:lang w:eastAsia="en-AU"/>
          </w:rPr>
          <w:t>on-admitted care</w:t>
        </w:r>
        <w:r w:rsidR="00C50CD4">
          <w:rPr>
            <w:noProof/>
            <w:webHidden/>
          </w:rPr>
          <w:tab/>
        </w:r>
        <w:r w:rsidR="00C50CD4">
          <w:rPr>
            <w:noProof/>
            <w:webHidden/>
          </w:rPr>
          <w:fldChar w:fldCharType="begin"/>
        </w:r>
        <w:r w:rsidR="00C50CD4">
          <w:rPr>
            <w:noProof/>
            <w:webHidden/>
          </w:rPr>
          <w:instrText xml:space="preserve"> PAGEREF _Toc176510405 \h </w:instrText>
        </w:r>
        <w:r w:rsidR="00C50CD4">
          <w:rPr>
            <w:noProof/>
            <w:webHidden/>
          </w:rPr>
        </w:r>
        <w:r w:rsidR="00C50CD4">
          <w:rPr>
            <w:noProof/>
            <w:webHidden/>
          </w:rPr>
          <w:fldChar w:fldCharType="separate"/>
        </w:r>
        <w:r w:rsidR="00C50CD4">
          <w:rPr>
            <w:noProof/>
            <w:webHidden/>
          </w:rPr>
          <w:t>62</w:t>
        </w:r>
        <w:r w:rsidR="00C50CD4">
          <w:rPr>
            <w:noProof/>
            <w:webHidden/>
          </w:rPr>
          <w:fldChar w:fldCharType="end"/>
        </w:r>
      </w:hyperlink>
    </w:p>
    <w:p w14:paraId="46C5389F" w14:textId="74C57A48"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6" w:history="1">
        <w:r w:rsidR="00C50CD4" w:rsidRPr="0042064D">
          <w:rPr>
            <w:rStyle w:val="Hyperlink"/>
            <w:noProof/>
          </w:rPr>
          <w:t>Table 1.16: Mental health community support services unit prices 2024–25 – supported accommodation</w:t>
        </w:r>
        <w:r w:rsidR="00C50CD4">
          <w:rPr>
            <w:noProof/>
            <w:webHidden/>
          </w:rPr>
          <w:tab/>
        </w:r>
        <w:r w:rsidR="00C50CD4">
          <w:rPr>
            <w:noProof/>
            <w:webHidden/>
          </w:rPr>
          <w:fldChar w:fldCharType="begin"/>
        </w:r>
        <w:r w:rsidR="00C50CD4">
          <w:rPr>
            <w:noProof/>
            <w:webHidden/>
          </w:rPr>
          <w:instrText xml:space="preserve"> PAGEREF _Toc176510406 \h </w:instrText>
        </w:r>
        <w:r w:rsidR="00C50CD4">
          <w:rPr>
            <w:noProof/>
            <w:webHidden/>
          </w:rPr>
        </w:r>
        <w:r w:rsidR="00C50CD4">
          <w:rPr>
            <w:noProof/>
            <w:webHidden/>
          </w:rPr>
          <w:fldChar w:fldCharType="separate"/>
        </w:r>
        <w:r w:rsidR="00C50CD4">
          <w:rPr>
            <w:noProof/>
            <w:webHidden/>
          </w:rPr>
          <w:t>62</w:t>
        </w:r>
        <w:r w:rsidR="00C50CD4">
          <w:rPr>
            <w:noProof/>
            <w:webHidden/>
          </w:rPr>
          <w:fldChar w:fldCharType="end"/>
        </w:r>
      </w:hyperlink>
    </w:p>
    <w:p w14:paraId="1719F472" w14:textId="6C2B3386"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7" w:history="1">
        <w:r w:rsidR="00C50CD4" w:rsidRPr="0042064D">
          <w:rPr>
            <w:rStyle w:val="Hyperlink"/>
            <w:noProof/>
          </w:rPr>
          <w:t>Table 1.17: Drug services – unit prices 2024–25</w:t>
        </w:r>
        <w:r w:rsidR="00C50CD4">
          <w:rPr>
            <w:noProof/>
            <w:webHidden/>
          </w:rPr>
          <w:tab/>
        </w:r>
        <w:r w:rsidR="00C50CD4">
          <w:rPr>
            <w:noProof/>
            <w:webHidden/>
          </w:rPr>
          <w:fldChar w:fldCharType="begin"/>
        </w:r>
        <w:r w:rsidR="00C50CD4">
          <w:rPr>
            <w:noProof/>
            <w:webHidden/>
          </w:rPr>
          <w:instrText xml:space="preserve"> PAGEREF _Toc176510407 \h </w:instrText>
        </w:r>
        <w:r w:rsidR="00C50CD4">
          <w:rPr>
            <w:noProof/>
            <w:webHidden/>
          </w:rPr>
        </w:r>
        <w:r w:rsidR="00C50CD4">
          <w:rPr>
            <w:noProof/>
            <w:webHidden/>
          </w:rPr>
          <w:fldChar w:fldCharType="separate"/>
        </w:r>
        <w:r w:rsidR="00C50CD4">
          <w:rPr>
            <w:noProof/>
            <w:webHidden/>
          </w:rPr>
          <w:t>62</w:t>
        </w:r>
        <w:r w:rsidR="00C50CD4">
          <w:rPr>
            <w:noProof/>
            <w:webHidden/>
          </w:rPr>
          <w:fldChar w:fldCharType="end"/>
        </w:r>
      </w:hyperlink>
    </w:p>
    <w:p w14:paraId="59C3743B" w14:textId="6A83AB4C"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8" w:history="1">
        <w:r w:rsidR="00C50CD4" w:rsidRPr="0042064D">
          <w:rPr>
            <w:rStyle w:val="Hyperlink"/>
            <w:noProof/>
          </w:rPr>
          <w:t>Table 1.18: Ageing, aged and home care 2024–25</w:t>
        </w:r>
        <w:r w:rsidR="00C50CD4">
          <w:rPr>
            <w:noProof/>
            <w:webHidden/>
          </w:rPr>
          <w:tab/>
        </w:r>
        <w:r w:rsidR="00C50CD4">
          <w:rPr>
            <w:noProof/>
            <w:webHidden/>
          </w:rPr>
          <w:fldChar w:fldCharType="begin"/>
        </w:r>
        <w:r w:rsidR="00C50CD4">
          <w:rPr>
            <w:noProof/>
            <w:webHidden/>
          </w:rPr>
          <w:instrText xml:space="preserve"> PAGEREF _Toc176510408 \h </w:instrText>
        </w:r>
        <w:r w:rsidR="00C50CD4">
          <w:rPr>
            <w:noProof/>
            <w:webHidden/>
          </w:rPr>
        </w:r>
        <w:r w:rsidR="00C50CD4">
          <w:rPr>
            <w:noProof/>
            <w:webHidden/>
          </w:rPr>
          <w:fldChar w:fldCharType="separate"/>
        </w:r>
        <w:r w:rsidR="00C50CD4">
          <w:rPr>
            <w:noProof/>
            <w:webHidden/>
          </w:rPr>
          <w:t>63</w:t>
        </w:r>
        <w:r w:rsidR="00C50CD4">
          <w:rPr>
            <w:noProof/>
            <w:webHidden/>
          </w:rPr>
          <w:fldChar w:fldCharType="end"/>
        </w:r>
      </w:hyperlink>
    </w:p>
    <w:p w14:paraId="3A4EEBD4" w14:textId="197415C5"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09" w:history="1">
        <w:r w:rsidR="00C50CD4" w:rsidRPr="0042064D">
          <w:rPr>
            <w:rStyle w:val="Hyperlink"/>
            <w:noProof/>
          </w:rPr>
          <w:t>Table 1.19: Small Rural Health Services 2024–25</w:t>
        </w:r>
        <w:r w:rsidR="00C50CD4">
          <w:rPr>
            <w:noProof/>
            <w:webHidden/>
          </w:rPr>
          <w:tab/>
        </w:r>
        <w:r w:rsidR="00C50CD4">
          <w:rPr>
            <w:noProof/>
            <w:webHidden/>
          </w:rPr>
          <w:fldChar w:fldCharType="begin"/>
        </w:r>
        <w:r w:rsidR="00C50CD4">
          <w:rPr>
            <w:noProof/>
            <w:webHidden/>
          </w:rPr>
          <w:instrText xml:space="preserve"> PAGEREF _Toc176510409 \h </w:instrText>
        </w:r>
        <w:r w:rsidR="00C50CD4">
          <w:rPr>
            <w:noProof/>
            <w:webHidden/>
          </w:rPr>
        </w:r>
        <w:r w:rsidR="00C50CD4">
          <w:rPr>
            <w:noProof/>
            <w:webHidden/>
          </w:rPr>
          <w:fldChar w:fldCharType="separate"/>
        </w:r>
        <w:r w:rsidR="00C50CD4">
          <w:rPr>
            <w:noProof/>
            <w:webHidden/>
          </w:rPr>
          <w:t>65</w:t>
        </w:r>
        <w:r w:rsidR="00C50CD4">
          <w:rPr>
            <w:noProof/>
            <w:webHidden/>
          </w:rPr>
          <w:fldChar w:fldCharType="end"/>
        </w:r>
      </w:hyperlink>
    </w:p>
    <w:p w14:paraId="00B9E92E" w14:textId="4A149D53"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0" w:history="1">
        <w:r w:rsidR="00C50CD4" w:rsidRPr="0042064D">
          <w:rPr>
            <w:rStyle w:val="Hyperlink"/>
            <w:noProof/>
          </w:rPr>
          <w:t>Table 1.20: Community Health care output 2024–25</w:t>
        </w:r>
        <w:r w:rsidR="00C50CD4">
          <w:rPr>
            <w:noProof/>
            <w:webHidden/>
          </w:rPr>
          <w:tab/>
        </w:r>
        <w:r w:rsidR="00C50CD4">
          <w:rPr>
            <w:noProof/>
            <w:webHidden/>
          </w:rPr>
          <w:fldChar w:fldCharType="begin"/>
        </w:r>
        <w:r w:rsidR="00C50CD4">
          <w:rPr>
            <w:noProof/>
            <w:webHidden/>
          </w:rPr>
          <w:instrText xml:space="preserve"> PAGEREF _Toc176510410 \h </w:instrText>
        </w:r>
        <w:r w:rsidR="00C50CD4">
          <w:rPr>
            <w:noProof/>
            <w:webHidden/>
          </w:rPr>
        </w:r>
        <w:r w:rsidR="00C50CD4">
          <w:rPr>
            <w:noProof/>
            <w:webHidden/>
          </w:rPr>
          <w:fldChar w:fldCharType="separate"/>
        </w:r>
        <w:r w:rsidR="00C50CD4">
          <w:rPr>
            <w:noProof/>
            <w:webHidden/>
          </w:rPr>
          <w:t>66</w:t>
        </w:r>
        <w:r w:rsidR="00C50CD4">
          <w:rPr>
            <w:noProof/>
            <w:webHidden/>
          </w:rPr>
          <w:fldChar w:fldCharType="end"/>
        </w:r>
      </w:hyperlink>
    </w:p>
    <w:p w14:paraId="77332FEC" w14:textId="0DC4D955"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1" w:history="1">
        <w:r w:rsidR="00C50CD4" w:rsidRPr="0042064D">
          <w:rPr>
            <w:rStyle w:val="Hyperlink"/>
            <w:noProof/>
          </w:rPr>
          <w:t>Table 1.21: Training and development funding rates in 2024-25</w:t>
        </w:r>
        <w:r w:rsidR="00C50CD4">
          <w:rPr>
            <w:noProof/>
            <w:webHidden/>
          </w:rPr>
          <w:tab/>
        </w:r>
        <w:r w:rsidR="00C50CD4">
          <w:rPr>
            <w:noProof/>
            <w:webHidden/>
          </w:rPr>
          <w:fldChar w:fldCharType="begin"/>
        </w:r>
        <w:r w:rsidR="00C50CD4">
          <w:rPr>
            <w:noProof/>
            <w:webHidden/>
          </w:rPr>
          <w:instrText xml:space="preserve"> PAGEREF _Toc176510411 \h </w:instrText>
        </w:r>
        <w:r w:rsidR="00C50CD4">
          <w:rPr>
            <w:noProof/>
            <w:webHidden/>
          </w:rPr>
        </w:r>
        <w:r w:rsidR="00C50CD4">
          <w:rPr>
            <w:noProof/>
            <w:webHidden/>
          </w:rPr>
          <w:fldChar w:fldCharType="separate"/>
        </w:r>
        <w:r w:rsidR="00C50CD4">
          <w:rPr>
            <w:noProof/>
            <w:webHidden/>
          </w:rPr>
          <w:t>67</w:t>
        </w:r>
        <w:r w:rsidR="00C50CD4">
          <w:rPr>
            <w:noProof/>
            <w:webHidden/>
          </w:rPr>
          <w:fldChar w:fldCharType="end"/>
        </w:r>
      </w:hyperlink>
    </w:p>
    <w:p w14:paraId="01C26301" w14:textId="4D2E945C"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2" w:history="1">
        <w:r w:rsidR="00C50CD4" w:rsidRPr="0042064D">
          <w:rPr>
            <w:rStyle w:val="Hyperlink"/>
            <w:noProof/>
          </w:rPr>
          <w:t>Table 1.22: Price groups for NWAU purposes</w:t>
        </w:r>
        <w:r w:rsidR="00C50CD4">
          <w:rPr>
            <w:noProof/>
            <w:webHidden/>
          </w:rPr>
          <w:tab/>
        </w:r>
        <w:r w:rsidR="00C50CD4">
          <w:rPr>
            <w:noProof/>
            <w:webHidden/>
          </w:rPr>
          <w:fldChar w:fldCharType="begin"/>
        </w:r>
        <w:r w:rsidR="00C50CD4">
          <w:rPr>
            <w:noProof/>
            <w:webHidden/>
          </w:rPr>
          <w:instrText xml:space="preserve"> PAGEREF _Toc176510412 \h </w:instrText>
        </w:r>
        <w:r w:rsidR="00C50CD4">
          <w:rPr>
            <w:noProof/>
            <w:webHidden/>
          </w:rPr>
        </w:r>
        <w:r w:rsidR="00C50CD4">
          <w:rPr>
            <w:noProof/>
            <w:webHidden/>
          </w:rPr>
          <w:fldChar w:fldCharType="separate"/>
        </w:r>
        <w:r w:rsidR="00C50CD4">
          <w:rPr>
            <w:noProof/>
            <w:webHidden/>
          </w:rPr>
          <w:t>67</w:t>
        </w:r>
        <w:r w:rsidR="00C50CD4">
          <w:rPr>
            <w:noProof/>
            <w:webHidden/>
          </w:rPr>
          <w:fldChar w:fldCharType="end"/>
        </w:r>
      </w:hyperlink>
    </w:p>
    <w:p w14:paraId="195CDC88" w14:textId="6B212697"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3" w:history="1">
        <w:r w:rsidR="00C50CD4" w:rsidRPr="0042064D">
          <w:rPr>
            <w:rStyle w:val="Hyperlink"/>
            <w:noProof/>
          </w:rPr>
          <w:t>Table 2.1: Expenditure budgets 2024–25</w:t>
        </w:r>
        <w:r w:rsidR="00C50CD4">
          <w:rPr>
            <w:noProof/>
            <w:webHidden/>
          </w:rPr>
          <w:tab/>
        </w:r>
        <w:r w:rsidR="00C50CD4">
          <w:rPr>
            <w:noProof/>
            <w:webHidden/>
          </w:rPr>
          <w:fldChar w:fldCharType="begin"/>
        </w:r>
        <w:r w:rsidR="00C50CD4">
          <w:rPr>
            <w:noProof/>
            <w:webHidden/>
          </w:rPr>
          <w:instrText xml:space="preserve"> PAGEREF _Toc176510413 \h </w:instrText>
        </w:r>
        <w:r w:rsidR="00C50CD4">
          <w:rPr>
            <w:noProof/>
            <w:webHidden/>
          </w:rPr>
        </w:r>
        <w:r w:rsidR="00C50CD4">
          <w:rPr>
            <w:noProof/>
            <w:webHidden/>
          </w:rPr>
          <w:fldChar w:fldCharType="separate"/>
        </w:r>
        <w:r w:rsidR="00C50CD4">
          <w:rPr>
            <w:noProof/>
            <w:webHidden/>
          </w:rPr>
          <w:t>90</w:t>
        </w:r>
        <w:r w:rsidR="00C50CD4">
          <w:rPr>
            <w:noProof/>
            <w:webHidden/>
          </w:rPr>
          <w:fldChar w:fldCharType="end"/>
        </w:r>
      </w:hyperlink>
    </w:p>
    <w:p w14:paraId="1A85059C" w14:textId="166E1916"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4" w:history="1">
        <w:r w:rsidR="00C50CD4" w:rsidRPr="0042064D">
          <w:rPr>
            <w:rStyle w:val="Hyperlink"/>
            <w:noProof/>
          </w:rPr>
          <w:t>Table 2.2: Small rural health services expenditure budgets 2024–25 – $’000s</w:t>
        </w:r>
        <w:r w:rsidR="00C50CD4">
          <w:rPr>
            <w:noProof/>
            <w:webHidden/>
          </w:rPr>
          <w:tab/>
        </w:r>
        <w:r w:rsidR="00C50CD4">
          <w:rPr>
            <w:noProof/>
            <w:webHidden/>
          </w:rPr>
          <w:fldChar w:fldCharType="begin"/>
        </w:r>
        <w:r w:rsidR="00C50CD4">
          <w:rPr>
            <w:noProof/>
            <w:webHidden/>
          </w:rPr>
          <w:instrText xml:space="preserve"> PAGEREF _Toc176510414 \h </w:instrText>
        </w:r>
        <w:r w:rsidR="00C50CD4">
          <w:rPr>
            <w:noProof/>
            <w:webHidden/>
          </w:rPr>
        </w:r>
        <w:r w:rsidR="00C50CD4">
          <w:rPr>
            <w:noProof/>
            <w:webHidden/>
          </w:rPr>
          <w:fldChar w:fldCharType="separate"/>
        </w:r>
        <w:r w:rsidR="00C50CD4">
          <w:rPr>
            <w:noProof/>
            <w:webHidden/>
          </w:rPr>
          <w:t>92</w:t>
        </w:r>
        <w:r w:rsidR="00C50CD4">
          <w:rPr>
            <w:noProof/>
            <w:webHidden/>
          </w:rPr>
          <w:fldChar w:fldCharType="end"/>
        </w:r>
      </w:hyperlink>
    </w:p>
    <w:p w14:paraId="7C34DEA0" w14:textId="0F3EF266"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5" w:history="1">
        <w:r w:rsidR="00C50CD4" w:rsidRPr="0042064D">
          <w:rPr>
            <w:rStyle w:val="Hyperlink"/>
            <w:noProof/>
          </w:rPr>
          <w:t>Table 2.3: Activity-based funding: Health service expenditure budgets 2024–25 by service category</w:t>
        </w:r>
        <w:r w:rsidR="00C50CD4">
          <w:rPr>
            <w:noProof/>
            <w:webHidden/>
          </w:rPr>
          <w:tab/>
        </w:r>
        <w:r w:rsidR="00C50CD4">
          <w:rPr>
            <w:noProof/>
            <w:webHidden/>
          </w:rPr>
          <w:fldChar w:fldCharType="begin"/>
        </w:r>
        <w:r w:rsidR="00C50CD4">
          <w:rPr>
            <w:noProof/>
            <w:webHidden/>
          </w:rPr>
          <w:instrText xml:space="preserve"> PAGEREF _Toc176510415 \h </w:instrText>
        </w:r>
        <w:r w:rsidR="00C50CD4">
          <w:rPr>
            <w:noProof/>
            <w:webHidden/>
          </w:rPr>
        </w:r>
        <w:r w:rsidR="00C50CD4">
          <w:rPr>
            <w:noProof/>
            <w:webHidden/>
          </w:rPr>
          <w:fldChar w:fldCharType="separate"/>
        </w:r>
        <w:r w:rsidR="00C50CD4">
          <w:rPr>
            <w:noProof/>
            <w:webHidden/>
          </w:rPr>
          <w:t>94</w:t>
        </w:r>
        <w:r w:rsidR="00C50CD4">
          <w:rPr>
            <w:noProof/>
            <w:webHidden/>
          </w:rPr>
          <w:fldChar w:fldCharType="end"/>
        </w:r>
      </w:hyperlink>
    </w:p>
    <w:p w14:paraId="134D9FBB" w14:textId="44B6B940"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6" w:history="1">
        <w:r w:rsidR="00C50CD4" w:rsidRPr="0042064D">
          <w:rPr>
            <w:rStyle w:val="Hyperlink"/>
            <w:noProof/>
          </w:rPr>
          <w:t>Table 2.4: Mental health expenditure budgets 2024–25 by service type</w:t>
        </w:r>
        <w:r w:rsidR="00C50CD4">
          <w:rPr>
            <w:noProof/>
            <w:webHidden/>
          </w:rPr>
          <w:tab/>
        </w:r>
        <w:r w:rsidR="00C50CD4">
          <w:rPr>
            <w:noProof/>
            <w:webHidden/>
          </w:rPr>
          <w:fldChar w:fldCharType="begin"/>
        </w:r>
        <w:r w:rsidR="00C50CD4">
          <w:rPr>
            <w:noProof/>
            <w:webHidden/>
          </w:rPr>
          <w:instrText xml:space="preserve"> PAGEREF _Toc176510416 \h </w:instrText>
        </w:r>
        <w:r w:rsidR="00C50CD4">
          <w:rPr>
            <w:noProof/>
            <w:webHidden/>
          </w:rPr>
        </w:r>
        <w:r w:rsidR="00C50CD4">
          <w:rPr>
            <w:noProof/>
            <w:webHidden/>
          </w:rPr>
          <w:fldChar w:fldCharType="separate"/>
        </w:r>
        <w:r w:rsidR="00C50CD4">
          <w:rPr>
            <w:noProof/>
            <w:webHidden/>
          </w:rPr>
          <w:t>96</w:t>
        </w:r>
        <w:r w:rsidR="00C50CD4">
          <w:rPr>
            <w:noProof/>
            <w:webHidden/>
          </w:rPr>
          <w:fldChar w:fldCharType="end"/>
        </w:r>
      </w:hyperlink>
    </w:p>
    <w:p w14:paraId="23F5894D" w14:textId="3DA003BA"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7" w:history="1">
        <w:r w:rsidR="00C50CD4" w:rsidRPr="0042064D">
          <w:rPr>
            <w:rStyle w:val="Hyperlink"/>
            <w:noProof/>
          </w:rPr>
          <w:t>Table 2.5: Registered community expenditure budgets 2024–25 – $’000s</w:t>
        </w:r>
        <w:r w:rsidR="00C50CD4">
          <w:rPr>
            <w:noProof/>
            <w:webHidden/>
          </w:rPr>
          <w:tab/>
        </w:r>
        <w:r w:rsidR="00C50CD4">
          <w:rPr>
            <w:noProof/>
            <w:webHidden/>
          </w:rPr>
          <w:fldChar w:fldCharType="begin"/>
        </w:r>
        <w:r w:rsidR="00C50CD4">
          <w:rPr>
            <w:noProof/>
            <w:webHidden/>
          </w:rPr>
          <w:instrText xml:space="preserve"> PAGEREF _Toc176510417 \h </w:instrText>
        </w:r>
        <w:r w:rsidR="00C50CD4">
          <w:rPr>
            <w:noProof/>
            <w:webHidden/>
          </w:rPr>
        </w:r>
        <w:r w:rsidR="00C50CD4">
          <w:rPr>
            <w:noProof/>
            <w:webHidden/>
          </w:rPr>
          <w:fldChar w:fldCharType="separate"/>
        </w:r>
        <w:r w:rsidR="00C50CD4">
          <w:rPr>
            <w:noProof/>
            <w:webHidden/>
          </w:rPr>
          <w:t>100</w:t>
        </w:r>
        <w:r w:rsidR="00C50CD4">
          <w:rPr>
            <w:noProof/>
            <w:webHidden/>
          </w:rPr>
          <w:fldChar w:fldCharType="end"/>
        </w:r>
      </w:hyperlink>
    </w:p>
    <w:p w14:paraId="1DA10393" w14:textId="6CCDC241"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8" w:history="1">
        <w:r w:rsidR="00C50CD4" w:rsidRPr="0042064D">
          <w:rPr>
            <w:rStyle w:val="Hyperlink"/>
            <w:noProof/>
          </w:rPr>
          <w:t>Table 2.6: Local government authorities 2024–25 – $’000s</w:t>
        </w:r>
        <w:r w:rsidR="00C50CD4">
          <w:rPr>
            <w:noProof/>
            <w:webHidden/>
          </w:rPr>
          <w:tab/>
        </w:r>
        <w:r w:rsidR="00C50CD4">
          <w:rPr>
            <w:noProof/>
            <w:webHidden/>
          </w:rPr>
          <w:fldChar w:fldCharType="begin"/>
        </w:r>
        <w:r w:rsidR="00C50CD4">
          <w:rPr>
            <w:noProof/>
            <w:webHidden/>
          </w:rPr>
          <w:instrText xml:space="preserve"> PAGEREF _Toc176510418 \h </w:instrText>
        </w:r>
        <w:r w:rsidR="00C50CD4">
          <w:rPr>
            <w:noProof/>
            <w:webHidden/>
          </w:rPr>
        </w:r>
        <w:r w:rsidR="00C50CD4">
          <w:rPr>
            <w:noProof/>
            <w:webHidden/>
          </w:rPr>
          <w:fldChar w:fldCharType="separate"/>
        </w:r>
        <w:r w:rsidR="00C50CD4">
          <w:rPr>
            <w:noProof/>
            <w:webHidden/>
          </w:rPr>
          <w:t>101</w:t>
        </w:r>
        <w:r w:rsidR="00C50CD4">
          <w:rPr>
            <w:noProof/>
            <w:webHidden/>
          </w:rPr>
          <w:fldChar w:fldCharType="end"/>
        </w:r>
      </w:hyperlink>
    </w:p>
    <w:p w14:paraId="4512E582" w14:textId="33670D9B"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19" w:history="1">
        <w:r w:rsidR="00C50CD4" w:rsidRPr="0042064D">
          <w:rPr>
            <w:rStyle w:val="Hyperlink"/>
            <w:noProof/>
          </w:rPr>
          <w:t>Table 2.7: Non-government providers 2024–25 – $’000s</w:t>
        </w:r>
        <w:r w:rsidR="00C50CD4">
          <w:rPr>
            <w:noProof/>
            <w:webHidden/>
          </w:rPr>
          <w:tab/>
        </w:r>
        <w:r w:rsidR="00C50CD4">
          <w:rPr>
            <w:noProof/>
            <w:webHidden/>
          </w:rPr>
          <w:fldChar w:fldCharType="begin"/>
        </w:r>
        <w:r w:rsidR="00C50CD4">
          <w:rPr>
            <w:noProof/>
            <w:webHidden/>
          </w:rPr>
          <w:instrText xml:space="preserve"> PAGEREF _Toc176510419 \h </w:instrText>
        </w:r>
        <w:r w:rsidR="00C50CD4">
          <w:rPr>
            <w:noProof/>
            <w:webHidden/>
          </w:rPr>
        </w:r>
        <w:r w:rsidR="00C50CD4">
          <w:rPr>
            <w:noProof/>
            <w:webHidden/>
          </w:rPr>
          <w:fldChar w:fldCharType="separate"/>
        </w:r>
        <w:r w:rsidR="00C50CD4">
          <w:rPr>
            <w:noProof/>
            <w:webHidden/>
          </w:rPr>
          <w:t>103</w:t>
        </w:r>
        <w:r w:rsidR="00C50CD4">
          <w:rPr>
            <w:noProof/>
            <w:webHidden/>
          </w:rPr>
          <w:fldChar w:fldCharType="end"/>
        </w:r>
      </w:hyperlink>
    </w:p>
    <w:p w14:paraId="00FB9488" w14:textId="46E503DC"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0" w:history="1">
        <w:r w:rsidR="00C50CD4" w:rsidRPr="0042064D">
          <w:rPr>
            <w:rStyle w:val="Hyperlink"/>
            <w:noProof/>
          </w:rPr>
          <w:t>Table 2.8: Other funded organisations expenditure budgets 2024–25 – $’000s</w:t>
        </w:r>
        <w:r w:rsidR="00C50CD4">
          <w:rPr>
            <w:noProof/>
            <w:webHidden/>
          </w:rPr>
          <w:tab/>
        </w:r>
        <w:r w:rsidR="00C50CD4">
          <w:rPr>
            <w:noProof/>
            <w:webHidden/>
          </w:rPr>
          <w:fldChar w:fldCharType="begin"/>
        </w:r>
        <w:r w:rsidR="00C50CD4">
          <w:rPr>
            <w:noProof/>
            <w:webHidden/>
          </w:rPr>
          <w:instrText xml:space="preserve"> PAGEREF _Toc176510420 \h </w:instrText>
        </w:r>
        <w:r w:rsidR="00C50CD4">
          <w:rPr>
            <w:noProof/>
            <w:webHidden/>
          </w:rPr>
        </w:r>
        <w:r w:rsidR="00C50CD4">
          <w:rPr>
            <w:noProof/>
            <w:webHidden/>
          </w:rPr>
          <w:fldChar w:fldCharType="separate"/>
        </w:r>
        <w:r w:rsidR="00C50CD4">
          <w:rPr>
            <w:noProof/>
            <w:webHidden/>
          </w:rPr>
          <w:t>106</w:t>
        </w:r>
        <w:r w:rsidR="00C50CD4">
          <w:rPr>
            <w:noProof/>
            <w:webHidden/>
          </w:rPr>
          <w:fldChar w:fldCharType="end"/>
        </w:r>
      </w:hyperlink>
    </w:p>
    <w:p w14:paraId="4E7DD2E3" w14:textId="50F9D09B"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1" w:history="1">
        <w:r w:rsidR="00C50CD4" w:rsidRPr="0042064D">
          <w:rPr>
            <w:rStyle w:val="Hyperlink"/>
            <w:noProof/>
          </w:rPr>
          <w:t>Table 2.9 Health operations expenditure budgets 2024–25 – $’000s</w:t>
        </w:r>
        <w:r w:rsidR="00C50CD4">
          <w:rPr>
            <w:noProof/>
            <w:webHidden/>
          </w:rPr>
          <w:tab/>
        </w:r>
        <w:r w:rsidR="00C50CD4">
          <w:rPr>
            <w:noProof/>
            <w:webHidden/>
          </w:rPr>
          <w:fldChar w:fldCharType="begin"/>
        </w:r>
        <w:r w:rsidR="00C50CD4">
          <w:rPr>
            <w:noProof/>
            <w:webHidden/>
          </w:rPr>
          <w:instrText xml:space="preserve"> PAGEREF _Toc176510421 \h </w:instrText>
        </w:r>
        <w:r w:rsidR="00C50CD4">
          <w:rPr>
            <w:noProof/>
            <w:webHidden/>
          </w:rPr>
        </w:r>
        <w:r w:rsidR="00C50CD4">
          <w:rPr>
            <w:noProof/>
            <w:webHidden/>
          </w:rPr>
          <w:fldChar w:fldCharType="separate"/>
        </w:r>
        <w:r w:rsidR="00C50CD4">
          <w:rPr>
            <w:noProof/>
            <w:webHidden/>
          </w:rPr>
          <w:t>107</w:t>
        </w:r>
        <w:r w:rsidR="00C50CD4">
          <w:rPr>
            <w:noProof/>
            <w:webHidden/>
          </w:rPr>
          <w:fldChar w:fldCharType="end"/>
        </w:r>
      </w:hyperlink>
    </w:p>
    <w:p w14:paraId="4C10321F" w14:textId="202419CB"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2" w:history="1">
        <w:r w:rsidR="00C50CD4" w:rsidRPr="0042064D">
          <w:rPr>
            <w:rStyle w:val="Hyperlink"/>
            <w:noProof/>
          </w:rPr>
          <w:t>Table 2.10: Victorian activity targets (NWAU) 2024–25</w:t>
        </w:r>
        <w:r w:rsidR="00C50CD4">
          <w:rPr>
            <w:noProof/>
            <w:webHidden/>
          </w:rPr>
          <w:tab/>
        </w:r>
        <w:r w:rsidR="00C50CD4">
          <w:rPr>
            <w:noProof/>
            <w:webHidden/>
          </w:rPr>
          <w:fldChar w:fldCharType="begin"/>
        </w:r>
        <w:r w:rsidR="00C50CD4">
          <w:rPr>
            <w:noProof/>
            <w:webHidden/>
          </w:rPr>
          <w:instrText xml:space="preserve"> PAGEREF _Toc176510422 \h </w:instrText>
        </w:r>
        <w:r w:rsidR="00C50CD4">
          <w:rPr>
            <w:noProof/>
            <w:webHidden/>
          </w:rPr>
        </w:r>
        <w:r w:rsidR="00C50CD4">
          <w:rPr>
            <w:noProof/>
            <w:webHidden/>
          </w:rPr>
          <w:fldChar w:fldCharType="separate"/>
        </w:r>
        <w:r w:rsidR="00C50CD4">
          <w:rPr>
            <w:noProof/>
            <w:webHidden/>
          </w:rPr>
          <w:t>108</w:t>
        </w:r>
        <w:r w:rsidR="00C50CD4">
          <w:rPr>
            <w:noProof/>
            <w:webHidden/>
          </w:rPr>
          <w:fldChar w:fldCharType="end"/>
        </w:r>
      </w:hyperlink>
    </w:p>
    <w:p w14:paraId="245FA488" w14:textId="7FC196F8"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3" w:history="1">
        <w:r w:rsidR="00C50CD4" w:rsidRPr="0042064D">
          <w:rPr>
            <w:rStyle w:val="Hyperlink"/>
            <w:noProof/>
          </w:rPr>
          <w:t>Table 2.11: Indicative level of the HAC NWAU adjustment in 2024–25</w:t>
        </w:r>
        <w:r w:rsidR="00C50CD4">
          <w:rPr>
            <w:noProof/>
            <w:webHidden/>
          </w:rPr>
          <w:tab/>
        </w:r>
        <w:r w:rsidR="00C50CD4">
          <w:rPr>
            <w:noProof/>
            <w:webHidden/>
          </w:rPr>
          <w:fldChar w:fldCharType="begin"/>
        </w:r>
        <w:r w:rsidR="00C50CD4">
          <w:rPr>
            <w:noProof/>
            <w:webHidden/>
          </w:rPr>
          <w:instrText xml:space="preserve"> PAGEREF _Toc176510423 \h </w:instrText>
        </w:r>
        <w:r w:rsidR="00C50CD4">
          <w:rPr>
            <w:noProof/>
            <w:webHidden/>
          </w:rPr>
        </w:r>
        <w:r w:rsidR="00C50CD4">
          <w:rPr>
            <w:noProof/>
            <w:webHidden/>
          </w:rPr>
          <w:fldChar w:fldCharType="separate"/>
        </w:r>
        <w:r w:rsidR="00C50CD4">
          <w:rPr>
            <w:noProof/>
            <w:webHidden/>
          </w:rPr>
          <w:t>110</w:t>
        </w:r>
        <w:r w:rsidR="00C50CD4">
          <w:rPr>
            <w:noProof/>
            <w:webHidden/>
          </w:rPr>
          <w:fldChar w:fldCharType="end"/>
        </w:r>
      </w:hyperlink>
    </w:p>
    <w:p w14:paraId="0437C403" w14:textId="1009BEFD"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4" w:history="1">
        <w:r w:rsidR="00C50CD4" w:rsidRPr="0042064D">
          <w:rPr>
            <w:rStyle w:val="Hyperlink"/>
            <w:noProof/>
          </w:rPr>
          <w:t>Table 2.12: Indicative level of the AHR NWAU adjustment</w:t>
        </w:r>
        <w:r w:rsidR="00C50CD4">
          <w:rPr>
            <w:noProof/>
            <w:webHidden/>
          </w:rPr>
          <w:tab/>
        </w:r>
        <w:r w:rsidR="00C50CD4">
          <w:rPr>
            <w:noProof/>
            <w:webHidden/>
          </w:rPr>
          <w:fldChar w:fldCharType="begin"/>
        </w:r>
        <w:r w:rsidR="00C50CD4">
          <w:rPr>
            <w:noProof/>
            <w:webHidden/>
          </w:rPr>
          <w:instrText xml:space="preserve"> PAGEREF _Toc176510424 \h </w:instrText>
        </w:r>
        <w:r w:rsidR="00C50CD4">
          <w:rPr>
            <w:noProof/>
            <w:webHidden/>
          </w:rPr>
        </w:r>
        <w:r w:rsidR="00C50CD4">
          <w:rPr>
            <w:noProof/>
            <w:webHidden/>
          </w:rPr>
          <w:fldChar w:fldCharType="separate"/>
        </w:r>
        <w:r w:rsidR="00C50CD4">
          <w:rPr>
            <w:noProof/>
            <w:webHidden/>
          </w:rPr>
          <w:t>111</w:t>
        </w:r>
        <w:r w:rsidR="00C50CD4">
          <w:rPr>
            <w:noProof/>
            <w:webHidden/>
          </w:rPr>
          <w:fldChar w:fldCharType="end"/>
        </w:r>
      </w:hyperlink>
    </w:p>
    <w:p w14:paraId="6A6748F5" w14:textId="1438A466"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5" w:history="1">
        <w:r w:rsidR="00C50CD4" w:rsidRPr="0042064D">
          <w:rPr>
            <w:rStyle w:val="Hyperlink"/>
            <w:noProof/>
          </w:rPr>
          <w:t>Table 2.12: Victorian small rural health service activity targets 2024–25</w:t>
        </w:r>
        <w:r w:rsidR="00C50CD4">
          <w:rPr>
            <w:noProof/>
            <w:webHidden/>
          </w:rPr>
          <w:tab/>
        </w:r>
        <w:r w:rsidR="00C50CD4">
          <w:rPr>
            <w:noProof/>
            <w:webHidden/>
          </w:rPr>
          <w:fldChar w:fldCharType="begin"/>
        </w:r>
        <w:r w:rsidR="00C50CD4">
          <w:rPr>
            <w:noProof/>
            <w:webHidden/>
          </w:rPr>
          <w:instrText xml:space="preserve"> PAGEREF _Toc176510425 \h </w:instrText>
        </w:r>
        <w:r w:rsidR="00C50CD4">
          <w:rPr>
            <w:noProof/>
            <w:webHidden/>
          </w:rPr>
        </w:r>
        <w:r w:rsidR="00C50CD4">
          <w:rPr>
            <w:noProof/>
            <w:webHidden/>
          </w:rPr>
          <w:fldChar w:fldCharType="separate"/>
        </w:r>
        <w:r w:rsidR="00C50CD4">
          <w:rPr>
            <w:noProof/>
            <w:webHidden/>
          </w:rPr>
          <w:t>113</w:t>
        </w:r>
        <w:r w:rsidR="00C50CD4">
          <w:rPr>
            <w:noProof/>
            <w:webHidden/>
          </w:rPr>
          <w:fldChar w:fldCharType="end"/>
        </w:r>
      </w:hyperlink>
    </w:p>
    <w:p w14:paraId="1766BCBE" w14:textId="7B795984"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6" w:history="1">
        <w:r w:rsidR="00C50CD4" w:rsidRPr="0042064D">
          <w:rPr>
            <w:rStyle w:val="Hyperlink"/>
            <w:noProof/>
          </w:rPr>
          <w:t>Table 2.13: Non-admitted radiotherapy activity targets 2024–25</w:t>
        </w:r>
        <w:r w:rsidR="00C50CD4">
          <w:rPr>
            <w:noProof/>
            <w:webHidden/>
          </w:rPr>
          <w:tab/>
        </w:r>
        <w:r w:rsidR="00C50CD4">
          <w:rPr>
            <w:noProof/>
            <w:webHidden/>
          </w:rPr>
          <w:fldChar w:fldCharType="begin"/>
        </w:r>
        <w:r w:rsidR="00C50CD4">
          <w:rPr>
            <w:noProof/>
            <w:webHidden/>
          </w:rPr>
          <w:instrText xml:space="preserve"> PAGEREF _Toc176510426 \h </w:instrText>
        </w:r>
        <w:r w:rsidR="00C50CD4">
          <w:rPr>
            <w:noProof/>
            <w:webHidden/>
          </w:rPr>
        </w:r>
        <w:r w:rsidR="00C50CD4">
          <w:rPr>
            <w:noProof/>
            <w:webHidden/>
          </w:rPr>
          <w:fldChar w:fldCharType="separate"/>
        </w:r>
        <w:r w:rsidR="00C50CD4">
          <w:rPr>
            <w:noProof/>
            <w:webHidden/>
          </w:rPr>
          <w:t>114</w:t>
        </w:r>
        <w:r w:rsidR="00C50CD4">
          <w:rPr>
            <w:noProof/>
            <w:webHidden/>
          </w:rPr>
          <w:fldChar w:fldCharType="end"/>
        </w:r>
      </w:hyperlink>
    </w:p>
    <w:p w14:paraId="5B63816A" w14:textId="474A8579"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7" w:history="1">
        <w:r w:rsidR="00C50CD4" w:rsidRPr="0042064D">
          <w:rPr>
            <w:rStyle w:val="Hyperlink"/>
            <w:noProof/>
          </w:rPr>
          <w:t>Table 2.14: Shared care radiotherapy activity targets 2024–25</w:t>
        </w:r>
        <w:r w:rsidR="00C50CD4">
          <w:rPr>
            <w:noProof/>
            <w:webHidden/>
          </w:rPr>
          <w:tab/>
        </w:r>
        <w:r w:rsidR="00C50CD4">
          <w:rPr>
            <w:noProof/>
            <w:webHidden/>
          </w:rPr>
          <w:fldChar w:fldCharType="begin"/>
        </w:r>
        <w:r w:rsidR="00C50CD4">
          <w:rPr>
            <w:noProof/>
            <w:webHidden/>
          </w:rPr>
          <w:instrText xml:space="preserve"> PAGEREF _Toc176510427 \h </w:instrText>
        </w:r>
        <w:r w:rsidR="00C50CD4">
          <w:rPr>
            <w:noProof/>
            <w:webHidden/>
          </w:rPr>
        </w:r>
        <w:r w:rsidR="00C50CD4">
          <w:rPr>
            <w:noProof/>
            <w:webHidden/>
          </w:rPr>
          <w:fldChar w:fldCharType="separate"/>
        </w:r>
        <w:r w:rsidR="00C50CD4">
          <w:rPr>
            <w:noProof/>
            <w:webHidden/>
          </w:rPr>
          <w:t>114</w:t>
        </w:r>
        <w:r w:rsidR="00C50CD4">
          <w:rPr>
            <w:noProof/>
            <w:webHidden/>
          </w:rPr>
          <w:fldChar w:fldCharType="end"/>
        </w:r>
      </w:hyperlink>
    </w:p>
    <w:p w14:paraId="1368A8C9" w14:textId="023C3517"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8" w:history="1">
        <w:r w:rsidR="00C50CD4" w:rsidRPr="0042064D">
          <w:rPr>
            <w:rStyle w:val="Hyperlink"/>
            <w:noProof/>
          </w:rPr>
          <w:t>Table 2.15: Transition Care Program targets 2024–25</w:t>
        </w:r>
        <w:r w:rsidR="00C50CD4">
          <w:rPr>
            <w:noProof/>
            <w:webHidden/>
          </w:rPr>
          <w:tab/>
        </w:r>
        <w:r w:rsidR="00C50CD4">
          <w:rPr>
            <w:noProof/>
            <w:webHidden/>
          </w:rPr>
          <w:fldChar w:fldCharType="begin"/>
        </w:r>
        <w:r w:rsidR="00C50CD4">
          <w:rPr>
            <w:noProof/>
            <w:webHidden/>
          </w:rPr>
          <w:instrText xml:space="preserve"> PAGEREF _Toc176510428 \h </w:instrText>
        </w:r>
        <w:r w:rsidR="00C50CD4">
          <w:rPr>
            <w:noProof/>
            <w:webHidden/>
          </w:rPr>
        </w:r>
        <w:r w:rsidR="00C50CD4">
          <w:rPr>
            <w:noProof/>
            <w:webHidden/>
          </w:rPr>
          <w:fldChar w:fldCharType="separate"/>
        </w:r>
        <w:r w:rsidR="00C50CD4">
          <w:rPr>
            <w:noProof/>
            <w:webHidden/>
          </w:rPr>
          <w:t>115</w:t>
        </w:r>
        <w:r w:rsidR="00C50CD4">
          <w:rPr>
            <w:noProof/>
            <w:webHidden/>
          </w:rPr>
          <w:fldChar w:fldCharType="end"/>
        </w:r>
      </w:hyperlink>
    </w:p>
    <w:p w14:paraId="311FE25D" w14:textId="1C0AD54F"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29" w:history="1">
        <w:r w:rsidR="00C50CD4" w:rsidRPr="0042064D">
          <w:rPr>
            <w:rStyle w:val="Hyperlink"/>
            <w:noProof/>
          </w:rPr>
          <w:t>Table 2.16: Community palliative care – new episodes for distinct clients 2024–25</w:t>
        </w:r>
        <w:r w:rsidR="00C50CD4">
          <w:rPr>
            <w:noProof/>
            <w:webHidden/>
          </w:rPr>
          <w:tab/>
        </w:r>
        <w:r w:rsidR="00C50CD4">
          <w:rPr>
            <w:noProof/>
            <w:webHidden/>
          </w:rPr>
          <w:fldChar w:fldCharType="begin"/>
        </w:r>
        <w:r w:rsidR="00C50CD4">
          <w:rPr>
            <w:noProof/>
            <w:webHidden/>
          </w:rPr>
          <w:instrText xml:space="preserve"> PAGEREF _Toc176510429 \h </w:instrText>
        </w:r>
        <w:r w:rsidR="00C50CD4">
          <w:rPr>
            <w:noProof/>
            <w:webHidden/>
          </w:rPr>
        </w:r>
        <w:r w:rsidR="00C50CD4">
          <w:rPr>
            <w:noProof/>
            <w:webHidden/>
          </w:rPr>
          <w:fldChar w:fldCharType="separate"/>
        </w:r>
        <w:r w:rsidR="00C50CD4">
          <w:rPr>
            <w:noProof/>
            <w:webHidden/>
          </w:rPr>
          <w:t>116</w:t>
        </w:r>
        <w:r w:rsidR="00C50CD4">
          <w:rPr>
            <w:noProof/>
            <w:webHidden/>
          </w:rPr>
          <w:fldChar w:fldCharType="end"/>
        </w:r>
      </w:hyperlink>
    </w:p>
    <w:p w14:paraId="2F3BDE3B" w14:textId="24E64255"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0" w:history="1">
        <w:r w:rsidR="00C50CD4" w:rsidRPr="0042064D">
          <w:rPr>
            <w:rStyle w:val="Hyperlink"/>
            <w:noProof/>
          </w:rPr>
          <w:t>Table 2.17: Nationally Funded Centres Program targets 2024–25</w:t>
        </w:r>
        <w:r w:rsidR="00C50CD4">
          <w:rPr>
            <w:noProof/>
            <w:webHidden/>
          </w:rPr>
          <w:tab/>
        </w:r>
        <w:r w:rsidR="00C50CD4">
          <w:rPr>
            <w:noProof/>
            <w:webHidden/>
          </w:rPr>
          <w:fldChar w:fldCharType="begin"/>
        </w:r>
        <w:r w:rsidR="00C50CD4">
          <w:rPr>
            <w:noProof/>
            <w:webHidden/>
          </w:rPr>
          <w:instrText xml:space="preserve"> PAGEREF _Toc176510430 \h </w:instrText>
        </w:r>
        <w:r w:rsidR="00C50CD4">
          <w:rPr>
            <w:noProof/>
            <w:webHidden/>
          </w:rPr>
        </w:r>
        <w:r w:rsidR="00C50CD4">
          <w:rPr>
            <w:noProof/>
            <w:webHidden/>
          </w:rPr>
          <w:fldChar w:fldCharType="separate"/>
        </w:r>
        <w:r w:rsidR="00C50CD4">
          <w:rPr>
            <w:noProof/>
            <w:webHidden/>
          </w:rPr>
          <w:t>117</w:t>
        </w:r>
        <w:r w:rsidR="00C50CD4">
          <w:rPr>
            <w:noProof/>
            <w:webHidden/>
          </w:rPr>
          <w:fldChar w:fldCharType="end"/>
        </w:r>
      </w:hyperlink>
    </w:p>
    <w:p w14:paraId="26C94C1C" w14:textId="2CE316E8"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1" w:history="1">
        <w:r w:rsidR="00C50CD4" w:rsidRPr="0042064D">
          <w:rPr>
            <w:rStyle w:val="Hyperlink"/>
            <w:noProof/>
          </w:rPr>
          <w:t>Table 2.18: Victorian Institute of Forensic Mental Health acute available beds 2024-25</w:t>
        </w:r>
        <w:r w:rsidR="00C50CD4">
          <w:rPr>
            <w:noProof/>
            <w:webHidden/>
          </w:rPr>
          <w:tab/>
        </w:r>
        <w:r w:rsidR="00C50CD4">
          <w:rPr>
            <w:noProof/>
            <w:webHidden/>
          </w:rPr>
          <w:fldChar w:fldCharType="begin"/>
        </w:r>
        <w:r w:rsidR="00C50CD4">
          <w:rPr>
            <w:noProof/>
            <w:webHidden/>
          </w:rPr>
          <w:instrText xml:space="preserve"> PAGEREF _Toc176510431 \h </w:instrText>
        </w:r>
        <w:r w:rsidR="00C50CD4">
          <w:rPr>
            <w:noProof/>
            <w:webHidden/>
          </w:rPr>
        </w:r>
        <w:r w:rsidR="00C50CD4">
          <w:rPr>
            <w:noProof/>
            <w:webHidden/>
          </w:rPr>
          <w:fldChar w:fldCharType="separate"/>
        </w:r>
        <w:r w:rsidR="00C50CD4">
          <w:rPr>
            <w:noProof/>
            <w:webHidden/>
          </w:rPr>
          <w:t>118</w:t>
        </w:r>
        <w:r w:rsidR="00C50CD4">
          <w:rPr>
            <w:noProof/>
            <w:webHidden/>
          </w:rPr>
          <w:fldChar w:fldCharType="end"/>
        </w:r>
      </w:hyperlink>
    </w:p>
    <w:p w14:paraId="13799D60" w14:textId="38B132D4"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2" w:history="1">
        <w:r w:rsidR="00C50CD4" w:rsidRPr="0042064D">
          <w:rPr>
            <w:rStyle w:val="Hyperlink"/>
            <w:noProof/>
          </w:rPr>
          <w:t>Table 2.19: Mental health non-acute, subacute and residential available beds 2024–25</w:t>
        </w:r>
        <w:r w:rsidR="00C50CD4">
          <w:rPr>
            <w:noProof/>
            <w:webHidden/>
          </w:rPr>
          <w:tab/>
        </w:r>
        <w:r w:rsidR="00C50CD4">
          <w:rPr>
            <w:noProof/>
            <w:webHidden/>
          </w:rPr>
          <w:fldChar w:fldCharType="begin"/>
        </w:r>
        <w:r w:rsidR="00C50CD4">
          <w:rPr>
            <w:noProof/>
            <w:webHidden/>
          </w:rPr>
          <w:instrText xml:space="preserve"> PAGEREF _Toc176510432 \h </w:instrText>
        </w:r>
        <w:r w:rsidR="00C50CD4">
          <w:rPr>
            <w:noProof/>
            <w:webHidden/>
          </w:rPr>
        </w:r>
        <w:r w:rsidR="00C50CD4">
          <w:rPr>
            <w:noProof/>
            <w:webHidden/>
          </w:rPr>
          <w:fldChar w:fldCharType="separate"/>
        </w:r>
        <w:r w:rsidR="00C50CD4">
          <w:rPr>
            <w:noProof/>
            <w:webHidden/>
          </w:rPr>
          <w:t>118</w:t>
        </w:r>
        <w:r w:rsidR="00C50CD4">
          <w:rPr>
            <w:noProof/>
            <w:webHidden/>
          </w:rPr>
          <w:fldChar w:fldCharType="end"/>
        </w:r>
      </w:hyperlink>
    </w:p>
    <w:p w14:paraId="3B971F20" w14:textId="7AD613E6"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3" w:history="1">
        <w:r w:rsidR="00C50CD4" w:rsidRPr="0042064D">
          <w:rPr>
            <w:rStyle w:val="Hyperlink"/>
            <w:noProof/>
          </w:rPr>
          <w:t>Table 2.20: Mental health ambulatory targets 2024–25</w:t>
        </w:r>
        <w:r w:rsidR="00C50CD4">
          <w:rPr>
            <w:noProof/>
            <w:webHidden/>
          </w:rPr>
          <w:tab/>
        </w:r>
        <w:r w:rsidR="00C50CD4">
          <w:rPr>
            <w:noProof/>
            <w:webHidden/>
          </w:rPr>
          <w:fldChar w:fldCharType="begin"/>
        </w:r>
        <w:r w:rsidR="00C50CD4">
          <w:rPr>
            <w:noProof/>
            <w:webHidden/>
          </w:rPr>
          <w:instrText xml:space="preserve"> PAGEREF _Toc176510433 \h </w:instrText>
        </w:r>
        <w:r w:rsidR="00C50CD4">
          <w:rPr>
            <w:noProof/>
            <w:webHidden/>
          </w:rPr>
        </w:r>
        <w:r w:rsidR="00C50CD4">
          <w:rPr>
            <w:noProof/>
            <w:webHidden/>
          </w:rPr>
          <w:fldChar w:fldCharType="separate"/>
        </w:r>
        <w:r w:rsidR="00C50CD4">
          <w:rPr>
            <w:noProof/>
            <w:webHidden/>
          </w:rPr>
          <w:t>120</w:t>
        </w:r>
        <w:r w:rsidR="00C50CD4">
          <w:rPr>
            <w:noProof/>
            <w:webHidden/>
          </w:rPr>
          <w:fldChar w:fldCharType="end"/>
        </w:r>
      </w:hyperlink>
    </w:p>
    <w:p w14:paraId="2F91F1C2" w14:textId="629FCD8B"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4" w:history="1">
        <w:r w:rsidR="00C50CD4" w:rsidRPr="0042064D">
          <w:rPr>
            <w:rStyle w:val="Hyperlink"/>
            <w:noProof/>
          </w:rPr>
          <w:t>Table 2.21: Alcohol and other drugs output targets 2024–25</w:t>
        </w:r>
        <w:r w:rsidR="00C50CD4">
          <w:rPr>
            <w:noProof/>
            <w:webHidden/>
          </w:rPr>
          <w:tab/>
        </w:r>
        <w:r w:rsidR="00C50CD4">
          <w:rPr>
            <w:noProof/>
            <w:webHidden/>
          </w:rPr>
          <w:fldChar w:fldCharType="begin"/>
        </w:r>
        <w:r w:rsidR="00C50CD4">
          <w:rPr>
            <w:noProof/>
            <w:webHidden/>
          </w:rPr>
          <w:instrText xml:space="preserve"> PAGEREF _Toc176510434 \h </w:instrText>
        </w:r>
        <w:r w:rsidR="00C50CD4">
          <w:rPr>
            <w:noProof/>
            <w:webHidden/>
          </w:rPr>
        </w:r>
        <w:r w:rsidR="00C50CD4">
          <w:rPr>
            <w:noProof/>
            <w:webHidden/>
          </w:rPr>
          <w:fldChar w:fldCharType="separate"/>
        </w:r>
        <w:r w:rsidR="00C50CD4">
          <w:rPr>
            <w:noProof/>
            <w:webHidden/>
          </w:rPr>
          <w:t>121</w:t>
        </w:r>
        <w:r w:rsidR="00C50CD4">
          <w:rPr>
            <w:noProof/>
            <w:webHidden/>
          </w:rPr>
          <w:fldChar w:fldCharType="end"/>
        </w:r>
      </w:hyperlink>
    </w:p>
    <w:p w14:paraId="0CF45EDF" w14:textId="366777DB" w:rsidR="00C50CD4" w:rsidRDefault="00000000">
      <w:pPr>
        <w:pStyle w:val="TOC4"/>
        <w:rPr>
          <w:rFonts w:asciiTheme="minorHAnsi" w:eastAsiaTheme="minorEastAsia" w:hAnsiTheme="minorHAnsi" w:cstheme="minorBidi"/>
          <w:noProof/>
          <w:kern w:val="2"/>
          <w:sz w:val="24"/>
          <w:szCs w:val="24"/>
          <w:lang w:eastAsia="en-AU"/>
          <w14:ligatures w14:val="standardContextual"/>
        </w:rPr>
      </w:pPr>
      <w:hyperlink w:anchor="_Toc176510435" w:history="1">
        <w:r w:rsidR="00C50CD4" w:rsidRPr="0042064D">
          <w:rPr>
            <w:rStyle w:val="Hyperlink"/>
            <w:noProof/>
          </w:rPr>
          <w:t>Table 2.22: Victorian pricing adjustments 2024–25</w:t>
        </w:r>
        <w:r w:rsidR="00C50CD4">
          <w:rPr>
            <w:noProof/>
            <w:webHidden/>
          </w:rPr>
          <w:tab/>
        </w:r>
        <w:r w:rsidR="00C50CD4">
          <w:rPr>
            <w:noProof/>
            <w:webHidden/>
          </w:rPr>
          <w:fldChar w:fldCharType="begin"/>
        </w:r>
        <w:r w:rsidR="00C50CD4">
          <w:rPr>
            <w:noProof/>
            <w:webHidden/>
          </w:rPr>
          <w:instrText xml:space="preserve"> PAGEREF _Toc176510435 \h </w:instrText>
        </w:r>
        <w:r w:rsidR="00C50CD4">
          <w:rPr>
            <w:noProof/>
            <w:webHidden/>
          </w:rPr>
        </w:r>
        <w:r w:rsidR="00C50CD4">
          <w:rPr>
            <w:noProof/>
            <w:webHidden/>
          </w:rPr>
          <w:fldChar w:fldCharType="separate"/>
        </w:r>
        <w:r w:rsidR="00C50CD4">
          <w:rPr>
            <w:noProof/>
            <w:webHidden/>
          </w:rPr>
          <w:t>124</w:t>
        </w:r>
        <w:r w:rsidR="00C50CD4">
          <w:rPr>
            <w:noProof/>
            <w:webHidden/>
          </w:rPr>
          <w:fldChar w:fldCharType="end"/>
        </w:r>
      </w:hyperlink>
    </w:p>
    <w:p w14:paraId="0D6A8407" w14:textId="15E837C1" w:rsidR="005B699B" w:rsidRDefault="005B699B" w:rsidP="00CD6C65">
      <w:pPr>
        <w:pStyle w:val="Body"/>
        <w:tabs>
          <w:tab w:val="right" w:leader="dot" w:pos="9214"/>
        </w:tabs>
        <w:spacing w:line="240" w:lineRule="auto"/>
        <w:ind w:left="1134" w:right="509" w:hanging="1134"/>
        <w:rPr>
          <w:sz w:val="18"/>
          <w:szCs w:val="18"/>
        </w:rPr>
        <w:sectPr w:rsidR="005B699B" w:rsidSect="005B699B">
          <w:headerReference w:type="even" r:id="rId96"/>
          <w:headerReference w:type="default" r:id="rId97"/>
          <w:footerReference w:type="even" r:id="rId98"/>
          <w:footerReference w:type="default" r:id="rId99"/>
          <w:headerReference w:type="first" r:id="rId100"/>
          <w:pgSz w:w="11906" w:h="16838" w:code="9"/>
          <w:pgMar w:top="1418" w:right="1304" w:bottom="1134" w:left="1304" w:header="680" w:footer="567" w:gutter="0"/>
          <w:cols w:space="340"/>
          <w:docGrid w:linePitch="360"/>
        </w:sectPr>
      </w:pPr>
      <w:r w:rsidRPr="00F02E93">
        <w:rPr>
          <w:sz w:val="18"/>
          <w:szCs w:val="18"/>
        </w:rPr>
        <w:fldChar w:fldCharType="end"/>
      </w:r>
      <w:bookmarkStart w:id="2711" w:name="_Toc12780681"/>
      <w:bookmarkStart w:id="2712" w:name="_Toc14172322"/>
      <w:bookmarkStart w:id="2713" w:name="_Toc55381184"/>
      <w:bookmarkStart w:id="2714" w:name="_Toc100263388"/>
    </w:p>
    <w:p w14:paraId="4A57AA6D" w14:textId="77777777" w:rsidR="005B699B" w:rsidRDefault="005B699B" w:rsidP="00AF18F3">
      <w:pPr>
        <w:pStyle w:val="Heading1"/>
        <w:numPr>
          <w:ilvl w:val="0"/>
          <w:numId w:val="0"/>
        </w:numPr>
      </w:pPr>
      <w:bookmarkStart w:id="2715" w:name="_Toc165961883"/>
      <w:bookmarkStart w:id="2716" w:name="_Toc178963669"/>
      <w:r w:rsidRPr="008302DD">
        <w:lastRenderedPageBreak/>
        <w:t xml:space="preserve">Acronyms and </w:t>
      </w:r>
      <w:bookmarkEnd w:id="2711"/>
      <w:bookmarkEnd w:id="2712"/>
      <w:bookmarkEnd w:id="2713"/>
      <w:bookmarkEnd w:id="2714"/>
      <w:r>
        <w:t>a</w:t>
      </w:r>
      <w:r w:rsidRPr="008302DD">
        <w:t>bbreviations</w:t>
      </w:r>
      <w:bookmarkEnd w:id="2715"/>
      <w:bookmarkEnd w:id="2716"/>
    </w:p>
    <w:p w14:paraId="0C1ADD67" w14:textId="6D11D51D" w:rsidR="00175296" w:rsidRDefault="00175296" w:rsidP="005B699B">
      <w:pPr>
        <w:pStyle w:val="Acronym"/>
      </w:pPr>
      <w:r>
        <w:t>ABF</w:t>
      </w:r>
      <w:r>
        <w:tab/>
        <w:t>activity-based funding</w:t>
      </w:r>
    </w:p>
    <w:p w14:paraId="2032060B" w14:textId="1AB425CD" w:rsidR="005B699B" w:rsidRPr="002E3429" w:rsidRDefault="005B699B" w:rsidP="005B699B">
      <w:pPr>
        <w:pStyle w:val="Acronym"/>
      </w:pPr>
      <w:r w:rsidRPr="002E3429">
        <w:t>ABO</w:t>
      </w:r>
      <w:r>
        <w:tab/>
        <w:t>b</w:t>
      </w:r>
      <w:r w:rsidRPr="002E3429">
        <w:t>lood group system</w:t>
      </w:r>
    </w:p>
    <w:p w14:paraId="3A1EA3CC" w14:textId="77777777" w:rsidR="005B699B" w:rsidRPr="002E3429" w:rsidRDefault="005B699B" w:rsidP="005B699B">
      <w:pPr>
        <w:pStyle w:val="Acronym"/>
      </w:pPr>
      <w:r w:rsidRPr="0074173F">
        <w:t>ACAS</w:t>
      </w:r>
      <w:r w:rsidRPr="0074173F">
        <w:tab/>
        <w:t>Aged Care Assessment Service</w:t>
      </w:r>
    </w:p>
    <w:p w14:paraId="447E8DBE" w14:textId="77777777" w:rsidR="005B699B" w:rsidRPr="002E3429" w:rsidRDefault="005B699B" w:rsidP="005B699B">
      <w:pPr>
        <w:pStyle w:val="Acronym"/>
      </w:pPr>
      <w:r w:rsidRPr="001F21EE">
        <w:t>ACCO</w:t>
      </w:r>
      <w:r w:rsidRPr="001F21EE">
        <w:tab/>
        <w:t>Aboriginal community-controlled organisations</w:t>
      </w:r>
    </w:p>
    <w:p w14:paraId="46109A8C" w14:textId="77777777" w:rsidR="005B699B" w:rsidRPr="002E3429" w:rsidRDefault="005B699B" w:rsidP="005B699B">
      <w:pPr>
        <w:pStyle w:val="Acronym"/>
      </w:pPr>
      <w:r w:rsidRPr="002E3429">
        <w:t>ACHI</w:t>
      </w:r>
      <w:r>
        <w:tab/>
      </w:r>
      <w:r w:rsidRPr="002E3429">
        <w:t>Australian Classification of Health Interventions</w:t>
      </w:r>
    </w:p>
    <w:p w14:paraId="0605D59D" w14:textId="77777777" w:rsidR="005B699B" w:rsidRPr="002E3429" w:rsidRDefault="005B699B" w:rsidP="005B699B">
      <w:pPr>
        <w:pStyle w:val="Acronym"/>
      </w:pPr>
      <w:r w:rsidRPr="002E3429">
        <w:t>ACS</w:t>
      </w:r>
      <w:r>
        <w:tab/>
      </w:r>
      <w:r w:rsidRPr="002E3429">
        <w:t>Australian Coding Standard</w:t>
      </w:r>
    </w:p>
    <w:p w14:paraId="28E098F7" w14:textId="77777777" w:rsidR="005B699B" w:rsidRDefault="005B699B" w:rsidP="005B699B">
      <w:pPr>
        <w:pStyle w:val="Acronym"/>
      </w:pPr>
      <w:r>
        <w:t>AECC</w:t>
      </w:r>
      <w:r>
        <w:tab/>
        <w:t>Australian Emergency Care Classification</w:t>
      </w:r>
    </w:p>
    <w:p w14:paraId="6BEED15B" w14:textId="732E43E3" w:rsidR="00E85013" w:rsidRDefault="00E85013" w:rsidP="005B699B">
      <w:pPr>
        <w:pStyle w:val="Acronym"/>
      </w:pPr>
      <w:r>
        <w:t>AHR</w:t>
      </w:r>
      <w:r>
        <w:tab/>
        <w:t xml:space="preserve">Avoidable </w:t>
      </w:r>
      <w:r w:rsidR="004E0AE9">
        <w:t>hospital readmissions</w:t>
      </w:r>
    </w:p>
    <w:p w14:paraId="4B5906A9" w14:textId="5CB37726" w:rsidR="005B699B" w:rsidRPr="002E3429" w:rsidRDefault="005B699B" w:rsidP="005B699B">
      <w:pPr>
        <w:pStyle w:val="Acronym"/>
      </w:pPr>
      <w:r w:rsidRPr="001F21EE">
        <w:t>AIDS</w:t>
      </w:r>
      <w:r w:rsidRPr="001F21EE">
        <w:tab/>
        <w:t>acquired immune deficiency syndrome</w:t>
      </w:r>
    </w:p>
    <w:p w14:paraId="31614D73" w14:textId="77777777" w:rsidR="005B699B" w:rsidRPr="002E3429" w:rsidRDefault="005B699B" w:rsidP="005B699B">
      <w:pPr>
        <w:pStyle w:val="Acronym"/>
      </w:pPr>
      <w:r w:rsidRPr="002E3429">
        <w:t>AIMS</w:t>
      </w:r>
      <w:r>
        <w:tab/>
      </w:r>
      <w:r w:rsidRPr="002E3429">
        <w:t>Agency Information Management System</w:t>
      </w:r>
    </w:p>
    <w:p w14:paraId="7CE4F643" w14:textId="77777777" w:rsidR="005B699B" w:rsidRPr="002E3429" w:rsidRDefault="005B699B" w:rsidP="005B699B">
      <w:pPr>
        <w:pStyle w:val="Acronym"/>
      </w:pPr>
      <w:r>
        <w:t>AMHCC</w:t>
      </w:r>
      <w:r>
        <w:tab/>
      </w:r>
      <w:r w:rsidRPr="00AB63CD">
        <w:t>Australian Mental Health Care Classification</w:t>
      </w:r>
    </w:p>
    <w:p w14:paraId="76C85F19" w14:textId="77777777" w:rsidR="005B699B" w:rsidRPr="002E3429" w:rsidRDefault="005B699B" w:rsidP="005B699B">
      <w:pPr>
        <w:pStyle w:val="Acronym"/>
      </w:pPr>
      <w:r w:rsidRPr="002E3429">
        <w:t>AN-SNAP</w:t>
      </w:r>
      <w:r w:rsidRPr="002E3429">
        <w:tab/>
        <w:t>Australian National Subacute and Non-Acute Patient</w:t>
      </w:r>
    </w:p>
    <w:p w14:paraId="7FF53E89" w14:textId="77777777" w:rsidR="005B699B" w:rsidRPr="002E3429" w:rsidRDefault="005B699B" w:rsidP="005B699B">
      <w:pPr>
        <w:pStyle w:val="Acronym"/>
      </w:pPr>
      <w:r w:rsidRPr="001F21EE">
        <w:t>AOD</w:t>
      </w:r>
      <w:r w:rsidRPr="001F21EE">
        <w:tab/>
        <w:t>alcohol and other drugs</w:t>
      </w:r>
    </w:p>
    <w:p w14:paraId="7E6D02BB" w14:textId="77777777" w:rsidR="005B699B" w:rsidRPr="002E3429" w:rsidRDefault="005B699B" w:rsidP="005B699B">
      <w:pPr>
        <w:pStyle w:val="Acronym"/>
      </w:pPr>
      <w:r w:rsidRPr="002E3429">
        <w:t>AR-DRG</w:t>
      </w:r>
      <w:r w:rsidRPr="002E3429">
        <w:tab/>
        <w:t>Australian Refined Diagnosis</w:t>
      </w:r>
      <w:r>
        <w:t>-</w:t>
      </w:r>
      <w:r w:rsidRPr="002E3429">
        <w:t>Related Groups</w:t>
      </w:r>
    </w:p>
    <w:p w14:paraId="370EAE9B" w14:textId="77777777" w:rsidR="005B699B" w:rsidRPr="001F21EE" w:rsidRDefault="005B699B" w:rsidP="005B699B">
      <w:pPr>
        <w:pStyle w:val="Acronym"/>
      </w:pPr>
      <w:r w:rsidRPr="0013154B">
        <w:rPr>
          <w:rFonts w:cs="Arial"/>
          <w:sz w:val="21"/>
          <w:szCs w:val="21"/>
          <w:shd w:val="clear" w:color="auto" w:fill="FFFFFF"/>
        </w:rPr>
        <w:t>BBV</w:t>
      </w:r>
      <w:r w:rsidRPr="001F21EE">
        <w:rPr>
          <w:rFonts w:cs="Arial"/>
          <w:color w:val="4D5156"/>
          <w:sz w:val="21"/>
          <w:szCs w:val="21"/>
          <w:shd w:val="clear" w:color="auto" w:fill="FFFFFF"/>
        </w:rPr>
        <w:tab/>
      </w:r>
      <w:r w:rsidRPr="001F21EE">
        <w:t>blood-borne viruses</w:t>
      </w:r>
    </w:p>
    <w:p w14:paraId="5AF06EBA" w14:textId="77777777" w:rsidR="005B699B" w:rsidRDefault="005B699B" w:rsidP="005B699B">
      <w:pPr>
        <w:pStyle w:val="Acronym"/>
      </w:pPr>
      <w:r>
        <w:t>DNW</w:t>
      </w:r>
      <w:r>
        <w:tab/>
        <w:t>d</w:t>
      </w:r>
      <w:r w:rsidRPr="00117367">
        <w:t>id not wait</w:t>
      </w:r>
    </w:p>
    <w:p w14:paraId="54D4B421" w14:textId="77777777" w:rsidR="005B699B" w:rsidRPr="001F21EE" w:rsidRDefault="005B699B" w:rsidP="005B699B">
      <w:pPr>
        <w:pStyle w:val="Acronym"/>
      </w:pPr>
      <w:r w:rsidRPr="001F21EE">
        <w:t>DRG</w:t>
      </w:r>
      <w:r w:rsidRPr="001F21EE">
        <w:tab/>
        <w:t>diagnosis-related group</w:t>
      </w:r>
    </w:p>
    <w:p w14:paraId="7F0F38AA" w14:textId="77777777" w:rsidR="005B699B" w:rsidRPr="001F21EE" w:rsidRDefault="005B699B" w:rsidP="005B699B">
      <w:pPr>
        <w:pStyle w:val="Acronym"/>
      </w:pPr>
      <w:r w:rsidRPr="001F21EE">
        <w:t>DVA</w:t>
      </w:r>
      <w:r w:rsidRPr="001F21EE">
        <w:tab/>
        <w:t>Department of Veterans' Affairs</w:t>
      </w:r>
    </w:p>
    <w:p w14:paraId="76B16D6C" w14:textId="77777777" w:rsidR="005B699B" w:rsidRDefault="005B699B" w:rsidP="005B699B">
      <w:pPr>
        <w:pStyle w:val="Acronym"/>
      </w:pPr>
      <w:r>
        <w:t>ESIS</w:t>
      </w:r>
      <w:r>
        <w:tab/>
        <w:t>Elective Surgery Information System</w:t>
      </w:r>
    </w:p>
    <w:p w14:paraId="0FBFC2AC" w14:textId="77777777" w:rsidR="005B699B" w:rsidRPr="002E3429" w:rsidRDefault="005B699B" w:rsidP="005B699B">
      <w:pPr>
        <w:pStyle w:val="Acronym"/>
      </w:pPr>
      <w:r w:rsidRPr="002E3429">
        <w:t>FIM</w:t>
      </w:r>
      <w:r w:rsidRPr="002E3429">
        <w:rPr>
          <w:lang w:eastAsia="en-AU"/>
        </w:rPr>
        <w:t>™</w:t>
      </w:r>
      <w:r>
        <w:tab/>
      </w:r>
      <w:r w:rsidRPr="002E3429">
        <w:t>Functional Independence Measure</w:t>
      </w:r>
    </w:p>
    <w:p w14:paraId="4A9BEC51" w14:textId="77777777" w:rsidR="005B699B" w:rsidRPr="002E3429" w:rsidRDefault="005B699B" w:rsidP="005B699B">
      <w:pPr>
        <w:pStyle w:val="Acronym"/>
      </w:pPr>
      <w:r w:rsidRPr="002E3429">
        <w:t>GEM</w:t>
      </w:r>
      <w:r>
        <w:tab/>
      </w:r>
      <w:r w:rsidRPr="002E3429">
        <w:t>geriatric evaluation and management</w:t>
      </w:r>
    </w:p>
    <w:p w14:paraId="5AC5C33B" w14:textId="77777777" w:rsidR="005B699B" w:rsidRDefault="005B699B" w:rsidP="005B699B">
      <w:pPr>
        <w:pStyle w:val="Acronym"/>
      </w:pPr>
      <w:r>
        <w:t>HAC</w:t>
      </w:r>
      <w:r>
        <w:tab/>
        <w:t>hospital acquired complications</w:t>
      </w:r>
    </w:p>
    <w:p w14:paraId="6FDF862C" w14:textId="77777777" w:rsidR="005B699B" w:rsidRDefault="005B699B" w:rsidP="005B699B">
      <w:pPr>
        <w:pStyle w:val="Acronym"/>
      </w:pPr>
      <w:r w:rsidRPr="002E3429">
        <w:t>HACC</w:t>
      </w:r>
      <w:r>
        <w:tab/>
      </w:r>
      <w:r w:rsidRPr="002E3429">
        <w:t>Home and Community Care</w:t>
      </w:r>
    </w:p>
    <w:p w14:paraId="6D2B3AB8" w14:textId="77777777" w:rsidR="005B699B" w:rsidRDefault="005B699B" w:rsidP="005B699B">
      <w:pPr>
        <w:pStyle w:val="Acronym"/>
      </w:pPr>
      <w:r>
        <w:t>HACC-PYP</w:t>
      </w:r>
      <w:r>
        <w:tab/>
        <w:t>Home and Community Care Program Younger People</w:t>
      </w:r>
    </w:p>
    <w:p w14:paraId="2E78A4E6" w14:textId="77777777" w:rsidR="005B699B" w:rsidRDefault="005B699B" w:rsidP="005B699B">
      <w:pPr>
        <w:pStyle w:val="Acronym"/>
      </w:pPr>
      <w:r>
        <w:t>HeART</w:t>
      </w:r>
      <w:r>
        <w:tab/>
      </w:r>
      <w:r w:rsidRPr="007B4C7B">
        <w:rPr>
          <w:szCs w:val="21"/>
        </w:rPr>
        <w:t>Health Agencies Reporting Tool</w:t>
      </w:r>
    </w:p>
    <w:p w14:paraId="655ACF5D" w14:textId="77777777" w:rsidR="005B699B" w:rsidRDefault="005B699B" w:rsidP="005B699B">
      <w:pPr>
        <w:pStyle w:val="Acronym"/>
      </w:pPr>
      <w:r>
        <w:t>HIP</w:t>
      </w:r>
      <w:r>
        <w:tab/>
        <w:t>Health Independence Program</w:t>
      </w:r>
    </w:p>
    <w:p w14:paraId="67D20B62" w14:textId="77777777" w:rsidR="005B699B" w:rsidRPr="002E3429" w:rsidRDefault="005B699B" w:rsidP="005B699B">
      <w:pPr>
        <w:pStyle w:val="Acronym"/>
      </w:pPr>
      <w:r w:rsidRPr="001F21EE">
        <w:t>HIV</w:t>
      </w:r>
      <w:r w:rsidRPr="001F21EE">
        <w:tab/>
        <w:t>human immunodeficiency virus</w:t>
      </w:r>
    </w:p>
    <w:p w14:paraId="000B9E53" w14:textId="77777777" w:rsidR="005B699B" w:rsidRDefault="005B699B" w:rsidP="005B699B">
      <w:pPr>
        <w:pStyle w:val="Acronym"/>
      </w:pPr>
      <w:r>
        <w:t>ICD</w:t>
      </w:r>
      <w:r>
        <w:tab/>
      </w:r>
      <w:r w:rsidRPr="004C62FA">
        <w:t>International Classification of Diseases</w:t>
      </w:r>
    </w:p>
    <w:p w14:paraId="58C582F5" w14:textId="77777777" w:rsidR="005B699B" w:rsidRPr="002E3429" w:rsidRDefault="005B699B" w:rsidP="005B699B">
      <w:pPr>
        <w:pStyle w:val="Acronym"/>
      </w:pPr>
      <w:r w:rsidRPr="002E3429">
        <w:t>IH</w:t>
      </w:r>
      <w:r>
        <w:t>AC</w:t>
      </w:r>
      <w:r w:rsidRPr="002E3429">
        <w:t>PA</w:t>
      </w:r>
      <w:r>
        <w:tab/>
      </w:r>
      <w:r w:rsidRPr="002E3429">
        <w:t>Independent H</w:t>
      </w:r>
      <w:r>
        <w:t>ealth and Aged Care</w:t>
      </w:r>
      <w:r w:rsidRPr="002E3429">
        <w:t xml:space="preserve"> Pricing Authority</w:t>
      </w:r>
    </w:p>
    <w:p w14:paraId="4AD3A6F7" w14:textId="3D30E229" w:rsidR="000B5418" w:rsidRPr="002E3429" w:rsidRDefault="000B5418" w:rsidP="005B699B">
      <w:pPr>
        <w:pStyle w:val="Acronym"/>
      </w:pPr>
      <w:r>
        <w:t>LAMA</w:t>
      </w:r>
      <w:r>
        <w:tab/>
      </w:r>
      <w:r w:rsidRPr="00DD4266">
        <w:t>Leave</w:t>
      </w:r>
      <w:r w:rsidRPr="00A90C61">
        <w:t xml:space="preserve"> against medical advic</w:t>
      </w:r>
      <w:r>
        <w:t>e</w:t>
      </w:r>
    </w:p>
    <w:p w14:paraId="2C3DE2AC" w14:textId="77777777" w:rsidR="005B699B" w:rsidRDefault="005B699B" w:rsidP="005B699B">
      <w:pPr>
        <w:pStyle w:val="Acronym"/>
      </w:pPr>
      <w:r w:rsidRPr="004169D2">
        <w:t>LOS</w:t>
      </w:r>
      <w:r w:rsidRPr="004169D2">
        <w:tab/>
        <w:t>length of stay</w:t>
      </w:r>
    </w:p>
    <w:p w14:paraId="5D2DB6A7" w14:textId="77777777" w:rsidR="005B699B" w:rsidRPr="002E3429" w:rsidRDefault="005B699B" w:rsidP="005B699B">
      <w:pPr>
        <w:pStyle w:val="Acronym"/>
      </w:pPr>
      <w:r>
        <w:t>LPHU</w:t>
      </w:r>
      <w:r>
        <w:tab/>
      </w:r>
      <w:r w:rsidRPr="00CE3410">
        <w:t>Local Public Health Unit</w:t>
      </w:r>
    </w:p>
    <w:p w14:paraId="3DC4FA29" w14:textId="77777777" w:rsidR="005B699B" w:rsidRDefault="005B699B" w:rsidP="005B699B">
      <w:pPr>
        <w:pStyle w:val="Acronym"/>
      </w:pPr>
      <w:r>
        <w:t>MAPS</w:t>
      </w:r>
      <w:r>
        <w:tab/>
        <w:t>Modelling and Payment System</w:t>
      </w:r>
    </w:p>
    <w:p w14:paraId="48BDDA66" w14:textId="77777777" w:rsidR="005B699B" w:rsidRDefault="005B699B" w:rsidP="005B699B">
      <w:pPr>
        <w:pStyle w:val="Acronym"/>
      </w:pPr>
      <w:r>
        <w:t>MBS</w:t>
      </w:r>
      <w:r>
        <w:tab/>
      </w:r>
      <w:r w:rsidRPr="00FA1304">
        <w:t>Medicare Benefits Schedule</w:t>
      </w:r>
    </w:p>
    <w:p w14:paraId="36705D49" w14:textId="77777777" w:rsidR="005B699B" w:rsidRDefault="005B699B" w:rsidP="005B699B">
      <w:pPr>
        <w:pStyle w:val="Acronym"/>
      </w:pPr>
      <w:r>
        <w:t>METeOR</w:t>
      </w:r>
      <w:r>
        <w:tab/>
      </w:r>
      <w:r w:rsidRPr="0056208C">
        <w:t>registry for Australian metadata standards</w:t>
      </w:r>
    </w:p>
    <w:p w14:paraId="0FB79862" w14:textId="53A2A0E9" w:rsidR="005B699B" w:rsidRPr="002E3429" w:rsidRDefault="005B699B" w:rsidP="005B699B">
      <w:pPr>
        <w:pStyle w:val="Acronym"/>
      </w:pPr>
      <w:r w:rsidRPr="004169D2">
        <w:t>MHCSS</w:t>
      </w:r>
      <w:r w:rsidRPr="004169D2">
        <w:tab/>
      </w:r>
      <w:r w:rsidR="00C13287">
        <w:t>M</w:t>
      </w:r>
      <w:r w:rsidRPr="004169D2">
        <w:t xml:space="preserve">ental </w:t>
      </w:r>
      <w:r w:rsidR="00C13287">
        <w:t>H</w:t>
      </w:r>
      <w:r w:rsidRPr="004169D2">
        <w:t xml:space="preserve">ealth </w:t>
      </w:r>
      <w:r w:rsidR="00C13287">
        <w:t>C</w:t>
      </w:r>
      <w:r w:rsidRPr="004169D2">
        <w:t xml:space="preserve">ommunity </w:t>
      </w:r>
      <w:r w:rsidR="00C13287">
        <w:t>S</w:t>
      </w:r>
      <w:r w:rsidRPr="004169D2">
        <w:t xml:space="preserve">upport </w:t>
      </w:r>
      <w:r w:rsidR="00C13287">
        <w:t>S</w:t>
      </w:r>
      <w:r w:rsidRPr="004169D2">
        <w:t>ervices</w:t>
      </w:r>
    </w:p>
    <w:p w14:paraId="115D996F" w14:textId="77777777" w:rsidR="005B699B" w:rsidRPr="000C7B8B" w:rsidRDefault="005B699B" w:rsidP="005B699B">
      <w:pPr>
        <w:pStyle w:val="Acronym"/>
        <w:rPr>
          <w:color w:val="000000" w:themeColor="text1"/>
        </w:rPr>
      </w:pPr>
      <w:r w:rsidRPr="004169D2">
        <w:rPr>
          <w:rFonts w:cs="Arial"/>
          <w:color w:val="000000" w:themeColor="text1"/>
          <w:shd w:val="clear" w:color="auto" w:fill="FFFFFF"/>
        </w:rPr>
        <w:t>NACMS</w:t>
      </w:r>
      <w:r w:rsidRPr="004169D2">
        <w:rPr>
          <w:rFonts w:cs="Arial"/>
          <w:color w:val="000000" w:themeColor="text1"/>
          <w:shd w:val="clear" w:color="auto" w:fill="FFFFFF"/>
        </w:rPr>
        <w:tab/>
      </w:r>
      <w:r w:rsidRPr="004169D2">
        <w:rPr>
          <w:color w:val="000000" w:themeColor="text1"/>
        </w:rPr>
        <w:t>Non-Admitted Clinic Management System</w:t>
      </w:r>
    </w:p>
    <w:p w14:paraId="4ED3E2C8" w14:textId="77777777" w:rsidR="005B699B" w:rsidRDefault="005B699B" w:rsidP="005B699B">
      <w:pPr>
        <w:pStyle w:val="Acronym"/>
      </w:pPr>
      <w:r>
        <w:t>NADC</w:t>
      </w:r>
      <w:r>
        <w:tab/>
        <w:t>Non Admitted Data Collection</w:t>
      </w:r>
    </w:p>
    <w:p w14:paraId="7BA199A0" w14:textId="28548C0A" w:rsidR="00C13287" w:rsidRDefault="00C13287" w:rsidP="005B699B">
      <w:pPr>
        <w:pStyle w:val="Acronym"/>
      </w:pPr>
      <w:r>
        <w:t>NEC</w:t>
      </w:r>
      <w:r>
        <w:tab/>
        <w:t>National Efficient Cost</w:t>
      </w:r>
    </w:p>
    <w:p w14:paraId="035E7B6E" w14:textId="780DD5DB" w:rsidR="00C13287" w:rsidRDefault="00C13287" w:rsidP="005B699B">
      <w:pPr>
        <w:pStyle w:val="Acronym"/>
      </w:pPr>
      <w:r>
        <w:lastRenderedPageBreak/>
        <w:t>NEP</w:t>
      </w:r>
      <w:r>
        <w:tab/>
        <w:t>National Efficient Price</w:t>
      </w:r>
    </w:p>
    <w:p w14:paraId="31AFF9FC" w14:textId="461A57A8" w:rsidR="005B699B" w:rsidRPr="002E3429" w:rsidRDefault="005B699B" w:rsidP="005B699B">
      <w:pPr>
        <w:pStyle w:val="Acronym"/>
      </w:pPr>
      <w:r w:rsidRPr="002E3429">
        <w:t>NFC</w:t>
      </w:r>
      <w:r>
        <w:tab/>
      </w:r>
      <w:r w:rsidRPr="002E3429">
        <w:t>Nationally Funded Centres</w:t>
      </w:r>
    </w:p>
    <w:p w14:paraId="4715FE88" w14:textId="77777777" w:rsidR="005B699B" w:rsidRPr="002E3429" w:rsidRDefault="005B699B" w:rsidP="005B699B">
      <w:pPr>
        <w:pStyle w:val="Acronym"/>
      </w:pPr>
      <w:r w:rsidRPr="002E3429">
        <w:t>NHRA</w:t>
      </w:r>
      <w:r>
        <w:tab/>
      </w:r>
      <w:r w:rsidRPr="002E3429">
        <w:t>National Health Reform Agreement</w:t>
      </w:r>
    </w:p>
    <w:p w14:paraId="31D273E9" w14:textId="77777777" w:rsidR="005B699B" w:rsidRPr="00497789" w:rsidRDefault="005B699B" w:rsidP="005B699B">
      <w:pPr>
        <w:pStyle w:val="Acronym"/>
      </w:pPr>
      <w:r w:rsidRPr="00497789">
        <w:t>NWAU</w:t>
      </w:r>
      <w:r w:rsidRPr="00497789">
        <w:tab/>
        <w:t>national weighted activity unit</w:t>
      </w:r>
    </w:p>
    <w:p w14:paraId="71B57693" w14:textId="6EA83BEE" w:rsidR="005B699B" w:rsidRPr="000E1A59" w:rsidRDefault="005B699B" w:rsidP="005B699B">
      <w:pPr>
        <w:pStyle w:val="Acronym"/>
      </w:pPr>
      <w:r w:rsidRPr="000E1A59">
        <w:t>PARC</w:t>
      </w:r>
      <w:r w:rsidRPr="000E1A59">
        <w:tab/>
      </w:r>
      <w:r w:rsidR="00AE11B5">
        <w:t>P</w:t>
      </w:r>
      <w:r w:rsidRPr="000E1A59">
        <w:t xml:space="preserve">revention and </w:t>
      </w:r>
      <w:r w:rsidR="00AE11B5">
        <w:t>R</w:t>
      </w:r>
      <w:r w:rsidRPr="000E1A59">
        <w:t xml:space="preserve">ecovery </w:t>
      </w:r>
      <w:r w:rsidR="00AE11B5">
        <w:t>C</w:t>
      </w:r>
      <w:r w:rsidRPr="000E1A59">
        <w:t>are</w:t>
      </w:r>
    </w:p>
    <w:p w14:paraId="5992E9CD" w14:textId="77777777" w:rsidR="005B699B" w:rsidRPr="000E1A59" w:rsidRDefault="005B699B" w:rsidP="005B699B">
      <w:pPr>
        <w:pStyle w:val="Acronym"/>
      </w:pPr>
      <w:r w:rsidRPr="000E1A59">
        <w:t>PRNI</w:t>
      </w:r>
      <w:r w:rsidRPr="000E1A59">
        <w:tab/>
        <w:t xml:space="preserve">Privately Referred Non-Inpatient </w:t>
      </w:r>
    </w:p>
    <w:p w14:paraId="742035CF" w14:textId="77777777" w:rsidR="005B699B" w:rsidRDefault="005B699B" w:rsidP="005B699B">
      <w:pPr>
        <w:pStyle w:val="Acronym"/>
      </w:pPr>
      <w:r>
        <w:t>RUG-ADL</w:t>
      </w:r>
      <w:r>
        <w:tab/>
      </w:r>
      <w:r w:rsidRPr="00F0224F">
        <w:t>Resource Utilisation Groups – Activities of Daily Living</w:t>
      </w:r>
    </w:p>
    <w:p w14:paraId="5AFE8C1B" w14:textId="77777777" w:rsidR="005B699B" w:rsidRDefault="005B699B" w:rsidP="005B699B">
      <w:pPr>
        <w:pStyle w:val="Acronym"/>
      </w:pPr>
      <w:r w:rsidRPr="000E1A59">
        <w:t>STI</w:t>
      </w:r>
      <w:r w:rsidRPr="000E1A59">
        <w:tab/>
        <w:t>sexually transmissible infections</w:t>
      </w:r>
    </w:p>
    <w:p w14:paraId="7251D3A1" w14:textId="77777777" w:rsidR="005B699B" w:rsidRPr="002E3429" w:rsidRDefault="005B699B" w:rsidP="005B699B">
      <w:pPr>
        <w:pStyle w:val="Acronym"/>
      </w:pPr>
      <w:r w:rsidRPr="002E3429">
        <w:t>TAC</w:t>
      </w:r>
      <w:r>
        <w:tab/>
      </w:r>
      <w:r w:rsidRPr="002E3429">
        <w:t>Transport Accident Commission</w:t>
      </w:r>
    </w:p>
    <w:p w14:paraId="4830C6F1" w14:textId="77777777" w:rsidR="005B699B" w:rsidRPr="002E3429" w:rsidRDefault="005B699B" w:rsidP="005B699B">
      <w:pPr>
        <w:pStyle w:val="Acronym"/>
      </w:pPr>
      <w:r w:rsidRPr="000E1A59">
        <w:t>TCP</w:t>
      </w:r>
      <w:r w:rsidRPr="000E1A59">
        <w:tab/>
        <w:t>Transition Care Program</w:t>
      </w:r>
    </w:p>
    <w:p w14:paraId="124CE458" w14:textId="77777777" w:rsidR="005B699B" w:rsidRDefault="005B699B" w:rsidP="005B699B">
      <w:pPr>
        <w:pStyle w:val="Acronym"/>
      </w:pPr>
      <w:r>
        <w:t>Tier 2</w:t>
      </w:r>
      <w:r>
        <w:tab/>
        <w:t>n</w:t>
      </w:r>
      <w:r w:rsidRPr="000E1A59">
        <w:t>on-</w:t>
      </w:r>
      <w:r>
        <w:t>a</w:t>
      </w:r>
      <w:r w:rsidRPr="000E1A59">
        <w:t xml:space="preserve">dmitted </w:t>
      </w:r>
      <w:r>
        <w:t>s</w:t>
      </w:r>
      <w:r w:rsidRPr="000E1A59">
        <w:t xml:space="preserve">ervices </w:t>
      </w:r>
      <w:r>
        <w:t>c</w:t>
      </w:r>
      <w:r w:rsidRPr="000E1A59">
        <w:t>lassification</w:t>
      </w:r>
    </w:p>
    <w:p w14:paraId="2AE0C0D0" w14:textId="77777777" w:rsidR="005B699B" w:rsidRDefault="005B699B" w:rsidP="005B699B">
      <w:pPr>
        <w:pStyle w:val="Acronym"/>
      </w:pPr>
      <w:r w:rsidRPr="004B18E9">
        <w:t>UCC</w:t>
      </w:r>
      <w:r w:rsidRPr="004B18E9">
        <w:tab/>
        <w:t>ur</w:t>
      </w:r>
      <w:r w:rsidRPr="004B18E9">
        <w:rPr>
          <w:rFonts w:eastAsia="Arial" w:cs="Arial"/>
        </w:rPr>
        <w:t>gent care centre</w:t>
      </w:r>
    </w:p>
    <w:p w14:paraId="0B51B1EC" w14:textId="77777777" w:rsidR="005B699B" w:rsidRDefault="005B699B" w:rsidP="005B699B">
      <w:pPr>
        <w:pStyle w:val="Acronym"/>
      </w:pPr>
      <w:r>
        <w:t>UDG</w:t>
      </w:r>
      <w:r>
        <w:tab/>
        <w:t>Urgency Disposition Groups</w:t>
      </w:r>
    </w:p>
    <w:p w14:paraId="582373B7" w14:textId="77777777" w:rsidR="005B699B" w:rsidRPr="002E3429" w:rsidRDefault="005B699B" w:rsidP="005B699B">
      <w:pPr>
        <w:pStyle w:val="Acronym"/>
      </w:pPr>
      <w:r w:rsidRPr="002536F6">
        <w:t>VAED</w:t>
      </w:r>
      <w:r w:rsidRPr="002536F6">
        <w:tab/>
        <w:t>Victorian Admitted Episodes Dataset</w:t>
      </w:r>
    </w:p>
    <w:p w14:paraId="631B0A2C" w14:textId="77777777" w:rsidR="005B699B" w:rsidRPr="002E3429" w:rsidRDefault="005B699B" w:rsidP="005B699B">
      <w:pPr>
        <w:pStyle w:val="Acronym"/>
      </w:pPr>
      <w:r w:rsidRPr="002E3429">
        <w:t>VCDC</w:t>
      </w:r>
      <w:r>
        <w:tab/>
      </w:r>
      <w:r w:rsidRPr="002E3429">
        <w:t>Victorian Cost Data Collection</w:t>
      </w:r>
    </w:p>
    <w:p w14:paraId="1F6219E5" w14:textId="77777777" w:rsidR="005B699B" w:rsidRPr="002E3429" w:rsidRDefault="005B699B" w:rsidP="005B699B">
      <w:pPr>
        <w:pStyle w:val="Acronym"/>
      </w:pPr>
      <w:r w:rsidRPr="00D62151">
        <w:t>VEMD</w:t>
      </w:r>
      <w:r w:rsidRPr="00D62151">
        <w:tab/>
        <w:t>Emergency Minimum Dataset</w:t>
      </w:r>
    </w:p>
    <w:p w14:paraId="11882CDA" w14:textId="77777777" w:rsidR="005B699B" w:rsidRPr="002E3429" w:rsidRDefault="005B699B" w:rsidP="005B699B">
      <w:pPr>
        <w:pStyle w:val="Acronym"/>
      </w:pPr>
      <w:r>
        <w:t>VEP</w:t>
      </w:r>
      <w:r>
        <w:tab/>
      </w:r>
      <w:r w:rsidRPr="002E3429">
        <w:t xml:space="preserve">Victorian </w:t>
      </w:r>
      <w:r>
        <w:t>efficient price</w:t>
      </w:r>
    </w:p>
    <w:p w14:paraId="302D65B0" w14:textId="77777777" w:rsidR="005B699B" w:rsidRPr="002E3429" w:rsidRDefault="005B699B" w:rsidP="005B699B">
      <w:pPr>
        <w:pStyle w:val="Acronym"/>
      </w:pPr>
      <w:r w:rsidRPr="002E3429">
        <w:t>VINAH</w:t>
      </w:r>
      <w:r>
        <w:tab/>
      </w:r>
      <w:r w:rsidRPr="002E3429">
        <w:t>Victorian Integrated Non-Admitted Health</w:t>
      </w:r>
      <w:r>
        <w:t xml:space="preserve"> minimum dataset</w:t>
      </w:r>
    </w:p>
    <w:p w14:paraId="58A2D725" w14:textId="77777777" w:rsidR="005B699B" w:rsidRPr="002E3429" w:rsidRDefault="005B699B" w:rsidP="005B699B">
      <w:pPr>
        <w:pStyle w:val="Acronym"/>
      </w:pPr>
      <w:r w:rsidRPr="00CF7AAF">
        <w:t>VVED</w:t>
      </w:r>
      <w:r w:rsidRPr="00CF7AAF">
        <w:tab/>
        <w:t>Victorian Virtual Emergency Department</w:t>
      </w:r>
    </w:p>
    <w:p w14:paraId="7A2487D8" w14:textId="77777777" w:rsidR="005B699B" w:rsidRDefault="005B699B" w:rsidP="005B699B">
      <w:pPr>
        <w:pStyle w:val="Acronym"/>
      </w:pPr>
      <w:r w:rsidRPr="002E3429">
        <w:t>WAU</w:t>
      </w:r>
      <w:r>
        <w:tab/>
      </w:r>
      <w:r w:rsidRPr="002E3429">
        <w:t>weighted activity unit</w:t>
      </w:r>
    </w:p>
    <w:p w14:paraId="34004D85" w14:textId="667C6EC4" w:rsidR="00454A7D" w:rsidRDefault="00454A7D">
      <w:pPr>
        <w:spacing w:after="0" w:line="240" w:lineRule="auto"/>
        <w:rPr>
          <w:rFonts w:eastAsia="MS Gothic" w:cs="Arial"/>
          <w:bCs/>
          <w:color w:val="53565A"/>
          <w:kern w:val="32"/>
          <w:sz w:val="44"/>
          <w:szCs w:val="44"/>
        </w:rPr>
      </w:pPr>
    </w:p>
    <w:sectPr w:rsidR="00454A7D" w:rsidSect="00673624">
      <w:headerReference w:type="even" r:id="rId101"/>
      <w:headerReference w:type="default" r:id="rId102"/>
      <w:footerReference w:type="even" r:id="rId103"/>
      <w:footerReference w:type="default" r:id="rId104"/>
      <w:headerReference w:type="first" r:id="rId105"/>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EA9D2" w14:textId="77777777" w:rsidR="00F5381F" w:rsidRDefault="00F5381F">
      <w:r>
        <w:separator/>
      </w:r>
    </w:p>
    <w:p w14:paraId="4B75C943" w14:textId="77777777" w:rsidR="00F5381F" w:rsidRDefault="00F5381F"/>
  </w:endnote>
  <w:endnote w:type="continuationSeparator" w:id="0">
    <w:p w14:paraId="02A3CC54" w14:textId="77777777" w:rsidR="00F5381F" w:rsidRDefault="00F5381F">
      <w:r>
        <w:continuationSeparator/>
      </w:r>
    </w:p>
    <w:p w14:paraId="60E26850" w14:textId="77777777" w:rsidR="00F5381F" w:rsidRDefault="00F5381F"/>
  </w:endnote>
  <w:endnote w:type="continuationNotice" w:id="1">
    <w:p w14:paraId="77A51F18" w14:textId="77777777" w:rsidR="00F5381F" w:rsidRDefault="00F53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rateSBQ-Regular">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7277"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4B8C79F5" wp14:editId="672F8DD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8C79F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5B2E" w14:textId="77777777" w:rsidR="005B699B" w:rsidRDefault="005B699B" w:rsidP="00785BA1">
    <w:pPr>
      <w:pStyle w:val="Footer"/>
    </w:pPr>
    <w:r>
      <w:rPr>
        <w:noProof/>
        <w:lang w:eastAsia="en-AU"/>
      </w:rPr>
      <mc:AlternateContent>
        <mc:Choice Requires="wps">
          <w:drawing>
            <wp:anchor distT="0" distB="0" distL="114300" distR="114300" simplePos="0" relativeHeight="251658250" behindDoc="0" locked="0" layoutInCell="0" allowOverlap="1" wp14:anchorId="3A79FE4E" wp14:editId="751DDAF6">
              <wp:simplePos x="0" y="0"/>
              <wp:positionH relativeFrom="margin">
                <wp:posOffset>-107950</wp:posOffset>
              </wp:positionH>
              <wp:positionV relativeFrom="page">
                <wp:posOffset>7249160</wp:posOffset>
              </wp:positionV>
              <wp:extent cx="9569669" cy="190500"/>
              <wp:effectExtent l="0" t="0" r="0" b="0"/>
              <wp:wrapNone/>
              <wp:docPr id="28" name="Text Box 2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9569669"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96DD6"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9FE4E" id="_x0000_t202" coordsize="21600,21600" o:spt="202" path="m,l,21600r21600,l21600,xe">
              <v:stroke joinstyle="miter"/>
              <v:path gradientshapeok="t" o:connecttype="rect"/>
            </v:shapetype>
            <v:shape id="Text Box 28" o:spid="_x0000_s1038" type="#_x0000_t202" alt="{&quot;HashCode&quot;:904758361,&quot;Height&quot;:841.0,&quot;Width&quot;:595.0,&quot;Placement&quot;:&quot;Footer&quot;,&quot;Index&quot;:&quot;OddAndEven&quot;,&quot;Section&quot;:3,&quot;Top&quot;:0.0,&quot;Left&quot;:0.0}" style="position:absolute;left:0;text-align:left;margin-left:-8.5pt;margin-top:570.8pt;width:753.5pt;height:1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" o:allowincell="f" filled="f" stroked="f" strokeweight=".5pt">
              <v:textbox inset=",0,,0">
                <w:txbxContent>
                  <w:p w14:paraId="14896DD6"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v:textbox>
              <w10:wrap anchorx="margin" anchory="page"/>
            </v:shape>
          </w:pict>
        </mc:Fallback>
      </mc:AlternateContent>
    </w:r>
    <w:r>
      <w:rPr>
        <w:noProof/>
        <w:lang w:eastAsia="en-AU"/>
      </w:rPr>
      <mc:AlternateContent>
        <mc:Choice Requires="wps">
          <w:drawing>
            <wp:anchor distT="0" distB="0" distL="114300" distR="114300" simplePos="0" relativeHeight="251658248" behindDoc="0" locked="0" layoutInCell="0" allowOverlap="1" wp14:anchorId="15660D66" wp14:editId="071CC977">
              <wp:simplePos x="0" y="0"/>
              <wp:positionH relativeFrom="margin">
                <wp:posOffset>1570990</wp:posOffset>
              </wp:positionH>
              <wp:positionV relativeFrom="page">
                <wp:posOffset>10245126</wp:posOffset>
              </wp:positionV>
              <wp:extent cx="2762250" cy="266700"/>
              <wp:effectExtent l="0" t="0" r="0" b="0"/>
              <wp:wrapNone/>
              <wp:docPr id="22" name="Text Box 22"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A2A8C0"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60D66" id="Text Box 22" o:spid="_x0000_s1039" type="#_x0000_t202" alt="{&quot;HashCode&quot;:904758361,&quot;Height&quot;:841.0,&quot;Width&quot;:595.0,&quot;Placement&quot;:&quot;Footer&quot;,&quot;Index&quot;:&quot;OddAndEven&quot;,&quot;Section&quot;:3,&quot;Top&quot;:0.0,&quot;Left&quot;:0.0}" style="position:absolute;left:0;text-align:left;margin-left:123.7pt;margin-top:806.7pt;width:217.5pt;height:21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" o:allowincell="f" filled="f" stroked="f" strokeweight=".5pt">
              <v:textbox inset=",0,,0">
                <w:txbxContent>
                  <w:p w14:paraId="09A2A8C0"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margin"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43574" w14:textId="480741B1" w:rsidR="007C3EDF" w:rsidRPr="0031305A" w:rsidRDefault="007C3EDF" w:rsidP="00785BA1">
    <w:pPr>
      <w:pStyle w:val="Header"/>
      <w:spacing w:after="0"/>
      <w:rPr>
        <w:b w:val="0"/>
        <w:bCs/>
        <w:color w:val="auto"/>
      </w:rPr>
    </w:pPr>
    <w:r>
      <w:rPr>
        <w:noProof/>
        <w:lang w:eastAsia="en-AU"/>
      </w:rPr>
      <mc:AlternateContent>
        <mc:Choice Requires="wps">
          <w:drawing>
            <wp:anchor distT="0" distB="0" distL="114300" distR="114300" simplePos="0" relativeHeight="251658255" behindDoc="0" locked="0" layoutInCell="0" allowOverlap="1" wp14:anchorId="55415D89" wp14:editId="459E3170">
              <wp:simplePos x="0" y="0"/>
              <wp:positionH relativeFrom="page">
                <wp:posOffset>-5080</wp:posOffset>
              </wp:positionH>
              <wp:positionV relativeFrom="page">
                <wp:posOffset>7107484</wp:posOffset>
              </wp:positionV>
              <wp:extent cx="10668000" cy="190500"/>
              <wp:effectExtent l="0" t="0" r="0" b="0"/>
              <wp:wrapNone/>
              <wp:docPr id="266687220" name="Text Box 26668722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1066800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0E703" w14:textId="2DBC1771" w:rsidR="007C3EDF" w:rsidRPr="002C5B7C" w:rsidRDefault="007C3EDF" w:rsidP="007C3ED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15D89" id="_x0000_t202" coordsize="21600,21600" o:spt="202" path="m,l,21600r21600,l21600,xe">
              <v:stroke joinstyle="miter"/>
              <v:path gradientshapeok="t" o:connecttype="rect"/>
            </v:shapetype>
            <v:shape id="Text Box 266687220" o:spid="_x0000_s1040" type="#_x0000_t202" alt="{&quot;HashCode&quot;:904758361,&quot;Height&quot;:841.0,&quot;Width&quot;:595.0,&quot;Placement&quot;:&quot;Footer&quot;,&quot;Index&quot;:&quot;OddAndEven&quot;,&quot;Section&quot;:3,&quot;Top&quot;:0.0,&quot;Left&quot;:0.0}" style="position:absolute;margin-left:-.4pt;margin-top:559.65pt;width:840pt;height:1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" o:allowincell="f" filled="f" stroked="f" strokeweight=".5pt">
              <v:textbox inset=",0,,0">
                <w:txbxContent>
                  <w:p w14:paraId="5150E703" w14:textId="2DBC1771" w:rsidR="007C3EDF" w:rsidRPr="002C5B7C" w:rsidRDefault="007C3EDF" w:rsidP="007C3EDF">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58256" behindDoc="0" locked="0" layoutInCell="0" allowOverlap="1" wp14:anchorId="4494C9B4" wp14:editId="1B0AE831">
              <wp:simplePos x="0" y="0"/>
              <wp:positionH relativeFrom="page">
                <wp:posOffset>-4166</wp:posOffset>
              </wp:positionH>
              <wp:positionV relativeFrom="page">
                <wp:posOffset>10236302</wp:posOffset>
              </wp:positionV>
              <wp:extent cx="7560310" cy="190500"/>
              <wp:effectExtent l="0" t="0" r="0" b="0"/>
              <wp:wrapNone/>
              <wp:docPr id="1410250209" name="Text Box 141025020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F05D4"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4494C9B4" id="Text Box 1410250209" o:spid="_x0000_s1041" type="#_x0000_t202" alt="{&quot;HashCode&quot;:904758361,&quot;Height&quot;:841.0,&quot;Width&quot;:595.0,&quot;Placement&quot;:&quot;Footer&quot;,&quot;Index&quot;:&quot;OddAndEven&quot;,&quot;Section&quot;:3,&quot;Top&quot;:0.0,&quot;Left&quot;:0.0}" style="position:absolute;margin-left:-.35pt;margin-top:806pt;width:595.3pt;height:15pt;z-index:2516582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zzGQIAACw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cYrpuMgW6iPu52Cg3lu+anGI&#10;NfPhmTnkGudG/YYnPKQCbAYni5IG3K+/+WM+UoBRSjrUTkX9zz1zghL13SA5t8XNTRRb+kHDvfVu&#10;R6/Z63tAWRb4QixPZswNajSlA/2K8l7GbhhihmPPim5H8z4MSsbnwcVymZJQVpaFtdlYHktHOCO0&#10;L/0rc/aEf0DmHmFUFyvf0TDkDkQs9wFkmziKAA9onnBHSSbqTs8nav7tf8q6PPLFbwA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y0Xs8xkCAAAsBAAADgAAAAAAAAAAAAAAAAAuAgAAZHJzL2Uyb0RvYy54bWxQSwECLQAU&#10;AAYACAAAACEAq4p8Yt8AAAAMAQAADwAAAAAAAAAAAAAAAABzBAAAZHJzL2Rvd25yZXYueG1sUEsF&#10;BgAAAAAEAAQA8wAAAH8FAAAAAA==&#10;" o:allowincell="f" filled="f" stroked="f" strokeweight=".5pt">
              <v:textbox inset=",0,,0">
                <w:txbxContent>
                  <w:p w14:paraId="597F05D4" w14:textId="77777777" w:rsidR="007C3EDF" w:rsidRPr="002C5B7C" w:rsidRDefault="007C3EDF"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1E1E" w14:textId="77777777" w:rsidR="005B699B" w:rsidRDefault="005B699B" w:rsidP="00785BA1">
    <w:pPr>
      <w:pStyle w:val="Footer"/>
    </w:pPr>
    <w:r>
      <w:rPr>
        <w:noProof/>
        <w:lang w:eastAsia="en-AU"/>
      </w:rPr>
      <mc:AlternateContent>
        <mc:Choice Requires="wps">
          <w:drawing>
            <wp:anchor distT="0" distB="0" distL="114300" distR="114300" simplePos="0" relativeHeight="251658257" behindDoc="0" locked="0" layoutInCell="0" allowOverlap="1" wp14:anchorId="766991AD" wp14:editId="4B068392">
              <wp:simplePos x="0" y="0"/>
              <wp:positionH relativeFrom="margin">
                <wp:posOffset>1526540</wp:posOffset>
              </wp:positionH>
              <wp:positionV relativeFrom="page">
                <wp:posOffset>10113747</wp:posOffset>
              </wp:positionV>
              <wp:extent cx="2762250" cy="266700"/>
              <wp:effectExtent l="0" t="0" r="0" b="0"/>
              <wp:wrapNone/>
              <wp:docPr id="26" name="Text Box 2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360C7"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91AD" id="_x0000_t202" coordsize="21600,21600" o:spt="202" path="m,l,21600r21600,l21600,xe">
              <v:stroke joinstyle="miter"/>
              <v:path gradientshapeok="t" o:connecttype="rect"/>
            </v:shapetype>
            <v:shape id="Text Box 26" o:spid="_x0000_s1042" type="#_x0000_t202" alt="{&quot;HashCode&quot;:904758361,&quot;Height&quot;:841.0,&quot;Width&quot;:595.0,&quot;Placement&quot;:&quot;Footer&quot;,&quot;Index&quot;:&quot;OddAndEven&quot;,&quot;Section&quot;:3,&quot;Top&quot;:0.0,&quot;Left&quot;:0.0}" style="position:absolute;left:0;text-align:left;margin-left:120.2pt;margin-top:796.35pt;width:217.5pt;height:21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" o:allowincell="f" filled="f" stroked="f" strokeweight=".5pt">
              <v:textbox inset=",0,,0">
                <w:txbxContent>
                  <w:p w14:paraId="1FC360C7"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margin"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4CEF" w14:textId="77777777" w:rsidR="005B699B" w:rsidRPr="0031305A" w:rsidRDefault="005B699B" w:rsidP="00785BA1">
    <w:pPr>
      <w:pStyle w:val="Header"/>
      <w:spacing w:after="0"/>
      <w:rPr>
        <w:b w:val="0"/>
        <w:bCs/>
        <w:color w:val="auto"/>
      </w:rPr>
    </w:pPr>
    <w:r>
      <w:rPr>
        <w:noProof/>
        <w:lang w:eastAsia="en-AU"/>
      </w:rPr>
      <mc:AlternateContent>
        <mc:Choice Requires="wps">
          <w:drawing>
            <wp:anchor distT="0" distB="0" distL="114300" distR="114300" simplePos="0" relativeHeight="251658244" behindDoc="0" locked="0" layoutInCell="0" allowOverlap="1" wp14:anchorId="53F25D44" wp14:editId="13F0E2C1">
              <wp:simplePos x="0" y="0"/>
              <wp:positionH relativeFrom="page">
                <wp:posOffset>-4166</wp:posOffset>
              </wp:positionH>
              <wp:positionV relativeFrom="page">
                <wp:posOffset>10236302</wp:posOffset>
              </wp:positionV>
              <wp:extent cx="7560310" cy="190500"/>
              <wp:effectExtent l="0" t="0" r="0" b="0"/>
              <wp:wrapNone/>
              <wp:docPr id="15" name="Text Box 1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0901D"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3F25D44" id="_x0000_t202" coordsize="21600,21600" o:spt="202" path="m,l,21600r21600,l21600,xe">
              <v:stroke joinstyle="miter"/>
              <v:path gradientshapeok="t" o:connecttype="rect"/>
            </v:shapetype>
            <v:shape id="Text Box 15" o:spid="_x0000_s1043" type="#_x0000_t202" alt="{&quot;HashCode&quot;:904758361,&quot;Height&quot;:841.0,&quot;Width&quot;:595.0,&quot;Placement&quot;:&quot;Footer&quot;,&quot;Index&quot;:&quot;OddAndEven&quot;,&quot;Section&quot;:3,&quot;Top&quot;:0.0,&quot;Left&quot;:0.0}" style="position:absolute;margin-left:-.35pt;margin-top:806pt;width:595.3pt;height:15pt;z-index:2516582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" o:allowincell="f" filled="f" stroked="f" strokeweight=".5pt">
              <v:textbox inset=",0,,0">
                <w:txbxContent>
                  <w:p w14:paraId="1C80901D"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9522"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5E3374F6" wp14:editId="771AEAD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374F6" id="_x0000_t202" coordsize="21600,21600" o:spt="202" path="m,l,21600r21600,l21600,xe">
              <v:stroke joinstyle="miter"/>
              <v:path gradientshapeok="t" o:connecttype="rect"/>
            </v:shapetype>
            <v:shape id="MSIPCMd3f54469bd0204c6fb2f3fa8" o:spid="_x0000_s104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F24C" w14:textId="51E4209E" w:rsidR="00431A70" w:rsidRDefault="0043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BB219" w14:textId="6C058D95" w:rsidR="00431A70" w:rsidRDefault="00DF55ED">
    <w:pPr>
      <w:pStyle w:val="Footer"/>
    </w:pPr>
    <w:r>
      <w:rPr>
        <w:noProof/>
      </w:rPr>
      <mc:AlternateContent>
        <mc:Choice Requires="wps">
          <w:drawing>
            <wp:anchor distT="0" distB="0" distL="114300" distR="114300" simplePos="0" relativeHeight="251658251" behindDoc="0" locked="0" layoutInCell="0" allowOverlap="1" wp14:anchorId="2C157A00" wp14:editId="23C16A14">
              <wp:simplePos x="0" y="0"/>
              <wp:positionH relativeFrom="page">
                <wp:align>center</wp:align>
              </wp:positionH>
              <wp:positionV relativeFrom="page">
                <wp:align>bottom</wp:align>
              </wp:positionV>
              <wp:extent cx="7772400" cy="502285"/>
              <wp:effectExtent l="0" t="0" r="0" b="12065"/>
              <wp:wrapNone/>
              <wp:docPr id="359449737" name="MSIPCM1d684438b0ee696667e0663c"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8F6DB1" w14:textId="0BB22B62" w:rsidR="00DF55ED" w:rsidRPr="00A770A8" w:rsidRDefault="00A770A8" w:rsidP="00A770A8">
                          <w:pPr>
                            <w:spacing w:after="0"/>
                            <w:jc w:val="center"/>
                            <w:rPr>
                              <w:rFonts w:ascii="Arial Black" w:hAnsi="Arial Black"/>
                              <w:color w:val="000000"/>
                              <w:sz w:val="20"/>
                            </w:rPr>
                          </w:pPr>
                          <w:r w:rsidRPr="00A770A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157A00" id="_x0000_t202" coordsize="21600,21600" o:spt="202" path="m,l,21600r21600,l21600,xe">
              <v:stroke joinstyle="miter"/>
              <v:path gradientshapeok="t" o:connecttype="rect"/>
            </v:shapetype>
            <v:shape id="MSIPCM1d684438b0ee696667e0663c"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48F6DB1" w14:textId="0BB22B62" w:rsidR="00DF55ED" w:rsidRPr="00A770A8" w:rsidRDefault="00A770A8" w:rsidP="00A770A8">
                    <w:pPr>
                      <w:spacing w:after="0"/>
                      <w:jc w:val="center"/>
                      <w:rPr>
                        <w:rFonts w:ascii="Arial Black" w:hAnsi="Arial Black"/>
                        <w:color w:val="000000"/>
                        <w:sz w:val="20"/>
                      </w:rPr>
                    </w:pPr>
                    <w:r w:rsidRPr="00A770A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C286" w14:textId="6105607E" w:rsidR="00EB4BC7" w:rsidRDefault="00DF55ED">
    <w:pPr>
      <w:pStyle w:val="Footer"/>
    </w:pPr>
    <w:r>
      <w:rPr>
        <w:noProof/>
      </w:rPr>
      <mc:AlternateContent>
        <mc:Choice Requires="wps">
          <w:drawing>
            <wp:anchor distT="0" distB="0" distL="114300" distR="114300" simplePos="0" relativeHeight="251658252" behindDoc="0" locked="0" layoutInCell="0" allowOverlap="1" wp14:anchorId="2653BF48" wp14:editId="4E0F59D5">
              <wp:simplePos x="0" y="0"/>
              <wp:positionH relativeFrom="page">
                <wp:align>center</wp:align>
              </wp:positionH>
              <wp:positionV relativeFrom="page">
                <wp:align>bottom</wp:align>
              </wp:positionV>
              <wp:extent cx="7772400" cy="502285"/>
              <wp:effectExtent l="0" t="0" r="0" b="12065"/>
              <wp:wrapNone/>
              <wp:docPr id="1094527119" name="MSIPCM66e7408c994bf836dbe06f2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6C8819" w14:textId="1F83A103" w:rsidR="00DF55ED" w:rsidRPr="00A770A8" w:rsidRDefault="00A770A8" w:rsidP="00A770A8">
                          <w:pPr>
                            <w:spacing w:after="0"/>
                            <w:jc w:val="center"/>
                            <w:rPr>
                              <w:rFonts w:ascii="Arial Black" w:hAnsi="Arial Black"/>
                              <w:color w:val="000000"/>
                              <w:sz w:val="20"/>
                            </w:rPr>
                          </w:pPr>
                          <w:r w:rsidRPr="00A770A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53BF48" id="_x0000_t202" coordsize="21600,21600" o:spt="202" path="m,l,21600r21600,l21600,xe">
              <v:stroke joinstyle="miter"/>
              <v:path gradientshapeok="t" o:connecttype="rect"/>
            </v:shapetype>
            <v:shape id="MSIPCM66e7408c994bf836dbe06f24"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D6C8819" w14:textId="1F83A103" w:rsidR="00DF55ED" w:rsidRPr="00A770A8" w:rsidRDefault="00A770A8" w:rsidP="00A770A8">
                    <w:pPr>
                      <w:spacing w:after="0"/>
                      <w:jc w:val="center"/>
                      <w:rPr>
                        <w:rFonts w:ascii="Arial Black" w:hAnsi="Arial Black"/>
                        <w:color w:val="000000"/>
                        <w:sz w:val="20"/>
                      </w:rPr>
                    </w:pPr>
                    <w:r w:rsidRPr="00A770A8">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5B11" w14:textId="7A6A291B" w:rsidR="005B699B" w:rsidRPr="00112A3C" w:rsidRDefault="00B728DA" w:rsidP="00785BA1">
    <w:pPr>
      <w:pStyle w:val="Header"/>
      <w:rPr>
        <w:b w:val="0"/>
        <w:bCs/>
        <w:color w:val="auto"/>
      </w:rPr>
    </w:pPr>
    <w:r>
      <w:rPr>
        <w:noProof/>
        <w:lang w:eastAsia="en-AU"/>
      </w:rPr>
      <mc:AlternateContent>
        <mc:Choice Requires="wps">
          <w:drawing>
            <wp:anchor distT="0" distB="0" distL="114300" distR="114300" simplePos="0" relativeHeight="251658258" behindDoc="0" locked="0" layoutInCell="0" allowOverlap="1" wp14:anchorId="55B7EBC4" wp14:editId="3AA3A347">
              <wp:simplePos x="0" y="0"/>
              <wp:positionH relativeFrom="page">
                <wp:align>center</wp:align>
              </wp:positionH>
              <wp:positionV relativeFrom="page">
                <wp:align>bottom</wp:align>
              </wp:positionV>
              <wp:extent cx="7772400" cy="502285"/>
              <wp:effectExtent l="0" t="0" r="0" b="12065"/>
              <wp:wrapNone/>
              <wp:docPr id="789003801" name="MSIPCM02294bb1af196427319bce86"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EEAC1" w14:textId="27203BB5" w:rsidR="00B728DA" w:rsidRPr="00B728DA" w:rsidRDefault="00B728DA" w:rsidP="00B728DA">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B7EBC4" id="_x0000_t202" coordsize="21600,21600" o:spt="202" path="m,l,21600r21600,l21600,xe">
              <v:stroke joinstyle="miter"/>
              <v:path gradientshapeok="t" o:connecttype="rect"/>
            </v:shapetype>
            <v:shape id="MSIPCM02294bb1af196427319bce86" o:spid="_x0000_s1029" type="#_x0000_t202" alt="{&quot;HashCode&quot;:904758361,&quot;Height&quot;:9999999.0,&quot;Width&quot;:9999999.0,&quot;Placement&quot;:&quot;Footer&quot;,&quot;Index&quot;:&quot;Primary&quot;,&quot;Section&quot;:4,&quot;Top&quot;:0.0,&quot;Left&quot;:0.0}" style="position:absolute;margin-left:0;margin-top:0;width:612pt;height:39.5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92EEAC1" w14:textId="27203BB5" w:rsidR="00B728DA" w:rsidRPr="00B728DA" w:rsidRDefault="00B728DA" w:rsidP="00B728DA">
                    <w:pPr>
                      <w:spacing w:after="0"/>
                      <w:jc w:val="center"/>
                      <w:rPr>
                        <w:rFonts w:ascii="Arial Black" w:hAnsi="Arial Black"/>
                        <w:color w:val="000000"/>
                        <w:sz w:val="20"/>
                      </w:rPr>
                    </w:pPr>
                  </w:p>
                </w:txbxContent>
              </v:textbox>
              <w10:wrap anchorx="page" anchory="page"/>
            </v:shape>
          </w:pict>
        </mc:Fallback>
      </mc:AlternateContent>
    </w:r>
    <w:r w:rsidR="005B699B">
      <w:rPr>
        <w:noProof/>
        <w:lang w:eastAsia="en-AU"/>
      </w:rPr>
      <mc:AlternateContent>
        <mc:Choice Requires="wps">
          <w:drawing>
            <wp:anchor distT="0" distB="0" distL="114300" distR="114300" simplePos="0" relativeHeight="251658245" behindDoc="0" locked="0" layoutInCell="0" allowOverlap="1" wp14:anchorId="51B3807A" wp14:editId="09ED6A39">
              <wp:simplePos x="0" y="0"/>
              <wp:positionH relativeFrom="page">
                <wp:posOffset>0</wp:posOffset>
              </wp:positionH>
              <wp:positionV relativeFrom="page">
                <wp:posOffset>10182225</wp:posOffset>
              </wp:positionV>
              <wp:extent cx="7560310" cy="241199"/>
              <wp:effectExtent l="0" t="0" r="0" b="635"/>
              <wp:wrapNone/>
              <wp:docPr id="19" name="Text Box 1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4119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DC23B"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51B3807A" id="Text Box 19" o:spid="_x0000_s1030" type="#_x0000_t202" alt="{&quot;HashCode&quot;:904758361,&quot;Height&quot;:841.0,&quot;Width&quot;:595.0,&quot;Placement&quot;:&quot;Footer&quot;,&quot;Index&quot;:&quot;OddAndEven&quot;,&quot;Section&quot;:3,&quot;Top&quot;:0.0,&quot;Left&quot;:0.0}" style="position:absolute;margin-left:0;margin-top:801.75pt;width:595.3pt;height:19pt;z-index:25165824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" o:allowincell="f" filled="f" stroked="f" strokeweight=".5pt">
              <v:textbox inset=",0,,0">
                <w:txbxContent>
                  <w:p w14:paraId="580DC23B"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89BF" w14:textId="77777777" w:rsidR="005B699B" w:rsidRDefault="005B699B" w:rsidP="00785BA1">
    <w:pPr>
      <w:pStyle w:val="Footer"/>
    </w:pPr>
    <w:r>
      <w:rPr>
        <w:noProof/>
        <w:lang w:eastAsia="en-AU"/>
      </w:rPr>
      <mc:AlternateContent>
        <mc:Choice Requires="wps">
          <w:drawing>
            <wp:anchor distT="0" distB="0" distL="114300" distR="114300" simplePos="0" relativeHeight="251658249" behindDoc="0" locked="0" layoutInCell="0" allowOverlap="1" wp14:anchorId="40E9248A" wp14:editId="4B2B9BF9">
              <wp:simplePos x="0" y="0"/>
              <wp:positionH relativeFrom="margin">
                <wp:posOffset>0</wp:posOffset>
              </wp:positionH>
              <wp:positionV relativeFrom="page">
                <wp:posOffset>7068820</wp:posOffset>
              </wp:positionV>
              <wp:extent cx="9569669" cy="190500"/>
              <wp:effectExtent l="0" t="0" r="0" b="0"/>
              <wp:wrapNone/>
              <wp:docPr id="25" name="Text Box 2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9569669"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D126D"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9248A" id="_x0000_t202" coordsize="21600,21600" o:spt="202" path="m,l,21600r21600,l21600,xe">
              <v:stroke joinstyle="miter"/>
              <v:path gradientshapeok="t" o:connecttype="rect"/>
            </v:shapetype>
            <v:shape id="Text Box 25" o:spid="_x0000_s1031" type="#_x0000_t202" alt="{&quot;HashCode&quot;:904758361,&quot;Height&quot;:841.0,&quot;Width&quot;:595.0,&quot;Placement&quot;:&quot;Footer&quot;,&quot;Index&quot;:&quot;OddAndEven&quot;,&quot;Section&quot;:3,&quot;Top&quot;:0.0,&quot;Left&quot;:0.0}" style="position:absolute;left:0;text-align:left;margin-left:0;margin-top:556.6pt;width:753.5pt;height: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" o:allowincell="f" filled="f" stroked="f" strokeweight=".5pt">
              <v:textbox inset=",0,,0">
                <w:txbxContent>
                  <w:p w14:paraId="35AD126D" w14:textId="77777777" w:rsidR="005B699B" w:rsidRPr="002C5B7C" w:rsidRDefault="005B699B" w:rsidP="00785BA1">
                    <w:pPr>
                      <w:spacing w:after="0"/>
                      <w:jc w:val="center"/>
                      <w:rPr>
                        <w:rFonts w:ascii="Arial Black" w:hAnsi="Arial Black"/>
                        <w:color w:val="000000"/>
                        <w:sz w:val="20"/>
                      </w:rPr>
                    </w:pPr>
                    <w:r>
                      <w:rPr>
                        <w:rFonts w:ascii="Arial Black" w:hAnsi="Arial Black"/>
                        <w:color w:val="000000"/>
                        <w:sz w:val="20"/>
                      </w:rPr>
                      <w:t>OFFICIAL</w:t>
                    </w:r>
                  </w:p>
                </w:txbxContent>
              </v:textbox>
              <w10:wrap anchorx="margin"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630B7121" wp14:editId="48FFD861">
              <wp:simplePos x="0" y="0"/>
              <wp:positionH relativeFrom="page">
                <wp:align>right</wp:align>
              </wp:positionH>
              <wp:positionV relativeFrom="page">
                <wp:posOffset>10401300</wp:posOffset>
              </wp:positionV>
              <wp:extent cx="7560310" cy="190500"/>
              <wp:effectExtent l="0" t="0" r="0" b="0"/>
              <wp:wrapNone/>
              <wp:docPr id="12" name="Text Box 12"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ECF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30B7121" id="Text Box 12" o:spid="_x0000_s1032" type="#_x0000_t202" alt="{&quot;HashCode&quot;:904758361,&quot;Height&quot;:841.0,&quot;Width&quot;:595.0,&quot;Placement&quot;:&quot;Footer&quot;,&quot;Index&quot;:&quot;OddAndEven&quot;,&quot;Section&quot;:3,&quot;Top&quot;:0.0,&quot;Left&quot;:0.0}" style="position:absolute;left:0;text-align:left;margin-left:544.1pt;margin-top:819pt;width:595.3pt;height:15pt;z-index:251658243;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u2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" o:allowincell="f" filled="f" stroked="f" strokeweight=".5pt">
              <v:textbox inset=",0,,0">
                <w:txbxContent>
                  <w:p w14:paraId="22DECF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89FE1" w14:textId="77777777" w:rsidR="005B699B" w:rsidRDefault="005B699B" w:rsidP="00785BA1">
    <w:pPr>
      <w:pStyle w:val="Footer"/>
    </w:pPr>
    <w:r>
      <w:rPr>
        <w:noProof/>
        <w:lang w:eastAsia="en-AU"/>
      </w:rPr>
      <mc:AlternateContent>
        <mc:Choice Requires="wps">
          <w:drawing>
            <wp:anchor distT="0" distB="0" distL="114300" distR="114300" simplePos="0" relativeHeight="251658253" behindDoc="0" locked="0" layoutInCell="0" allowOverlap="1" wp14:anchorId="1A1CCF77" wp14:editId="5E4FD3FB">
              <wp:simplePos x="0" y="0"/>
              <wp:positionH relativeFrom="page">
                <wp:posOffset>0</wp:posOffset>
              </wp:positionH>
              <wp:positionV relativeFrom="page">
                <wp:posOffset>10202342</wp:posOffset>
              </wp:positionV>
              <wp:extent cx="7560310" cy="190500"/>
              <wp:effectExtent l="0" t="0" r="0" b="0"/>
              <wp:wrapNone/>
              <wp:docPr id="14" name="Text Box 1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85ACA"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A1CCF77" id="_x0000_t202" coordsize="21600,21600" o:spt="202" path="m,l,21600r21600,l21600,xe">
              <v:stroke joinstyle="miter"/>
              <v:path gradientshapeok="t" o:connecttype="rect"/>
            </v:shapetype>
            <v:shape id="Text Box 14" o:spid="_x0000_s1033" type="#_x0000_t202" alt="{&quot;HashCode&quot;:904758361,&quot;Height&quot;:841.0,&quot;Width&quot;:595.0,&quot;Placement&quot;:&quot;Footer&quot;,&quot;Index&quot;:&quot;OddAndEven&quot;,&quot;Section&quot;:3,&quot;Top&quot;:0.0,&quot;Left&quot;:0.0}" style="position:absolute;left:0;text-align:left;margin-left:0;margin-top:803.35pt;width:595.3pt;height:15pt;z-index:25165825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" o:allowincell="f" filled="f" stroked="f" strokeweight=".5pt">
              <v:textbox inset=",0,,0">
                <w:txbxContent>
                  <w:p w14:paraId="38A85ACA"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72C6" w14:textId="77777777" w:rsidR="005B699B" w:rsidRPr="00C47A25" w:rsidRDefault="005B699B" w:rsidP="00785BA1">
    <w:pPr>
      <w:pStyle w:val="Header"/>
      <w:rPr>
        <w:b w:val="0"/>
        <w:bCs/>
        <w:color w:val="auto"/>
      </w:rPr>
    </w:pPr>
    <w:r>
      <w:rPr>
        <w:noProof/>
        <w:lang w:eastAsia="en-AU"/>
      </w:rPr>
      <mc:AlternateContent>
        <mc:Choice Requires="wps">
          <w:drawing>
            <wp:anchor distT="0" distB="0" distL="114300" distR="114300" simplePos="0" relativeHeight="251658254" behindDoc="0" locked="0" layoutInCell="0" allowOverlap="1" wp14:anchorId="37843686" wp14:editId="662C938F">
              <wp:simplePos x="0" y="0"/>
              <wp:positionH relativeFrom="page">
                <wp:posOffset>1422</wp:posOffset>
              </wp:positionH>
              <wp:positionV relativeFrom="page">
                <wp:posOffset>10156444</wp:posOffset>
              </wp:positionV>
              <wp:extent cx="7560310" cy="190500"/>
              <wp:effectExtent l="0" t="0" r="0" b="0"/>
              <wp:wrapNone/>
              <wp:docPr id="8" name="Text Box 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DE1B1"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7843686" id="_x0000_t202" coordsize="21600,21600" o:spt="202" path="m,l,21600r21600,l21600,xe">
              <v:stroke joinstyle="miter"/>
              <v:path gradientshapeok="t" o:connecttype="rect"/>
            </v:shapetype>
            <v:shape id="Text Box 8" o:spid="_x0000_s1034" type="#_x0000_t202" alt="{&quot;HashCode&quot;:904758361,&quot;Height&quot;:841.0,&quot;Width&quot;:595.0,&quot;Placement&quot;:&quot;Footer&quot;,&quot;Index&quot;:&quot;OddAndEven&quot;,&quot;Section&quot;:3,&quot;Top&quot;:0.0,&quot;Left&quot;:0.0}" style="position:absolute;margin-left:.1pt;margin-top:799.7pt;width:595.3pt;height:15pt;z-index:25165825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" o:allowincell="f" filled="f" stroked="f" strokeweight=".5pt">
              <v:textbox inset=",0,,0">
                <w:txbxContent>
                  <w:p w14:paraId="4ADDE1B1"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F7082" w14:textId="77777777" w:rsidR="005B699B" w:rsidRDefault="005B699B" w:rsidP="00785BA1">
    <w:pPr>
      <w:pStyle w:val="Footer"/>
    </w:pPr>
    <w:r>
      <w:rPr>
        <w:noProof/>
        <w:lang w:eastAsia="en-AU"/>
      </w:rPr>
      <mc:AlternateContent>
        <mc:Choice Requires="wps">
          <w:drawing>
            <wp:anchor distT="0" distB="0" distL="114300" distR="114300" simplePos="0" relativeHeight="251658247" behindDoc="0" locked="0" layoutInCell="0" allowOverlap="1" wp14:anchorId="5725CFD5" wp14:editId="60A2F405">
              <wp:simplePos x="0" y="0"/>
              <wp:positionH relativeFrom="page">
                <wp:posOffset>1513325</wp:posOffset>
              </wp:positionH>
              <wp:positionV relativeFrom="page">
                <wp:posOffset>7197402</wp:posOffset>
              </wp:positionV>
              <wp:extent cx="7560310" cy="190500"/>
              <wp:effectExtent l="0" t="0" r="0" b="0"/>
              <wp:wrapNone/>
              <wp:docPr id="16" name="Text Box 1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0F398"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725CFD5" id="_x0000_t202" coordsize="21600,21600" o:spt="202" path="m,l,21600r21600,l21600,xe">
              <v:stroke joinstyle="miter"/>
              <v:path gradientshapeok="t" o:connecttype="rect"/>
            </v:shapetype>
            <v:shape id="Text Box 16" o:spid="_x0000_s1035" type="#_x0000_t202" alt="{&quot;HashCode&quot;:904758361,&quot;Height&quot;:841.0,&quot;Width&quot;:595.0,&quot;Placement&quot;:&quot;Footer&quot;,&quot;Index&quot;:&quot;OddAndEven&quot;,&quot;Section&quot;:3,&quot;Top&quot;:0.0,&quot;Left&quot;:0.0}" style="position:absolute;left:0;text-align:left;margin-left:119.15pt;margin-top:566.7pt;width:595.3pt;height:15pt;z-index:251658247;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" o:allowincell="f" filled="f" stroked="f" strokeweight=".5pt">
              <v:textbox inset=",0,,0">
                <w:txbxContent>
                  <w:p w14:paraId="4800F398"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2" behindDoc="0" locked="0" layoutInCell="0" allowOverlap="1" wp14:anchorId="66785541" wp14:editId="316B9EF7">
              <wp:simplePos x="0" y="0"/>
              <wp:positionH relativeFrom="margin">
                <wp:align>center</wp:align>
              </wp:positionH>
              <wp:positionV relativeFrom="page">
                <wp:posOffset>10391775</wp:posOffset>
              </wp:positionV>
              <wp:extent cx="2762250" cy="266700"/>
              <wp:effectExtent l="0" t="0" r="0" b="0"/>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27622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B60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5541" id="Text Box 9" o:spid="_x0000_s1036" type="#_x0000_t202" alt="{&quot;HashCode&quot;:904758361,&quot;Height&quot;:841.0,&quot;Width&quot;:595.0,&quot;Placement&quot;:&quot;Footer&quot;,&quot;Index&quot;:&quot;OddAndEven&quot;,&quot;Section&quot;:3,&quot;Top&quot;:0.0,&quot;Left&quot;:0.0}" style="position:absolute;left:0;text-align:left;margin-left:0;margin-top:818.25pt;width:217.5pt;height:2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" o:allowincell="f" filled="f" stroked="f" strokeweight=".5pt">
              <v:textbox inset=",0,,0">
                <w:txbxContent>
                  <w:p w14:paraId="496B605D" w14:textId="77777777" w:rsidR="005B699B" w:rsidRPr="002C5B7C" w:rsidRDefault="005B699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8C3F" w14:textId="5C3B9E11" w:rsidR="005B699B" w:rsidRPr="0031305A" w:rsidRDefault="005B699B" w:rsidP="00785BA1">
    <w:pPr>
      <w:pStyle w:val="Header"/>
      <w:spacing w:after="0"/>
      <w:rPr>
        <w:b w:val="0"/>
        <w:bCs/>
        <w:color w:val="auto"/>
      </w:rPr>
    </w:pPr>
    <w:r>
      <w:rPr>
        <w:noProof/>
        <w:lang w:eastAsia="en-AU"/>
      </w:rPr>
      <mc:AlternateContent>
        <mc:Choice Requires="wps">
          <w:drawing>
            <wp:anchor distT="0" distB="0" distL="114300" distR="114300" simplePos="0" relativeHeight="251658246" behindDoc="0" locked="0" layoutInCell="0" allowOverlap="1" wp14:anchorId="1A363E17" wp14:editId="762BDCB9">
              <wp:simplePos x="0" y="0"/>
              <wp:positionH relativeFrom="page">
                <wp:posOffset>-4166</wp:posOffset>
              </wp:positionH>
              <wp:positionV relativeFrom="page">
                <wp:posOffset>10236302</wp:posOffset>
              </wp:positionV>
              <wp:extent cx="7560310" cy="190500"/>
              <wp:effectExtent l="0" t="0" r="0" b="0"/>
              <wp:wrapNone/>
              <wp:docPr id="13" name="Text Box 1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190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A2C35"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A363E17" id="_x0000_t202" coordsize="21600,21600" o:spt="202" path="m,l,21600r21600,l21600,xe">
              <v:stroke joinstyle="miter"/>
              <v:path gradientshapeok="t" o:connecttype="rect"/>
            </v:shapetype>
            <v:shape id="Text Box 13" o:spid="_x0000_s1037" type="#_x0000_t202" alt="{&quot;HashCode&quot;:904758361,&quot;Height&quot;:841.0,&quot;Width&quot;:595.0,&quot;Placement&quot;:&quot;Footer&quot;,&quot;Index&quot;:&quot;OddAndEven&quot;,&quot;Section&quot;:3,&quot;Top&quot;:0.0,&quot;Left&quot;:0.0}" style="position:absolute;margin-left:-.35pt;margin-top:806pt;width:595.3pt;height:15pt;z-index:25165824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" o:allowincell="f" filled="f" stroked="f" strokeweight=".5pt">
              <v:textbox inset=",0,,0">
                <w:txbxContent>
                  <w:p w14:paraId="24FA2C35" w14:textId="77777777" w:rsidR="005B699B" w:rsidRPr="002C5B7C" w:rsidRDefault="005B699B" w:rsidP="00785BA1">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87FD3" w14:textId="77777777" w:rsidR="00F5381F" w:rsidRDefault="00F5381F" w:rsidP="00207717">
      <w:pPr>
        <w:spacing w:before="120"/>
      </w:pPr>
      <w:r>
        <w:separator/>
      </w:r>
    </w:p>
  </w:footnote>
  <w:footnote w:type="continuationSeparator" w:id="0">
    <w:p w14:paraId="277726B7" w14:textId="77777777" w:rsidR="00F5381F" w:rsidRDefault="00F5381F">
      <w:r>
        <w:continuationSeparator/>
      </w:r>
    </w:p>
    <w:p w14:paraId="2115027D" w14:textId="77777777" w:rsidR="00F5381F" w:rsidRDefault="00F5381F"/>
  </w:footnote>
  <w:footnote w:type="continuationNotice" w:id="1">
    <w:p w14:paraId="1D199948" w14:textId="77777777" w:rsidR="00F5381F" w:rsidRDefault="00F5381F">
      <w:pPr>
        <w:spacing w:after="0" w:line="240" w:lineRule="auto"/>
      </w:pPr>
    </w:p>
  </w:footnote>
  <w:footnote w:id="2">
    <w:p w14:paraId="61C473A1" w14:textId="49052244" w:rsidR="00CE1C83" w:rsidRDefault="00CE1C83">
      <w:pPr>
        <w:pStyle w:val="FootnoteText"/>
      </w:pPr>
      <w:r>
        <w:rPr>
          <w:rStyle w:val="FootnoteReference"/>
        </w:rPr>
        <w:footnoteRef/>
      </w:r>
      <w:r>
        <w:t xml:space="preserve"> </w:t>
      </w:r>
      <w:r w:rsidR="008D2E3B" w:rsidRPr="008D2E3B">
        <w:t>Pending final sign off at the time of drafting this, both the Department of Health Victoria and the Commonwealth Department of Veterans’ Affairs have agreed in principle to effectively roll over the current Deed of Variation 2023-25 to the Hospitals Services Arrangement.</w:t>
      </w:r>
    </w:p>
  </w:footnote>
  <w:footnote w:id="3">
    <w:p w14:paraId="7DC0D8CA" w14:textId="0DFBCD3C" w:rsidR="005B699B" w:rsidRDefault="005B699B" w:rsidP="005B699B">
      <w:pPr>
        <w:pStyle w:val="FootnoteText"/>
      </w:pPr>
      <w:r w:rsidRPr="00B11F16">
        <w:rPr>
          <w:vertAlign w:val="superscript"/>
        </w:rPr>
        <w:footnoteRef/>
      </w:r>
      <w:r w:rsidRPr="00DD1351">
        <w:t xml:space="preserve"> Continued analysis of Statement of Priorities leave event data and other supporting measures will inform approaches to enhance patient experiences and improve Aboriginal health and wellbeing</w:t>
      </w:r>
      <w:r>
        <w:t xml:space="preserve">. </w:t>
      </w:r>
    </w:p>
  </w:footnote>
  <w:footnote w:id="4">
    <w:p w14:paraId="6A49C321" w14:textId="77777777" w:rsidR="005B699B" w:rsidRDefault="005B699B" w:rsidP="005B699B">
      <w:pPr>
        <w:pStyle w:val="FootnoteText"/>
      </w:pPr>
      <w:r w:rsidRPr="00171B3C">
        <w:footnoteRef/>
      </w:r>
      <w:r>
        <w:t xml:space="preserve"> Urgent care centres also provide minor injury/illness service</w:t>
      </w:r>
      <w:r w:rsidRPr="219655F1">
        <w:t xml:space="preserve">s after hours when </w:t>
      </w:r>
      <w:r>
        <w:rPr>
          <w:rFonts w:eastAsia="MS Mincho"/>
        </w:rPr>
        <w:t xml:space="preserve">general practitioner </w:t>
      </w:r>
      <w:r w:rsidRPr="219655F1">
        <w:t>ser</w:t>
      </w:r>
      <w:r w:rsidRPr="6EBD175B">
        <w:t>vi</w:t>
      </w:r>
      <w:r w:rsidRPr="219655F1">
        <w:t>ces are not available.</w:t>
      </w:r>
    </w:p>
  </w:footnote>
  <w:footnote w:id="5">
    <w:p w14:paraId="468B9AD4" w14:textId="77777777" w:rsidR="00FF1419" w:rsidRDefault="00FF1419" w:rsidP="00FF1419">
      <w:pPr>
        <w:pStyle w:val="FootnoteText"/>
        <w:rPr>
          <w:lang w:val="en-US"/>
        </w:rPr>
      </w:pPr>
      <w:r w:rsidRPr="00CA2B41">
        <w:rPr>
          <w:vertAlign w:val="superscript"/>
        </w:rPr>
        <w:footnoteRef/>
      </w:r>
      <w:r>
        <w:t xml:space="preserve"> </w:t>
      </w:r>
      <w:r>
        <w:rPr>
          <w:rFonts w:eastAsia="Arial"/>
        </w:rPr>
        <w:t>State component only.</w:t>
      </w:r>
    </w:p>
  </w:footnote>
  <w:footnote w:id="6">
    <w:p w14:paraId="3A9F76CF" w14:textId="77777777" w:rsidR="00A97999" w:rsidRPr="00B00930" w:rsidRDefault="00A97999" w:rsidP="00A97999">
      <w:pPr>
        <w:pStyle w:val="FootnoteText"/>
      </w:pPr>
      <w:r w:rsidRPr="00B46238">
        <w:rPr>
          <w:vertAlign w:val="superscript"/>
        </w:rPr>
        <w:footnoteRef/>
      </w:r>
      <w:r w:rsidRPr="0048769F">
        <w:t xml:space="preserve"> </w:t>
      </w:r>
      <w:r w:rsidRPr="00B00930">
        <w:t>Where ‘HACC’ is referred to, the service relates to the Home and Community Care Program for Younger People (HACC-PYP).</w:t>
      </w:r>
    </w:p>
  </w:footnote>
  <w:footnote w:id="7">
    <w:p w14:paraId="5101AF30" w14:textId="77777777" w:rsidR="005B699B" w:rsidRDefault="005B699B" w:rsidP="005B699B">
      <w:pPr>
        <w:pStyle w:val="FootnoteText"/>
      </w:pPr>
      <w:r w:rsidRPr="004132DF">
        <w:rPr>
          <w:vertAlign w:val="superscript"/>
        </w:rPr>
        <w:footnoteRef/>
      </w:r>
      <w:r>
        <w:t xml:space="preserve"> Annual funding is generally calculated as follows:</w:t>
      </w:r>
    </w:p>
    <w:p w14:paraId="48AAA41F" w14:textId="77777777" w:rsidR="005B699B" w:rsidRDefault="005B699B" w:rsidP="005B699B">
      <w:pPr>
        <w:pStyle w:val="FootnoteText"/>
        <w:ind w:left="170"/>
      </w:pPr>
      <w:r>
        <w:t>Number of operational places × 365.25 days per year × 99% occupancy factor × relevant unit price. Places that are not operational (for a time-limited period or ongoing), or used for any other purpose, will not attract state government PSRACS supplements.</w:t>
      </w:r>
    </w:p>
  </w:footnote>
  <w:footnote w:id="8">
    <w:p w14:paraId="33D6BF80" w14:textId="77777777" w:rsidR="00FF1419" w:rsidRDefault="00FF1419" w:rsidP="00FF1419">
      <w:pPr>
        <w:pStyle w:val="FootnoteText"/>
      </w:pPr>
      <w:r w:rsidRPr="004132DF">
        <w:rPr>
          <w:vertAlign w:val="superscript"/>
        </w:rPr>
        <w:footnoteRef/>
      </w:r>
      <w:r>
        <w:t xml:space="preserve"> This supplement was previously referred to as HSUA 1 EBA – hostel.</w:t>
      </w:r>
    </w:p>
  </w:footnote>
  <w:footnote w:id="9">
    <w:p w14:paraId="6E128117" w14:textId="77777777" w:rsidR="005B699B" w:rsidRDefault="005B699B" w:rsidP="005B699B">
      <w:pPr>
        <w:pStyle w:val="FootnoteText"/>
      </w:pPr>
      <w:r w:rsidRPr="004132DF">
        <w:rPr>
          <w:vertAlign w:val="superscript"/>
        </w:rPr>
        <w:footnoteRef/>
      </w:r>
      <w:r w:rsidRPr="004132DF">
        <w:rPr>
          <w:vertAlign w:val="superscript"/>
        </w:rPr>
        <w:t xml:space="preserve"> </w:t>
      </w:r>
      <w:r>
        <w:t>Annual funding is generally calculated as follows:</w:t>
      </w:r>
    </w:p>
    <w:p w14:paraId="56EF3ACD" w14:textId="77777777" w:rsidR="005B699B" w:rsidRDefault="005B699B" w:rsidP="005B699B">
      <w:pPr>
        <w:pStyle w:val="FootnoteText"/>
        <w:ind w:left="170"/>
      </w:pPr>
      <w:r>
        <w:t>Number of operational places × 365.25 days per year × 99% occupancy factor × relevant unit price. Places that are not operational (for a time-limited period or ongoing), or used for any other purpose, will not attract state government PSRACS supplements.</w:t>
      </w:r>
    </w:p>
  </w:footnote>
  <w:footnote w:id="10">
    <w:p w14:paraId="03BC812A" w14:textId="77777777" w:rsidR="00361611" w:rsidRDefault="00361611" w:rsidP="00361611">
      <w:pPr>
        <w:pStyle w:val="FootnoteText"/>
      </w:pPr>
      <w:r w:rsidRPr="004132DF">
        <w:rPr>
          <w:vertAlign w:val="superscript"/>
        </w:rPr>
        <w:footnoteRef/>
      </w:r>
      <w:r>
        <w:t xml:space="preserve"> This supplement was previously referred to as HSUA 1 EBA – hostel.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C35C" w14:textId="749A19FF" w:rsidR="005F424B" w:rsidRDefault="00DD3464" w:rsidP="00CD6C65">
    <w:pPr>
      <w:pStyle w:val="Header"/>
      <w:tabs>
        <w:tab w:val="left" w:pos="8931"/>
      </w:tabs>
    </w:pPr>
    <w:r w:rsidRPr="00342BA9">
      <w:t xml:space="preserve">Policy and </w:t>
    </w:r>
    <w:r>
      <w:t>f</w:t>
    </w:r>
    <w:r w:rsidRPr="00342BA9">
      <w:t xml:space="preserve">unding </w:t>
    </w:r>
    <w:r>
      <w:t>g</w:t>
    </w:r>
    <w:r w:rsidRPr="00342BA9">
      <w:t>uidelines 202</w:t>
    </w:r>
    <w:r>
      <w:t>4</w:t>
    </w:r>
    <w:r w:rsidRPr="00342BA9">
      <w:t>–2</w:t>
    </w:r>
    <w:r>
      <w:t>5</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10</w:t>
    </w:r>
    <w:r w:rsidRPr="00AE6427">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F411" w14:textId="167DF79A" w:rsidR="00DE5C64" w:rsidRPr="00333328" w:rsidRDefault="00673624" w:rsidP="00785BA1">
    <w:pPr>
      <w:pStyle w:val="Header"/>
      <w:tabs>
        <w:tab w:val="left" w:pos="8931"/>
      </w:tabs>
      <w:rPr>
        <w:b w:val="0"/>
        <w:color w:val="auto"/>
      </w:rPr>
    </w:pPr>
    <w:r w:rsidRPr="00342BA9">
      <w:t xml:space="preserve">Policy and </w:t>
    </w:r>
    <w:r>
      <w:t>f</w:t>
    </w:r>
    <w:r w:rsidRPr="00342BA9">
      <w:t xml:space="preserve">unding </w:t>
    </w:r>
    <w:r>
      <w:t>g</w:t>
    </w:r>
    <w:r w:rsidRPr="00342BA9">
      <w:t>uidelines 202</w:t>
    </w:r>
    <w:r>
      <w:t>4–25</w:t>
    </w:r>
    <w:r w:rsidRPr="00342BA9">
      <w:t xml:space="preserve">: </w:t>
    </w:r>
    <w:r>
      <w:t>f</w:t>
    </w:r>
    <w:r w:rsidRPr="00342BA9">
      <w:t xml:space="preserve">unding </w:t>
    </w:r>
    <w:r>
      <w:t>r</w:t>
    </w:r>
    <w:r w:rsidRPr="00342BA9">
      <w:t>u</w:t>
    </w:r>
    <w:r>
      <w:t>les</w:t>
    </w:r>
    <w:r>
      <w:tab/>
    </w:r>
    <w:r w:rsidRPr="00AE6427">
      <w:fldChar w:fldCharType="begin"/>
    </w:r>
    <w:r w:rsidRPr="00AE6427">
      <w:instrText xml:space="preserve"> PAGE </w:instrText>
    </w:r>
    <w:r w:rsidRPr="00AE6427">
      <w:fldChar w:fldCharType="separate"/>
    </w:r>
    <w:r>
      <w:t>91</w:t>
    </w:r>
    <w:r w:rsidRPr="00AE6427">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DE23" w14:textId="77777777" w:rsidR="005B699B" w:rsidRDefault="005B699B" w:rsidP="00785BA1">
    <w:pPr>
      <w:pStyle w:val="Header"/>
      <w:tabs>
        <w:tab w:val="left" w:pos="8931"/>
      </w:tabs>
    </w:pPr>
    <w:r w:rsidRPr="00695D13">
      <w:t xml:space="preserve">Policy and </w:t>
    </w:r>
    <w:r>
      <w:t>f</w:t>
    </w:r>
    <w:r w:rsidRPr="00695D13">
      <w:t xml:space="preserve">unding </w:t>
    </w:r>
    <w:r>
      <w:t>g</w:t>
    </w:r>
    <w:r w:rsidRPr="00695D13">
      <w:t>uidelines 202</w:t>
    </w:r>
    <w:r>
      <w:t>4</w:t>
    </w:r>
    <w:r w:rsidRPr="00695D13">
      <w:t>–2</w:t>
    </w:r>
    <w:r>
      <w:t>5</w:t>
    </w:r>
    <w:r w:rsidRPr="00695D13">
      <w:t xml:space="preserve">: funding </w:t>
    </w:r>
    <w:r>
      <w:t>r</w:t>
    </w:r>
    <w:r w:rsidRPr="00695D13">
      <w:t>ules</w:t>
    </w:r>
    <w:r>
      <w:tab/>
    </w:r>
    <w:r w:rsidRPr="006C3D9A">
      <w:fldChar w:fldCharType="begin"/>
    </w:r>
    <w:r w:rsidRPr="006C3D9A">
      <w:instrText xml:space="preserve"> PAGE </w:instrText>
    </w:r>
    <w:r w:rsidRPr="006C3D9A">
      <w:fldChar w:fldCharType="separate"/>
    </w:r>
    <w:r w:rsidRPr="006C3D9A">
      <w:t>7</w:t>
    </w:r>
    <w:r w:rsidRPr="006C3D9A">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4F05" w14:textId="77777777" w:rsidR="005B699B" w:rsidRPr="0037564B" w:rsidRDefault="005B699B" w:rsidP="00785BA1">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t>4</w:t>
    </w:r>
    <w:r w:rsidRPr="007B446A">
      <w:t>–2</w:t>
    </w:r>
    <w:r>
      <w:t>5</w:t>
    </w:r>
    <w:r w:rsidRPr="007B446A">
      <w:t xml:space="preserve">: </w:t>
    </w:r>
    <w:r>
      <w:t>f</w:t>
    </w:r>
    <w:r w:rsidRPr="007B446A">
      <w:t xml:space="preserve">unding </w:t>
    </w:r>
    <w:r>
      <w:t>r</w:t>
    </w:r>
    <w:r w:rsidRPr="007B446A">
      <w:t>ules</w:t>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142</w:t>
    </w:r>
    <w:r w:rsidRPr="00DE6C85">
      <w:rPr>
        <w:b w:val="0"/>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005B699B" w14:paraId="3DD6D22B" w14:textId="77777777" w:rsidTr="00B728DA">
      <w:trPr>
        <w:trHeight w:val="300"/>
      </w:trPr>
      <w:tc>
        <w:tcPr>
          <w:tcW w:w="3095" w:type="dxa"/>
        </w:tcPr>
        <w:p w14:paraId="4B25D847" w14:textId="77777777" w:rsidR="005B699B" w:rsidRDefault="005B699B" w:rsidP="00B728DA">
          <w:pPr>
            <w:pStyle w:val="Header"/>
            <w:ind w:left="-115"/>
          </w:pPr>
        </w:p>
      </w:tc>
      <w:tc>
        <w:tcPr>
          <w:tcW w:w="3095" w:type="dxa"/>
        </w:tcPr>
        <w:p w14:paraId="05E6FE7A" w14:textId="77777777" w:rsidR="005B699B" w:rsidRDefault="005B699B" w:rsidP="00B728DA">
          <w:pPr>
            <w:pStyle w:val="Header"/>
            <w:jc w:val="center"/>
          </w:pPr>
        </w:p>
      </w:tc>
      <w:tc>
        <w:tcPr>
          <w:tcW w:w="3095" w:type="dxa"/>
        </w:tcPr>
        <w:p w14:paraId="09BD4A44" w14:textId="77777777" w:rsidR="005B699B" w:rsidRDefault="005B699B" w:rsidP="00B728DA">
          <w:pPr>
            <w:pStyle w:val="Header"/>
            <w:ind w:right="-115"/>
            <w:jc w:val="right"/>
          </w:pPr>
        </w:p>
      </w:tc>
    </w:tr>
  </w:tbl>
  <w:p w14:paraId="75498FB0" w14:textId="77777777" w:rsidR="005B699B" w:rsidRDefault="005B699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01A6" w14:textId="0E93C37E" w:rsidR="005B699B" w:rsidRPr="0037564B" w:rsidRDefault="005B699B" w:rsidP="00252E66">
    <w:pPr>
      <w:pStyle w:val="Header"/>
      <w:tabs>
        <w:tab w:val="left" w:pos="8789"/>
        <w:tab w:val="left" w:pos="9072"/>
        <w:tab w:val="left" w:pos="13750"/>
        <w:tab w:val="left" w:pos="13892"/>
      </w:tabs>
      <w:rPr>
        <w:b w:val="0"/>
        <w:color w:val="auto"/>
      </w:rPr>
    </w:pPr>
    <w:r w:rsidRPr="007B446A">
      <w:t>Policy and funding guidelines 202</w:t>
    </w:r>
    <w:r>
      <w:t>4</w:t>
    </w:r>
    <w:r w:rsidRPr="007B446A">
      <w:t>–2</w:t>
    </w:r>
    <w:r>
      <w:t>5</w:t>
    </w:r>
    <w:r w:rsidRPr="007B446A">
      <w:t xml:space="preserve">: </w:t>
    </w:r>
    <w:r w:rsidR="00252E66">
      <w:t>f</w:t>
    </w:r>
    <w:r w:rsidR="00252E66" w:rsidRPr="007B446A">
      <w:t xml:space="preserve">unding </w:t>
    </w:r>
    <w:r w:rsidR="00252E66">
      <w:t>r</w:t>
    </w:r>
    <w:r w:rsidR="00252E66" w:rsidRPr="007B446A">
      <w:t>ules</w:t>
    </w:r>
    <w:r>
      <w:rPr>
        <w:color w:val="auto"/>
      </w:rPr>
      <w:tab/>
    </w:r>
    <w:r w:rsidRPr="00DE6C85">
      <w:rPr>
        <w:b w:val="0"/>
        <w:bCs/>
      </w:rPr>
      <w:fldChar w:fldCharType="begin"/>
    </w:r>
    <w:r w:rsidRPr="00DE6C85">
      <w:rPr>
        <w:bCs/>
      </w:rPr>
      <w:instrText xml:space="preserve"> PAGE </w:instrText>
    </w:r>
    <w:r w:rsidRPr="00DE6C85">
      <w:rPr>
        <w:b w:val="0"/>
        <w:bCs/>
      </w:rPr>
      <w:fldChar w:fldCharType="separate"/>
    </w:r>
    <w:r w:rsidR="00D90316">
      <w:rPr>
        <w:bCs/>
        <w:noProof/>
      </w:rPr>
      <w:t>117</w:t>
    </w:r>
    <w:r w:rsidRPr="00DE6C85">
      <w:rPr>
        <w:b w:val="0"/>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005B699B" w14:paraId="7520E686" w14:textId="77777777" w:rsidTr="00B728DA">
      <w:trPr>
        <w:trHeight w:val="300"/>
      </w:trPr>
      <w:tc>
        <w:tcPr>
          <w:tcW w:w="4760" w:type="dxa"/>
        </w:tcPr>
        <w:p w14:paraId="2E96F55C" w14:textId="77777777" w:rsidR="005B699B" w:rsidRDefault="005B699B" w:rsidP="00B728DA">
          <w:pPr>
            <w:pStyle w:val="Header"/>
            <w:ind w:left="-115"/>
          </w:pPr>
        </w:p>
      </w:tc>
      <w:tc>
        <w:tcPr>
          <w:tcW w:w="4760" w:type="dxa"/>
        </w:tcPr>
        <w:p w14:paraId="704F8B9B" w14:textId="77777777" w:rsidR="005B699B" w:rsidRDefault="005B699B" w:rsidP="00B728DA">
          <w:pPr>
            <w:pStyle w:val="Header"/>
            <w:jc w:val="center"/>
          </w:pPr>
        </w:p>
      </w:tc>
      <w:tc>
        <w:tcPr>
          <w:tcW w:w="4760" w:type="dxa"/>
        </w:tcPr>
        <w:p w14:paraId="36ABBA90" w14:textId="77777777" w:rsidR="005B699B" w:rsidRDefault="005B699B" w:rsidP="00B728DA">
          <w:pPr>
            <w:pStyle w:val="Header"/>
            <w:ind w:right="-115"/>
            <w:jc w:val="right"/>
          </w:pPr>
        </w:p>
      </w:tc>
    </w:tr>
  </w:tbl>
  <w:p w14:paraId="0A389613" w14:textId="77777777" w:rsidR="005B699B" w:rsidRDefault="005B699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8F03" w14:textId="77777777" w:rsidR="005B699B" w:rsidRDefault="005B699B" w:rsidP="00785BA1">
    <w:pPr>
      <w:pStyle w:val="Header"/>
      <w:tabs>
        <w:tab w:val="left" w:pos="8931"/>
      </w:tabs>
    </w:pPr>
    <w:r w:rsidRPr="00695D13">
      <w:t xml:space="preserve">Policy and </w:t>
    </w:r>
    <w:r>
      <w:t>f</w:t>
    </w:r>
    <w:r w:rsidRPr="00695D13">
      <w:t xml:space="preserve">unding </w:t>
    </w:r>
    <w:r>
      <w:t>g</w:t>
    </w:r>
    <w:r w:rsidRPr="00695D13">
      <w:t>uidelines 202</w:t>
    </w:r>
    <w:r>
      <w:t>4</w:t>
    </w:r>
    <w:r w:rsidRPr="00695D13">
      <w:t>–2</w:t>
    </w:r>
    <w:r>
      <w:t>5</w:t>
    </w:r>
    <w:r w:rsidRPr="00695D13">
      <w:t xml:space="preserve">: funding </w:t>
    </w:r>
    <w:r>
      <w:t>r</w:t>
    </w:r>
    <w:r w:rsidRPr="00695D13">
      <w:t>ules</w:t>
    </w:r>
    <w:r>
      <w:tab/>
    </w:r>
    <w:r w:rsidRPr="006C3D9A">
      <w:fldChar w:fldCharType="begin"/>
    </w:r>
    <w:r w:rsidRPr="006C3D9A">
      <w:instrText xml:space="preserve"> PAGE </w:instrText>
    </w:r>
    <w:r w:rsidRPr="006C3D9A">
      <w:fldChar w:fldCharType="separate"/>
    </w:r>
    <w:r w:rsidRPr="006C3D9A">
      <w:t>7</w:t>
    </w:r>
    <w:r w:rsidRPr="006C3D9A">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005B699B" w14:paraId="22E79202" w14:textId="77777777" w:rsidTr="00B728DA">
      <w:trPr>
        <w:trHeight w:val="300"/>
      </w:trPr>
      <w:tc>
        <w:tcPr>
          <w:tcW w:w="3095" w:type="dxa"/>
        </w:tcPr>
        <w:p w14:paraId="1E897FAB" w14:textId="77777777" w:rsidR="005B699B" w:rsidRDefault="005B699B" w:rsidP="00B728DA">
          <w:pPr>
            <w:pStyle w:val="Header"/>
            <w:ind w:left="-115"/>
          </w:pPr>
        </w:p>
      </w:tc>
      <w:tc>
        <w:tcPr>
          <w:tcW w:w="3095" w:type="dxa"/>
        </w:tcPr>
        <w:p w14:paraId="1BF38031" w14:textId="77777777" w:rsidR="005B699B" w:rsidRDefault="005B699B" w:rsidP="00B728DA">
          <w:pPr>
            <w:pStyle w:val="Header"/>
            <w:jc w:val="center"/>
          </w:pPr>
        </w:p>
      </w:tc>
      <w:tc>
        <w:tcPr>
          <w:tcW w:w="3095" w:type="dxa"/>
        </w:tcPr>
        <w:p w14:paraId="67898CB3" w14:textId="77777777" w:rsidR="005B699B" w:rsidRDefault="005B699B" w:rsidP="00B728DA">
          <w:pPr>
            <w:pStyle w:val="Header"/>
            <w:ind w:right="-115"/>
            <w:jc w:val="right"/>
          </w:pPr>
        </w:p>
      </w:tc>
    </w:tr>
  </w:tbl>
  <w:p w14:paraId="28D92E8B" w14:textId="77777777" w:rsidR="005B699B" w:rsidRDefault="005B699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A803" w14:textId="004840ED" w:rsidR="00AA30BB" w:rsidRPr="0037564B" w:rsidRDefault="00252E66" w:rsidP="00252E66">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t>4</w:t>
    </w:r>
    <w:r w:rsidRPr="007B446A">
      <w:t>–2</w:t>
    </w:r>
    <w:r>
      <w:t>5</w:t>
    </w:r>
    <w:r w:rsidRPr="007B446A">
      <w:t xml:space="preserve">: </w:t>
    </w:r>
    <w:r>
      <w:t>f</w:t>
    </w:r>
    <w:r w:rsidRPr="007B446A">
      <w:t xml:space="preserve">unding </w:t>
    </w:r>
    <w:r>
      <w:t>r</w:t>
    </w:r>
    <w:r w:rsidRPr="007B446A">
      <w:t>ules</w:t>
    </w:r>
    <w:r>
      <w:tab/>
    </w:r>
    <w:r>
      <w:tab/>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117</w:t>
    </w:r>
    <w:r w:rsidRPr="00DE6C85">
      <w:rPr>
        <w:b w:val="0"/>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005B699B" w14:paraId="5EDD58C4" w14:textId="77777777" w:rsidTr="00B728DA">
      <w:trPr>
        <w:trHeight w:val="300"/>
      </w:trPr>
      <w:tc>
        <w:tcPr>
          <w:tcW w:w="4760" w:type="dxa"/>
        </w:tcPr>
        <w:p w14:paraId="30F890AD" w14:textId="77777777" w:rsidR="005B699B" w:rsidRDefault="005B699B" w:rsidP="00B728DA">
          <w:pPr>
            <w:pStyle w:val="Header"/>
            <w:ind w:left="-115"/>
          </w:pPr>
        </w:p>
      </w:tc>
      <w:tc>
        <w:tcPr>
          <w:tcW w:w="4760" w:type="dxa"/>
        </w:tcPr>
        <w:p w14:paraId="4AD300F5" w14:textId="77777777" w:rsidR="005B699B" w:rsidRDefault="005B699B" w:rsidP="00B728DA">
          <w:pPr>
            <w:pStyle w:val="Header"/>
            <w:jc w:val="center"/>
          </w:pPr>
        </w:p>
      </w:tc>
      <w:tc>
        <w:tcPr>
          <w:tcW w:w="4760" w:type="dxa"/>
        </w:tcPr>
        <w:p w14:paraId="1BD8951E" w14:textId="77777777" w:rsidR="005B699B" w:rsidRDefault="005B699B" w:rsidP="00B728DA">
          <w:pPr>
            <w:pStyle w:val="Header"/>
            <w:ind w:right="-115"/>
            <w:jc w:val="right"/>
          </w:pPr>
        </w:p>
      </w:tc>
    </w:tr>
  </w:tbl>
  <w:p w14:paraId="6CA3523C" w14:textId="77777777" w:rsidR="005B699B" w:rsidRDefault="005B6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1873" w14:textId="77777777" w:rsidR="005B699B" w:rsidRDefault="005B699B" w:rsidP="00785BA1">
    <w:pPr>
      <w:pStyle w:val="Header"/>
      <w:tabs>
        <w:tab w:val="left" w:pos="8931"/>
      </w:tabs>
    </w:pPr>
    <w:r w:rsidRPr="00342BA9">
      <w:t xml:space="preserve">Policy and </w:t>
    </w:r>
    <w:r>
      <w:t>f</w:t>
    </w:r>
    <w:r w:rsidRPr="00342BA9">
      <w:t xml:space="preserve">unding </w:t>
    </w:r>
    <w:r>
      <w:t>g</w:t>
    </w:r>
    <w:r w:rsidRPr="00342BA9">
      <w:t>uidelines 202</w:t>
    </w:r>
    <w:r>
      <w:t>4</w:t>
    </w:r>
    <w:r w:rsidRPr="00342BA9">
      <w:t>–2</w:t>
    </w:r>
    <w:r>
      <w:t>5</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2</w:t>
    </w:r>
    <w:r w:rsidRPr="00AE6427">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96B26" w14:textId="77777777" w:rsidR="005B699B" w:rsidRPr="002705DA" w:rsidRDefault="005B699B" w:rsidP="00785BA1">
    <w:pPr>
      <w:pStyle w:val="Header"/>
      <w:tabs>
        <w:tab w:val="left" w:pos="8931"/>
        <w:tab w:val="left" w:pos="13750"/>
        <w:tab w:val="left" w:pos="13892"/>
      </w:tabs>
    </w:pPr>
    <w:r w:rsidRPr="007B446A">
      <w:t>Policy and funding guidelines 202</w:t>
    </w:r>
    <w:r>
      <w:t>4</w:t>
    </w:r>
    <w:r w:rsidRPr="007B446A">
      <w:t>–2</w:t>
    </w:r>
    <w:r>
      <w:t>5</w:t>
    </w:r>
    <w:r w:rsidRPr="007B446A">
      <w:t>: Funding rules – Part 2: Funding and activity levels</w:t>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151</w:t>
    </w:r>
    <w:r w:rsidRPr="00DE6C85">
      <w:rPr>
        <w:b w:val="0"/>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E00A" w14:textId="77777777" w:rsidR="005B699B" w:rsidRPr="00732DE2" w:rsidRDefault="005B699B" w:rsidP="00785BA1">
    <w:pPr>
      <w:pStyle w:val="Header"/>
      <w:tabs>
        <w:tab w:val="left" w:pos="8931"/>
      </w:tabs>
    </w:pPr>
    <w:r w:rsidRPr="007B446A">
      <w:t>Policy and funding guidelines 202</w:t>
    </w:r>
    <w:r>
      <w:t>4</w:t>
    </w:r>
    <w:r w:rsidRPr="007B446A">
      <w:t>–2</w:t>
    </w:r>
    <w:r>
      <w:t>5</w:t>
    </w:r>
    <w:r w:rsidRPr="007B446A">
      <w:t xml:space="preserve">: </w:t>
    </w:r>
    <w:r>
      <w:t>f</w:t>
    </w:r>
    <w:r w:rsidRPr="007B446A">
      <w:t>unding rules</w:t>
    </w:r>
    <w:r>
      <w:rPr>
        <w:color w:val="auto"/>
      </w:rPr>
      <w:tab/>
    </w:r>
    <w:r w:rsidRPr="00DE6C85">
      <w:rPr>
        <w:bCs/>
      </w:rPr>
      <w:fldChar w:fldCharType="begin"/>
    </w:r>
    <w:r w:rsidRPr="00DE6C85">
      <w:rPr>
        <w:bCs/>
      </w:rPr>
      <w:instrText xml:space="preserve"> PAGE </w:instrText>
    </w:r>
    <w:r w:rsidRPr="00DE6C85">
      <w:rPr>
        <w:bCs/>
      </w:rPr>
      <w:fldChar w:fldCharType="separate"/>
    </w:r>
    <w:r>
      <w:rPr>
        <w:b w:val="0"/>
        <w:bCs/>
      </w:rPr>
      <w:t>152</w:t>
    </w:r>
    <w:r w:rsidRPr="00DE6C85">
      <w:rPr>
        <w:bC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005B699B" w14:paraId="3861293C" w14:textId="77777777" w:rsidTr="00C42F9B">
      <w:trPr>
        <w:trHeight w:val="300"/>
      </w:trPr>
      <w:tc>
        <w:tcPr>
          <w:tcW w:w="3095" w:type="dxa"/>
        </w:tcPr>
        <w:p w14:paraId="3CDFC4DE" w14:textId="77777777" w:rsidR="005B699B" w:rsidRDefault="005B699B" w:rsidP="00C42F9B"/>
      </w:tc>
      <w:tc>
        <w:tcPr>
          <w:tcW w:w="3095" w:type="dxa"/>
        </w:tcPr>
        <w:p w14:paraId="6F904EF7" w14:textId="77777777" w:rsidR="005B699B" w:rsidRDefault="005B699B" w:rsidP="00C42F9B"/>
      </w:tc>
      <w:tc>
        <w:tcPr>
          <w:tcW w:w="3095" w:type="dxa"/>
        </w:tcPr>
        <w:p w14:paraId="0E323D2A" w14:textId="77777777" w:rsidR="005B699B" w:rsidRDefault="005B699B" w:rsidP="00C42F9B"/>
      </w:tc>
    </w:tr>
  </w:tbl>
  <w:p w14:paraId="0277A663" w14:textId="77777777" w:rsidR="005B699B" w:rsidRDefault="005B699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F0A6" w14:textId="77777777" w:rsidR="00431A70" w:rsidRPr="00454A7D" w:rsidRDefault="00431A70" w:rsidP="00785BA1">
    <w:pPr>
      <w:pStyle w:val="Header"/>
      <w:tabs>
        <w:tab w:val="left" w:pos="8931"/>
        <w:tab w:val="left" w:pos="13750"/>
        <w:tab w:val="left" w:pos="13892"/>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30C2" w14:textId="762B8A1A" w:rsidR="00562811" w:rsidRPr="0051568D" w:rsidRDefault="00673624" w:rsidP="0017674D">
    <w:pPr>
      <w:pStyle w:val="Header"/>
    </w:pPr>
    <w:r w:rsidRPr="007B446A">
      <w:t>Policy and funding guidelines 202</w:t>
    </w:r>
    <w:r>
      <w:t>4</w:t>
    </w:r>
    <w:r w:rsidRPr="007B446A">
      <w:t>–2</w:t>
    </w:r>
    <w:r>
      <w:t>5</w:t>
    </w:r>
    <w:r w:rsidRPr="007B446A">
      <w:t xml:space="preserve">: </w:t>
    </w:r>
    <w:r>
      <w:t>f</w:t>
    </w:r>
    <w:r w:rsidRPr="007B446A">
      <w:t>unding rules</w:t>
    </w:r>
    <w:r>
      <w:t xml:space="preserve">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926C70">
      <w:rPr>
        <w:bCs/>
        <w:noProof/>
      </w:rPr>
      <w:t>131</w:t>
    </w:r>
    <w:r w:rsidR="00562811" w:rsidRPr="00DE6C85">
      <w:rPr>
        <w:b w:val="0"/>
        <w:bCs/>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6EB4" w14:textId="77777777" w:rsidR="00DE5C64" w:rsidRDefault="00DE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45C8" w14:textId="77777777" w:rsidR="005B699B" w:rsidRDefault="005B699B" w:rsidP="00785BA1">
    <w:pPr>
      <w:pStyle w:val="Header"/>
      <w:tabs>
        <w:tab w:val="left" w:pos="8931"/>
      </w:tabs>
    </w:pPr>
    <w:r w:rsidRPr="00342BA9">
      <w:t xml:space="preserve">Policy and </w:t>
    </w:r>
    <w:r>
      <w:t>f</w:t>
    </w:r>
    <w:r w:rsidRPr="00342BA9">
      <w:t xml:space="preserve">unding </w:t>
    </w:r>
    <w:r>
      <w:t>g</w:t>
    </w:r>
    <w:r w:rsidRPr="00342BA9">
      <w:t>uidelines 202</w:t>
    </w:r>
    <w:r>
      <w:t>4</w:t>
    </w:r>
    <w:r w:rsidRPr="00342BA9">
      <w:t>–2</w:t>
    </w:r>
    <w:r>
      <w:t>5</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2</w:t>
    </w:r>
    <w:r w:rsidRPr="00AE642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1398E" w14:textId="77777777" w:rsidR="005B699B" w:rsidRDefault="005B699B" w:rsidP="00785BA1">
    <w:pPr>
      <w:pStyle w:val="Header"/>
      <w:tabs>
        <w:tab w:val="left" w:pos="8931"/>
      </w:tabs>
    </w:pPr>
    <w:r w:rsidRPr="00342BA9">
      <w:t xml:space="preserve">Policy and </w:t>
    </w:r>
    <w:r>
      <w:t>f</w:t>
    </w:r>
    <w:r w:rsidRPr="00342BA9">
      <w:t xml:space="preserve">unding </w:t>
    </w:r>
    <w:r>
      <w:t>g</w:t>
    </w:r>
    <w:r w:rsidRPr="00342BA9">
      <w:t>uidelines 202</w:t>
    </w:r>
    <w:r>
      <w:t>4–25</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91</w:t>
    </w:r>
    <w:r w:rsidRPr="00AE642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8C2F" w14:textId="77777777" w:rsidR="005B699B" w:rsidRPr="00333328" w:rsidRDefault="005B699B" w:rsidP="00785BA1">
    <w:pPr>
      <w:pStyle w:val="Header"/>
      <w:tabs>
        <w:tab w:val="left" w:pos="8931"/>
      </w:tabs>
      <w:rPr>
        <w:b w:val="0"/>
        <w:bCs/>
        <w:color w:val="auto"/>
      </w:rPr>
    </w:pPr>
    <w:r w:rsidRPr="00342BA9">
      <w:t xml:space="preserve">Policy and </w:t>
    </w:r>
    <w:r>
      <w:t>f</w:t>
    </w:r>
    <w:r w:rsidRPr="00342BA9">
      <w:t xml:space="preserve">unding </w:t>
    </w:r>
    <w:r>
      <w:t>g</w:t>
    </w:r>
    <w:r w:rsidRPr="00342BA9">
      <w:t>uidelines 202</w:t>
    </w:r>
    <w:r>
      <w:t>4–25</w:t>
    </w:r>
    <w:r w:rsidRPr="00342BA9">
      <w:t xml:space="preserve">: </w:t>
    </w:r>
    <w:r>
      <w:t>f</w:t>
    </w:r>
    <w:r w:rsidRPr="00342BA9">
      <w:t xml:space="preserve">unding </w:t>
    </w:r>
    <w:r>
      <w:t>r</w:t>
    </w:r>
    <w:r w:rsidRPr="00342BA9">
      <w:t>ules</w:t>
    </w:r>
    <w:r>
      <w:tab/>
    </w:r>
    <w:r w:rsidRPr="00AE6427">
      <w:fldChar w:fldCharType="begin"/>
    </w:r>
    <w:r w:rsidRPr="00AE6427">
      <w:instrText xml:space="preserve"> PAGE </w:instrText>
    </w:r>
    <w:r w:rsidRPr="00AE6427">
      <w:fldChar w:fldCharType="separate"/>
    </w:r>
    <w:r>
      <w:t>91</w:t>
    </w:r>
    <w:r w:rsidRPr="00AE642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005B699B" w14:paraId="17C1BBC2" w14:textId="77777777" w:rsidTr="00B728DA">
      <w:trPr>
        <w:trHeight w:val="300"/>
      </w:trPr>
      <w:tc>
        <w:tcPr>
          <w:tcW w:w="3095" w:type="dxa"/>
        </w:tcPr>
        <w:p w14:paraId="559437C3" w14:textId="77777777" w:rsidR="005B699B" w:rsidRDefault="005B699B" w:rsidP="00B728DA">
          <w:pPr>
            <w:pStyle w:val="Header"/>
            <w:ind w:left="-115"/>
          </w:pPr>
        </w:p>
      </w:tc>
      <w:tc>
        <w:tcPr>
          <w:tcW w:w="3095" w:type="dxa"/>
        </w:tcPr>
        <w:p w14:paraId="322C26DB" w14:textId="77777777" w:rsidR="005B699B" w:rsidRDefault="005B699B" w:rsidP="00B728DA">
          <w:pPr>
            <w:pStyle w:val="Header"/>
            <w:jc w:val="center"/>
          </w:pPr>
        </w:p>
      </w:tc>
      <w:tc>
        <w:tcPr>
          <w:tcW w:w="3095" w:type="dxa"/>
        </w:tcPr>
        <w:p w14:paraId="62DB726D" w14:textId="77777777" w:rsidR="005B699B" w:rsidRDefault="005B699B" w:rsidP="00B728DA">
          <w:pPr>
            <w:pStyle w:val="Header"/>
            <w:ind w:right="-115"/>
            <w:jc w:val="right"/>
          </w:pPr>
        </w:p>
      </w:tc>
    </w:tr>
  </w:tbl>
  <w:p w14:paraId="7E4CB420" w14:textId="77777777" w:rsidR="005B699B" w:rsidRDefault="005B69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37BB" w14:textId="77777777" w:rsidR="005B699B" w:rsidRDefault="005B699B" w:rsidP="00785BA1">
    <w:pPr>
      <w:pStyle w:val="Header"/>
      <w:tabs>
        <w:tab w:val="left" w:pos="8931"/>
        <w:tab w:val="left" w:pos="13892"/>
      </w:tabs>
    </w:pPr>
    <w:r w:rsidRPr="00695D13">
      <w:t>Policy and funding guidelines 202</w:t>
    </w:r>
    <w:r>
      <w:t>4</w:t>
    </w:r>
    <w:r w:rsidRPr="00695D13">
      <w:t>–2</w:t>
    </w:r>
    <w:r>
      <w:t>5</w:t>
    </w:r>
    <w:r w:rsidRPr="00695D13">
      <w:t xml:space="preserve">: </w:t>
    </w:r>
    <w:r>
      <w:t>f</w:t>
    </w:r>
    <w:r w:rsidRPr="00695D13">
      <w:t>unding rules</w:t>
    </w:r>
    <w:r>
      <w:rPr>
        <w:color w:val="auto"/>
      </w:rPr>
      <w:tab/>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7</w:t>
    </w:r>
    <w:r w:rsidRPr="00DE6C85">
      <w:rPr>
        <w:b w:val="0"/>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005B699B" w14:paraId="5D521BD7" w14:textId="77777777" w:rsidTr="00B728DA">
      <w:trPr>
        <w:trHeight w:val="300"/>
      </w:trPr>
      <w:tc>
        <w:tcPr>
          <w:tcW w:w="4760" w:type="dxa"/>
        </w:tcPr>
        <w:p w14:paraId="78E43220" w14:textId="77777777" w:rsidR="005B699B" w:rsidRDefault="005B699B" w:rsidP="00B728DA">
          <w:pPr>
            <w:pStyle w:val="Header"/>
            <w:ind w:left="-115"/>
          </w:pPr>
        </w:p>
      </w:tc>
      <w:tc>
        <w:tcPr>
          <w:tcW w:w="4760" w:type="dxa"/>
        </w:tcPr>
        <w:p w14:paraId="6563DD66" w14:textId="77777777" w:rsidR="005B699B" w:rsidRDefault="005B699B" w:rsidP="00B728DA">
          <w:pPr>
            <w:pStyle w:val="Header"/>
            <w:jc w:val="center"/>
          </w:pPr>
        </w:p>
      </w:tc>
      <w:tc>
        <w:tcPr>
          <w:tcW w:w="4760" w:type="dxa"/>
        </w:tcPr>
        <w:p w14:paraId="433181EC" w14:textId="77777777" w:rsidR="005B699B" w:rsidRDefault="005B699B" w:rsidP="00B728DA">
          <w:pPr>
            <w:pStyle w:val="Header"/>
            <w:ind w:right="-115"/>
            <w:jc w:val="right"/>
          </w:pPr>
        </w:p>
      </w:tc>
    </w:tr>
  </w:tbl>
  <w:p w14:paraId="3202F088" w14:textId="77777777" w:rsidR="005B699B" w:rsidRDefault="005B69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168C0" w14:textId="77777777" w:rsidR="00DE5C64" w:rsidRPr="0037564B" w:rsidRDefault="00673624" w:rsidP="00673624">
    <w:pPr>
      <w:pStyle w:val="Header"/>
      <w:tabs>
        <w:tab w:val="left" w:pos="8789"/>
        <w:tab w:val="left" w:pos="9072"/>
        <w:tab w:val="left" w:pos="13750"/>
        <w:tab w:val="left" w:pos="13892"/>
      </w:tabs>
      <w:rPr>
        <w:b w:val="0"/>
        <w:color w:val="auto"/>
      </w:rPr>
    </w:pPr>
    <w:r w:rsidRPr="007B446A">
      <w:t xml:space="preserve">Policy and </w:t>
    </w:r>
    <w:r>
      <w:t>f</w:t>
    </w:r>
    <w:r w:rsidRPr="007B446A">
      <w:t xml:space="preserve">unding </w:t>
    </w:r>
    <w:r>
      <w:t>g</w:t>
    </w:r>
    <w:r w:rsidRPr="007B446A">
      <w:t>uidelines 202</w:t>
    </w:r>
    <w:r>
      <w:t>4</w:t>
    </w:r>
    <w:r w:rsidRPr="007B446A">
      <w:t>–2</w:t>
    </w:r>
    <w:r>
      <w:t>5</w:t>
    </w:r>
    <w:r w:rsidRPr="007B446A">
      <w:t xml:space="preserve">: </w:t>
    </w:r>
    <w:r>
      <w:t>f</w:t>
    </w:r>
    <w:r w:rsidRPr="007B446A">
      <w:t xml:space="preserve">unding </w:t>
    </w:r>
    <w:r>
      <w:t>r</w:t>
    </w:r>
    <w:r w:rsidRPr="007B446A">
      <w:t>ules</w:t>
    </w:r>
    <w:r>
      <w:tab/>
    </w:r>
    <w:r>
      <w:tab/>
    </w:r>
    <w:r>
      <w:rPr>
        <w:color w:val="auto"/>
      </w:rPr>
      <w:tab/>
    </w:r>
    <w:r w:rsidRPr="00DE6C85">
      <w:rPr>
        <w:b w:val="0"/>
        <w:bCs/>
      </w:rPr>
      <w:fldChar w:fldCharType="begin"/>
    </w:r>
    <w:r w:rsidRPr="00DE6C85">
      <w:rPr>
        <w:bCs/>
      </w:rPr>
      <w:instrText xml:space="preserve"> PAGE </w:instrText>
    </w:r>
    <w:r w:rsidRPr="00DE6C85">
      <w:rPr>
        <w:b w:val="0"/>
        <w:bCs/>
      </w:rPr>
      <w:fldChar w:fldCharType="separate"/>
    </w:r>
    <w:r>
      <w:rPr>
        <w:b w:val="0"/>
        <w:bCs/>
      </w:rPr>
      <w:t>121</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875"/>
    <w:multiLevelType w:val="hybridMultilevel"/>
    <w:tmpl w:val="EB5009F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8B069DA"/>
    <w:multiLevelType w:val="hybridMultilevel"/>
    <w:tmpl w:val="38C6965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230A2"/>
    <w:multiLevelType w:val="hybridMultilevel"/>
    <w:tmpl w:val="133647A0"/>
    <w:lvl w:ilvl="0" w:tplc="13F85284">
      <w:start w:val="1"/>
      <w:numFmt w:val="lowerRoman"/>
      <w:lvlText w:val="%1."/>
      <w:lvlJc w:val="right"/>
      <w:pPr>
        <w:ind w:left="749" w:hanging="360"/>
      </w:pPr>
      <w:rPr>
        <w:b w:val="0"/>
        <w:bCs/>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4" w15:restartNumberingAfterBreak="0">
    <w:nsid w:val="0B3A52C6"/>
    <w:multiLevelType w:val="hybridMultilevel"/>
    <w:tmpl w:val="5E4A9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B33A2DBC"/>
    <w:numStyleLink w:val="ZZNumbersdigit"/>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6A3DA8"/>
    <w:multiLevelType w:val="multilevel"/>
    <w:tmpl w:val="4FACDD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595959" w:themeColor="text1" w:themeTint="A6"/>
      </w:rPr>
    </w:lvl>
    <w:lvl w:ilvl="2">
      <w:start w:val="1"/>
      <w:numFmt w:val="decimal"/>
      <w:lvlText w:val="%1.%2.%3"/>
      <w:lvlJc w:val="left"/>
      <w:pPr>
        <w:ind w:left="1134" w:hanging="113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07D3252"/>
    <w:multiLevelType w:val="hybridMultilevel"/>
    <w:tmpl w:val="CB80740C"/>
    <w:lvl w:ilvl="0" w:tplc="79F8C2E6">
      <w:start w:val="1"/>
      <w:numFmt w:val="lowerRoman"/>
      <w:lvlText w:val="%1."/>
      <w:lvlJc w:val="left"/>
      <w:pPr>
        <w:tabs>
          <w:tab w:val="num" w:pos="397"/>
        </w:tabs>
        <w:ind w:left="397" w:hanging="397"/>
      </w:pPr>
      <w:rPr>
        <w:rFonts w:hint="default"/>
      </w:rPr>
    </w:lvl>
    <w:lvl w:ilvl="1" w:tplc="A782B744">
      <w:start w:val="1"/>
      <w:numFmt w:val="none"/>
      <w:lvlRestart w:val="0"/>
      <w:lvlText w:val=""/>
      <w:lvlJc w:val="left"/>
      <w:pPr>
        <w:ind w:left="0" w:firstLine="0"/>
      </w:pPr>
      <w:rPr>
        <w:rFonts w:hint="default"/>
      </w:rPr>
    </w:lvl>
    <w:lvl w:ilvl="2" w:tplc="60AC19D6">
      <w:start w:val="1"/>
      <w:numFmt w:val="none"/>
      <w:lvlRestart w:val="0"/>
      <w:lvlText w:val=""/>
      <w:lvlJc w:val="left"/>
      <w:pPr>
        <w:ind w:left="0" w:firstLine="0"/>
      </w:pPr>
      <w:rPr>
        <w:rFonts w:hint="default"/>
      </w:rPr>
    </w:lvl>
    <w:lvl w:ilvl="3" w:tplc="86CE221C">
      <w:start w:val="1"/>
      <w:numFmt w:val="none"/>
      <w:lvlRestart w:val="0"/>
      <w:lvlText w:val=""/>
      <w:lvlJc w:val="left"/>
      <w:pPr>
        <w:ind w:left="0" w:firstLine="0"/>
      </w:pPr>
      <w:rPr>
        <w:rFonts w:hint="default"/>
      </w:rPr>
    </w:lvl>
    <w:lvl w:ilvl="4" w:tplc="F43667D2">
      <w:start w:val="1"/>
      <w:numFmt w:val="none"/>
      <w:lvlRestart w:val="0"/>
      <w:lvlText w:val=""/>
      <w:lvlJc w:val="left"/>
      <w:pPr>
        <w:ind w:left="0" w:firstLine="0"/>
      </w:pPr>
      <w:rPr>
        <w:rFonts w:hint="default"/>
      </w:rPr>
    </w:lvl>
    <w:lvl w:ilvl="5" w:tplc="4ACCD0F6">
      <w:start w:val="1"/>
      <w:numFmt w:val="none"/>
      <w:lvlRestart w:val="0"/>
      <w:lvlText w:val=""/>
      <w:lvlJc w:val="left"/>
      <w:pPr>
        <w:ind w:left="0" w:firstLine="0"/>
      </w:pPr>
      <w:rPr>
        <w:rFonts w:hint="default"/>
      </w:rPr>
    </w:lvl>
    <w:lvl w:ilvl="6" w:tplc="1A20A432">
      <w:start w:val="1"/>
      <w:numFmt w:val="none"/>
      <w:lvlRestart w:val="0"/>
      <w:lvlText w:val=""/>
      <w:lvlJc w:val="left"/>
      <w:pPr>
        <w:ind w:left="0" w:firstLine="0"/>
      </w:pPr>
      <w:rPr>
        <w:rFonts w:hint="default"/>
      </w:rPr>
    </w:lvl>
    <w:lvl w:ilvl="7" w:tplc="89E6E0D8">
      <w:start w:val="1"/>
      <w:numFmt w:val="none"/>
      <w:lvlRestart w:val="0"/>
      <w:lvlText w:val=""/>
      <w:lvlJc w:val="left"/>
      <w:pPr>
        <w:ind w:left="0" w:firstLine="0"/>
      </w:pPr>
      <w:rPr>
        <w:rFonts w:hint="default"/>
      </w:rPr>
    </w:lvl>
    <w:lvl w:ilvl="8" w:tplc="6B480F8C">
      <w:start w:val="1"/>
      <w:numFmt w:val="none"/>
      <w:lvlRestart w:val="0"/>
      <w:lvlText w:val=""/>
      <w:lvlJc w:val="left"/>
      <w:pPr>
        <w:ind w:left="0" w:firstLine="0"/>
      </w:pPr>
      <w:rPr>
        <w:rFonts w:hint="default"/>
      </w:rPr>
    </w:lvl>
  </w:abstractNum>
  <w:abstractNum w:abstractNumId="9" w15:restartNumberingAfterBreak="0">
    <w:nsid w:val="10AD7469"/>
    <w:multiLevelType w:val="hybridMultilevel"/>
    <w:tmpl w:val="3DCC3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F97E52"/>
    <w:multiLevelType w:val="multilevel"/>
    <w:tmpl w:val="D688D1B0"/>
    <w:lvl w:ilvl="0">
      <w:start w:val="2"/>
      <w:numFmt w:val="decimal"/>
      <w:lvlText w:val="%1"/>
      <w:lvlJc w:val="left"/>
      <w:pPr>
        <w:ind w:left="840" w:hanging="840"/>
      </w:pPr>
      <w:rPr>
        <w:rFonts w:hint="default"/>
      </w:rPr>
    </w:lvl>
    <w:lvl w:ilvl="1">
      <w:start w:val="1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355BD6"/>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2" w15:restartNumberingAfterBreak="0">
    <w:nsid w:val="14AA7129"/>
    <w:multiLevelType w:val="multilevel"/>
    <w:tmpl w:val="54468906"/>
    <w:styleLink w:val="ZZBox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4E2449E"/>
    <w:multiLevelType w:val="hybridMultilevel"/>
    <w:tmpl w:val="517217F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1B35D9"/>
    <w:multiLevelType w:val="hybridMultilevel"/>
    <w:tmpl w:val="D9C2A59C"/>
    <w:lvl w:ilvl="0" w:tplc="F4E46EA4">
      <w:start w:val="1"/>
      <w:numFmt w:val="lowerRoman"/>
      <w:lvlText w:val="%1."/>
      <w:lvlJc w:val="right"/>
      <w:pPr>
        <w:ind w:left="749" w:hanging="360"/>
      </w:pPr>
      <w:rPr>
        <w:b w:val="0"/>
        <w:bCs/>
      </w:rPr>
    </w:lvl>
    <w:lvl w:ilvl="1" w:tplc="0C090019" w:tentative="1">
      <w:start w:val="1"/>
      <w:numFmt w:val="lowerLetter"/>
      <w:lvlText w:val="%2."/>
      <w:lvlJc w:val="left"/>
      <w:pPr>
        <w:ind w:left="1469" w:hanging="360"/>
      </w:p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15" w15:restartNumberingAfterBreak="0">
    <w:nsid w:val="166D09CB"/>
    <w:multiLevelType w:val="hybridMultilevel"/>
    <w:tmpl w:val="C2F24FC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FD69E0"/>
    <w:multiLevelType w:val="multilevel"/>
    <w:tmpl w:val="ACF4BCB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rPr>
        <w:rFonts w:hint="default"/>
        <w:color w:val="595959" w:themeColor="text1" w:themeTint="A6"/>
      </w:rPr>
    </w:lvl>
    <w:lvl w:ilvl="2">
      <w:start w:val="1"/>
      <w:numFmt w:val="decimal"/>
      <w:pStyle w:val="Heading3"/>
      <w:lvlText w:val="%1.4.%3"/>
      <w:lvlJc w:val="left"/>
      <w:pPr>
        <w:ind w:left="720" w:hanging="720"/>
      </w:pPr>
      <w:rPr>
        <w:rFonts w:hint="default"/>
      </w:rPr>
    </w:lvl>
    <w:lvl w:ilvl="3">
      <w:start w:val="1"/>
      <w:numFmt w:val="decimal"/>
      <w:lvlText w:val=""/>
      <w:lvlJc w:val="left"/>
      <w:pPr>
        <w:ind w:left="720" w:hanging="36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C952770"/>
    <w:multiLevelType w:val="hybridMultilevel"/>
    <w:tmpl w:val="6690157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1C10DD"/>
    <w:multiLevelType w:val="singleLevel"/>
    <w:tmpl w:val="B8EA5F86"/>
    <w:lvl w:ilvl="0">
      <w:start w:val="1"/>
      <w:numFmt w:val="bullet"/>
      <w:pStyle w:val="Tablebullet1"/>
      <w:lvlText w:val=""/>
      <w:lvlJc w:val="left"/>
      <w:pPr>
        <w:ind w:left="360" w:hanging="360"/>
      </w:pPr>
      <w:rPr>
        <w:rFonts w:ascii="Symbol" w:hAnsi="Symbol" w:hint="default"/>
      </w:rPr>
    </w:lvl>
  </w:abstractNum>
  <w:abstractNum w:abstractNumId="19" w15:restartNumberingAfterBreak="0">
    <w:nsid w:val="24F342F7"/>
    <w:multiLevelType w:val="hybridMultilevel"/>
    <w:tmpl w:val="7A70B78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C05633"/>
    <w:multiLevelType w:val="hybridMultilevel"/>
    <w:tmpl w:val="D8BA01BC"/>
    <w:styleLink w:val="ZZTablenoteroman"/>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89C1828"/>
    <w:multiLevelType w:val="hybridMultilevel"/>
    <w:tmpl w:val="DAD4A45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AA2B11"/>
    <w:multiLevelType w:val="hybridMultilevel"/>
    <w:tmpl w:val="8A94ED12"/>
    <w:lvl w:ilvl="0" w:tplc="3E06BF8C">
      <w:start w:val="1"/>
      <w:numFmt w:val="decimal"/>
      <w:suff w:val="nothing"/>
      <w:lvlText w:val=""/>
      <w:lvlJc w:val="left"/>
      <w:pPr>
        <w:ind w:left="0" w:firstLine="0"/>
      </w:pPr>
    </w:lvl>
    <w:lvl w:ilvl="1" w:tplc="FE36FEAC">
      <w:start w:val="1"/>
      <w:numFmt w:val="bullet"/>
      <w:lvlRestart w:val="0"/>
      <w:lvlText w:val="•"/>
      <w:lvlJc w:val="left"/>
      <w:pPr>
        <w:ind w:left="284" w:hanging="284"/>
      </w:pPr>
      <w:rPr>
        <w:rFonts w:hint="default"/>
      </w:rPr>
    </w:lvl>
    <w:lvl w:ilvl="2" w:tplc="92CAF36A">
      <w:start w:val="1"/>
      <w:numFmt w:val="decimal"/>
      <w:lvlRestart w:val="1"/>
      <w:lvlText w:val="%3."/>
      <w:lvlJc w:val="left"/>
      <w:pPr>
        <w:tabs>
          <w:tab w:val="num" w:pos="397"/>
        </w:tabs>
        <w:ind w:left="397" w:hanging="397"/>
      </w:pPr>
    </w:lvl>
    <w:lvl w:ilvl="3" w:tplc="B1DE03C4">
      <w:start w:val="1"/>
      <w:numFmt w:val="lowerRoman"/>
      <w:lvlRestart w:val="1"/>
      <w:lvlText w:val="%4."/>
      <w:lvlJc w:val="left"/>
      <w:pPr>
        <w:tabs>
          <w:tab w:val="num" w:pos="397"/>
        </w:tabs>
        <w:ind w:left="397" w:hanging="397"/>
      </w:pPr>
    </w:lvl>
    <w:lvl w:ilvl="4" w:tplc="C9BCA8F8">
      <w:start w:val="1"/>
      <w:numFmt w:val="decimal"/>
      <w:lvlRestart w:val="0"/>
      <w:lvlText w:val=""/>
      <w:lvlJc w:val="left"/>
      <w:pPr>
        <w:ind w:left="0" w:firstLine="0"/>
      </w:pPr>
    </w:lvl>
    <w:lvl w:ilvl="5" w:tplc="B02E8214">
      <w:start w:val="1"/>
      <w:numFmt w:val="decimal"/>
      <w:lvlRestart w:val="0"/>
      <w:lvlText w:val=""/>
      <w:lvlJc w:val="left"/>
      <w:pPr>
        <w:ind w:left="0" w:firstLine="0"/>
      </w:pPr>
    </w:lvl>
    <w:lvl w:ilvl="6" w:tplc="9E163FBA">
      <w:start w:val="1"/>
      <w:numFmt w:val="decimal"/>
      <w:lvlRestart w:val="0"/>
      <w:lvlText w:val=""/>
      <w:lvlJc w:val="left"/>
      <w:pPr>
        <w:ind w:left="0" w:firstLine="0"/>
      </w:pPr>
    </w:lvl>
    <w:lvl w:ilvl="7" w:tplc="40BE326A">
      <w:start w:val="1"/>
      <w:numFmt w:val="decimal"/>
      <w:lvlRestart w:val="0"/>
      <w:lvlText w:val=""/>
      <w:lvlJc w:val="left"/>
      <w:pPr>
        <w:ind w:left="0" w:firstLine="0"/>
      </w:pPr>
    </w:lvl>
    <w:lvl w:ilvl="8" w:tplc="59081CD0">
      <w:start w:val="1"/>
      <w:numFmt w:val="decimal"/>
      <w:lvlRestart w:val="0"/>
      <w:lvlText w:val=""/>
      <w:lvlJc w:val="left"/>
      <w:pPr>
        <w:ind w:left="0" w:firstLine="0"/>
      </w:pPr>
    </w:lvl>
  </w:abstractNum>
  <w:abstractNum w:abstractNumId="23" w15:restartNumberingAfterBreak="0">
    <w:nsid w:val="2D751681"/>
    <w:multiLevelType w:val="hybridMultilevel"/>
    <w:tmpl w:val="F3BE88E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BC56EA"/>
    <w:multiLevelType w:val="hybridMultilevel"/>
    <w:tmpl w:val="3CCA804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CA7D4D"/>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6" w15:restartNumberingAfterBreak="0">
    <w:nsid w:val="32FF1748"/>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7" w15:restartNumberingAfterBreak="0">
    <w:nsid w:val="3560537E"/>
    <w:multiLevelType w:val="hybridMultilevel"/>
    <w:tmpl w:val="A462D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3C41D4"/>
    <w:multiLevelType w:val="hybridMultilevel"/>
    <w:tmpl w:val="5EB4BAC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2C2A5B"/>
    <w:multiLevelType w:val="hybridMultilevel"/>
    <w:tmpl w:val="5644CC3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E9B7C99"/>
    <w:multiLevelType w:val="hybridMultilevel"/>
    <w:tmpl w:val="822A17B8"/>
    <w:lvl w:ilvl="0" w:tplc="6A08503C">
      <w:start w:val="1"/>
      <w:numFmt w:val="decimal"/>
      <w:lvlText w:val="%1."/>
      <w:lvlJc w:val="left"/>
      <w:pPr>
        <w:ind w:left="720" w:hanging="360"/>
      </w:pPr>
      <w:rPr>
        <w:rFonts w:ascii="Arial" w:hAnsi="Arial" w:cs="Arial"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C54A41"/>
    <w:multiLevelType w:val="multilevel"/>
    <w:tmpl w:val="986E24B0"/>
    <w:styleLink w:val="ZZNumberslowerroman"/>
    <w:lvl w:ilvl="0">
      <w:start w:val="1"/>
      <w:numFmt w:val="lowerRoman"/>
      <w:lvlText w:val="(%1)"/>
      <w:lvlJc w:val="left"/>
      <w:pPr>
        <w:tabs>
          <w:tab w:val="num" w:pos="397"/>
        </w:tabs>
        <w:ind w:left="397" w:hanging="397"/>
      </w:pPr>
      <w:rPr>
        <w:rFonts w:hint="default"/>
      </w:rPr>
    </w:lvl>
    <w:lvl w:ilvl="1">
      <w:start w:val="1"/>
      <w:numFmt w:val="lowerRoman"/>
      <w:pStyle w:val="Tablebullet2"/>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22B2BAC"/>
    <w:multiLevelType w:val="hybridMultilevel"/>
    <w:tmpl w:val="DF6CB00A"/>
    <w:lvl w:ilvl="0" w:tplc="097411C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A61157"/>
    <w:multiLevelType w:val="hybridMultilevel"/>
    <w:tmpl w:val="D110001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8743C4"/>
    <w:multiLevelType w:val="hybridMultilevel"/>
    <w:tmpl w:val="079C548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033F5B"/>
    <w:multiLevelType w:val="hybridMultilevel"/>
    <w:tmpl w:val="900A455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D51EDA"/>
    <w:multiLevelType w:val="hybridMultilevel"/>
    <w:tmpl w:val="8234AD5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A017DE"/>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39" w15:restartNumberingAfterBreak="0">
    <w:nsid w:val="4F373BCF"/>
    <w:multiLevelType w:val="hybridMultilevel"/>
    <w:tmpl w:val="7834EB2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A01EB5"/>
    <w:multiLevelType w:val="hybridMultilevel"/>
    <w:tmpl w:val="94D8A11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0D12C0"/>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42" w15:restartNumberingAfterBreak="0">
    <w:nsid w:val="53D44088"/>
    <w:multiLevelType w:val="hybridMultilevel"/>
    <w:tmpl w:val="C764DBD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1611C2"/>
    <w:multiLevelType w:val="multilevel"/>
    <w:tmpl w:val="1C065CFC"/>
    <w:styleLink w:val="ZZTablebullets"/>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49C29AB"/>
    <w:multiLevelType w:val="multilevel"/>
    <w:tmpl w:val="CB80740C"/>
    <w:styleLink w:val="CurrentList1"/>
    <w:lvl w:ilvl="0">
      <w:start w:val="1"/>
      <w:numFmt w:val="lowerRoman"/>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54BA1E5A"/>
    <w:multiLevelType w:val="multilevel"/>
    <w:tmpl w:val="6CF20CA8"/>
    <w:styleLink w:val="ZZ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5973C14"/>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47" w15:restartNumberingAfterBreak="0">
    <w:nsid w:val="58D100B5"/>
    <w:multiLevelType w:val="multilevel"/>
    <w:tmpl w:val="8500EAE4"/>
    <w:lvl w:ilvl="0">
      <w:start w:val="2"/>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AB1142E"/>
    <w:multiLevelType w:val="hybridMultilevel"/>
    <w:tmpl w:val="C1F8E890"/>
    <w:styleLink w:val="ZZTablebullets105pt"/>
    <w:lvl w:ilvl="0" w:tplc="DC7299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CF2CBD"/>
    <w:multiLevelType w:val="hybridMultilevel"/>
    <w:tmpl w:val="8A94ED12"/>
    <w:lvl w:ilvl="0" w:tplc="3E06BF8C">
      <w:start w:val="1"/>
      <w:numFmt w:val="decimal"/>
      <w:suff w:val="nothing"/>
      <w:lvlText w:val=""/>
      <w:lvlJc w:val="left"/>
      <w:pPr>
        <w:ind w:left="0" w:firstLine="0"/>
      </w:pPr>
    </w:lvl>
    <w:lvl w:ilvl="1" w:tplc="FE36FEAC">
      <w:start w:val="1"/>
      <w:numFmt w:val="bullet"/>
      <w:lvlRestart w:val="0"/>
      <w:lvlText w:val="•"/>
      <w:lvlJc w:val="left"/>
      <w:pPr>
        <w:ind w:left="284" w:hanging="284"/>
      </w:pPr>
      <w:rPr>
        <w:rFonts w:hint="default"/>
      </w:rPr>
    </w:lvl>
    <w:lvl w:ilvl="2" w:tplc="92CAF36A">
      <w:start w:val="1"/>
      <w:numFmt w:val="decimal"/>
      <w:lvlRestart w:val="1"/>
      <w:lvlText w:val="%3."/>
      <w:lvlJc w:val="left"/>
      <w:pPr>
        <w:tabs>
          <w:tab w:val="num" w:pos="397"/>
        </w:tabs>
        <w:ind w:left="397" w:hanging="397"/>
      </w:pPr>
    </w:lvl>
    <w:lvl w:ilvl="3" w:tplc="B1DE03C4">
      <w:start w:val="1"/>
      <w:numFmt w:val="lowerRoman"/>
      <w:lvlRestart w:val="1"/>
      <w:lvlText w:val="%4."/>
      <w:lvlJc w:val="left"/>
      <w:pPr>
        <w:tabs>
          <w:tab w:val="num" w:pos="397"/>
        </w:tabs>
        <w:ind w:left="397" w:hanging="397"/>
      </w:pPr>
    </w:lvl>
    <w:lvl w:ilvl="4" w:tplc="C9BCA8F8">
      <w:start w:val="1"/>
      <w:numFmt w:val="decimal"/>
      <w:lvlRestart w:val="0"/>
      <w:lvlText w:val=""/>
      <w:lvlJc w:val="left"/>
      <w:pPr>
        <w:ind w:left="0" w:firstLine="0"/>
      </w:pPr>
    </w:lvl>
    <w:lvl w:ilvl="5" w:tplc="B02E8214">
      <w:start w:val="1"/>
      <w:numFmt w:val="decimal"/>
      <w:lvlRestart w:val="0"/>
      <w:lvlText w:val=""/>
      <w:lvlJc w:val="left"/>
      <w:pPr>
        <w:ind w:left="0" w:firstLine="0"/>
      </w:pPr>
    </w:lvl>
    <w:lvl w:ilvl="6" w:tplc="9E163FBA">
      <w:start w:val="1"/>
      <w:numFmt w:val="decimal"/>
      <w:lvlRestart w:val="0"/>
      <w:lvlText w:val=""/>
      <w:lvlJc w:val="left"/>
      <w:pPr>
        <w:ind w:left="0" w:firstLine="0"/>
      </w:pPr>
    </w:lvl>
    <w:lvl w:ilvl="7" w:tplc="40BE326A">
      <w:start w:val="1"/>
      <w:numFmt w:val="decimal"/>
      <w:lvlRestart w:val="0"/>
      <w:lvlText w:val=""/>
      <w:lvlJc w:val="left"/>
      <w:pPr>
        <w:ind w:left="0" w:firstLine="0"/>
      </w:pPr>
    </w:lvl>
    <w:lvl w:ilvl="8" w:tplc="59081CD0">
      <w:start w:val="1"/>
      <w:numFmt w:val="decimal"/>
      <w:lvlRestart w:val="0"/>
      <w:lvlText w:val=""/>
      <w:lvlJc w:val="left"/>
      <w:pPr>
        <w:ind w:left="0" w:firstLine="0"/>
      </w:pPr>
    </w:lvl>
  </w:abstractNum>
  <w:abstractNum w:abstractNumId="50" w15:restartNumberingAfterBreak="0">
    <w:nsid w:val="5FE05F00"/>
    <w:multiLevelType w:val="hybridMultilevel"/>
    <w:tmpl w:val="A736668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66FA647A"/>
    <w:multiLevelType w:val="multilevel"/>
    <w:tmpl w:val="288613E4"/>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6B6C68FC"/>
    <w:multiLevelType w:val="hybridMultilevel"/>
    <w:tmpl w:val="BA3C111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B9B6D94"/>
    <w:multiLevelType w:val="hybridMultilevel"/>
    <w:tmpl w:val="0624F82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663EC2"/>
    <w:multiLevelType w:val="hybridMultilevel"/>
    <w:tmpl w:val="58147BE2"/>
    <w:lvl w:ilvl="0" w:tplc="FFFFFFFF">
      <w:start w:val="1"/>
      <w:numFmt w:val="bullet"/>
      <w:lvlText w:val=""/>
      <w:lvlJc w:val="left"/>
      <w:pPr>
        <w:ind w:left="360" w:hanging="360"/>
      </w:pPr>
      <w:rPr>
        <w:rFonts w:ascii="Symbol" w:hAnsi="Symbol" w:hint="default"/>
      </w:rPr>
    </w:lvl>
    <w:lvl w:ilvl="1" w:tplc="00F62DFC">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F672510"/>
    <w:multiLevelType w:val="hybridMultilevel"/>
    <w:tmpl w:val="19D8C8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0247698"/>
    <w:multiLevelType w:val="hybridMultilevel"/>
    <w:tmpl w:val="1398EF24"/>
    <w:lvl w:ilvl="0" w:tplc="55C258B0">
      <w:start w:val="1"/>
      <w:numFmt w:val="bullet"/>
      <w:pStyle w:val="Tablebullet9pt"/>
      <w:lvlText w:val="•"/>
      <w:lvlJc w:val="left"/>
      <w:pPr>
        <w:ind w:left="227" w:hanging="227"/>
      </w:pPr>
      <w:rPr>
        <w:rFonts w:ascii="Calibri" w:hAnsi="Calibri" w:hint="default"/>
      </w:rPr>
    </w:lvl>
    <w:lvl w:ilvl="1" w:tplc="BC20A024">
      <w:start w:val="1"/>
      <w:numFmt w:val="decimal"/>
      <w:lvlRestart w:val="0"/>
      <w:lvlText w:val=""/>
      <w:lvlJc w:val="left"/>
      <w:pPr>
        <w:ind w:left="0" w:firstLine="0"/>
      </w:pPr>
    </w:lvl>
    <w:lvl w:ilvl="2" w:tplc="06F078C0">
      <w:start w:val="1"/>
      <w:numFmt w:val="decimal"/>
      <w:lvlRestart w:val="0"/>
      <w:lvlText w:val=""/>
      <w:lvlJc w:val="left"/>
      <w:pPr>
        <w:ind w:left="0" w:firstLine="0"/>
      </w:pPr>
    </w:lvl>
    <w:lvl w:ilvl="3" w:tplc="C1C2E074">
      <w:start w:val="1"/>
      <w:numFmt w:val="decimal"/>
      <w:lvlRestart w:val="0"/>
      <w:lvlText w:val=""/>
      <w:lvlJc w:val="left"/>
      <w:pPr>
        <w:ind w:left="0" w:firstLine="0"/>
      </w:pPr>
    </w:lvl>
    <w:lvl w:ilvl="4" w:tplc="5A12BDC2">
      <w:start w:val="1"/>
      <w:numFmt w:val="decimal"/>
      <w:lvlRestart w:val="0"/>
      <w:lvlText w:val=""/>
      <w:lvlJc w:val="left"/>
      <w:pPr>
        <w:ind w:left="0" w:firstLine="0"/>
      </w:pPr>
    </w:lvl>
    <w:lvl w:ilvl="5" w:tplc="40FC5E4A">
      <w:start w:val="1"/>
      <w:numFmt w:val="decimal"/>
      <w:lvlRestart w:val="0"/>
      <w:lvlText w:val=""/>
      <w:lvlJc w:val="left"/>
      <w:pPr>
        <w:ind w:left="0" w:firstLine="0"/>
      </w:pPr>
    </w:lvl>
    <w:lvl w:ilvl="6" w:tplc="91747F7E">
      <w:start w:val="1"/>
      <w:numFmt w:val="decimal"/>
      <w:lvlRestart w:val="0"/>
      <w:lvlText w:val=""/>
      <w:lvlJc w:val="left"/>
      <w:pPr>
        <w:ind w:left="0" w:firstLine="0"/>
      </w:pPr>
    </w:lvl>
    <w:lvl w:ilvl="7" w:tplc="9E465B2E">
      <w:start w:val="1"/>
      <w:numFmt w:val="decimal"/>
      <w:lvlRestart w:val="0"/>
      <w:lvlText w:val=""/>
      <w:lvlJc w:val="left"/>
      <w:pPr>
        <w:ind w:left="0" w:firstLine="0"/>
      </w:pPr>
    </w:lvl>
    <w:lvl w:ilvl="8" w:tplc="4A3C4388">
      <w:start w:val="1"/>
      <w:numFmt w:val="decimal"/>
      <w:lvlRestart w:val="0"/>
      <w:lvlText w:val=""/>
      <w:lvlJc w:val="left"/>
      <w:pPr>
        <w:ind w:left="0" w:firstLine="0"/>
      </w:pPr>
    </w:lvl>
  </w:abstractNum>
  <w:abstractNum w:abstractNumId="58" w15:restartNumberingAfterBreak="0">
    <w:nsid w:val="72212CC3"/>
    <w:multiLevelType w:val="hybridMultilevel"/>
    <w:tmpl w:val="EAC88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58D66D9"/>
    <w:multiLevelType w:val="hybridMultilevel"/>
    <w:tmpl w:val="A61E49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6C421ED"/>
    <w:multiLevelType w:val="hybridMultilevel"/>
    <w:tmpl w:val="B44C758E"/>
    <w:lvl w:ilvl="0" w:tplc="4BECEE3C">
      <w:start w:val="1"/>
      <w:numFmt w:val="lowerRoman"/>
      <w:lvlText w:val="%1."/>
      <w:lvlJc w:val="right"/>
      <w:pPr>
        <w:ind w:left="749" w:hanging="360"/>
      </w:pPr>
      <w:rPr>
        <w:b w:val="0"/>
        <w:bCs/>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61" w15:restartNumberingAfterBreak="0">
    <w:nsid w:val="78E948F0"/>
    <w:multiLevelType w:val="hybridMultilevel"/>
    <w:tmpl w:val="0FB4D2E4"/>
    <w:lvl w:ilvl="0" w:tplc="FFFFFFFF">
      <w:start w:val="1"/>
      <w:numFmt w:val="lowerRoman"/>
      <w:lvlText w:val="%1."/>
      <w:lvlJc w:val="right"/>
      <w:pPr>
        <w:ind w:left="749" w:hanging="360"/>
      </w:p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62" w15:restartNumberingAfterBreak="0">
    <w:nsid w:val="7EBD623E"/>
    <w:multiLevelType w:val="hybridMultilevel"/>
    <w:tmpl w:val="4B64B20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F3C745B"/>
    <w:multiLevelType w:val="hybridMultilevel"/>
    <w:tmpl w:val="2A4E540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791053">
    <w:abstractNumId w:val="30"/>
  </w:num>
  <w:num w:numId="2" w16cid:durableId="1958678138">
    <w:abstractNumId w:val="45"/>
  </w:num>
  <w:num w:numId="3" w16cid:durableId="567348673">
    <w:abstractNumId w:val="43"/>
  </w:num>
  <w:num w:numId="4" w16cid:durableId="948663205">
    <w:abstractNumId w:val="51"/>
  </w:num>
  <w:num w:numId="5" w16cid:durableId="1104885484">
    <w:abstractNumId w:val="32"/>
  </w:num>
  <w:num w:numId="6" w16cid:durableId="367535064">
    <w:abstractNumId w:val="6"/>
  </w:num>
  <w:num w:numId="7" w16cid:durableId="132377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472789">
    <w:abstractNumId w:val="48"/>
  </w:num>
  <w:num w:numId="9" w16cid:durableId="2141536474">
    <w:abstractNumId w:val="12"/>
  </w:num>
  <w:num w:numId="10" w16cid:durableId="1840536388">
    <w:abstractNumId w:val="5"/>
  </w:num>
  <w:num w:numId="11" w16cid:durableId="1936396118">
    <w:abstractNumId w:val="49"/>
  </w:num>
  <w:num w:numId="12" w16cid:durableId="165860550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677651">
    <w:abstractNumId w:val="7"/>
  </w:num>
  <w:num w:numId="14" w16cid:durableId="1657807814">
    <w:abstractNumId w:val="57"/>
  </w:num>
  <w:num w:numId="15" w16cid:durableId="1262571510">
    <w:abstractNumId w:val="56"/>
  </w:num>
  <w:num w:numId="16" w16cid:durableId="854077138">
    <w:abstractNumId w:val="58"/>
  </w:num>
  <w:num w:numId="17" w16cid:durableId="945649579">
    <w:abstractNumId w:val="27"/>
  </w:num>
  <w:num w:numId="18" w16cid:durableId="1584073352">
    <w:abstractNumId w:val="20"/>
  </w:num>
  <w:num w:numId="19" w16cid:durableId="1240334658">
    <w:abstractNumId w:val="55"/>
  </w:num>
  <w:num w:numId="20" w16cid:durableId="1592159330">
    <w:abstractNumId w:val="28"/>
  </w:num>
  <w:num w:numId="21" w16cid:durableId="1024594169">
    <w:abstractNumId w:val="37"/>
  </w:num>
  <w:num w:numId="22" w16cid:durableId="457918459">
    <w:abstractNumId w:val="17"/>
  </w:num>
  <w:num w:numId="23" w16cid:durableId="586421292">
    <w:abstractNumId w:val="2"/>
  </w:num>
  <w:num w:numId="24" w16cid:durableId="1419206699">
    <w:abstractNumId w:val="19"/>
  </w:num>
  <w:num w:numId="25" w16cid:durableId="775248192">
    <w:abstractNumId w:val="36"/>
  </w:num>
  <w:num w:numId="26" w16cid:durableId="283928443">
    <w:abstractNumId w:val="21"/>
  </w:num>
  <w:num w:numId="27" w16cid:durableId="1987121727">
    <w:abstractNumId w:val="29"/>
  </w:num>
  <w:num w:numId="28" w16cid:durableId="250546375">
    <w:abstractNumId w:val="53"/>
  </w:num>
  <w:num w:numId="29" w16cid:durableId="1033767821">
    <w:abstractNumId w:val="50"/>
  </w:num>
  <w:num w:numId="30" w16cid:durableId="1436906635">
    <w:abstractNumId w:val="35"/>
  </w:num>
  <w:num w:numId="31" w16cid:durableId="1152333151">
    <w:abstractNumId w:val="33"/>
  </w:num>
  <w:num w:numId="32" w16cid:durableId="542182807">
    <w:abstractNumId w:val="13"/>
  </w:num>
  <w:num w:numId="33" w16cid:durableId="901065299">
    <w:abstractNumId w:val="54"/>
  </w:num>
  <w:num w:numId="34" w16cid:durableId="1438674816">
    <w:abstractNumId w:val="34"/>
  </w:num>
  <w:num w:numId="35" w16cid:durableId="79329884">
    <w:abstractNumId w:val="63"/>
  </w:num>
  <w:num w:numId="36" w16cid:durableId="1329166781">
    <w:abstractNumId w:val="15"/>
  </w:num>
  <w:num w:numId="37" w16cid:durableId="1548374083">
    <w:abstractNumId w:val="40"/>
  </w:num>
  <w:num w:numId="38" w16cid:durableId="732502939">
    <w:abstractNumId w:val="24"/>
  </w:num>
  <w:num w:numId="39" w16cid:durableId="386955888">
    <w:abstractNumId w:val="62"/>
  </w:num>
  <w:num w:numId="40" w16cid:durableId="91705557">
    <w:abstractNumId w:val="39"/>
  </w:num>
  <w:num w:numId="41" w16cid:durableId="1668053038">
    <w:abstractNumId w:val="42"/>
  </w:num>
  <w:num w:numId="42" w16cid:durableId="1488939945">
    <w:abstractNumId w:val="0"/>
  </w:num>
  <w:num w:numId="43" w16cid:durableId="1369642573">
    <w:abstractNumId w:val="23"/>
  </w:num>
  <w:num w:numId="44" w16cid:durableId="1171065325">
    <w:abstractNumId w:val="4"/>
  </w:num>
  <w:num w:numId="45" w16cid:durableId="883829835">
    <w:abstractNumId w:val="59"/>
  </w:num>
  <w:num w:numId="46" w16cid:durableId="396245729">
    <w:abstractNumId w:val="9"/>
  </w:num>
  <w:num w:numId="47" w16cid:durableId="944656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0513666">
    <w:abstractNumId w:val="16"/>
  </w:num>
  <w:num w:numId="49" w16cid:durableId="687678571">
    <w:abstractNumId w:val="18"/>
  </w:num>
  <w:num w:numId="50" w16cid:durableId="1789007062">
    <w:abstractNumId w:val="52"/>
  </w:num>
  <w:num w:numId="51" w16cid:durableId="26494626">
    <w:abstractNumId w:val="31"/>
  </w:num>
  <w:num w:numId="52" w16cid:durableId="613485952">
    <w:abstractNumId w:val="14"/>
  </w:num>
  <w:num w:numId="53" w16cid:durableId="1065034126">
    <w:abstractNumId w:val="60"/>
  </w:num>
  <w:num w:numId="54" w16cid:durableId="1790781636">
    <w:abstractNumId w:val="11"/>
  </w:num>
  <w:num w:numId="55" w16cid:durableId="1764254803">
    <w:abstractNumId w:val="61"/>
  </w:num>
  <w:num w:numId="56" w16cid:durableId="335038043">
    <w:abstractNumId w:val="41"/>
  </w:num>
  <w:num w:numId="57" w16cid:durableId="377366036">
    <w:abstractNumId w:val="46"/>
  </w:num>
  <w:num w:numId="58" w16cid:durableId="1273593700">
    <w:abstractNumId w:val="26"/>
  </w:num>
  <w:num w:numId="59" w16cid:durableId="1407654189">
    <w:abstractNumId w:val="38"/>
  </w:num>
  <w:num w:numId="60" w16cid:durableId="4678957">
    <w:abstractNumId w:val="3"/>
  </w:num>
  <w:num w:numId="61" w16cid:durableId="1102727100">
    <w:abstractNumId w:val="25"/>
  </w:num>
  <w:num w:numId="62" w16cid:durableId="231500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5299483">
    <w:abstractNumId w:val="44"/>
  </w:num>
  <w:num w:numId="64" w16cid:durableId="1894540776">
    <w:abstractNumId w:val="8"/>
  </w:num>
  <w:num w:numId="65" w16cid:durableId="398601238">
    <w:abstractNumId w:val="16"/>
  </w:num>
  <w:num w:numId="66" w16cid:durableId="1477138385">
    <w:abstractNumId w:val="16"/>
  </w:num>
  <w:num w:numId="67" w16cid:durableId="297342567">
    <w:abstractNumId w:val="16"/>
  </w:num>
  <w:num w:numId="68" w16cid:durableId="1351570683">
    <w:abstractNumId w:val="16"/>
  </w:num>
  <w:num w:numId="69" w16cid:durableId="1574583106">
    <w:abstractNumId w:val="47"/>
  </w:num>
  <w:num w:numId="70" w16cid:durableId="1970277947">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0A08"/>
    <w:rsid w:val="00001817"/>
    <w:rsid w:val="00001845"/>
    <w:rsid w:val="000021F8"/>
    <w:rsid w:val="00002B27"/>
    <w:rsid w:val="00002D68"/>
    <w:rsid w:val="00002DB9"/>
    <w:rsid w:val="000033F7"/>
    <w:rsid w:val="00003403"/>
    <w:rsid w:val="000038AD"/>
    <w:rsid w:val="00004466"/>
    <w:rsid w:val="00004687"/>
    <w:rsid w:val="00005347"/>
    <w:rsid w:val="00005C9A"/>
    <w:rsid w:val="00007236"/>
    <w:rsid w:val="000072B6"/>
    <w:rsid w:val="000072D7"/>
    <w:rsid w:val="0001021B"/>
    <w:rsid w:val="00010EB4"/>
    <w:rsid w:val="00011103"/>
    <w:rsid w:val="00011120"/>
    <w:rsid w:val="00011D89"/>
    <w:rsid w:val="0001207E"/>
    <w:rsid w:val="00013373"/>
    <w:rsid w:val="00013A3D"/>
    <w:rsid w:val="00013C67"/>
    <w:rsid w:val="000140D0"/>
    <w:rsid w:val="00015056"/>
    <w:rsid w:val="000154FD"/>
    <w:rsid w:val="0001566D"/>
    <w:rsid w:val="00015926"/>
    <w:rsid w:val="00016654"/>
    <w:rsid w:val="00016C50"/>
    <w:rsid w:val="00017379"/>
    <w:rsid w:val="00017F6A"/>
    <w:rsid w:val="000201F7"/>
    <w:rsid w:val="00021A5E"/>
    <w:rsid w:val="00021F47"/>
    <w:rsid w:val="00022271"/>
    <w:rsid w:val="00022C33"/>
    <w:rsid w:val="00022F13"/>
    <w:rsid w:val="00023352"/>
    <w:rsid w:val="000233AC"/>
    <w:rsid w:val="000235E8"/>
    <w:rsid w:val="00023650"/>
    <w:rsid w:val="00024485"/>
    <w:rsid w:val="00024D1C"/>
    <w:rsid w:val="00024D89"/>
    <w:rsid w:val="00025024"/>
    <w:rsid w:val="000250B6"/>
    <w:rsid w:val="000253ED"/>
    <w:rsid w:val="0002554E"/>
    <w:rsid w:val="00026540"/>
    <w:rsid w:val="00026905"/>
    <w:rsid w:val="00027C7A"/>
    <w:rsid w:val="000305DB"/>
    <w:rsid w:val="00030CDD"/>
    <w:rsid w:val="00031575"/>
    <w:rsid w:val="000319EC"/>
    <w:rsid w:val="0003238B"/>
    <w:rsid w:val="00032BC0"/>
    <w:rsid w:val="00032D03"/>
    <w:rsid w:val="00033D81"/>
    <w:rsid w:val="00033DC9"/>
    <w:rsid w:val="0003435B"/>
    <w:rsid w:val="000345AB"/>
    <w:rsid w:val="00034AEC"/>
    <w:rsid w:val="00035298"/>
    <w:rsid w:val="00035B05"/>
    <w:rsid w:val="00036CC7"/>
    <w:rsid w:val="00037366"/>
    <w:rsid w:val="00037B46"/>
    <w:rsid w:val="00040252"/>
    <w:rsid w:val="00041176"/>
    <w:rsid w:val="00041716"/>
    <w:rsid w:val="0004175B"/>
    <w:rsid w:val="00041BF0"/>
    <w:rsid w:val="00041F45"/>
    <w:rsid w:val="0004205D"/>
    <w:rsid w:val="0004284B"/>
    <w:rsid w:val="00042C8A"/>
    <w:rsid w:val="000431EB"/>
    <w:rsid w:val="000432AF"/>
    <w:rsid w:val="00043551"/>
    <w:rsid w:val="00044ABD"/>
    <w:rsid w:val="00044BC8"/>
    <w:rsid w:val="00045217"/>
    <w:rsid w:val="0004536B"/>
    <w:rsid w:val="00045F12"/>
    <w:rsid w:val="00046B68"/>
    <w:rsid w:val="000470D7"/>
    <w:rsid w:val="00047A09"/>
    <w:rsid w:val="00050EA7"/>
    <w:rsid w:val="000511C9"/>
    <w:rsid w:val="00051E52"/>
    <w:rsid w:val="00051FFE"/>
    <w:rsid w:val="000527DD"/>
    <w:rsid w:val="00052829"/>
    <w:rsid w:val="00052CB6"/>
    <w:rsid w:val="00054728"/>
    <w:rsid w:val="000554EF"/>
    <w:rsid w:val="0005565A"/>
    <w:rsid w:val="000558B8"/>
    <w:rsid w:val="000559DE"/>
    <w:rsid w:val="00055AE4"/>
    <w:rsid w:val="00055D93"/>
    <w:rsid w:val="000561C0"/>
    <w:rsid w:val="0005639C"/>
    <w:rsid w:val="00056686"/>
    <w:rsid w:val="00056A43"/>
    <w:rsid w:val="00056EC4"/>
    <w:rsid w:val="000578B2"/>
    <w:rsid w:val="00057C2E"/>
    <w:rsid w:val="00060076"/>
    <w:rsid w:val="00060123"/>
    <w:rsid w:val="00060959"/>
    <w:rsid w:val="00060C8F"/>
    <w:rsid w:val="000614B9"/>
    <w:rsid w:val="00061545"/>
    <w:rsid w:val="000616F6"/>
    <w:rsid w:val="00061B0F"/>
    <w:rsid w:val="000626C3"/>
    <w:rsid w:val="0006298A"/>
    <w:rsid w:val="00063577"/>
    <w:rsid w:val="00063726"/>
    <w:rsid w:val="00063768"/>
    <w:rsid w:val="00065448"/>
    <w:rsid w:val="00065AA1"/>
    <w:rsid w:val="00065F25"/>
    <w:rsid w:val="000663CD"/>
    <w:rsid w:val="00066A18"/>
    <w:rsid w:val="00066F24"/>
    <w:rsid w:val="000674C4"/>
    <w:rsid w:val="00067AB4"/>
    <w:rsid w:val="00070FEC"/>
    <w:rsid w:val="0007156B"/>
    <w:rsid w:val="000723BA"/>
    <w:rsid w:val="000725E3"/>
    <w:rsid w:val="000733FE"/>
    <w:rsid w:val="00073DF6"/>
    <w:rsid w:val="00074219"/>
    <w:rsid w:val="00074D5D"/>
    <w:rsid w:val="00074ED5"/>
    <w:rsid w:val="0008029F"/>
    <w:rsid w:val="000803BC"/>
    <w:rsid w:val="0008060E"/>
    <w:rsid w:val="0008166F"/>
    <w:rsid w:val="00081CC5"/>
    <w:rsid w:val="0008204A"/>
    <w:rsid w:val="00082804"/>
    <w:rsid w:val="00083D55"/>
    <w:rsid w:val="00083E01"/>
    <w:rsid w:val="00083E6C"/>
    <w:rsid w:val="00084016"/>
    <w:rsid w:val="0008410D"/>
    <w:rsid w:val="00084B44"/>
    <w:rsid w:val="00084C62"/>
    <w:rsid w:val="0008508E"/>
    <w:rsid w:val="00085DB9"/>
    <w:rsid w:val="00085F53"/>
    <w:rsid w:val="0008710F"/>
    <w:rsid w:val="00087951"/>
    <w:rsid w:val="000906E2"/>
    <w:rsid w:val="00090E7C"/>
    <w:rsid w:val="0009113B"/>
    <w:rsid w:val="00091F00"/>
    <w:rsid w:val="00092961"/>
    <w:rsid w:val="00092B4E"/>
    <w:rsid w:val="00093402"/>
    <w:rsid w:val="000934E4"/>
    <w:rsid w:val="00093858"/>
    <w:rsid w:val="0009405B"/>
    <w:rsid w:val="000943E4"/>
    <w:rsid w:val="00094B65"/>
    <w:rsid w:val="00094DA3"/>
    <w:rsid w:val="000963B8"/>
    <w:rsid w:val="00096CD1"/>
    <w:rsid w:val="000973B8"/>
    <w:rsid w:val="00097622"/>
    <w:rsid w:val="000A012C"/>
    <w:rsid w:val="000A0729"/>
    <w:rsid w:val="000A09EC"/>
    <w:rsid w:val="000A0EB9"/>
    <w:rsid w:val="000A1139"/>
    <w:rsid w:val="000A139F"/>
    <w:rsid w:val="000A16D3"/>
    <w:rsid w:val="000A186C"/>
    <w:rsid w:val="000A1EA4"/>
    <w:rsid w:val="000A1ED9"/>
    <w:rsid w:val="000A2476"/>
    <w:rsid w:val="000A364D"/>
    <w:rsid w:val="000A3EE3"/>
    <w:rsid w:val="000A44F5"/>
    <w:rsid w:val="000A641A"/>
    <w:rsid w:val="000A6539"/>
    <w:rsid w:val="000A6688"/>
    <w:rsid w:val="000A6A3B"/>
    <w:rsid w:val="000A7670"/>
    <w:rsid w:val="000B0DC8"/>
    <w:rsid w:val="000B0F83"/>
    <w:rsid w:val="000B1AD6"/>
    <w:rsid w:val="000B1CD6"/>
    <w:rsid w:val="000B2101"/>
    <w:rsid w:val="000B37A4"/>
    <w:rsid w:val="000B3EDB"/>
    <w:rsid w:val="000B43CD"/>
    <w:rsid w:val="000B5418"/>
    <w:rsid w:val="000B543D"/>
    <w:rsid w:val="000B55EE"/>
    <w:rsid w:val="000B55F9"/>
    <w:rsid w:val="000B56CD"/>
    <w:rsid w:val="000B5BF7"/>
    <w:rsid w:val="000B6BC8"/>
    <w:rsid w:val="000B715C"/>
    <w:rsid w:val="000C0085"/>
    <w:rsid w:val="000C0303"/>
    <w:rsid w:val="000C09BD"/>
    <w:rsid w:val="000C1344"/>
    <w:rsid w:val="000C15E4"/>
    <w:rsid w:val="000C35F7"/>
    <w:rsid w:val="000C42EA"/>
    <w:rsid w:val="000C4546"/>
    <w:rsid w:val="000C5208"/>
    <w:rsid w:val="000C7147"/>
    <w:rsid w:val="000C76A4"/>
    <w:rsid w:val="000C7EBF"/>
    <w:rsid w:val="000D0255"/>
    <w:rsid w:val="000D04AB"/>
    <w:rsid w:val="000D07F9"/>
    <w:rsid w:val="000D1242"/>
    <w:rsid w:val="000D150C"/>
    <w:rsid w:val="000D15EC"/>
    <w:rsid w:val="000D228E"/>
    <w:rsid w:val="000D2ABA"/>
    <w:rsid w:val="000D2DC1"/>
    <w:rsid w:val="000D3217"/>
    <w:rsid w:val="000D37F0"/>
    <w:rsid w:val="000D4CD6"/>
    <w:rsid w:val="000D4E1B"/>
    <w:rsid w:val="000D4E82"/>
    <w:rsid w:val="000D6B38"/>
    <w:rsid w:val="000D6F42"/>
    <w:rsid w:val="000D71D4"/>
    <w:rsid w:val="000D728B"/>
    <w:rsid w:val="000D747E"/>
    <w:rsid w:val="000E0970"/>
    <w:rsid w:val="000E0C7C"/>
    <w:rsid w:val="000E0ED2"/>
    <w:rsid w:val="000E0F47"/>
    <w:rsid w:val="000E14B6"/>
    <w:rsid w:val="000E15F1"/>
    <w:rsid w:val="000E1682"/>
    <w:rsid w:val="000E1862"/>
    <w:rsid w:val="000E1A55"/>
    <w:rsid w:val="000E1F7D"/>
    <w:rsid w:val="000E23D2"/>
    <w:rsid w:val="000E33A1"/>
    <w:rsid w:val="000E3C13"/>
    <w:rsid w:val="000E3CC7"/>
    <w:rsid w:val="000E4239"/>
    <w:rsid w:val="000E45CE"/>
    <w:rsid w:val="000E467C"/>
    <w:rsid w:val="000E4C62"/>
    <w:rsid w:val="000E4CAA"/>
    <w:rsid w:val="000E516D"/>
    <w:rsid w:val="000E5224"/>
    <w:rsid w:val="000E5840"/>
    <w:rsid w:val="000E6664"/>
    <w:rsid w:val="000E690D"/>
    <w:rsid w:val="000E6BD4"/>
    <w:rsid w:val="000E6CBE"/>
    <w:rsid w:val="000E6D6D"/>
    <w:rsid w:val="000E6FD0"/>
    <w:rsid w:val="000F000C"/>
    <w:rsid w:val="000F18F7"/>
    <w:rsid w:val="000F19BB"/>
    <w:rsid w:val="000F1F1E"/>
    <w:rsid w:val="000F2259"/>
    <w:rsid w:val="000F2DDA"/>
    <w:rsid w:val="000F2EA0"/>
    <w:rsid w:val="000F3043"/>
    <w:rsid w:val="000F4577"/>
    <w:rsid w:val="000F4A96"/>
    <w:rsid w:val="000F5213"/>
    <w:rsid w:val="000F76A4"/>
    <w:rsid w:val="000F7DE7"/>
    <w:rsid w:val="00100A88"/>
    <w:rsid w:val="00101001"/>
    <w:rsid w:val="00101012"/>
    <w:rsid w:val="001010A3"/>
    <w:rsid w:val="001014D4"/>
    <w:rsid w:val="00101546"/>
    <w:rsid w:val="001019AF"/>
    <w:rsid w:val="00101C92"/>
    <w:rsid w:val="00101FA1"/>
    <w:rsid w:val="00102BAB"/>
    <w:rsid w:val="00103276"/>
    <w:rsid w:val="0010392D"/>
    <w:rsid w:val="00103FD0"/>
    <w:rsid w:val="0010447F"/>
    <w:rsid w:val="0010469B"/>
    <w:rsid w:val="00104FE3"/>
    <w:rsid w:val="0010714F"/>
    <w:rsid w:val="001102D6"/>
    <w:rsid w:val="00110597"/>
    <w:rsid w:val="0011062E"/>
    <w:rsid w:val="00110A0A"/>
    <w:rsid w:val="00110E39"/>
    <w:rsid w:val="0011193B"/>
    <w:rsid w:val="00111D77"/>
    <w:rsid w:val="001120C5"/>
    <w:rsid w:val="001124F9"/>
    <w:rsid w:val="00112AFF"/>
    <w:rsid w:val="00113034"/>
    <w:rsid w:val="001137EF"/>
    <w:rsid w:val="00120B39"/>
    <w:rsid w:val="00120BD3"/>
    <w:rsid w:val="0012182F"/>
    <w:rsid w:val="00121B89"/>
    <w:rsid w:val="0012232E"/>
    <w:rsid w:val="0012270F"/>
    <w:rsid w:val="00122FEA"/>
    <w:rsid w:val="00123197"/>
    <w:rsid w:val="001232BD"/>
    <w:rsid w:val="00123691"/>
    <w:rsid w:val="001236DC"/>
    <w:rsid w:val="00123ACC"/>
    <w:rsid w:val="00123C2F"/>
    <w:rsid w:val="00123C87"/>
    <w:rsid w:val="00123D2D"/>
    <w:rsid w:val="00124913"/>
    <w:rsid w:val="00124ED5"/>
    <w:rsid w:val="00125531"/>
    <w:rsid w:val="00125BBA"/>
    <w:rsid w:val="00125E87"/>
    <w:rsid w:val="00125F44"/>
    <w:rsid w:val="0012612F"/>
    <w:rsid w:val="0012686B"/>
    <w:rsid w:val="00126DBF"/>
    <w:rsid w:val="00127343"/>
    <w:rsid w:val="001275E5"/>
    <w:rsid w:val="001276FA"/>
    <w:rsid w:val="00130AC8"/>
    <w:rsid w:val="00130E30"/>
    <w:rsid w:val="00131281"/>
    <w:rsid w:val="0013154B"/>
    <w:rsid w:val="00131782"/>
    <w:rsid w:val="00131DBD"/>
    <w:rsid w:val="001326AC"/>
    <w:rsid w:val="00133127"/>
    <w:rsid w:val="0013328C"/>
    <w:rsid w:val="00133A52"/>
    <w:rsid w:val="00133D8D"/>
    <w:rsid w:val="00135D76"/>
    <w:rsid w:val="00136498"/>
    <w:rsid w:val="001372E1"/>
    <w:rsid w:val="001375BD"/>
    <w:rsid w:val="00137AAE"/>
    <w:rsid w:val="00140430"/>
    <w:rsid w:val="00140DD9"/>
    <w:rsid w:val="00140F65"/>
    <w:rsid w:val="001426E5"/>
    <w:rsid w:val="00143454"/>
    <w:rsid w:val="00143913"/>
    <w:rsid w:val="001447B3"/>
    <w:rsid w:val="00145DBD"/>
    <w:rsid w:val="001469FF"/>
    <w:rsid w:val="00146FA3"/>
    <w:rsid w:val="0014716E"/>
    <w:rsid w:val="0014756F"/>
    <w:rsid w:val="00147D8F"/>
    <w:rsid w:val="0015057B"/>
    <w:rsid w:val="00150B99"/>
    <w:rsid w:val="0015184B"/>
    <w:rsid w:val="00152073"/>
    <w:rsid w:val="00152329"/>
    <w:rsid w:val="00152AFC"/>
    <w:rsid w:val="00152E8D"/>
    <w:rsid w:val="00153B99"/>
    <w:rsid w:val="00153CAC"/>
    <w:rsid w:val="00155402"/>
    <w:rsid w:val="00156598"/>
    <w:rsid w:val="00157CFA"/>
    <w:rsid w:val="001612AB"/>
    <w:rsid w:val="0016132A"/>
    <w:rsid w:val="00161623"/>
    <w:rsid w:val="00161649"/>
    <w:rsid w:val="00161746"/>
    <w:rsid w:val="00161939"/>
    <w:rsid w:val="00161AA0"/>
    <w:rsid w:val="00161B56"/>
    <w:rsid w:val="00161D2E"/>
    <w:rsid w:val="00161F3E"/>
    <w:rsid w:val="00162093"/>
    <w:rsid w:val="00162CA9"/>
    <w:rsid w:val="00162FC1"/>
    <w:rsid w:val="00164246"/>
    <w:rsid w:val="00164292"/>
    <w:rsid w:val="0016481A"/>
    <w:rsid w:val="00165128"/>
    <w:rsid w:val="001651CB"/>
    <w:rsid w:val="00165224"/>
    <w:rsid w:val="00165459"/>
    <w:rsid w:val="00165482"/>
    <w:rsid w:val="0016567D"/>
    <w:rsid w:val="001656C0"/>
    <w:rsid w:val="00165A57"/>
    <w:rsid w:val="001667C6"/>
    <w:rsid w:val="001672BA"/>
    <w:rsid w:val="001712C2"/>
    <w:rsid w:val="001713DF"/>
    <w:rsid w:val="00171453"/>
    <w:rsid w:val="001717F2"/>
    <w:rsid w:val="00171967"/>
    <w:rsid w:val="001724A6"/>
    <w:rsid w:val="00172BAF"/>
    <w:rsid w:val="00173411"/>
    <w:rsid w:val="00174105"/>
    <w:rsid w:val="001747AD"/>
    <w:rsid w:val="00175296"/>
    <w:rsid w:val="001755B6"/>
    <w:rsid w:val="00175D22"/>
    <w:rsid w:val="00175D93"/>
    <w:rsid w:val="0017674D"/>
    <w:rsid w:val="00176F7A"/>
    <w:rsid w:val="001771DD"/>
    <w:rsid w:val="001777F3"/>
    <w:rsid w:val="00177995"/>
    <w:rsid w:val="00177A8C"/>
    <w:rsid w:val="00177C7E"/>
    <w:rsid w:val="00180985"/>
    <w:rsid w:val="00180A9E"/>
    <w:rsid w:val="00180B53"/>
    <w:rsid w:val="0018120A"/>
    <w:rsid w:val="0018244E"/>
    <w:rsid w:val="00182ADB"/>
    <w:rsid w:val="001836C7"/>
    <w:rsid w:val="001839A7"/>
    <w:rsid w:val="0018442F"/>
    <w:rsid w:val="00184AD3"/>
    <w:rsid w:val="00184AF3"/>
    <w:rsid w:val="00184BDA"/>
    <w:rsid w:val="00186B00"/>
    <w:rsid w:val="00186B33"/>
    <w:rsid w:val="0018726B"/>
    <w:rsid w:val="0019025A"/>
    <w:rsid w:val="00190A26"/>
    <w:rsid w:val="00190DBB"/>
    <w:rsid w:val="00191313"/>
    <w:rsid w:val="00191679"/>
    <w:rsid w:val="00191BF1"/>
    <w:rsid w:val="0019274D"/>
    <w:rsid w:val="0019292C"/>
    <w:rsid w:val="00192C8B"/>
    <w:rsid w:val="00192F9D"/>
    <w:rsid w:val="001934D1"/>
    <w:rsid w:val="00193599"/>
    <w:rsid w:val="001948F6"/>
    <w:rsid w:val="00194EBB"/>
    <w:rsid w:val="0019537C"/>
    <w:rsid w:val="00195D08"/>
    <w:rsid w:val="001968BF"/>
    <w:rsid w:val="00196EB8"/>
    <w:rsid w:val="00196EFB"/>
    <w:rsid w:val="00197663"/>
    <w:rsid w:val="001979FF"/>
    <w:rsid w:val="00197B17"/>
    <w:rsid w:val="001A001E"/>
    <w:rsid w:val="001A0139"/>
    <w:rsid w:val="001A03E9"/>
    <w:rsid w:val="001A16FB"/>
    <w:rsid w:val="001A1950"/>
    <w:rsid w:val="001A1BC9"/>
    <w:rsid w:val="001A1C54"/>
    <w:rsid w:val="001A1EA7"/>
    <w:rsid w:val="001A1F88"/>
    <w:rsid w:val="001A245A"/>
    <w:rsid w:val="001A2C05"/>
    <w:rsid w:val="001A33A4"/>
    <w:rsid w:val="001A3ACE"/>
    <w:rsid w:val="001A3D0C"/>
    <w:rsid w:val="001A3FD7"/>
    <w:rsid w:val="001A45C0"/>
    <w:rsid w:val="001A4B5E"/>
    <w:rsid w:val="001A5383"/>
    <w:rsid w:val="001A5D6B"/>
    <w:rsid w:val="001A6272"/>
    <w:rsid w:val="001A6780"/>
    <w:rsid w:val="001A68F9"/>
    <w:rsid w:val="001A6B90"/>
    <w:rsid w:val="001A6E95"/>
    <w:rsid w:val="001A6FC2"/>
    <w:rsid w:val="001A7715"/>
    <w:rsid w:val="001A7AE7"/>
    <w:rsid w:val="001B058F"/>
    <w:rsid w:val="001B1587"/>
    <w:rsid w:val="001B2A32"/>
    <w:rsid w:val="001B3194"/>
    <w:rsid w:val="001B5B12"/>
    <w:rsid w:val="001B5EAA"/>
    <w:rsid w:val="001B623F"/>
    <w:rsid w:val="001B63AE"/>
    <w:rsid w:val="001B6B96"/>
    <w:rsid w:val="001B6C61"/>
    <w:rsid w:val="001B738B"/>
    <w:rsid w:val="001B73A3"/>
    <w:rsid w:val="001C043A"/>
    <w:rsid w:val="001C09DB"/>
    <w:rsid w:val="001C26A4"/>
    <w:rsid w:val="001C277E"/>
    <w:rsid w:val="001C2A72"/>
    <w:rsid w:val="001C3080"/>
    <w:rsid w:val="001C3102"/>
    <w:rsid w:val="001C31B7"/>
    <w:rsid w:val="001C3755"/>
    <w:rsid w:val="001C444F"/>
    <w:rsid w:val="001C47BA"/>
    <w:rsid w:val="001C52D2"/>
    <w:rsid w:val="001C6399"/>
    <w:rsid w:val="001C63EC"/>
    <w:rsid w:val="001C66E0"/>
    <w:rsid w:val="001C7230"/>
    <w:rsid w:val="001C7764"/>
    <w:rsid w:val="001C7838"/>
    <w:rsid w:val="001C7C1C"/>
    <w:rsid w:val="001D001A"/>
    <w:rsid w:val="001D0B75"/>
    <w:rsid w:val="001D0D0A"/>
    <w:rsid w:val="001D175D"/>
    <w:rsid w:val="001D2693"/>
    <w:rsid w:val="001D2931"/>
    <w:rsid w:val="001D2D8B"/>
    <w:rsid w:val="001D2D8E"/>
    <w:rsid w:val="001D2E72"/>
    <w:rsid w:val="001D39A5"/>
    <w:rsid w:val="001D39C1"/>
    <w:rsid w:val="001D3AB2"/>
    <w:rsid w:val="001D3C09"/>
    <w:rsid w:val="001D3F43"/>
    <w:rsid w:val="001D4203"/>
    <w:rsid w:val="001D44E8"/>
    <w:rsid w:val="001D4AEB"/>
    <w:rsid w:val="001D4DEF"/>
    <w:rsid w:val="001D5146"/>
    <w:rsid w:val="001D60EC"/>
    <w:rsid w:val="001D63FF"/>
    <w:rsid w:val="001D6F59"/>
    <w:rsid w:val="001E0B2E"/>
    <w:rsid w:val="001E0BF4"/>
    <w:rsid w:val="001E0EB3"/>
    <w:rsid w:val="001E12D0"/>
    <w:rsid w:val="001E214F"/>
    <w:rsid w:val="001E2506"/>
    <w:rsid w:val="001E2992"/>
    <w:rsid w:val="001E34AF"/>
    <w:rsid w:val="001E4292"/>
    <w:rsid w:val="001E44DF"/>
    <w:rsid w:val="001E4797"/>
    <w:rsid w:val="001E4A9E"/>
    <w:rsid w:val="001E5B19"/>
    <w:rsid w:val="001E60B5"/>
    <w:rsid w:val="001E68A5"/>
    <w:rsid w:val="001E6BB0"/>
    <w:rsid w:val="001E7282"/>
    <w:rsid w:val="001E73D0"/>
    <w:rsid w:val="001E79A9"/>
    <w:rsid w:val="001E7DAE"/>
    <w:rsid w:val="001E7DDA"/>
    <w:rsid w:val="001F0155"/>
    <w:rsid w:val="001F08DD"/>
    <w:rsid w:val="001F0EA8"/>
    <w:rsid w:val="001F19F5"/>
    <w:rsid w:val="001F1DC5"/>
    <w:rsid w:val="001F220A"/>
    <w:rsid w:val="001F26D4"/>
    <w:rsid w:val="001F296C"/>
    <w:rsid w:val="001F2D6B"/>
    <w:rsid w:val="001F3826"/>
    <w:rsid w:val="001F3F4F"/>
    <w:rsid w:val="001F4B49"/>
    <w:rsid w:val="001F4C48"/>
    <w:rsid w:val="001F562B"/>
    <w:rsid w:val="001F6E46"/>
    <w:rsid w:val="001F7437"/>
    <w:rsid w:val="001F761D"/>
    <w:rsid w:val="001F788B"/>
    <w:rsid w:val="001F7C3E"/>
    <w:rsid w:val="001F7C91"/>
    <w:rsid w:val="001F7D34"/>
    <w:rsid w:val="00200013"/>
    <w:rsid w:val="00202048"/>
    <w:rsid w:val="00202965"/>
    <w:rsid w:val="002029D4"/>
    <w:rsid w:val="00202A93"/>
    <w:rsid w:val="00202E6B"/>
    <w:rsid w:val="00203072"/>
    <w:rsid w:val="002033B7"/>
    <w:rsid w:val="002033BF"/>
    <w:rsid w:val="002034AE"/>
    <w:rsid w:val="00206463"/>
    <w:rsid w:val="002066D0"/>
    <w:rsid w:val="00206735"/>
    <w:rsid w:val="00206F2F"/>
    <w:rsid w:val="00207034"/>
    <w:rsid w:val="00207717"/>
    <w:rsid w:val="00207A1B"/>
    <w:rsid w:val="0021053D"/>
    <w:rsid w:val="00210A92"/>
    <w:rsid w:val="00210CE7"/>
    <w:rsid w:val="0021117E"/>
    <w:rsid w:val="00211308"/>
    <w:rsid w:val="0021146F"/>
    <w:rsid w:val="00212A39"/>
    <w:rsid w:val="00212B95"/>
    <w:rsid w:val="00212D25"/>
    <w:rsid w:val="00213AF0"/>
    <w:rsid w:val="00215CC8"/>
    <w:rsid w:val="00216C03"/>
    <w:rsid w:val="00217648"/>
    <w:rsid w:val="0022065F"/>
    <w:rsid w:val="00220734"/>
    <w:rsid w:val="00220A1A"/>
    <w:rsid w:val="00220C04"/>
    <w:rsid w:val="00221F27"/>
    <w:rsid w:val="00221F2C"/>
    <w:rsid w:val="0022278D"/>
    <w:rsid w:val="0022315F"/>
    <w:rsid w:val="00223362"/>
    <w:rsid w:val="002250DE"/>
    <w:rsid w:val="002252AA"/>
    <w:rsid w:val="0022567B"/>
    <w:rsid w:val="0022592B"/>
    <w:rsid w:val="00225EEE"/>
    <w:rsid w:val="0022628B"/>
    <w:rsid w:val="00226E47"/>
    <w:rsid w:val="0022701F"/>
    <w:rsid w:val="0022754D"/>
    <w:rsid w:val="00227C68"/>
    <w:rsid w:val="00230AB6"/>
    <w:rsid w:val="002310FD"/>
    <w:rsid w:val="002323FF"/>
    <w:rsid w:val="00232C3A"/>
    <w:rsid w:val="002333F5"/>
    <w:rsid w:val="00233724"/>
    <w:rsid w:val="00233F83"/>
    <w:rsid w:val="00234279"/>
    <w:rsid w:val="0023472D"/>
    <w:rsid w:val="00235677"/>
    <w:rsid w:val="00236031"/>
    <w:rsid w:val="002365B4"/>
    <w:rsid w:val="002366BC"/>
    <w:rsid w:val="002367F4"/>
    <w:rsid w:val="00237B2B"/>
    <w:rsid w:val="00237FAA"/>
    <w:rsid w:val="00240559"/>
    <w:rsid w:val="002407A0"/>
    <w:rsid w:val="0024082D"/>
    <w:rsid w:val="00240C7A"/>
    <w:rsid w:val="002413CB"/>
    <w:rsid w:val="0024163B"/>
    <w:rsid w:val="0024265F"/>
    <w:rsid w:val="002427AD"/>
    <w:rsid w:val="002429CF"/>
    <w:rsid w:val="00242A87"/>
    <w:rsid w:val="00242D2D"/>
    <w:rsid w:val="00242EBE"/>
    <w:rsid w:val="00242F9D"/>
    <w:rsid w:val="002432E1"/>
    <w:rsid w:val="00243F0F"/>
    <w:rsid w:val="00244292"/>
    <w:rsid w:val="002446E1"/>
    <w:rsid w:val="00244AF8"/>
    <w:rsid w:val="00246207"/>
    <w:rsid w:val="002465F4"/>
    <w:rsid w:val="00246C5E"/>
    <w:rsid w:val="00246EA5"/>
    <w:rsid w:val="00246FC7"/>
    <w:rsid w:val="00247C49"/>
    <w:rsid w:val="00250960"/>
    <w:rsid w:val="002509DB"/>
    <w:rsid w:val="00251033"/>
    <w:rsid w:val="002510DC"/>
    <w:rsid w:val="002511F4"/>
    <w:rsid w:val="00251343"/>
    <w:rsid w:val="00251DAF"/>
    <w:rsid w:val="00251E12"/>
    <w:rsid w:val="00252E66"/>
    <w:rsid w:val="002536A4"/>
    <w:rsid w:val="00254863"/>
    <w:rsid w:val="00254F58"/>
    <w:rsid w:val="00255177"/>
    <w:rsid w:val="00255EDE"/>
    <w:rsid w:val="00256009"/>
    <w:rsid w:val="002561F5"/>
    <w:rsid w:val="00256260"/>
    <w:rsid w:val="0025790D"/>
    <w:rsid w:val="00257A26"/>
    <w:rsid w:val="00257D67"/>
    <w:rsid w:val="00257D6B"/>
    <w:rsid w:val="00260CDB"/>
    <w:rsid w:val="00260D80"/>
    <w:rsid w:val="0026190F"/>
    <w:rsid w:val="00261A60"/>
    <w:rsid w:val="002620BC"/>
    <w:rsid w:val="00262552"/>
    <w:rsid w:val="00262802"/>
    <w:rsid w:val="00262815"/>
    <w:rsid w:val="00262BE9"/>
    <w:rsid w:val="00263A90"/>
    <w:rsid w:val="00263F5B"/>
    <w:rsid w:val="0026408B"/>
    <w:rsid w:val="0026456E"/>
    <w:rsid w:val="00265182"/>
    <w:rsid w:val="00265B29"/>
    <w:rsid w:val="00266EF2"/>
    <w:rsid w:val="00266F4A"/>
    <w:rsid w:val="00267A46"/>
    <w:rsid w:val="00267C3E"/>
    <w:rsid w:val="00270179"/>
    <w:rsid w:val="002709BB"/>
    <w:rsid w:val="00270B9C"/>
    <w:rsid w:val="0027131C"/>
    <w:rsid w:val="0027161C"/>
    <w:rsid w:val="002718FF"/>
    <w:rsid w:val="0027216B"/>
    <w:rsid w:val="00272A06"/>
    <w:rsid w:val="00272B50"/>
    <w:rsid w:val="00273BAC"/>
    <w:rsid w:val="00274094"/>
    <w:rsid w:val="0027490E"/>
    <w:rsid w:val="00274B30"/>
    <w:rsid w:val="00275183"/>
    <w:rsid w:val="00275521"/>
    <w:rsid w:val="002757CC"/>
    <w:rsid w:val="00275C1B"/>
    <w:rsid w:val="00275EB3"/>
    <w:rsid w:val="00276160"/>
    <w:rsid w:val="002763B3"/>
    <w:rsid w:val="00276F81"/>
    <w:rsid w:val="00277298"/>
    <w:rsid w:val="002775A7"/>
    <w:rsid w:val="00277D98"/>
    <w:rsid w:val="002802E3"/>
    <w:rsid w:val="00280A1A"/>
    <w:rsid w:val="00280FFE"/>
    <w:rsid w:val="0028148D"/>
    <w:rsid w:val="00281B83"/>
    <w:rsid w:val="0028213D"/>
    <w:rsid w:val="0028350A"/>
    <w:rsid w:val="0028383D"/>
    <w:rsid w:val="002838FE"/>
    <w:rsid w:val="0028564C"/>
    <w:rsid w:val="00285E7E"/>
    <w:rsid w:val="00285EDB"/>
    <w:rsid w:val="002862F1"/>
    <w:rsid w:val="002864F1"/>
    <w:rsid w:val="00286941"/>
    <w:rsid w:val="002869B7"/>
    <w:rsid w:val="00290AC2"/>
    <w:rsid w:val="00291373"/>
    <w:rsid w:val="0029163A"/>
    <w:rsid w:val="00291905"/>
    <w:rsid w:val="002929BD"/>
    <w:rsid w:val="00292ADF"/>
    <w:rsid w:val="00292D95"/>
    <w:rsid w:val="00293888"/>
    <w:rsid w:val="00293E91"/>
    <w:rsid w:val="0029493F"/>
    <w:rsid w:val="00295596"/>
    <w:rsid w:val="0029597D"/>
    <w:rsid w:val="00295B13"/>
    <w:rsid w:val="00296136"/>
    <w:rsid w:val="002962C3"/>
    <w:rsid w:val="0029655D"/>
    <w:rsid w:val="00297461"/>
    <w:rsid w:val="0029752B"/>
    <w:rsid w:val="00297DF0"/>
    <w:rsid w:val="00297FC9"/>
    <w:rsid w:val="002A0A9C"/>
    <w:rsid w:val="002A304F"/>
    <w:rsid w:val="002A3274"/>
    <w:rsid w:val="002A483C"/>
    <w:rsid w:val="002A4CA5"/>
    <w:rsid w:val="002A5E3F"/>
    <w:rsid w:val="002A6502"/>
    <w:rsid w:val="002A69B1"/>
    <w:rsid w:val="002A6D37"/>
    <w:rsid w:val="002A6FA2"/>
    <w:rsid w:val="002A7864"/>
    <w:rsid w:val="002B09EB"/>
    <w:rsid w:val="002B0B86"/>
    <w:rsid w:val="002B0B97"/>
    <w:rsid w:val="002B0C7C"/>
    <w:rsid w:val="002B1020"/>
    <w:rsid w:val="002B1729"/>
    <w:rsid w:val="002B1E4F"/>
    <w:rsid w:val="002B245D"/>
    <w:rsid w:val="002B2E39"/>
    <w:rsid w:val="002B2F2D"/>
    <w:rsid w:val="002B303A"/>
    <w:rsid w:val="002B36C7"/>
    <w:rsid w:val="002B3D5C"/>
    <w:rsid w:val="002B4533"/>
    <w:rsid w:val="002B4DD4"/>
    <w:rsid w:val="002B5277"/>
    <w:rsid w:val="002B5375"/>
    <w:rsid w:val="002B53F5"/>
    <w:rsid w:val="002B5DAF"/>
    <w:rsid w:val="002B6136"/>
    <w:rsid w:val="002B6517"/>
    <w:rsid w:val="002B6C4F"/>
    <w:rsid w:val="002B6D0C"/>
    <w:rsid w:val="002B6DED"/>
    <w:rsid w:val="002B715D"/>
    <w:rsid w:val="002B7450"/>
    <w:rsid w:val="002B77C1"/>
    <w:rsid w:val="002B79A3"/>
    <w:rsid w:val="002C0927"/>
    <w:rsid w:val="002C0C12"/>
    <w:rsid w:val="002C0ED7"/>
    <w:rsid w:val="002C1209"/>
    <w:rsid w:val="002C130B"/>
    <w:rsid w:val="002C19B7"/>
    <w:rsid w:val="002C2646"/>
    <w:rsid w:val="002C2728"/>
    <w:rsid w:val="002C3FB8"/>
    <w:rsid w:val="002C4282"/>
    <w:rsid w:val="002C5B7C"/>
    <w:rsid w:val="002C6779"/>
    <w:rsid w:val="002C7995"/>
    <w:rsid w:val="002D1E0D"/>
    <w:rsid w:val="002D45AA"/>
    <w:rsid w:val="002D49FE"/>
    <w:rsid w:val="002D5006"/>
    <w:rsid w:val="002D53C2"/>
    <w:rsid w:val="002D5CA8"/>
    <w:rsid w:val="002D6960"/>
    <w:rsid w:val="002D6EC9"/>
    <w:rsid w:val="002D77F2"/>
    <w:rsid w:val="002D7B5F"/>
    <w:rsid w:val="002D7C61"/>
    <w:rsid w:val="002E00AA"/>
    <w:rsid w:val="002E01D0"/>
    <w:rsid w:val="002E0847"/>
    <w:rsid w:val="002E0877"/>
    <w:rsid w:val="002E0A35"/>
    <w:rsid w:val="002E0E37"/>
    <w:rsid w:val="002E161D"/>
    <w:rsid w:val="002E22FF"/>
    <w:rsid w:val="002E2572"/>
    <w:rsid w:val="002E28A2"/>
    <w:rsid w:val="002E3100"/>
    <w:rsid w:val="002E35AE"/>
    <w:rsid w:val="002E59A8"/>
    <w:rsid w:val="002E5A5C"/>
    <w:rsid w:val="002E62FF"/>
    <w:rsid w:val="002E6851"/>
    <w:rsid w:val="002E6C95"/>
    <w:rsid w:val="002E72A9"/>
    <w:rsid w:val="002E7C36"/>
    <w:rsid w:val="002F026F"/>
    <w:rsid w:val="002F1B93"/>
    <w:rsid w:val="002F1D7B"/>
    <w:rsid w:val="002F2415"/>
    <w:rsid w:val="002F2F8E"/>
    <w:rsid w:val="002F392F"/>
    <w:rsid w:val="002F3D32"/>
    <w:rsid w:val="002F3F30"/>
    <w:rsid w:val="002F432C"/>
    <w:rsid w:val="002F4677"/>
    <w:rsid w:val="002F5F31"/>
    <w:rsid w:val="002F5F46"/>
    <w:rsid w:val="002F7B91"/>
    <w:rsid w:val="003000FB"/>
    <w:rsid w:val="00300439"/>
    <w:rsid w:val="00300A77"/>
    <w:rsid w:val="00300FC1"/>
    <w:rsid w:val="00302216"/>
    <w:rsid w:val="00302F23"/>
    <w:rsid w:val="00303E53"/>
    <w:rsid w:val="00304F0E"/>
    <w:rsid w:val="003057AE"/>
    <w:rsid w:val="003059E6"/>
    <w:rsid w:val="00305A93"/>
    <w:rsid w:val="00305CC1"/>
    <w:rsid w:val="00305FBD"/>
    <w:rsid w:val="003064F1"/>
    <w:rsid w:val="00306BA2"/>
    <w:rsid w:val="00306E5F"/>
    <w:rsid w:val="003072A2"/>
    <w:rsid w:val="0030757D"/>
    <w:rsid w:val="0030799C"/>
    <w:rsid w:val="00307E14"/>
    <w:rsid w:val="00310E53"/>
    <w:rsid w:val="003115EB"/>
    <w:rsid w:val="00311CC6"/>
    <w:rsid w:val="00312333"/>
    <w:rsid w:val="00312417"/>
    <w:rsid w:val="003133CB"/>
    <w:rsid w:val="00313D3F"/>
    <w:rsid w:val="00314054"/>
    <w:rsid w:val="003140EC"/>
    <w:rsid w:val="003142AC"/>
    <w:rsid w:val="003142EB"/>
    <w:rsid w:val="003143F4"/>
    <w:rsid w:val="00314BD6"/>
    <w:rsid w:val="00315567"/>
    <w:rsid w:val="003159F6"/>
    <w:rsid w:val="00316F27"/>
    <w:rsid w:val="003209E7"/>
    <w:rsid w:val="00320E6D"/>
    <w:rsid w:val="003211C1"/>
    <w:rsid w:val="00321346"/>
    <w:rsid w:val="003214F1"/>
    <w:rsid w:val="003217DF"/>
    <w:rsid w:val="00321AC6"/>
    <w:rsid w:val="00322329"/>
    <w:rsid w:val="00322615"/>
    <w:rsid w:val="0032262E"/>
    <w:rsid w:val="003226F1"/>
    <w:rsid w:val="003229FA"/>
    <w:rsid w:val="00322E4B"/>
    <w:rsid w:val="0032381E"/>
    <w:rsid w:val="00324402"/>
    <w:rsid w:val="00325387"/>
    <w:rsid w:val="003253E7"/>
    <w:rsid w:val="00327870"/>
    <w:rsid w:val="00327E51"/>
    <w:rsid w:val="00330202"/>
    <w:rsid w:val="00331B0E"/>
    <w:rsid w:val="00331C9A"/>
    <w:rsid w:val="0033259D"/>
    <w:rsid w:val="00332CD6"/>
    <w:rsid w:val="00332F1E"/>
    <w:rsid w:val="003333D2"/>
    <w:rsid w:val="00333C55"/>
    <w:rsid w:val="00334686"/>
    <w:rsid w:val="00335308"/>
    <w:rsid w:val="00335511"/>
    <w:rsid w:val="00335D15"/>
    <w:rsid w:val="00336FFB"/>
    <w:rsid w:val="00337339"/>
    <w:rsid w:val="00340345"/>
    <w:rsid w:val="003403F9"/>
    <w:rsid w:val="00340477"/>
    <w:rsid w:val="003406C6"/>
    <w:rsid w:val="0034136E"/>
    <w:rsid w:val="00341505"/>
    <w:rsid w:val="003418CC"/>
    <w:rsid w:val="003434EE"/>
    <w:rsid w:val="003459BD"/>
    <w:rsid w:val="00345ACE"/>
    <w:rsid w:val="00346E34"/>
    <w:rsid w:val="003471C5"/>
    <w:rsid w:val="00350D38"/>
    <w:rsid w:val="00350F2F"/>
    <w:rsid w:val="00351B36"/>
    <w:rsid w:val="00352499"/>
    <w:rsid w:val="00352EA7"/>
    <w:rsid w:val="00352FF3"/>
    <w:rsid w:val="003535AF"/>
    <w:rsid w:val="00353C6C"/>
    <w:rsid w:val="003562EE"/>
    <w:rsid w:val="00356C25"/>
    <w:rsid w:val="00357B4E"/>
    <w:rsid w:val="00357B67"/>
    <w:rsid w:val="00357FB5"/>
    <w:rsid w:val="003609AD"/>
    <w:rsid w:val="00360B44"/>
    <w:rsid w:val="003614CB"/>
    <w:rsid w:val="003614E1"/>
    <w:rsid w:val="00361611"/>
    <w:rsid w:val="00362280"/>
    <w:rsid w:val="00362420"/>
    <w:rsid w:val="00362D5E"/>
    <w:rsid w:val="00362DA3"/>
    <w:rsid w:val="00363106"/>
    <w:rsid w:val="00363229"/>
    <w:rsid w:val="00363805"/>
    <w:rsid w:val="003639CA"/>
    <w:rsid w:val="00363A9F"/>
    <w:rsid w:val="00363B67"/>
    <w:rsid w:val="00364DDE"/>
    <w:rsid w:val="003657E0"/>
    <w:rsid w:val="00365839"/>
    <w:rsid w:val="00366352"/>
    <w:rsid w:val="0036732A"/>
    <w:rsid w:val="00367A67"/>
    <w:rsid w:val="003701BB"/>
    <w:rsid w:val="00370678"/>
    <w:rsid w:val="003716FD"/>
    <w:rsid w:val="003718E5"/>
    <w:rsid w:val="00371A5E"/>
    <w:rsid w:val="0037204B"/>
    <w:rsid w:val="003728A8"/>
    <w:rsid w:val="003744CF"/>
    <w:rsid w:val="00374717"/>
    <w:rsid w:val="00374742"/>
    <w:rsid w:val="00376350"/>
    <w:rsid w:val="0037676C"/>
    <w:rsid w:val="003767AE"/>
    <w:rsid w:val="00377487"/>
    <w:rsid w:val="00377F4B"/>
    <w:rsid w:val="0038026F"/>
    <w:rsid w:val="00380B74"/>
    <w:rsid w:val="00381043"/>
    <w:rsid w:val="00381064"/>
    <w:rsid w:val="003829E5"/>
    <w:rsid w:val="003833FA"/>
    <w:rsid w:val="00384834"/>
    <w:rsid w:val="00384A89"/>
    <w:rsid w:val="00385377"/>
    <w:rsid w:val="0038544E"/>
    <w:rsid w:val="00385578"/>
    <w:rsid w:val="003858D9"/>
    <w:rsid w:val="003859E0"/>
    <w:rsid w:val="00386109"/>
    <w:rsid w:val="0038651D"/>
    <w:rsid w:val="00386944"/>
    <w:rsid w:val="00386F22"/>
    <w:rsid w:val="00387397"/>
    <w:rsid w:val="00387F6D"/>
    <w:rsid w:val="0039015C"/>
    <w:rsid w:val="00390225"/>
    <w:rsid w:val="00391E82"/>
    <w:rsid w:val="003934AE"/>
    <w:rsid w:val="00393732"/>
    <w:rsid w:val="00394A92"/>
    <w:rsid w:val="00394F44"/>
    <w:rsid w:val="003956CC"/>
    <w:rsid w:val="00395B52"/>
    <w:rsid w:val="00395C9A"/>
    <w:rsid w:val="00395E03"/>
    <w:rsid w:val="003964C7"/>
    <w:rsid w:val="003967EF"/>
    <w:rsid w:val="0039707B"/>
    <w:rsid w:val="003A0573"/>
    <w:rsid w:val="003A0853"/>
    <w:rsid w:val="003A0E6D"/>
    <w:rsid w:val="003A0E76"/>
    <w:rsid w:val="003A1ED9"/>
    <w:rsid w:val="003A22D1"/>
    <w:rsid w:val="003A26BD"/>
    <w:rsid w:val="003A2E97"/>
    <w:rsid w:val="003A309F"/>
    <w:rsid w:val="003A38F7"/>
    <w:rsid w:val="003A4C46"/>
    <w:rsid w:val="003A4C63"/>
    <w:rsid w:val="003A4FAD"/>
    <w:rsid w:val="003A530B"/>
    <w:rsid w:val="003A60EC"/>
    <w:rsid w:val="003A677C"/>
    <w:rsid w:val="003A6B67"/>
    <w:rsid w:val="003A6D97"/>
    <w:rsid w:val="003B091C"/>
    <w:rsid w:val="003B092F"/>
    <w:rsid w:val="003B0AB4"/>
    <w:rsid w:val="003B13B6"/>
    <w:rsid w:val="003B14C3"/>
    <w:rsid w:val="003B15E6"/>
    <w:rsid w:val="003B17EA"/>
    <w:rsid w:val="003B22EF"/>
    <w:rsid w:val="003B2C0D"/>
    <w:rsid w:val="003B408A"/>
    <w:rsid w:val="003B48D6"/>
    <w:rsid w:val="003B5336"/>
    <w:rsid w:val="003B595E"/>
    <w:rsid w:val="003B76E9"/>
    <w:rsid w:val="003B7DC4"/>
    <w:rsid w:val="003C08A2"/>
    <w:rsid w:val="003C11B6"/>
    <w:rsid w:val="003C13FD"/>
    <w:rsid w:val="003C1F92"/>
    <w:rsid w:val="003C2045"/>
    <w:rsid w:val="003C22B4"/>
    <w:rsid w:val="003C3A57"/>
    <w:rsid w:val="003C41B2"/>
    <w:rsid w:val="003C43A1"/>
    <w:rsid w:val="003C46FF"/>
    <w:rsid w:val="003C4FC0"/>
    <w:rsid w:val="003C53A9"/>
    <w:rsid w:val="003C55F4"/>
    <w:rsid w:val="003C5A65"/>
    <w:rsid w:val="003C5DE7"/>
    <w:rsid w:val="003C63D0"/>
    <w:rsid w:val="003C7262"/>
    <w:rsid w:val="003C7843"/>
    <w:rsid w:val="003C7897"/>
    <w:rsid w:val="003C78E2"/>
    <w:rsid w:val="003C7A3F"/>
    <w:rsid w:val="003D021E"/>
    <w:rsid w:val="003D10BB"/>
    <w:rsid w:val="003D231C"/>
    <w:rsid w:val="003D2766"/>
    <w:rsid w:val="003D2A74"/>
    <w:rsid w:val="003D2F50"/>
    <w:rsid w:val="003D3004"/>
    <w:rsid w:val="003D30AE"/>
    <w:rsid w:val="003D3A5F"/>
    <w:rsid w:val="003D3D88"/>
    <w:rsid w:val="003D3E79"/>
    <w:rsid w:val="003D3E8F"/>
    <w:rsid w:val="003D4589"/>
    <w:rsid w:val="003D5093"/>
    <w:rsid w:val="003D55F7"/>
    <w:rsid w:val="003D5620"/>
    <w:rsid w:val="003D6475"/>
    <w:rsid w:val="003D68A7"/>
    <w:rsid w:val="003D6EE6"/>
    <w:rsid w:val="003D7012"/>
    <w:rsid w:val="003D71C1"/>
    <w:rsid w:val="003D750B"/>
    <w:rsid w:val="003D7975"/>
    <w:rsid w:val="003E01EE"/>
    <w:rsid w:val="003E0EB5"/>
    <w:rsid w:val="003E1663"/>
    <w:rsid w:val="003E2591"/>
    <w:rsid w:val="003E27F7"/>
    <w:rsid w:val="003E284E"/>
    <w:rsid w:val="003E2B9F"/>
    <w:rsid w:val="003E2CB4"/>
    <w:rsid w:val="003E375C"/>
    <w:rsid w:val="003E3AD3"/>
    <w:rsid w:val="003E4086"/>
    <w:rsid w:val="003E4829"/>
    <w:rsid w:val="003E4981"/>
    <w:rsid w:val="003E49D8"/>
    <w:rsid w:val="003E523C"/>
    <w:rsid w:val="003E5865"/>
    <w:rsid w:val="003E5A50"/>
    <w:rsid w:val="003E5A75"/>
    <w:rsid w:val="003E6291"/>
    <w:rsid w:val="003E639E"/>
    <w:rsid w:val="003E6A62"/>
    <w:rsid w:val="003E71E5"/>
    <w:rsid w:val="003E7375"/>
    <w:rsid w:val="003E7474"/>
    <w:rsid w:val="003F0445"/>
    <w:rsid w:val="003F0CF0"/>
    <w:rsid w:val="003F0D3A"/>
    <w:rsid w:val="003F13BA"/>
    <w:rsid w:val="003F14B1"/>
    <w:rsid w:val="003F1A5A"/>
    <w:rsid w:val="003F2483"/>
    <w:rsid w:val="003F267E"/>
    <w:rsid w:val="003F2B20"/>
    <w:rsid w:val="003F3289"/>
    <w:rsid w:val="003F3331"/>
    <w:rsid w:val="003F33E2"/>
    <w:rsid w:val="003F387B"/>
    <w:rsid w:val="003F3C62"/>
    <w:rsid w:val="003F3C83"/>
    <w:rsid w:val="003F4820"/>
    <w:rsid w:val="003F4FD1"/>
    <w:rsid w:val="003F541C"/>
    <w:rsid w:val="003F5CB9"/>
    <w:rsid w:val="003F5EE9"/>
    <w:rsid w:val="003F6157"/>
    <w:rsid w:val="003F61DC"/>
    <w:rsid w:val="003F6304"/>
    <w:rsid w:val="003F6C6A"/>
    <w:rsid w:val="003F7904"/>
    <w:rsid w:val="00400879"/>
    <w:rsid w:val="004013C7"/>
    <w:rsid w:val="00401ADF"/>
    <w:rsid w:val="00401FCF"/>
    <w:rsid w:val="00402404"/>
    <w:rsid w:val="004028C2"/>
    <w:rsid w:val="004035DD"/>
    <w:rsid w:val="0040392A"/>
    <w:rsid w:val="004039B9"/>
    <w:rsid w:val="004041E3"/>
    <w:rsid w:val="004046C1"/>
    <w:rsid w:val="004050F1"/>
    <w:rsid w:val="0040535D"/>
    <w:rsid w:val="0040572E"/>
    <w:rsid w:val="00406285"/>
    <w:rsid w:val="00406B8F"/>
    <w:rsid w:val="00406BE7"/>
    <w:rsid w:val="00406D4C"/>
    <w:rsid w:val="00410174"/>
    <w:rsid w:val="00410AE9"/>
    <w:rsid w:val="004115A2"/>
    <w:rsid w:val="00411F6B"/>
    <w:rsid w:val="00412ECC"/>
    <w:rsid w:val="004132DF"/>
    <w:rsid w:val="00413B43"/>
    <w:rsid w:val="00413D09"/>
    <w:rsid w:val="004148F9"/>
    <w:rsid w:val="00414E26"/>
    <w:rsid w:val="0042084E"/>
    <w:rsid w:val="00420F42"/>
    <w:rsid w:val="00421EEF"/>
    <w:rsid w:val="00422E2D"/>
    <w:rsid w:val="00423AEA"/>
    <w:rsid w:val="00423FF3"/>
    <w:rsid w:val="004243E0"/>
    <w:rsid w:val="00424D65"/>
    <w:rsid w:val="004259C1"/>
    <w:rsid w:val="00425A43"/>
    <w:rsid w:val="00425C20"/>
    <w:rsid w:val="00425FE6"/>
    <w:rsid w:val="00426F5D"/>
    <w:rsid w:val="00427980"/>
    <w:rsid w:val="00427D5F"/>
    <w:rsid w:val="00430071"/>
    <w:rsid w:val="00430393"/>
    <w:rsid w:val="0043123E"/>
    <w:rsid w:val="00431806"/>
    <w:rsid w:val="00431A70"/>
    <w:rsid w:val="00431BE8"/>
    <w:rsid w:val="00431EED"/>
    <w:rsid w:val="00431F42"/>
    <w:rsid w:val="00432927"/>
    <w:rsid w:val="00432C03"/>
    <w:rsid w:val="00432FB2"/>
    <w:rsid w:val="0043663B"/>
    <w:rsid w:val="00437C63"/>
    <w:rsid w:val="0044068E"/>
    <w:rsid w:val="00441674"/>
    <w:rsid w:val="00441A4A"/>
    <w:rsid w:val="004421F2"/>
    <w:rsid w:val="0044256A"/>
    <w:rsid w:val="00442C6B"/>
    <w:rsid w:val="00442C6C"/>
    <w:rsid w:val="00442E5C"/>
    <w:rsid w:val="0044382F"/>
    <w:rsid w:val="00443A25"/>
    <w:rsid w:val="00443C55"/>
    <w:rsid w:val="00443CBE"/>
    <w:rsid w:val="00443E8A"/>
    <w:rsid w:val="004441BC"/>
    <w:rsid w:val="00444487"/>
    <w:rsid w:val="00444FC8"/>
    <w:rsid w:val="00445013"/>
    <w:rsid w:val="00445B44"/>
    <w:rsid w:val="0044601F"/>
    <w:rsid w:val="004463E8"/>
    <w:rsid w:val="00446618"/>
    <w:rsid w:val="004468B4"/>
    <w:rsid w:val="00446970"/>
    <w:rsid w:val="00446D86"/>
    <w:rsid w:val="00447E1C"/>
    <w:rsid w:val="00450576"/>
    <w:rsid w:val="004517F3"/>
    <w:rsid w:val="0045183A"/>
    <w:rsid w:val="00451A1D"/>
    <w:rsid w:val="00451EB0"/>
    <w:rsid w:val="00452262"/>
    <w:rsid w:val="0045230A"/>
    <w:rsid w:val="00452497"/>
    <w:rsid w:val="00452A6F"/>
    <w:rsid w:val="00453568"/>
    <w:rsid w:val="00454A7D"/>
    <w:rsid w:val="00454AD0"/>
    <w:rsid w:val="00455597"/>
    <w:rsid w:val="00455CE2"/>
    <w:rsid w:val="00456923"/>
    <w:rsid w:val="00456E2C"/>
    <w:rsid w:val="00456F23"/>
    <w:rsid w:val="00456F70"/>
    <w:rsid w:val="0045704E"/>
    <w:rsid w:val="00457337"/>
    <w:rsid w:val="00457AE9"/>
    <w:rsid w:val="00457CDC"/>
    <w:rsid w:val="00460186"/>
    <w:rsid w:val="0046057B"/>
    <w:rsid w:val="004613A4"/>
    <w:rsid w:val="0046190A"/>
    <w:rsid w:val="00461C0D"/>
    <w:rsid w:val="0046253D"/>
    <w:rsid w:val="00462DC7"/>
    <w:rsid w:val="00462E3D"/>
    <w:rsid w:val="0046351D"/>
    <w:rsid w:val="00464432"/>
    <w:rsid w:val="00464795"/>
    <w:rsid w:val="00465706"/>
    <w:rsid w:val="00465852"/>
    <w:rsid w:val="00465DB6"/>
    <w:rsid w:val="00466897"/>
    <w:rsid w:val="00466E79"/>
    <w:rsid w:val="00467D74"/>
    <w:rsid w:val="004703CE"/>
    <w:rsid w:val="004706CD"/>
    <w:rsid w:val="00470D17"/>
    <w:rsid w:val="00470D7D"/>
    <w:rsid w:val="004716C8"/>
    <w:rsid w:val="00471E6B"/>
    <w:rsid w:val="004722D9"/>
    <w:rsid w:val="0047254D"/>
    <w:rsid w:val="00473687"/>
    <w:rsid w:val="0047372D"/>
    <w:rsid w:val="0047399F"/>
    <w:rsid w:val="00473BA3"/>
    <w:rsid w:val="004743DD"/>
    <w:rsid w:val="0047458E"/>
    <w:rsid w:val="00474CEA"/>
    <w:rsid w:val="00474D24"/>
    <w:rsid w:val="0047558E"/>
    <w:rsid w:val="00476AAA"/>
    <w:rsid w:val="004807B0"/>
    <w:rsid w:val="004808E3"/>
    <w:rsid w:val="0048111F"/>
    <w:rsid w:val="00481585"/>
    <w:rsid w:val="00481793"/>
    <w:rsid w:val="00482446"/>
    <w:rsid w:val="004834DB"/>
    <w:rsid w:val="00483968"/>
    <w:rsid w:val="004841BE"/>
    <w:rsid w:val="00484B45"/>
    <w:rsid w:val="00484D9E"/>
    <w:rsid w:val="00484F86"/>
    <w:rsid w:val="004852CF"/>
    <w:rsid w:val="004858A1"/>
    <w:rsid w:val="00486381"/>
    <w:rsid w:val="0048642B"/>
    <w:rsid w:val="00486DEF"/>
    <w:rsid w:val="00486EC0"/>
    <w:rsid w:val="004871F8"/>
    <w:rsid w:val="00487A41"/>
    <w:rsid w:val="00487A8C"/>
    <w:rsid w:val="00487B9B"/>
    <w:rsid w:val="004906BA"/>
    <w:rsid w:val="00490746"/>
    <w:rsid w:val="00490852"/>
    <w:rsid w:val="00490F7A"/>
    <w:rsid w:val="00491743"/>
    <w:rsid w:val="00491C36"/>
    <w:rsid w:val="00491C9C"/>
    <w:rsid w:val="00491EF7"/>
    <w:rsid w:val="00492CEB"/>
    <w:rsid w:val="00492F30"/>
    <w:rsid w:val="00493043"/>
    <w:rsid w:val="00493A41"/>
    <w:rsid w:val="00493AFA"/>
    <w:rsid w:val="004946F4"/>
    <w:rsid w:val="00494814"/>
    <w:rsid w:val="0049487E"/>
    <w:rsid w:val="004952ED"/>
    <w:rsid w:val="00495A5B"/>
    <w:rsid w:val="00495B30"/>
    <w:rsid w:val="00496825"/>
    <w:rsid w:val="00497777"/>
    <w:rsid w:val="00497D62"/>
    <w:rsid w:val="00497EE6"/>
    <w:rsid w:val="004A0CEB"/>
    <w:rsid w:val="004A1514"/>
    <w:rsid w:val="004A160D"/>
    <w:rsid w:val="004A2283"/>
    <w:rsid w:val="004A3A0F"/>
    <w:rsid w:val="004A3E81"/>
    <w:rsid w:val="004A40BC"/>
    <w:rsid w:val="004A4195"/>
    <w:rsid w:val="004A5C62"/>
    <w:rsid w:val="004A5CE5"/>
    <w:rsid w:val="004A5D2D"/>
    <w:rsid w:val="004A66CF"/>
    <w:rsid w:val="004A6BC0"/>
    <w:rsid w:val="004A707D"/>
    <w:rsid w:val="004A7294"/>
    <w:rsid w:val="004A78C3"/>
    <w:rsid w:val="004A7F2A"/>
    <w:rsid w:val="004B0927"/>
    <w:rsid w:val="004B0974"/>
    <w:rsid w:val="004B139D"/>
    <w:rsid w:val="004B2329"/>
    <w:rsid w:val="004B250A"/>
    <w:rsid w:val="004B2821"/>
    <w:rsid w:val="004B2D79"/>
    <w:rsid w:val="004B4185"/>
    <w:rsid w:val="004B4264"/>
    <w:rsid w:val="004B42DD"/>
    <w:rsid w:val="004B44CF"/>
    <w:rsid w:val="004B470E"/>
    <w:rsid w:val="004B497F"/>
    <w:rsid w:val="004B5348"/>
    <w:rsid w:val="004B66B8"/>
    <w:rsid w:val="004B7269"/>
    <w:rsid w:val="004B7B54"/>
    <w:rsid w:val="004C0416"/>
    <w:rsid w:val="004C0A0F"/>
    <w:rsid w:val="004C16FD"/>
    <w:rsid w:val="004C2568"/>
    <w:rsid w:val="004C3798"/>
    <w:rsid w:val="004C37A0"/>
    <w:rsid w:val="004C3F4F"/>
    <w:rsid w:val="004C3FA2"/>
    <w:rsid w:val="004C4B9A"/>
    <w:rsid w:val="004C5541"/>
    <w:rsid w:val="004C577A"/>
    <w:rsid w:val="004C57B8"/>
    <w:rsid w:val="004C5B59"/>
    <w:rsid w:val="004C5BC6"/>
    <w:rsid w:val="004C6791"/>
    <w:rsid w:val="004C6EB8"/>
    <w:rsid w:val="004C6EEE"/>
    <w:rsid w:val="004C702B"/>
    <w:rsid w:val="004C7359"/>
    <w:rsid w:val="004C7897"/>
    <w:rsid w:val="004C78D4"/>
    <w:rsid w:val="004D0033"/>
    <w:rsid w:val="004D003C"/>
    <w:rsid w:val="004D016B"/>
    <w:rsid w:val="004D0666"/>
    <w:rsid w:val="004D0A71"/>
    <w:rsid w:val="004D1B22"/>
    <w:rsid w:val="004D2156"/>
    <w:rsid w:val="004D23CC"/>
    <w:rsid w:val="004D282F"/>
    <w:rsid w:val="004D2BFD"/>
    <w:rsid w:val="004D2E15"/>
    <w:rsid w:val="004D2E78"/>
    <w:rsid w:val="004D36F2"/>
    <w:rsid w:val="004D372C"/>
    <w:rsid w:val="004D3A54"/>
    <w:rsid w:val="004D4CEE"/>
    <w:rsid w:val="004D509D"/>
    <w:rsid w:val="004D5D83"/>
    <w:rsid w:val="004D73B2"/>
    <w:rsid w:val="004D7431"/>
    <w:rsid w:val="004D78EE"/>
    <w:rsid w:val="004D7F00"/>
    <w:rsid w:val="004E0AE9"/>
    <w:rsid w:val="004E1106"/>
    <w:rsid w:val="004E138F"/>
    <w:rsid w:val="004E15ED"/>
    <w:rsid w:val="004E2514"/>
    <w:rsid w:val="004E304B"/>
    <w:rsid w:val="004E44CD"/>
    <w:rsid w:val="004E4649"/>
    <w:rsid w:val="004E48B8"/>
    <w:rsid w:val="004E54D4"/>
    <w:rsid w:val="004E5C2B"/>
    <w:rsid w:val="004E6A2C"/>
    <w:rsid w:val="004E7202"/>
    <w:rsid w:val="004E7372"/>
    <w:rsid w:val="004E7AB9"/>
    <w:rsid w:val="004F00DD"/>
    <w:rsid w:val="004F0A3F"/>
    <w:rsid w:val="004F0D45"/>
    <w:rsid w:val="004F2133"/>
    <w:rsid w:val="004F23F9"/>
    <w:rsid w:val="004F2CE4"/>
    <w:rsid w:val="004F2ECA"/>
    <w:rsid w:val="004F433D"/>
    <w:rsid w:val="004F5251"/>
    <w:rsid w:val="004F5398"/>
    <w:rsid w:val="004F55EA"/>
    <w:rsid w:val="004F55F1"/>
    <w:rsid w:val="004F5A4E"/>
    <w:rsid w:val="004F5E4E"/>
    <w:rsid w:val="004F5FA5"/>
    <w:rsid w:val="004F6495"/>
    <w:rsid w:val="004F6936"/>
    <w:rsid w:val="004F6E65"/>
    <w:rsid w:val="004F74BD"/>
    <w:rsid w:val="004F7559"/>
    <w:rsid w:val="0050032B"/>
    <w:rsid w:val="005015D2"/>
    <w:rsid w:val="00501F32"/>
    <w:rsid w:val="00502BCB"/>
    <w:rsid w:val="00503A19"/>
    <w:rsid w:val="00503A8E"/>
    <w:rsid w:val="00503DC6"/>
    <w:rsid w:val="00503E1C"/>
    <w:rsid w:val="00503FDE"/>
    <w:rsid w:val="00504B5E"/>
    <w:rsid w:val="00504D16"/>
    <w:rsid w:val="005050D3"/>
    <w:rsid w:val="00505200"/>
    <w:rsid w:val="0050543B"/>
    <w:rsid w:val="005055FF"/>
    <w:rsid w:val="00506F5D"/>
    <w:rsid w:val="005074E6"/>
    <w:rsid w:val="00507EBA"/>
    <w:rsid w:val="00510A9E"/>
    <w:rsid w:val="00510AA2"/>
    <w:rsid w:val="00510C37"/>
    <w:rsid w:val="00510C49"/>
    <w:rsid w:val="0051116D"/>
    <w:rsid w:val="00511AB2"/>
    <w:rsid w:val="00511DF1"/>
    <w:rsid w:val="00511F96"/>
    <w:rsid w:val="005126D0"/>
    <w:rsid w:val="0051277B"/>
    <w:rsid w:val="005128CB"/>
    <w:rsid w:val="00512D86"/>
    <w:rsid w:val="00513026"/>
    <w:rsid w:val="00513B1C"/>
    <w:rsid w:val="00513EC1"/>
    <w:rsid w:val="005142C3"/>
    <w:rsid w:val="00514667"/>
    <w:rsid w:val="005151B1"/>
    <w:rsid w:val="0051568D"/>
    <w:rsid w:val="005159AB"/>
    <w:rsid w:val="005166F4"/>
    <w:rsid w:val="00516A55"/>
    <w:rsid w:val="00517A8F"/>
    <w:rsid w:val="00517C86"/>
    <w:rsid w:val="00521CA9"/>
    <w:rsid w:val="00521F35"/>
    <w:rsid w:val="005232E2"/>
    <w:rsid w:val="005235A1"/>
    <w:rsid w:val="00523C69"/>
    <w:rsid w:val="0052444E"/>
    <w:rsid w:val="00524627"/>
    <w:rsid w:val="00524D65"/>
    <w:rsid w:val="005252A3"/>
    <w:rsid w:val="00525339"/>
    <w:rsid w:val="005258B4"/>
    <w:rsid w:val="00525C48"/>
    <w:rsid w:val="00525DDF"/>
    <w:rsid w:val="00526584"/>
    <w:rsid w:val="00526AC7"/>
    <w:rsid w:val="00526C15"/>
    <w:rsid w:val="00527444"/>
    <w:rsid w:val="005277C0"/>
    <w:rsid w:val="00527BC5"/>
    <w:rsid w:val="00530211"/>
    <w:rsid w:val="00531328"/>
    <w:rsid w:val="00532A7A"/>
    <w:rsid w:val="00532EA3"/>
    <w:rsid w:val="00535745"/>
    <w:rsid w:val="00535888"/>
    <w:rsid w:val="005359F4"/>
    <w:rsid w:val="00536499"/>
    <w:rsid w:val="0053740D"/>
    <w:rsid w:val="0053748F"/>
    <w:rsid w:val="0053797C"/>
    <w:rsid w:val="00537A82"/>
    <w:rsid w:val="00541263"/>
    <w:rsid w:val="00541350"/>
    <w:rsid w:val="00541C64"/>
    <w:rsid w:val="00542A03"/>
    <w:rsid w:val="00542BB2"/>
    <w:rsid w:val="00543255"/>
    <w:rsid w:val="00543382"/>
    <w:rsid w:val="005438AF"/>
    <w:rsid w:val="00543903"/>
    <w:rsid w:val="00543BCC"/>
    <w:rsid w:val="00543F11"/>
    <w:rsid w:val="00543F26"/>
    <w:rsid w:val="00544135"/>
    <w:rsid w:val="00544284"/>
    <w:rsid w:val="0054430C"/>
    <w:rsid w:val="00544542"/>
    <w:rsid w:val="0054536C"/>
    <w:rsid w:val="00545528"/>
    <w:rsid w:val="00546305"/>
    <w:rsid w:val="005476DC"/>
    <w:rsid w:val="00547A95"/>
    <w:rsid w:val="005509C2"/>
    <w:rsid w:val="0055119B"/>
    <w:rsid w:val="0055186A"/>
    <w:rsid w:val="00551B22"/>
    <w:rsid w:val="00552217"/>
    <w:rsid w:val="0055284D"/>
    <w:rsid w:val="005538D2"/>
    <w:rsid w:val="0055425D"/>
    <w:rsid w:val="00554D13"/>
    <w:rsid w:val="00554EBB"/>
    <w:rsid w:val="00555416"/>
    <w:rsid w:val="00555A81"/>
    <w:rsid w:val="00555B43"/>
    <w:rsid w:val="00555EAA"/>
    <w:rsid w:val="00556142"/>
    <w:rsid w:val="005567E6"/>
    <w:rsid w:val="005569DB"/>
    <w:rsid w:val="00556B3D"/>
    <w:rsid w:val="00556C90"/>
    <w:rsid w:val="00556CFC"/>
    <w:rsid w:val="00556EDF"/>
    <w:rsid w:val="0055716F"/>
    <w:rsid w:val="00557221"/>
    <w:rsid w:val="00560D62"/>
    <w:rsid w:val="00561202"/>
    <w:rsid w:val="00561958"/>
    <w:rsid w:val="00562507"/>
    <w:rsid w:val="005625B9"/>
    <w:rsid w:val="00562811"/>
    <w:rsid w:val="00562926"/>
    <w:rsid w:val="005643E3"/>
    <w:rsid w:val="005647A8"/>
    <w:rsid w:val="005652FD"/>
    <w:rsid w:val="0056590A"/>
    <w:rsid w:val="00565E25"/>
    <w:rsid w:val="00566A11"/>
    <w:rsid w:val="00566A24"/>
    <w:rsid w:val="00566D94"/>
    <w:rsid w:val="00567E6B"/>
    <w:rsid w:val="00570678"/>
    <w:rsid w:val="005717DA"/>
    <w:rsid w:val="00572031"/>
    <w:rsid w:val="00572282"/>
    <w:rsid w:val="005732C7"/>
    <w:rsid w:val="00573365"/>
    <w:rsid w:val="00573665"/>
    <w:rsid w:val="00573CE3"/>
    <w:rsid w:val="00573D94"/>
    <w:rsid w:val="00574375"/>
    <w:rsid w:val="005745A3"/>
    <w:rsid w:val="0057478C"/>
    <w:rsid w:val="00574968"/>
    <w:rsid w:val="005749FF"/>
    <w:rsid w:val="00574B11"/>
    <w:rsid w:val="00574DE4"/>
    <w:rsid w:val="00575319"/>
    <w:rsid w:val="00575AB8"/>
    <w:rsid w:val="005763E7"/>
    <w:rsid w:val="00576B95"/>
    <w:rsid w:val="00576C01"/>
    <w:rsid w:val="00576E84"/>
    <w:rsid w:val="00577560"/>
    <w:rsid w:val="00580311"/>
    <w:rsid w:val="00580394"/>
    <w:rsid w:val="0058094B"/>
    <w:rsid w:val="005809CD"/>
    <w:rsid w:val="00580BD3"/>
    <w:rsid w:val="00580EB0"/>
    <w:rsid w:val="00582323"/>
    <w:rsid w:val="00582B8C"/>
    <w:rsid w:val="00583214"/>
    <w:rsid w:val="0058373E"/>
    <w:rsid w:val="00584E9E"/>
    <w:rsid w:val="0058543D"/>
    <w:rsid w:val="00586155"/>
    <w:rsid w:val="00586799"/>
    <w:rsid w:val="00586C87"/>
    <w:rsid w:val="00587125"/>
    <w:rsid w:val="0058757E"/>
    <w:rsid w:val="005900CF"/>
    <w:rsid w:val="005916D9"/>
    <w:rsid w:val="005918ED"/>
    <w:rsid w:val="00591C30"/>
    <w:rsid w:val="00592031"/>
    <w:rsid w:val="005929EA"/>
    <w:rsid w:val="00593CD6"/>
    <w:rsid w:val="005941EB"/>
    <w:rsid w:val="00594A8F"/>
    <w:rsid w:val="0059590E"/>
    <w:rsid w:val="00595B86"/>
    <w:rsid w:val="00595E09"/>
    <w:rsid w:val="005966D8"/>
    <w:rsid w:val="00596A4B"/>
    <w:rsid w:val="00596C2A"/>
    <w:rsid w:val="00596DCB"/>
    <w:rsid w:val="00597507"/>
    <w:rsid w:val="00597765"/>
    <w:rsid w:val="00597BE3"/>
    <w:rsid w:val="00597D1A"/>
    <w:rsid w:val="005A023D"/>
    <w:rsid w:val="005A0C0E"/>
    <w:rsid w:val="005A1319"/>
    <w:rsid w:val="005A1C4A"/>
    <w:rsid w:val="005A29B9"/>
    <w:rsid w:val="005A30F3"/>
    <w:rsid w:val="005A396E"/>
    <w:rsid w:val="005A4630"/>
    <w:rsid w:val="005A479D"/>
    <w:rsid w:val="005A5A77"/>
    <w:rsid w:val="005A5F35"/>
    <w:rsid w:val="005A64D0"/>
    <w:rsid w:val="005A79CE"/>
    <w:rsid w:val="005B0940"/>
    <w:rsid w:val="005B0AFE"/>
    <w:rsid w:val="005B1C6D"/>
    <w:rsid w:val="005B21B6"/>
    <w:rsid w:val="005B2C8A"/>
    <w:rsid w:val="005B3430"/>
    <w:rsid w:val="005B34C0"/>
    <w:rsid w:val="005B366E"/>
    <w:rsid w:val="005B3A08"/>
    <w:rsid w:val="005B3BEA"/>
    <w:rsid w:val="005B5092"/>
    <w:rsid w:val="005B52A7"/>
    <w:rsid w:val="005B699B"/>
    <w:rsid w:val="005B6AA0"/>
    <w:rsid w:val="005B71FB"/>
    <w:rsid w:val="005B7A63"/>
    <w:rsid w:val="005C052B"/>
    <w:rsid w:val="005C0955"/>
    <w:rsid w:val="005C13C0"/>
    <w:rsid w:val="005C1413"/>
    <w:rsid w:val="005C17FA"/>
    <w:rsid w:val="005C2591"/>
    <w:rsid w:val="005C46E0"/>
    <w:rsid w:val="005C49DA"/>
    <w:rsid w:val="005C50F3"/>
    <w:rsid w:val="005C54B5"/>
    <w:rsid w:val="005C54E5"/>
    <w:rsid w:val="005C5D80"/>
    <w:rsid w:val="005C5D91"/>
    <w:rsid w:val="005C6601"/>
    <w:rsid w:val="005C685C"/>
    <w:rsid w:val="005C689B"/>
    <w:rsid w:val="005C7236"/>
    <w:rsid w:val="005D07B8"/>
    <w:rsid w:val="005D0BDB"/>
    <w:rsid w:val="005D0C54"/>
    <w:rsid w:val="005D1076"/>
    <w:rsid w:val="005D1595"/>
    <w:rsid w:val="005D1ED9"/>
    <w:rsid w:val="005D246D"/>
    <w:rsid w:val="005D2A74"/>
    <w:rsid w:val="005D3438"/>
    <w:rsid w:val="005D472A"/>
    <w:rsid w:val="005D48F2"/>
    <w:rsid w:val="005D5539"/>
    <w:rsid w:val="005D560E"/>
    <w:rsid w:val="005D58A9"/>
    <w:rsid w:val="005D6597"/>
    <w:rsid w:val="005E0682"/>
    <w:rsid w:val="005E0C0E"/>
    <w:rsid w:val="005E1075"/>
    <w:rsid w:val="005E14E7"/>
    <w:rsid w:val="005E26A3"/>
    <w:rsid w:val="005E2ECB"/>
    <w:rsid w:val="005E2EF7"/>
    <w:rsid w:val="005E411A"/>
    <w:rsid w:val="005E4450"/>
    <w:rsid w:val="005E447E"/>
    <w:rsid w:val="005E497C"/>
    <w:rsid w:val="005E4D16"/>
    <w:rsid w:val="005E4FD1"/>
    <w:rsid w:val="005E5332"/>
    <w:rsid w:val="005E56AF"/>
    <w:rsid w:val="005E6638"/>
    <w:rsid w:val="005E68AE"/>
    <w:rsid w:val="005E71F5"/>
    <w:rsid w:val="005E7808"/>
    <w:rsid w:val="005F017F"/>
    <w:rsid w:val="005F0431"/>
    <w:rsid w:val="005F0775"/>
    <w:rsid w:val="005F0CF5"/>
    <w:rsid w:val="005F0D49"/>
    <w:rsid w:val="005F21EB"/>
    <w:rsid w:val="005F22B7"/>
    <w:rsid w:val="005F299A"/>
    <w:rsid w:val="005F3300"/>
    <w:rsid w:val="005F3347"/>
    <w:rsid w:val="005F3C66"/>
    <w:rsid w:val="005F405B"/>
    <w:rsid w:val="005F424B"/>
    <w:rsid w:val="005F43DC"/>
    <w:rsid w:val="005F5A3F"/>
    <w:rsid w:val="005F62CB"/>
    <w:rsid w:val="005F64CF"/>
    <w:rsid w:val="005F66C2"/>
    <w:rsid w:val="005F6967"/>
    <w:rsid w:val="005F7741"/>
    <w:rsid w:val="005F7E11"/>
    <w:rsid w:val="00600694"/>
    <w:rsid w:val="00600ACD"/>
    <w:rsid w:val="00601994"/>
    <w:rsid w:val="00601C7E"/>
    <w:rsid w:val="00602221"/>
    <w:rsid w:val="0060223E"/>
    <w:rsid w:val="00602912"/>
    <w:rsid w:val="0060329B"/>
    <w:rsid w:val="00603551"/>
    <w:rsid w:val="006041AD"/>
    <w:rsid w:val="0060490B"/>
    <w:rsid w:val="00605445"/>
    <w:rsid w:val="00605908"/>
    <w:rsid w:val="006066C0"/>
    <w:rsid w:val="00607850"/>
    <w:rsid w:val="006078C1"/>
    <w:rsid w:val="00607AE9"/>
    <w:rsid w:val="00607EF7"/>
    <w:rsid w:val="00610153"/>
    <w:rsid w:val="00610273"/>
    <w:rsid w:val="0061048E"/>
    <w:rsid w:val="006108ED"/>
    <w:rsid w:val="00610913"/>
    <w:rsid w:val="00610D7C"/>
    <w:rsid w:val="00611244"/>
    <w:rsid w:val="006122FD"/>
    <w:rsid w:val="00612EF5"/>
    <w:rsid w:val="00613414"/>
    <w:rsid w:val="00613869"/>
    <w:rsid w:val="00613E40"/>
    <w:rsid w:val="00614282"/>
    <w:rsid w:val="00615238"/>
    <w:rsid w:val="006154BE"/>
    <w:rsid w:val="0061589B"/>
    <w:rsid w:val="00616489"/>
    <w:rsid w:val="006167FC"/>
    <w:rsid w:val="00617A77"/>
    <w:rsid w:val="00617C95"/>
    <w:rsid w:val="00620154"/>
    <w:rsid w:val="00620569"/>
    <w:rsid w:val="00621A8D"/>
    <w:rsid w:val="0062408D"/>
    <w:rsid w:val="006240CC"/>
    <w:rsid w:val="00624940"/>
    <w:rsid w:val="006254F8"/>
    <w:rsid w:val="00625BB7"/>
    <w:rsid w:val="00625E2F"/>
    <w:rsid w:val="006270A2"/>
    <w:rsid w:val="006278AA"/>
    <w:rsid w:val="00627D68"/>
    <w:rsid w:val="00627DA7"/>
    <w:rsid w:val="006308E4"/>
    <w:rsid w:val="00630C3B"/>
    <w:rsid w:val="00630DA4"/>
    <w:rsid w:val="00630DCE"/>
    <w:rsid w:val="00630E03"/>
    <w:rsid w:val="00631755"/>
    <w:rsid w:val="00631CD4"/>
    <w:rsid w:val="00632232"/>
    <w:rsid w:val="00632597"/>
    <w:rsid w:val="0063274D"/>
    <w:rsid w:val="0063296A"/>
    <w:rsid w:val="00633914"/>
    <w:rsid w:val="00633D1A"/>
    <w:rsid w:val="00633FB2"/>
    <w:rsid w:val="00634198"/>
    <w:rsid w:val="00634280"/>
    <w:rsid w:val="0063477B"/>
    <w:rsid w:val="00634833"/>
    <w:rsid w:val="00634D13"/>
    <w:rsid w:val="00634FFA"/>
    <w:rsid w:val="006358B4"/>
    <w:rsid w:val="00635912"/>
    <w:rsid w:val="00635FA8"/>
    <w:rsid w:val="006362F7"/>
    <w:rsid w:val="006368E7"/>
    <w:rsid w:val="00637240"/>
    <w:rsid w:val="006379FB"/>
    <w:rsid w:val="0064030A"/>
    <w:rsid w:val="00640C77"/>
    <w:rsid w:val="006414F9"/>
    <w:rsid w:val="00641724"/>
    <w:rsid w:val="006419AA"/>
    <w:rsid w:val="006420F3"/>
    <w:rsid w:val="006427FA"/>
    <w:rsid w:val="00642B65"/>
    <w:rsid w:val="006430AE"/>
    <w:rsid w:val="0064318D"/>
    <w:rsid w:val="00643829"/>
    <w:rsid w:val="00644B1F"/>
    <w:rsid w:val="00644B7E"/>
    <w:rsid w:val="00644F14"/>
    <w:rsid w:val="006453DF"/>
    <w:rsid w:val="006454E6"/>
    <w:rsid w:val="00645F58"/>
    <w:rsid w:val="00645F98"/>
    <w:rsid w:val="00646235"/>
    <w:rsid w:val="006469E0"/>
    <w:rsid w:val="00646A68"/>
    <w:rsid w:val="00647B7A"/>
    <w:rsid w:val="006505BD"/>
    <w:rsid w:val="006508EA"/>
    <w:rsid w:val="0065092E"/>
    <w:rsid w:val="00650F98"/>
    <w:rsid w:val="006510EC"/>
    <w:rsid w:val="006517CB"/>
    <w:rsid w:val="00652A33"/>
    <w:rsid w:val="00653999"/>
    <w:rsid w:val="00653A10"/>
    <w:rsid w:val="00653F2A"/>
    <w:rsid w:val="00654B3F"/>
    <w:rsid w:val="00654C87"/>
    <w:rsid w:val="00654F6D"/>
    <w:rsid w:val="00655020"/>
    <w:rsid w:val="0065562C"/>
    <w:rsid w:val="006557A7"/>
    <w:rsid w:val="00655DE8"/>
    <w:rsid w:val="00656290"/>
    <w:rsid w:val="00656D4F"/>
    <w:rsid w:val="00657DAD"/>
    <w:rsid w:val="006601C9"/>
    <w:rsid w:val="0066025D"/>
    <w:rsid w:val="00660613"/>
    <w:rsid w:val="006608D8"/>
    <w:rsid w:val="006613F1"/>
    <w:rsid w:val="006615B3"/>
    <w:rsid w:val="00661FAC"/>
    <w:rsid w:val="006621D7"/>
    <w:rsid w:val="00662C53"/>
    <w:rsid w:val="0066302A"/>
    <w:rsid w:val="00663DA0"/>
    <w:rsid w:val="00663FBE"/>
    <w:rsid w:val="00664394"/>
    <w:rsid w:val="0066454D"/>
    <w:rsid w:val="00664B4E"/>
    <w:rsid w:val="00664FDD"/>
    <w:rsid w:val="0066727E"/>
    <w:rsid w:val="0066764F"/>
    <w:rsid w:val="00667770"/>
    <w:rsid w:val="00667C22"/>
    <w:rsid w:val="00670597"/>
    <w:rsid w:val="006706B7"/>
    <w:rsid w:val="006706D0"/>
    <w:rsid w:val="00670855"/>
    <w:rsid w:val="00671776"/>
    <w:rsid w:val="00671ACC"/>
    <w:rsid w:val="00672EEB"/>
    <w:rsid w:val="00673624"/>
    <w:rsid w:val="00676097"/>
    <w:rsid w:val="006761D1"/>
    <w:rsid w:val="006764F4"/>
    <w:rsid w:val="00676AD4"/>
    <w:rsid w:val="00676C19"/>
    <w:rsid w:val="006770F5"/>
    <w:rsid w:val="0067717D"/>
    <w:rsid w:val="0067746E"/>
    <w:rsid w:val="00677574"/>
    <w:rsid w:val="0068031D"/>
    <w:rsid w:val="00680AE9"/>
    <w:rsid w:val="00680DFE"/>
    <w:rsid w:val="006812ED"/>
    <w:rsid w:val="0068154E"/>
    <w:rsid w:val="0068288A"/>
    <w:rsid w:val="00682C13"/>
    <w:rsid w:val="00683878"/>
    <w:rsid w:val="0068405D"/>
    <w:rsid w:val="00684380"/>
    <w:rsid w:val="00684462"/>
    <w:rsid w:val="0068454C"/>
    <w:rsid w:val="006845A9"/>
    <w:rsid w:val="0068482A"/>
    <w:rsid w:val="00684A4D"/>
    <w:rsid w:val="00685117"/>
    <w:rsid w:val="00686228"/>
    <w:rsid w:val="00686F1A"/>
    <w:rsid w:val="00687097"/>
    <w:rsid w:val="00690C04"/>
    <w:rsid w:val="0069117F"/>
    <w:rsid w:val="006917AA"/>
    <w:rsid w:val="00691B62"/>
    <w:rsid w:val="00691C7F"/>
    <w:rsid w:val="0069224C"/>
    <w:rsid w:val="006922F2"/>
    <w:rsid w:val="00692D10"/>
    <w:rsid w:val="006933B5"/>
    <w:rsid w:val="0069343D"/>
    <w:rsid w:val="00693874"/>
    <w:rsid w:val="00693D14"/>
    <w:rsid w:val="00694C69"/>
    <w:rsid w:val="00694D9A"/>
    <w:rsid w:val="00695DBF"/>
    <w:rsid w:val="006962BE"/>
    <w:rsid w:val="00696F27"/>
    <w:rsid w:val="00697022"/>
    <w:rsid w:val="00697035"/>
    <w:rsid w:val="00697068"/>
    <w:rsid w:val="006972BF"/>
    <w:rsid w:val="00697E28"/>
    <w:rsid w:val="006A0295"/>
    <w:rsid w:val="006A16A1"/>
    <w:rsid w:val="006A18C2"/>
    <w:rsid w:val="006A21D1"/>
    <w:rsid w:val="006A2201"/>
    <w:rsid w:val="006A253D"/>
    <w:rsid w:val="006A2BA8"/>
    <w:rsid w:val="006A3383"/>
    <w:rsid w:val="006A39C4"/>
    <w:rsid w:val="006A40D3"/>
    <w:rsid w:val="006A48E7"/>
    <w:rsid w:val="006A558E"/>
    <w:rsid w:val="006A584A"/>
    <w:rsid w:val="006A5945"/>
    <w:rsid w:val="006A6438"/>
    <w:rsid w:val="006A7CF0"/>
    <w:rsid w:val="006A7E23"/>
    <w:rsid w:val="006B0577"/>
    <w:rsid w:val="006B060E"/>
    <w:rsid w:val="006B077C"/>
    <w:rsid w:val="006B08D1"/>
    <w:rsid w:val="006B0CAB"/>
    <w:rsid w:val="006B0E95"/>
    <w:rsid w:val="006B1EC6"/>
    <w:rsid w:val="006B2ABC"/>
    <w:rsid w:val="006B2ACD"/>
    <w:rsid w:val="006B3174"/>
    <w:rsid w:val="006B3568"/>
    <w:rsid w:val="006B3D72"/>
    <w:rsid w:val="006B437F"/>
    <w:rsid w:val="006B5500"/>
    <w:rsid w:val="006B55CB"/>
    <w:rsid w:val="006B5CDC"/>
    <w:rsid w:val="006B60DD"/>
    <w:rsid w:val="006B63CD"/>
    <w:rsid w:val="006B6803"/>
    <w:rsid w:val="006B6E0E"/>
    <w:rsid w:val="006B77A6"/>
    <w:rsid w:val="006C0986"/>
    <w:rsid w:val="006C09AA"/>
    <w:rsid w:val="006C0CF1"/>
    <w:rsid w:val="006C0CF5"/>
    <w:rsid w:val="006C12D1"/>
    <w:rsid w:val="006C284B"/>
    <w:rsid w:val="006C2DA0"/>
    <w:rsid w:val="006C3089"/>
    <w:rsid w:val="006C4017"/>
    <w:rsid w:val="006C4435"/>
    <w:rsid w:val="006C44D1"/>
    <w:rsid w:val="006C4EAB"/>
    <w:rsid w:val="006C5546"/>
    <w:rsid w:val="006C5B1C"/>
    <w:rsid w:val="006C5B79"/>
    <w:rsid w:val="006C6303"/>
    <w:rsid w:val="006C6760"/>
    <w:rsid w:val="006C6EE0"/>
    <w:rsid w:val="006C7262"/>
    <w:rsid w:val="006C794B"/>
    <w:rsid w:val="006C7F5F"/>
    <w:rsid w:val="006D0222"/>
    <w:rsid w:val="006D0C0A"/>
    <w:rsid w:val="006D0F16"/>
    <w:rsid w:val="006D11A5"/>
    <w:rsid w:val="006D236B"/>
    <w:rsid w:val="006D2A3F"/>
    <w:rsid w:val="006D2E3B"/>
    <w:rsid w:val="006D2FBC"/>
    <w:rsid w:val="006D33A1"/>
    <w:rsid w:val="006D5386"/>
    <w:rsid w:val="006D6E34"/>
    <w:rsid w:val="006D708C"/>
    <w:rsid w:val="006E0342"/>
    <w:rsid w:val="006E08A2"/>
    <w:rsid w:val="006E138B"/>
    <w:rsid w:val="006E1757"/>
    <w:rsid w:val="006E1867"/>
    <w:rsid w:val="006E1E59"/>
    <w:rsid w:val="006E2142"/>
    <w:rsid w:val="006E2303"/>
    <w:rsid w:val="006E2C82"/>
    <w:rsid w:val="006E37B2"/>
    <w:rsid w:val="006E3939"/>
    <w:rsid w:val="006E3B14"/>
    <w:rsid w:val="006E3F2D"/>
    <w:rsid w:val="006E4B4D"/>
    <w:rsid w:val="006E4DE9"/>
    <w:rsid w:val="006E4E06"/>
    <w:rsid w:val="006E58F8"/>
    <w:rsid w:val="006E6122"/>
    <w:rsid w:val="006E6966"/>
    <w:rsid w:val="006E774C"/>
    <w:rsid w:val="006F0330"/>
    <w:rsid w:val="006F1203"/>
    <w:rsid w:val="006F1243"/>
    <w:rsid w:val="006F12BC"/>
    <w:rsid w:val="006F13CF"/>
    <w:rsid w:val="006F173B"/>
    <w:rsid w:val="006F1FDC"/>
    <w:rsid w:val="006F2DFB"/>
    <w:rsid w:val="006F30F3"/>
    <w:rsid w:val="006F3A54"/>
    <w:rsid w:val="006F3EF9"/>
    <w:rsid w:val="006F5097"/>
    <w:rsid w:val="006F6B8C"/>
    <w:rsid w:val="006F6BDB"/>
    <w:rsid w:val="006F7C85"/>
    <w:rsid w:val="006F7D88"/>
    <w:rsid w:val="00700AB0"/>
    <w:rsid w:val="00700B34"/>
    <w:rsid w:val="007013EF"/>
    <w:rsid w:val="00702200"/>
    <w:rsid w:val="00702383"/>
    <w:rsid w:val="007023FE"/>
    <w:rsid w:val="00702FF1"/>
    <w:rsid w:val="00703741"/>
    <w:rsid w:val="00704804"/>
    <w:rsid w:val="00704ED7"/>
    <w:rsid w:val="007055BD"/>
    <w:rsid w:val="007056A1"/>
    <w:rsid w:val="00705AA0"/>
    <w:rsid w:val="00705DCA"/>
    <w:rsid w:val="00705DE7"/>
    <w:rsid w:val="00706DF3"/>
    <w:rsid w:val="007074AF"/>
    <w:rsid w:val="00707617"/>
    <w:rsid w:val="00710B19"/>
    <w:rsid w:val="00711628"/>
    <w:rsid w:val="00711D7F"/>
    <w:rsid w:val="0071265F"/>
    <w:rsid w:val="00712988"/>
    <w:rsid w:val="00712C26"/>
    <w:rsid w:val="007144FA"/>
    <w:rsid w:val="00714AF9"/>
    <w:rsid w:val="00714B26"/>
    <w:rsid w:val="00716C44"/>
    <w:rsid w:val="00716D8B"/>
    <w:rsid w:val="007173CA"/>
    <w:rsid w:val="00717D50"/>
    <w:rsid w:val="00720E81"/>
    <w:rsid w:val="007216AA"/>
    <w:rsid w:val="00721AB5"/>
    <w:rsid w:val="00721C1E"/>
    <w:rsid w:val="00721CFB"/>
    <w:rsid w:val="00721DEF"/>
    <w:rsid w:val="00721EE8"/>
    <w:rsid w:val="007221F4"/>
    <w:rsid w:val="00722829"/>
    <w:rsid w:val="00722DA5"/>
    <w:rsid w:val="007238A2"/>
    <w:rsid w:val="00723F9A"/>
    <w:rsid w:val="0072402A"/>
    <w:rsid w:val="00724A43"/>
    <w:rsid w:val="00724AF9"/>
    <w:rsid w:val="0072538B"/>
    <w:rsid w:val="00725E75"/>
    <w:rsid w:val="00726D1E"/>
    <w:rsid w:val="007270D4"/>
    <w:rsid w:val="007273AC"/>
    <w:rsid w:val="0072742D"/>
    <w:rsid w:val="00727612"/>
    <w:rsid w:val="007277CD"/>
    <w:rsid w:val="0073039F"/>
    <w:rsid w:val="0073083D"/>
    <w:rsid w:val="007316CD"/>
    <w:rsid w:val="00731AD4"/>
    <w:rsid w:val="007328B3"/>
    <w:rsid w:val="00732936"/>
    <w:rsid w:val="00733578"/>
    <w:rsid w:val="007337B6"/>
    <w:rsid w:val="00733847"/>
    <w:rsid w:val="007342B4"/>
    <w:rsid w:val="007346E4"/>
    <w:rsid w:val="00734833"/>
    <w:rsid w:val="00734983"/>
    <w:rsid w:val="00734D48"/>
    <w:rsid w:val="00735564"/>
    <w:rsid w:val="007355B2"/>
    <w:rsid w:val="00735EEC"/>
    <w:rsid w:val="00735F16"/>
    <w:rsid w:val="00736CB9"/>
    <w:rsid w:val="00736CD1"/>
    <w:rsid w:val="00737ED0"/>
    <w:rsid w:val="007404E2"/>
    <w:rsid w:val="00740571"/>
    <w:rsid w:val="00740B98"/>
    <w:rsid w:val="00740BBD"/>
    <w:rsid w:val="00740ED5"/>
    <w:rsid w:val="00740F22"/>
    <w:rsid w:val="007410DE"/>
    <w:rsid w:val="007416A2"/>
    <w:rsid w:val="00741CF0"/>
    <w:rsid w:val="00741F1A"/>
    <w:rsid w:val="00741FC5"/>
    <w:rsid w:val="00741FF8"/>
    <w:rsid w:val="007439B1"/>
    <w:rsid w:val="00743B8C"/>
    <w:rsid w:val="007444EB"/>
    <w:rsid w:val="00744769"/>
    <w:rsid w:val="007447DA"/>
    <w:rsid w:val="00744AED"/>
    <w:rsid w:val="007450F8"/>
    <w:rsid w:val="00746191"/>
    <w:rsid w:val="00746591"/>
    <w:rsid w:val="0074696E"/>
    <w:rsid w:val="00746B69"/>
    <w:rsid w:val="00746D91"/>
    <w:rsid w:val="00746E6D"/>
    <w:rsid w:val="007470F7"/>
    <w:rsid w:val="00747CFD"/>
    <w:rsid w:val="00750135"/>
    <w:rsid w:val="0075054C"/>
    <w:rsid w:val="00750EC2"/>
    <w:rsid w:val="00751171"/>
    <w:rsid w:val="007518BF"/>
    <w:rsid w:val="00751EC9"/>
    <w:rsid w:val="0075286D"/>
    <w:rsid w:val="00752B0E"/>
    <w:rsid w:val="00752B28"/>
    <w:rsid w:val="0075347D"/>
    <w:rsid w:val="007536BC"/>
    <w:rsid w:val="00753B2A"/>
    <w:rsid w:val="007541A9"/>
    <w:rsid w:val="0075445F"/>
    <w:rsid w:val="00754677"/>
    <w:rsid w:val="00754C5C"/>
    <w:rsid w:val="00754E36"/>
    <w:rsid w:val="007554F3"/>
    <w:rsid w:val="00755524"/>
    <w:rsid w:val="0075553B"/>
    <w:rsid w:val="00755DEB"/>
    <w:rsid w:val="00755F79"/>
    <w:rsid w:val="0075658C"/>
    <w:rsid w:val="00757E57"/>
    <w:rsid w:val="00760882"/>
    <w:rsid w:val="00760DA9"/>
    <w:rsid w:val="00761254"/>
    <w:rsid w:val="0076147C"/>
    <w:rsid w:val="0076161C"/>
    <w:rsid w:val="00762082"/>
    <w:rsid w:val="007621EF"/>
    <w:rsid w:val="00762DBE"/>
    <w:rsid w:val="00763139"/>
    <w:rsid w:val="00763217"/>
    <w:rsid w:val="00763A3E"/>
    <w:rsid w:val="0076499A"/>
    <w:rsid w:val="00765C9B"/>
    <w:rsid w:val="00766179"/>
    <w:rsid w:val="007667AC"/>
    <w:rsid w:val="00767314"/>
    <w:rsid w:val="00767EA1"/>
    <w:rsid w:val="00770C62"/>
    <w:rsid w:val="00770F37"/>
    <w:rsid w:val="007710A8"/>
    <w:rsid w:val="007711A0"/>
    <w:rsid w:val="007714A0"/>
    <w:rsid w:val="00771DFF"/>
    <w:rsid w:val="00772B91"/>
    <w:rsid w:val="00772D5E"/>
    <w:rsid w:val="0077343A"/>
    <w:rsid w:val="007735E3"/>
    <w:rsid w:val="007736E5"/>
    <w:rsid w:val="00773BC0"/>
    <w:rsid w:val="00773C16"/>
    <w:rsid w:val="00773D71"/>
    <w:rsid w:val="00773E5A"/>
    <w:rsid w:val="0077463E"/>
    <w:rsid w:val="007748E8"/>
    <w:rsid w:val="007750C0"/>
    <w:rsid w:val="00775AF7"/>
    <w:rsid w:val="00775DD7"/>
    <w:rsid w:val="0077629A"/>
    <w:rsid w:val="00776928"/>
    <w:rsid w:val="007769BC"/>
    <w:rsid w:val="00776AB6"/>
    <w:rsid w:val="00776B4C"/>
    <w:rsid w:val="00776D56"/>
    <w:rsid w:val="00776E0F"/>
    <w:rsid w:val="00776F2D"/>
    <w:rsid w:val="00776F79"/>
    <w:rsid w:val="007774B1"/>
    <w:rsid w:val="00777B68"/>
    <w:rsid w:val="00777BE1"/>
    <w:rsid w:val="00777FEA"/>
    <w:rsid w:val="00780C71"/>
    <w:rsid w:val="007816F0"/>
    <w:rsid w:val="00782222"/>
    <w:rsid w:val="007831BF"/>
    <w:rsid w:val="007833D8"/>
    <w:rsid w:val="00783692"/>
    <w:rsid w:val="00784A02"/>
    <w:rsid w:val="00785677"/>
    <w:rsid w:val="00785BA1"/>
    <w:rsid w:val="007866D5"/>
    <w:rsid w:val="00786F16"/>
    <w:rsid w:val="00787C07"/>
    <w:rsid w:val="00790B39"/>
    <w:rsid w:val="0079121C"/>
    <w:rsid w:val="007918DA"/>
    <w:rsid w:val="00791BD7"/>
    <w:rsid w:val="00791C07"/>
    <w:rsid w:val="007926F8"/>
    <w:rsid w:val="00792D66"/>
    <w:rsid w:val="00792F57"/>
    <w:rsid w:val="007933F7"/>
    <w:rsid w:val="0079344F"/>
    <w:rsid w:val="00793486"/>
    <w:rsid w:val="0079374A"/>
    <w:rsid w:val="00794737"/>
    <w:rsid w:val="00794AB6"/>
    <w:rsid w:val="00795038"/>
    <w:rsid w:val="00795447"/>
    <w:rsid w:val="00795F0D"/>
    <w:rsid w:val="00795F6A"/>
    <w:rsid w:val="00796C3A"/>
    <w:rsid w:val="00796E20"/>
    <w:rsid w:val="00797B2C"/>
    <w:rsid w:val="00797C32"/>
    <w:rsid w:val="007A00FC"/>
    <w:rsid w:val="007A0339"/>
    <w:rsid w:val="007A0950"/>
    <w:rsid w:val="007A11CF"/>
    <w:rsid w:val="007A11E8"/>
    <w:rsid w:val="007A20A9"/>
    <w:rsid w:val="007A25EB"/>
    <w:rsid w:val="007A2A8B"/>
    <w:rsid w:val="007A3D41"/>
    <w:rsid w:val="007A4822"/>
    <w:rsid w:val="007A4BB7"/>
    <w:rsid w:val="007A58C6"/>
    <w:rsid w:val="007A64B7"/>
    <w:rsid w:val="007A676B"/>
    <w:rsid w:val="007A68BC"/>
    <w:rsid w:val="007A6AF7"/>
    <w:rsid w:val="007A6BA6"/>
    <w:rsid w:val="007A6FD1"/>
    <w:rsid w:val="007A78FC"/>
    <w:rsid w:val="007B07EC"/>
    <w:rsid w:val="007B0914"/>
    <w:rsid w:val="007B1374"/>
    <w:rsid w:val="007B170D"/>
    <w:rsid w:val="007B1968"/>
    <w:rsid w:val="007B1B51"/>
    <w:rsid w:val="007B3229"/>
    <w:rsid w:val="007B32E5"/>
    <w:rsid w:val="007B337D"/>
    <w:rsid w:val="007B37DA"/>
    <w:rsid w:val="007B3BC0"/>
    <w:rsid w:val="007B3DB9"/>
    <w:rsid w:val="007B48FE"/>
    <w:rsid w:val="007B5146"/>
    <w:rsid w:val="007B52D8"/>
    <w:rsid w:val="007B589F"/>
    <w:rsid w:val="007B58EA"/>
    <w:rsid w:val="007B6186"/>
    <w:rsid w:val="007B621E"/>
    <w:rsid w:val="007B6B7F"/>
    <w:rsid w:val="007B7226"/>
    <w:rsid w:val="007B73BC"/>
    <w:rsid w:val="007C057F"/>
    <w:rsid w:val="007C0C93"/>
    <w:rsid w:val="007C123C"/>
    <w:rsid w:val="007C1838"/>
    <w:rsid w:val="007C1CFF"/>
    <w:rsid w:val="007C20B9"/>
    <w:rsid w:val="007C299C"/>
    <w:rsid w:val="007C2D6E"/>
    <w:rsid w:val="007C336C"/>
    <w:rsid w:val="007C3EDF"/>
    <w:rsid w:val="007C412B"/>
    <w:rsid w:val="007C5676"/>
    <w:rsid w:val="007C56FE"/>
    <w:rsid w:val="007C5940"/>
    <w:rsid w:val="007C59C0"/>
    <w:rsid w:val="007C5BED"/>
    <w:rsid w:val="007C7301"/>
    <w:rsid w:val="007C7859"/>
    <w:rsid w:val="007C7F28"/>
    <w:rsid w:val="007D054C"/>
    <w:rsid w:val="007D0705"/>
    <w:rsid w:val="007D0812"/>
    <w:rsid w:val="007D0999"/>
    <w:rsid w:val="007D1466"/>
    <w:rsid w:val="007D14CB"/>
    <w:rsid w:val="007D1865"/>
    <w:rsid w:val="007D1A23"/>
    <w:rsid w:val="007D1B28"/>
    <w:rsid w:val="007D1D24"/>
    <w:rsid w:val="007D1FBE"/>
    <w:rsid w:val="007D256E"/>
    <w:rsid w:val="007D2BDE"/>
    <w:rsid w:val="007D2C35"/>
    <w:rsid w:val="007D2FB6"/>
    <w:rsid w:val="007D3215"/>
    <w:rsid w:val="007D34CD"/>
    <w:rsid w:val="007D3636"/>
    <w:rsid w:val="007D3894"/>
    <w:rsid w:val="007D3CCF"/>
    <w:rsid w:val="007D456E"/>
    <w:rsid w:val="007D49C4"/>
    <w:rsid w:val="007D49EB"/>
    <w:rsid w:val="007D4A2B"/>
    <w:rsid w:val="007D5D99"/>
    <w:rsid w:val="007D5E1C"/>
    <w:rsid w:val="007D6C17"/>
    <w:rsid w:val="007D6C97"/>
    <w:rsid w:val="007D7563"/>
    <w:rsid w:val="007E00CE"/>
    <w:rsid w:val="007E0DE2"/>
    <w:rsid w:val="007E1488"/>
    <w:rsid w:val="007E17E1"/>
    <w:rsid w:val="007E29B0"/>
    <w:rsid w:val="007E2DEE"/>
    <w:rsid w:val="007E3085"/>
    <w:rsid w:val="007E35C5"/>
    <w:rsid w:val="007E3667"/>
    <w:rsid w:val="007E3B98"/>
    <w:rsid w:val="007E4150"/>
    <w:rsid w:val="007E417A"/>
    <w:rsid w:val="007E4222"/>
    <w:rsid w:val="007E548D"/>
    <w:rsid w:val="007E56AD"/>
    <w:rsid w:val="007E65EC"/>
    <w:rsid w:val="007E77BC"/>
    <w:rsid w:val="007E7AF2"/>
    <w:rsid w:val="007F24CE"/>
    <w:rsid w:val="007F31B6"/>
    <w:rsid w:val="007F3233"/>
    <w:rsid w:val="007F353D"/>
    <w:rsid w:val="007F3F7B"/>
    <w:rsid w:val="007F546C"/>
    <w:rsid w:val="007F5B44"/>
    <w:rsid w:val="007F625F"/>
    <w:rsid w:val="007F665E"/>
    <w:rsid w:val="007F6939"/>
    <w:rsid w:val="007F6DB2"/>
    <w:rsid w:val="007F738B"/>
    <w:rsid w:val="007F7F93"/>
    <w:rsid w:val="00800040"/>
    <w:rsid w:val="00800412"/>
    <w:rsid w:val="008006DA"/>
    <w:rsid w:val="008006FF"/>
    <w:rsid w:val="00800B82"/>
    <w:rsid w:val="00800E90"/>
    <w:rsid w:val="00802828"/>
    <w:rsid w:val="00802BF0"/>
    <w:rsid w:val="00802D1F"/>
    <w:rsid w:val="0080381B"/>
    <w:rsid w:val="00803BFB"/>
    <w:rsid w:val="00803D1E"/>
    <w:rsid w:val="008040DB"/>
    <w:rsid w:val="0080480F"/>
    <w:rsid w:val="0080506E"/>
    <w:rsid w:val="0080522A"/>
    <w:rsid w:val="0080587B"/>
    <w:rsid w:val="00806468"/>
    <w:rsid w:val="008073C0"/>
    <w:rsid w:val="00807871"/>
    <w:rsid w:val="008108F2"/>
    <w:rsid w:val="00810E0F"/>
    <w:rsid w:val="00811398"/>
    <w:rsid w:val="008119CA"/>
    <w:rsid w:val="008122B0"/>
    <w:rsid w:val="008130C4"/>
    <w:rsid w:val="008131B8"/>
    <w:rsid w:val="008135AB"/>
    <w:rsid w:val="00813EA1"/>
    <w:rsid w:val="008142AE"/>
    <w:rsid w:val="00814DA0"/>
    <w:rsid w:val="00814FE3"/>
    <w:rsid w:val="008155F0"/>
    <w:rsid w:val="00815B79"/>
    <w:rsid w:val="00815BA5"/>
    <w:rsid w:val="00815C16"/>
    <w:rsid w:val="00815D35"/>
    <w:rsid w:val="00816259"/>
    <w:rsid w:val="00816735"/>
    <w:rsid w:val="00816B6A"/>
    <w:rsid w:val="00816FA5"/>
    <w:rsid w:val="00817457"/>
    <w:rsid w:val="00817830"/>
    <w:rsid w:val="00820141"/>
    <w:rsid w:val="00820E0C"/>
    <w:rsid w:val="008214E5"/>
    <w:rsid w:val="00821C95"/>
    <w:rsid w:val="00821D5F"/>
    <w:rsid w:val="00821DF3"/>
    <w:rsid w:val="0082266F"/>
    <w:rsid w:val="00822B9B"/>
    <w:rsid w:val="00823275"/>
    <w:rsid w:val="0082366F"/>
    <w:rsid w:val="00823F4F"/>
    <w:rsid w:val="008245BA"/>
    <w:rsid w:val="00824C4B"/>
    <w:rsid w:val="00824FA8"/>
    <w:rsid w:val="00824FFC"/>
    <w:rsid w:val="00825153"/>
    <w:rsid w:val="0082519D"/>
    <w:rsid w:val="0082527B"/>
    <w:rsid w:val="00827A3A"/>
    <w:rsid w:val="008304B2"/>
    <w:rsid w:val="00831511"/>
    <w:rsid w:val="00832BBD"/>
    <w:rsid w:val="008331FF"/>
    <w:rsid w:val="008338A2"/>
    <w:rsid w:val="00834144"/>
    <w:rsid w:val="00834676"/>
    <w:rsid w:val="008347E8"/>
    <w:rsid w:val="00834CA4"/>
    <w:rsid w:val="00835D7E"/>
    <w:rsid w:val="00835F0D"/>
    <w:rsid w:val="008362B2"/>
    <w:rsid w:val="0083722C"/>
    <w:rsid w:val="00840DA5"/>
    <w:rsid w:val="00840DAB"/>
    <w:rsid w:val="008415DC"/>
    <w:rsid w:val="008416BF"/>
    <w:rsid w:val="00841AA9"/>
    <w:rsid w:val="0084359A"/>
    <w:rsid w:val="00843AFA"/>
    <w:rsid w:val="008452C3"/>
    <w:rsid w:val="00845560"/>
    <w:rsid w:val="00845804"/>
    <w:rsid w:val="00845E03"/>
    <w:rsid w:val="00846604"/>
    <w:rsid w:val="008474FE"/>
    <w:rsid w:val="00847FFC"/>
    <w:rsid w:val="0085077B"/>
    <w:rsid w:val="00850DB0"/>
    <w:rsid w:val="008510FE"/>
    <w:rsid w:val="0085211A"/>
    <w:rsid w:val="008532C0"/>
    <w:rsid w:val="008533E7"/>
    <w:rsid w:val="00853EE4"/>
    <w:rsid w:val="00854124"/>
    <w:rsid w:val="008549E0"/>
    <w:rsid w:val="00854AD1"/>
    <w:rsid w:val="00855073"/>
    <w:rsid w:val="0085543E"/>
    <w:rsid w:val="00855535"/>
    <w:rsid w:val="00855B54"/>
    <w:rsid w:val="00855BA5"/>
    <w:rsid w:val="008566CA"/>
    <w:rsid w:val="00856C86"/>
    <w:rsid w:val="0085707E"/>
    <w:rsid w:val="00857C5A"/>
    <w:rsid w:val="00861135"/>
    <w:rsid w:val="0086164C"/>
    <w:rsid w:val="00861AA3"/>
    <w:rsid w:val="00861BDE"/>
    <w:rsid w:val="008622C1"/>
    <w:rsid w:val="0086255E"/>
    <w:rsid w:val="00862D71"/>
    <w:rsid w:val="00863339"/>
    <w:rsid w:val="008633F0"/>
    <w:rsid w:val="00864309"/>
    <w:rsid w:val="00864340"/>
    <w:rsid w:val="008655F3"/>
    <w:rsid w:val="008656F8"/>
    <w:rsid w:val="0086621E"/>
    <w:rsid w:val="0086624C"/>
    <w:rsid w:val="008662B4"/>
    <w:rsid w:val="008678EC"/>
    <w:rsid w:val="00867D9D"/>
    <w:rsid w:val="00867EC6"/>
    <w:rsid w:val="0087215B"/>
    <w:rsid w:val="008729D0"/>
    <w:rsid w:val="00872AFE"/>
    <w:rsid w:val="00872E0A"/>
    <w:rsid w:val="00873594"/>
    <w:rsid w:val="00873A0F"/>
    <w:rsid w:val="0087486E"/>
    <w:rsid w:val="00874D40"/>
    <w:rsid w:val="00875285"/>
    <w:rsid w:val="00875BF5"/>
    <w:rsid w:val="00875EC1"/>
    <w:rsid w:val="00876CB1"/>
    <w:rsid w:val="00877122"/>
    <w:rsid w:val="00877D82"/>
    <w:rsid w:val="0088012E"/>
    <w:rsid w:val="00880F3B"/>
    <w:rsid w:val="008823BF"/>
    <w:rsid w:val="008828C8"/>
    <w:rsid w:val="00882CAD"/>
    <w:rsid w:val="00882D8B"/>
    <w:rsid w:val="00882EF7"/>
    <w:rsid w:val="00882F6E"/>
    <w:rsid w:val="00883822"/>
    <w:rsid w:val="00883AC2"/>
    <w:rsid w:val="00883CAE"/>
    <w:rsid w:val="00884B62"/>
    <w:rsid w:val="00884CF9"/>
    <w:rsid w:val="00884ECC"/>
    <w:rsid w:val="0088529C"/>
    <w:rsid w:val="00885500"/>
    <w:rsid w:val="00885C0B"/>
    <w:rsid w:val="00887079"/>
    <w:rsid w:val="00887133"/>
    <w:rsid w:val="00887903"/>
    <w:rsid w:val="00890823"/>
    <w:rsid w:val="00890EF7"/>
    <w:rsid w:val="00891564"/>
    <w:rsid w:val="0089214E"/>
    <w:rsid w:val="0089270A"/>
    <w:rsid w:val="008929F2"/>
    <w:rsid w:val="00892EAF"/>
    <w:rsid w:val="00893370"/>
    <w:rsid w:val="008933B4"/>
    <w:rsid w:val="00893AF6"/>
    <w:rsid w:val="00893FBF"/>
    <w:rsid w:val="008941C3"/>
    <w:rsid w:val="00894BC4"/>
    <w:rsid w:val="00894ED7"/>
    <w:rsid w:val="008961AB"/>
    <w:rsid w:val="00896890"/>
    <w:rsid w:val="00896DE7"/>
    <w:rsid w:val="008977D1"/>
    <w:rsid w:val="00897AA4"/>
    <w:rsid w:val="00897CE4"/>
    <w:rsid w:val="008A1A5D"/>
    <w:rsid w:val="008A2834"/>
    <w:rsid w:val="008A28A8"/>
    <w:rsid w:val="008A2F6F"/>
    <w:rsid w:val="008A303C"/>
    <w:rsid w:val="008A386A"/>
    <w:rsid w:val="008A3BDC"/>
    <w:rsid w:val="008A3E1D"/>
    <w:rsid w:val="008A4CD4"/>
    <w:rsid w:val="008A4D9A"/>
    <w:rsid w:val="008A54AC"/>
    <w:rsid w:val="008A5B27"/>
    <w:rsid w:val="008A5B32"/>
    <w:rsid w:val="008A5CAD"/>
    <w:rsid w:val="008A5F52"/>
    <w:rsid w:val="008A764C"/>
    <w:rsid w:val="008B1122"/>
    <w:rsid w:val="008B1403"/>
    <w:rsid w:val="008B2029"/>
    <w:rsid w:val="008B215E"/>
    <w:rsid w:val="008B228F"/>
    <w:rsid w:val="008B291D"/>
    <w:rsid w:val="008B2C47"/>
    <w:rsid w:val="008B2EE4"/>
    <w:rsid w:val="008B3821"/>
    <w:rsid w:val="008B397B"/>
    <w:rsid w:val="008B3DBD"/>
    <w:rsid w:val="008B3E93"/>
    <w:rsid w:val="008B3EC5"/>
    <w:rsid w:val="008B406B"/>
    <w:rsid w:val="008B449B"/>
    <w:rsid w:val="008B4D3D"/>
    <w:rsid w:val="008B5172"/>
    <w:rsid w:val="008B57C7"/>
    <w:rsid w:val="008B5CAD"/>
    <w:rsid w:val="008B6B79"/>
    <w:rsid w:val="008B6CB1"/>
    <w:rsid w:val="008B6D27"/>
    <w:rsid w:val="008B71A9"/>
    <w:rsid w:val="008B793C"/>
    <w:rsid w:val="008B7FD1"/>
    <w:rsid w:val="008C0CD2"/>
    <w:rsid w:val="008C17E2"/>
    <w:rsid w:val="008C1AAF"/>
    <w:rsid w:val="008C2357"/>
    <w:rsid w:val="008C2687"/>
    <w:rsid w:val="008C2829"/>
    <w:rsid w:val="008C2F45"/>
    <w:rsid w:val="008C2F92"/>
    <w:rsid w:val="008C3546"/>
    <w:rsid w:val="008C45FB"/>
    <w:rsid w:val="008C49F3"/>
    <w:rsid w:val="008C4DCE"/>
    <w:rsid w:val="008C4F74"/>
    <w:rsid w:val="008C51C3"/>
    <w:rsid w:val="008C589D"/>
    <w:rsid w:val="008C6D51"/>
    <w:rsid w:val="008C7156"/>
    <w:rsid w:val="008D08D3"/>
    <w:rsid w:val="008D0ADE"/>
    <w:rsid w:val="008D11DE"/>
    <w:rsid w:val="008D251A"/>
    <w:rsid w:val="008D2846"/>
    <w:rsid w:val="008D2E3B"/>
    <w:rsid w:val="008D30F2"/>
    <w:rsid w:val="008D3238"/>
    <w:rsid w:val="008D343D"/>
    <w:rsid w:val="008D3C5A"/>
    <w:rsid w:val="008D3FC4"/>
    <w:rsid w:val="008D4236"/>
    <w:rsid w:val="008D42C3"/>
    <w:rsid w:val="008D430F"/>
    <w:rsid w:val="008D4327"/>
    <w:rsid w:val="008D4341"/>
    <w:rsid w:val="008D462F"/>
    <w:rsid w:val="008D595D"/>
    <w:rsid w:val="008D5D0A"/>
    <w:rsid w:val="008D5E26"/>
    <w:rsid w:val="008D62E6"/>
    <w:rsid w:val="008D647A"/>
    <w:rsid w:val="008D6DCF"/>
    <w:rsid w:val="008D6F47"/>
    <w:rsid w:val="008D71AD"/>
    <w:rsid w:val="008D7602"/>
    <w:rsid w:val="008E0432"/>
    <w:rsid w:val="008E045C"/>
    <w:rsid w:val="008E0C35"/>
    <w:rsid w:val="008E188F"/>
    <w:rsid w:val="008E1C31"/>
    <w:rsid w:val="008E225B"/>
    <w:rsid w:val="008E2592"/>
    <w:rsid w:val="008E3ABA"/>
    <w:rsid w:val="008E4376"/>
    <w:rsid w:val="008E4837"/>
    <w:rsid w:val="008E4F36"/>
    <w:rsid w:val="008E529B"/>
    <w:rsid w:val="008E539A"/>
    <w:rsid w:val="008E5CC9"/>
    <w:rsid w:val="008E6F4B"/>
    <w:rsid w:val="008E746B"/>
    <w:rsid w:val="008E7A0A"/>
    <w:rsid w:val="008E7B49"/>
    <w:rsid w:val="008E7D76"/>
    <w:rsid w:val="008E7F84"/>
    <w:rsid w:val="008F08F3"/>
    <w:rsid w:val="008F0FF1"/>
    <w:rsid w:val="008F13F2"/>
    <w:rsid w:val="008F15B2"/>
    <w:rsid w:val="008F1D05"/>
    <w:rsid w:val="008F2181"/>
    <w:rsid w:val="008F2658"/>
    <w:rsid w:val="008F358D"/>
    <w:rsid w:val="008F372D"/>
    <w:rsid w:val="008F3A6C"/>
    <w:rsid w:val="008F45DC"/>
    <w:rsid w:val="008F470B"/>
    <w:rsid w:val="008F59E2"/>
    <w:rsid w:val="008F59F6"/>
    <w:rsid w:val="008F73BB"/>
    <w:rsid w:val="008F7A13"/>
    <w:rsid w:val="008F7D9B"/>
    <w:rsid w:val="00900719"/>
    <w:rsid w:val="00900D54"/>
    <w:rsid w:val="009017AC"/>
    <w:rsid w:val="00902A5C"/>
    <w:rsid w:val="00902A9A"/>
    <w:rsid w:val="00902F33"/>
    <w:rsid w:val="0090372C"/>
    <w:rsid w:val="00903D6F"/>
    <w:rsid w:val="00904132"/>
    <w:rsid w:val="00904A1C"/>
    <w:rsid w:val="00904E42"/>
    <w:rsid w:val="00905030"/>
    <w:rsid w:val="00906490"/>
    <w:rsid w:val="00907584"/>
    <w:rsid w:val="009111B2"/>
    <w:rsid w:val="009114F3"/>
    <w:rsid w:val="00912A27"/>
    <w:rsid w:val="00913D2C"/>
    <w:rsid w:val="009142E2"/>
    <w:rsid w:val="009145FF"/>
    <w:rsid w:val="00914657"/>
    <w:rsid w:val="00915124"/>
    <w:rsid w:val="009151F5"/>
    <w:rsid w:val="00915908"/>
    <w:rsid w:val="009164E8"/>
    <w:rsid w:val="009177C1"/>
    <w:rsid w:val="00917AF2"/>
    <w:rsid w:val="00917DF6"/>
    <w:rsid w:val="00917E4B"/>
    <w:rsid w:val="009209C6"/>
    <w:rsid w:val="00921AFC"/>
    <w:rsid w:val="00921BA8"/>
    <w:rsid w:val="00921D2B"/>
    <w:rsid w:val="00921E64"/>
    <w:rsid w:val="00922A4D"/>
    <w:rsid w:val="0092349F"/>
    <w:rsid w:val="00923A3C"/>
    <w:rsid w:val="00923B1D"/>
    <w:rsid w:val="00924518"/>
    <w:rsid w:val="00924AE1"/>
    <w:rsid w:val="00925744"/>
    <w:rsid w:val="00926500"/>
    <w:rsid w:val="00926976"/>
    <w:rsid w:val="009269B1"/>
    <w:rsid w:val="00926C70"/>
    <w:rsid w:val="0092724D"/>
    <w:rsid w:val="009272B3"/>
    <w:rsid w:val="009273BA"/>
    <w:rsid w:val="00930090"/>
    <w:rsid w:val="009305AF"/>
    <w:rsid w:val="00930D28"/>
    <w:rsid w:val="00930DA9"/>
    <w:rsid w:val="009315BE"/>
    <w:rsid w:val="0093188D"/>
    <w:rsid w:val="00931EFE"/>
    <w:rsid w:val="00932472"/>
    <w:rsid w:val="009326DD"/>
    <w:rsid w:val="00933375"/>
    <w:rsid w:val="0093338F"/>
    <w:rsid w:val="0093432C"/>
    <w:rsid w:val="00934A03"/>
    <w:rsid w:val="00934E82"/>
    <w:rsid w:val="00934FE7"/>
    <w:rsid w:val="00935CB8"/>
    <w:rsid w:val="00936C64"/>
    <w:rsid w:val="009373B1"/>
    <w:rsid w:val="009374E4"/>
    <w:rsid w:val="00937BD9"/>
    <w:rsid w:val="00937D15"/>
    <w:rsid w:val="00940FD1"/>
    <w:rsid w:val="00941CFB"/>
    <w:rsid w:val="00941DE4"/>
    <w:rsid w:val="0094209C"/>
    <w:rsid w:val="0094291C"/>
    <w:rsid w:val="009452AC"/>
    <w:rsid w:val="0094533A"/>
    <w:rsid w:val="00945AF6"/>
    <w:rsid w:val="009507E9"/>
    <w:rsid w:val="00950ABD"/>
    <w:rsid w:val="00950E2C"/>
    <w:rsid w:val="00951322"/>
    <w:rsid w:val="00951511"/>
    <w:rsid w:val="0095163B"/>
    <w:rsid w:val="00951B9F"/>
    <w:rsid w:val="00951D50"/>
    <w:rsid w:val="0095201F"/>
    <w:rsid w:val="00952503"/>
    <w:rsid w:val="009525EB"/>
    <w:rsid w:val="009545E2"/>
    <w:rsid w:val="0095470B"/>
    <w:rsid w:val="00954874"/>
    <w:rsid w:val="009554B8"/>
    <w:rsid w:val="009554E3"/>
    <w:rsid w:val="009554EC"/>
    <w:rsid w:val="00955AEF"/>
    <w:rsid w:val="00955C55"/>
    <w:rsid w:val="00955C70"/>
    <w:rsid w:val="0095615A"/>
    <w:rsid w:val="009567C8"/>
    <w:rsid w:val="00957797"/>
    <w:rsid w:val="00957871"/>
    <w:rsid w:val="00960456"/>
    <w:rsid w:val="00960633"/>
    <w:rsid w:val="00960FB7"/>
    <w:rsid w:val="0096124C"/>
    <w:rsid w:val="009612E1"/>
    <w:rsid w:val="00961400"/>
    <w:rsid w:val="009617B2"/>
    <w:rsid w:val="00962A68"/>
    <w:rsid w:val="00963646"/>
    <w:rsid w:val="0096376A"/>
    <w:rsid w:val="00964769"/>
    <w:rsid w:val="0096572C"/>
    <w:rsid w:val="009657E7"/>
    <w:rsid w:val="0096632D"/>
    <w:rsid w:val="00967124"/>
    <w:rsid w:val="009673EA"/>
    <w:rsid w:val="00967F00"/>
    <w:rsid w:val="0097025D"/>
    <w:rsid w:val="00970ADC"/>
    <w:rsid w:val="00970F2D"/>
    <w:rsid w:val="009710D8"/>
    <w:rsid w:val="0097166C"/>
    <w:rsid w:val="009718C7"/>
    <w:rsid w:val="00972518"/>
    <w:rsid w:val="009727A7"/>
    <w:rsid w:val="00973917"/>
    <w:rsid w:val="00973A99"/>
    <w:rsid w:val="0097559F"/>
    <w:rsid w:val="009761EA"/>
    <w:rsid w:val="009766B2"/>
    <w:rsid w:val="00976903"/>
    <w:rsid w:val="00977307"/>
    <w:rsid w:val="0097761E"/>
    <w:rsid w:val="00977C77"/>
    <w:rsid w:val="00977CAB"/>
    <w:rsid w:val="00977E0A"/>
    <w:rsid w:val="00977F89"/>
    <w:rsid w:val="00980C32"/>
    <w:rsid w:val="00981957"/>
    <w:rsid w:val="00981FFB"/>
    <w:rsid w:val="00982197"/>
    <w:rsid w:val="00982406"/>
    <w:rsid w:val="00982454"/>
    <w:rsid w:val="009826CF"/>
    <w:rsid w:val="00982865"/>
    <w:rsid w:val="00982891"/>
    <w:rsid w:val="00982950"/>
    <w:rsid w:val="00982996"/>
    <w:rsid w:val="00982CF0"/>
    <w:rsid w:val="00982E6E"/>
    <w:rsid w:val="0098504D"/>
    <w:rsid w:val="00985360"/>
    <w:rsid w:val="009853E1"/>
    <w:rsid w:val="00986066"/>
    <w:rsid w:val="00986128"/>
    <w:rsid w:val="0098661A"/>
    <w:rsid w:val="00986787"/>
    <w:rsid w:val="00986A9F"/>
    <w:rsid w:val="00986E6B"/>
    <w:rsid w:val="0098764F"/>
    <w:rsid w:val="00990032"/>
    <w:rsid w:val="00990A69"/>
    <w:rsid w:val="00990B19"/>
    <w:rsid w:val="00991516"/>
    <w:rsid w:val="0099153B"/>
    <w:rsid w:val="0099155C"/>
    <w:rsid w:val="00991769"/>
    <w:rsid w:val="0099232C"/>
    <w:rsid w:val="00992CD7"/>
    <w:rsid w:val="009940B7"/>
    <w:rsid w:val="00994386"/>
    <w:rsid w:val="00994E29"/>
    <w:rsid w:val="00994F36"/>
    <w:rsid w:val="009951BD"/>
    <w:rsid w:val="00996978"/>
    <w:rsid w:val="00997CA9"/>
    <w:rsid w:val="009A09F0"/>
    <w:rsid w:val="009A132E"/>
    <w:rsid w:val="009A13D8"/>
    <w:rsid w:val="009A1E5B"/>
    <w:rsid w:val="009A279E"/>
    <w:rsid w:val="009A3015"/>
    <w:rsid w:val="009A3490"/>
    <w:rsid w:val="009A34D8"/>
    <w:rsid w:val="009A3AA5"/>
    <w:rsid w:val="009A4CE4"/>
    <w:rsid w:val="009A4D17"/>
    <w:rsid w:val="009A5512"/>
    <w:rsid w:val="009A5E78"/>
    <w:rsid w:val="009A6130"/>
    <w:rsid w:val="009A6E2F"/>
    <w:rsid w:val="009A7683"/>
    <w:rsid w:val="009A7F19"/>
    <w:rsid w:val="009B07E5"/>
    <w:rsid w:val="009B0A6F"/>
    <w:rsid w:val="009B0A94"/>
    <w:rsid w:val="009B0BDF"/>
    <w:rsid w:val="009B0C62"/>
    <w:rsid w:val="009B1A12"/>
    <w:rsid w:val="009B23A8"/>
    <w:rsid w:val="009B24E1"/>
    <w:rsid w:val="009B2840"/>
    <w:rsid w:val="009B2AAC"/>
    <w:rsid w:val="009B2AE8"/>
    <w:rsid w:val="009B3212"/>
    <w:rsid w:val="009B378E"/>
    <w:rsid w:val="009B3D70"/>
    <w:rsid w:val="009B3DF3"/>
    <w:rsid w:val="009B3F45"/>
    <w:rsid w:val="009B441E"/>
    <w:rsid w:val="009B44A6"/>
    <w:rsid w:val="009B4AC1"/>
    <w:rsid w:val="009B5622"/>
    <w:rsid w:val="009B56A0"/>
    <w:rsid w:val="009B59E9"/>
    <w:rsid w:val="009B613F"/>
    <w:rsid w:val="009B64F0"/>
    <w:rsid w:val="009B69A6"/>
    <w:rsid w:val="009B70AA"/>
    <w:rsid w:val="009B746A"/>
    <w:rsid w:val="009B76BC"/>
    <w:rsid w:val="009B7A5F"/>
    <w:rsid w:val="009C1617"/>
    <w:rsid w:val="009C16DD"/>
    <w:rsid w:val="009C1774"/>
    <w:rsid w:val="009C245E"/>
    <w:rsid w:val="009C31CC"/>
    <w:rsid w:val="009C4CED"/>
    <w:rsid w:val="009C4D31"/>
    <w:rsid w:val="009C52C5"/>
    <w:rsid w:val="009C5E77"/>
    <w:rsid w:val="009C6442"/>
    <w:rsid w:val="009C712E"/>
    <w:rsid w:val="009C72C7"/>
    <w:rsid w:val="009C735C"/>
    <w:rsid w:val="009C7812"/>
    <w:rsid w:val="009C7A7E"/>
    <w:rsid w:val="009D0243"/>
    <w:rsid w:val="009D02E8"/>
    <w:rsid w:val="009D03E2"/>
    <w:rsid w:val="009D074E"/>
    <w:rsid w:val="009D0BFC"/>
    <w:rsid w:val="009D0C60"/>
    <w:rsid w:val="009D173D"/>
    <w:rsid w:val="009D2401"/>
    <w:rsid w:val="009D2472"/>
    <w:rsid w:val="009D51D0"/>
    <w:rsid w:val="009D5439"/>
    <w:rsid w:val="009D5AC3"/>
    <w:rsid w:val="009D70A4"/>
    <w:rsid w:val="009D7615"/>
    <w:rsid w:val="009D7B14"/>
    <w:rsid w:val="009D7F59"/>
    <w:rsid w:val="009E08D1"/>
    <w:rsid w:val="009E0D96"/>
    <w:rsid w:val="009E14C8"/>
    <w:rsid w:val="009E1B95"/>
    <w:rsid w:val="009E1D3D"/>
    <w:rsid w:val="009E2BA4"/>
    <w:rsid w:val="009E2CCF"/>
    <w:rsid w:val="009E2D1D"/>
    <w:rsid w:val="009E31C9"/>
    <w:rsid w:val="009E496F"/>
    <w:rsid w:val="009E4B0D"/>
    <w:rsid w:val="009E5250"/>
    <w:rsid w:val="009E5586"/>
    <w:rsid w:val="009E6339"/>
    <w:rsid w:val="009E6D44"/>
    <w:rsid w:val="009E6EEA"/>
    <w:rsid w:val="009E7A02"/>
    <w:rsid w:val="009E7A69"/>
    <w:rsid w:val="009E7F92"/>
    <w:rsid w:val="009F0059"/>
    <w:rsid w:val="009F02A3"/>
    <w:rsid w:val="009F14D0"/>
    <w:rsid w:val="009F2182"/>
    <w:rsid w:val="009F2B59"/>
    <w:rsid w:val="009F2F27"/>
    <w:rsid w:val="009F34AA"/>
    <w:rsid w:val="009F3712"/>
    <w:rsid w:val="009F442E"/>
    <w:rsid w:val="009F4A88"/>
    <w:rsid w:val="009F572B"/>
    <w:rsid w:val="009F6653"/>
    <w:rsid w:val="009F6BCB"/>
    <w:rsid w:val="009F7A09"/>
    <w:rsid w:val="009F7B78"/>
    <w:rsid w:val="00A004EF"/>
    <w:rsid w:val="00A0057A"/>
    <w:rsid w:val="00A00A70"/>
    <w:rsid w:val="00A00E14"/>
    <w:rsid w:val="00A00F44"/>
    <w:rsid w:val="00A012E7"/>
    <w:rsid w:val="00A0230E"/>
    <w:rsid w:val="00A028C2"/>
    <w:rsid w:val="00A02FA1"/>
    <w:rsid w:val="00A03494"/>
    <w:rsid w:val="00A042D7"/>
    <w:rsid w:val="00A0491A"/>
    <w:rsid w:val="00A04B4D"/>
    <w:rsid w:val="00A04CCE"/>
    <w:rsid w:val="00A04EB0"/>
    <w:rsid w:val="00A04F2B"/>
    <w:rsid w:val="00A05B27"/>
    <w:rsid w:val="00A05D26"/>
    <w:rsid w:val="00A0658F"/>
    <w:rsid w:val="00A067AD"/>
    <w:rsid w:val="00A06E03"/>
    <w:rsid w:val="00A070EA"/>
    <w:rsid w:val="00A07421"/>
    <w:rsid w:val="00A0776B"/>
    <w:rsid w:val="00A1024B"/>
    <w:rsid w:val="00A10402"/>
    <w:rsid w:val="00A10FB9"/>
    <w:rsid w:val="00A11421"/>
    <w:rsid w:val="00A1169A"/>
    <w:rsid w:val="00A12B44"/>
    <w:rsid w:val="00A13079"/>
    <w:rsid w:val="00A131C0"/>
    <w:rsid w:val="00A1389F"/>
    <w:rsid w:val="00A13B7A"/>
    <w:rsid w:val="00A142DD"/>
    <w:rsid w:val="00A143AA"/>
    <w:rsid w:val="00A157B1"/>
    <w:rsid w:val="00A158B3"/>
    <w:rsid w:val="00A16C40"/>
    <w:rsid w:val="00A172AE"/>
    <w:rsid w:val="00A17FCD"/>
    <w:rsid w:val="00A2043C"/>
    <w:rsid w:val="00A20630"/>
    <w:rsid w:val="00A206B0"/>
    <w:rsid w:val="00A207C5"/>
    <w:rsid w:val="00A20B68"/>
    <w:rsid w:val="00A21959"/>
    <w:rsid w:val="00A22229"/>
    <w:rsid w:val="00A2303E"/>
    <w:rsid w:val="00A237F6"/>
    <w:rsid w:val="00A24442"/>
    <w:rsid w:val="00A24A81"/>
    <w:rsid w:val="00A24ADA"/>
    <w:rsid w:val="00A2569A"/>
    <w:rsid w:val="00A25CF8"/>
    <w:rsid w:val="00A25DA4"/>
    <w:rsid w:val="00A26E4B"/>
    <w:rsid w:val="00A27154"/>
    <w:rsid w:val="00A272FD"/>
    <w:rsid w:val="00A2739B"/>
    <w:rsid w:val="00A275BA"/>
    <w:rsid w:val="00A27F76"/>
    <w:rsid w:val="00A27F79"/>
    <w:rsid w:val="00A30F73"/>
    <w:rsid w:val="00A31032"/>
    <w:rsid w:val="00A32577"/>
    <w:rsid w:val="00A330BB"/>
    <w:rsid w:val="00A33741"/>
    <w:rsid w:val="00A36B45"/>
    <w:rsid w:val="00A36DCD"/>
    <w:rsid w:val="00A3700C"/>
    <w:rsid w:val="00A3702D"/>
    <w:rsid w:val="00A37A12"/>
    <w:rsid w:val="00A37C07"/>
    <w:rsid w:val="00A40009"/>
    <w:rsid w:val="00A403FB"/>
    <w:rsid w:val="00A4099B"/>
    <w:rsid w:val="00A419B6"/>
    <w:rsid w:val="00A43EE9"/>
    <w:rsid w:val="00A444BE"/>
    <w:rsid w:val="00A446F5"/>
    <w:rsid w:val="00A44882"/>
    <w:rsid w:val="00A449ED"/>
    <w:rsid w:val="00A44AFD"/>
    <w:rsid w:val="00A44F98"/>
    <w:rsid w:val="00A45125"/>
    <w:rsid w:val="00A45402"/>
    <w:rsid w:val="00A45DE3"/>
    <w:rsid w:val="00A5031E"/>
    <w:rsid w:val="00A5048B"/>
    <w:rsid w:val="00A50659"/>
    <w:rsid w:val="00A51161"/>
    <w:rsid w:val="00A526B6"/>
    <w:rsid w:val="00A528F7"/>
    <w:rsid w:val="00A53068"/>
    <w:rsid w:val="00A53C23"/>
    <w:rsid w:val="00A53DAA"/>
    <w:rsid w:val="00A53FED"/>
    <w:rsid w:val="00A545E0"/>
    <w:rsid w:val="00A54715"/>
    <w:rsid w:val="00A5657A"/>
    <w:rsid w:val="00A56BD2"/>
    <w:rsid w:val="00A573A0"/>
    <w:rsid w:val="00A604CC"/>
    <w:rsid w:val="00A6061C"/>
    <w:rsid w:val="00A61551"/>
    <w:rsid w:val="00A62469"/>
    <w:rsid w:val="00A624E1"/>
    <w:rsid w:val="00A62D44"/>
    <w:rsid w:val="00A64189"/>
    <w:rsid w:val="00A647E7"/>
    <w:rsid w:val="00A651B4"/>
    <w:rsid w:val="00A65791"/>
    <w:rsid w:val="00A65D05"/>
    <w:rsid w:val="00A65E88"/>
    <w:rsid w:val="00A66BCF"/>
    <w:rsid w:val="00A66E97"/>
    <w:rsid w:val="00A67263"/>
    <w:rsid w:val="00A67651"/>
    <w:rsid w:val="00A67B23"/>
    <w:rsid w:val="00A705DE"/>
    <w:rsid w:val="00A70636"/>
    <w:rsid w:val="00A706A1"/>
    <w:rsid w:val="00A70886"/>
    <w:rsid w:val="00A7161C"/>
    <w:rsid w:val="00A71A04"/>
    <w:rsid w:val="00A71CE4"/>
    <w:rsid w:val="00A72600"/>
    <w:rsid w:val="00A72692"/>
    <w:rsid w:val="00A7376D"/>
    <w:rsid w:val="00A73C5E"/>
    <w:rsid w:val="00A74516"/>
    <w:rsid w:val="00A74919"/>
    <w:rsid w:val="00A751A1"/>
    <w:rsid w:val="00A75A76"/>
    <w:rsid w:val="00A762E8"/>
    <w:rsid w:val="00A76BAC"/>
    <w:rsid w:val="00A76D81"/>
    <w:rsid w:val="00A770A8"/>
    <w:rsid w:val="00A77719"/>
    <w:rsid w:val="00A77AA3"/>
    <w:rsid w:val="00A8219C"/>
    <w:rsid w:val="00A8236D"/>
    <w:rsid w:val="00A82549"/>
    <w:rsid w:val="00A82743"/>
    <w:rsid w:val="00A82D0E"/>
    <w:rsid w:val="00A845CD"/>
    <w:rsid w:val="00A84F7A"/>
    <w:rsid w:val="00A8528C"/>
    <w:rsid w:val="00A854EB"/>
    <w:rsid w:val="00A872E5"/>
    <w:rsid w:val="00A872F1"/>
    <w:rsid w:val="00A874CA"/>
    <w:rsid w:val="00A9000E"/>
    <w:rsid w:val="00A904E5"/>
    <w:rsid w:val="00A9080E"/>
    <w:rsid w:val="00A91406"/>
    <w:rsid w:val="00A91ACF"/>
    <w:rsid w:val="00A91E3B"/>
    <w:rsid w:val="00A93407"/>
    <w:rsid w:val="00A9368B"/>
    <w:rsid w:val="00A941C3"/>
    <w:rsid w:val="00A9462F"/>
    <w:rsid w:val="00A96627"/>
    <w:rsid w:val="00A96985"/>
    <w:rsid w:val="00A969F3"/>
    <w:rsid w:val="00A96B2D"/>
    <w:rsid w:val="00A96B8F"/>
    <w:rsid w:val="00A96E65"/>
    <w:rsid w:val="00A96ECE"/>
    <w:rsid w:val="00A97335"/>
    <w:rsid w:val="00A97999"/>
    <w:rsid w:val="00A97C72"/>
    <w:rsid w:val="00AA05E3"/>
    <w:rsid w:val="00AA0835"/>
    <w:rsid w:val="00AA0986"/>
    <w:rsid w:val="00AA0DE0"/>
    <w:rsid w:val="00AA122F"/>
    <w:rsid w:val="00AA124F"/>
    <w:rsid w:val="00AA1626"/>
    <w:rsid w:val="00AA22C5"/>
    <w:rsid w:val="00AA24EF"/>
    <w:rsid w:val="00AA2B3A"/>
    <w:rsid w:val="00AA2BA0"/>
    <w:rsid w:val="00AA2CB4"/>
    <w:rsid w:val="00AA30A7"/>
    <w:rsid w:val="00AA30BB"/>
    <w:rsid w:val="00AA310B"/>
    <w:rsid w:val="00AA39AD"/>
    <w:rsid w:val="00AA46B5"/>
    <w:rsid w:val="00AA56EF"/>
    <w:rsid w:val="00AA57BF"/>
    <w:rsid w:val="00AA63D4"/>
    <w:rsid w:val="00AA7481"/>
    <w:rsid w:val="00AA7D32"/>
    <w:rsid w:val="00AB06E8"/>
    <w:rsid w:val="00AB0723"/>
    <w:rsid w:val="00AB0CEB"/>
    <w:rsid w:val="00AB127D"/>
    <w:rsid w:val="00AB1CD3"/>
    <w:rsid w:val="00AB1D30"/>
    <w:rsid w:val="00AB2846"/>
    <w:rsid w:val="00AB2F3D"/>
    <w:rsid w:val="00AB352F"/>
    <w:rsid w:val="00AB3BA6"/>
    <w:rsid w:val="00AB4922"/>
    <w:rsid w:val="00AB4E0F"/>
    <w:rsid w:val="00AB587F"/>
    <w:rsid w:val="00AB6376"/>
    <w:rsid w:val="00AB6D5A"/>
    <w:rsid w:val="00AB6FB6"/>
    <w:rsid w:val="00AB7274"/>
    <w:rsid w:val="00AB761A"/>
    <w:rsid w:val="00AB7A89"/>
    <w:rsid w:val="00AC024A"/>
    <w:rsid w:val="00AC1491"/>
    <w:rsid w:val="00AC1A93"/>
    <w:rsid w:val="00AC1AA6"/>
    <w:rsid w:val="00AC209A"/>
    <w:rsid w:val="00AC246E"/>
    <w:rsid w:val="00AC264E"/>
    <w:rsid w:val="00AC26AA"/>
    <w:rsid w:val="00AC2740"/>
    <w:rsid w:val="00AC274B"/>
    <w:rsid w:val="00AC3A12"/>
    <w:rsid w:val="00AC3BBF"/>
    <w:rsid w:val="00AC3F09"/>
    <w:rsid w:val="00AC440F"/>
    <w:rsid w:val="00AC4764"/>
    <w:rsid w:val="00AC490F"/>
    <w:rsid w:val="00AC52D2"/>
    <w:rsid w:val="00AC5F1D"/>
    <w:rsid w:val="00AC64A0"/>
    <w:rsid w:val="00AC6B01"/>
    <w:rsid w:val="00AC6D36"/>
    <w:rsid w:val="00AD0B4D"/>
    <w:rsid w:val="00AD0CBA"/>
    <w:rsid w:val="00AD1E42"/>
    <w:rsid w:val="00AD1FAD"/>
    <w:rsid w:val="00AD26E2"/>
    <w:rsid w:val="00AD271B"/>
    <w:rsid w:val="00AD276F"/>
    <w:rsid w:val="00AD2820"/>
    <w:rsid w:val="00AD2EF3"/>
    <w:rsid w:val="00AD33A6"/>
    <w:rsid w:val="00AD460A"/>
    <w:rsid w:val="00AD4C02"/>
    <w:rsid w:val="00AD4C45"/>
    <w:rsid w:val="00AD5327"/>
    <w:rsid w:val="00AD53EA"/>
    <w:rsid w:val="00AD54C1"/>
    <w:rsid w:val="00AD55A4"/>
    <w:rsid w:val="00AD5A06"/>
    <w:rsid w:val="00AD64F6"/>
    <w:rsid w:val="00AD784C"/>
    <w:rsid w:val="00AD7CFE"/>
    <w:rsid w:val="00AD7E23"/>
    <w:rsid w:val="00AE05B7"/>
    <w:rsid w:val="00AE0962"/>
    <w:rsid w:val="00AE11B5"/>
    <w:rsid w:val="00AE126A"/>
    <w:rsid w:val="00AE1623"/>
    <w:rsid w:val="00AE1BAE"/>
    <w:rsid w:val="00AE1FB8"/>
    <w:rsid w:val="00AE206E"/>
    <w:rsid w:val="00AE3005"/>
    <w:rsid w:val="00AE3A09"/>
    <w:rsid w:val="00AE3BD5"/>
    <w:rsid w:val="00AE3E4D"/>
    <w:rsid w:val="00AE419F"/>
    <w:rsid w:val="00AE57DF"/>
    <w:rsid w:val="00AE59A0"/>
    <w:rsid w:val="00AE59B4"/>
    <w:rsid w:val="00AE5B83"/>
    <w:rsid w:val="00AE64DC"/>
    <w:rsid w:val="00AE6528"/>
    <w:rsid w:val="00AE7C47"/>
    <w:rsid w:val="00AE7F23"/>
    <w:rsid w:val="00AF020D"/>
    <w:rsid w:val="00AF0496"/>
    <w:rsid w:val="00AF0C57"/>
    <w:rsid w:val="00AF1059"/>
    <w:rsid w:val="00AF1129"/>
    <w:rsid w:val="00AF18F3"/>
    <w:rsid w:val="00AF26F3"/>
    <w:rsid w:val="00AF2B1A"/>
    <w:rsid w:val="00AF39F9"/>
    <w:rsid w:val="00AF3D3E"/>
    <w:rsid w:val="00AF56E7"/>
    <w:rsid w:val="00AF5F04"/>
    <w:rsid w:val="00AF67C0"/>
    <w:rsid w:val="00AF6B29"/>
    <w:rsid w:val="00AF74AF"/>
    <w:rsid w:val="00B00672"/>
    <w:rsid w:val="00B00B3E"/>
    <w:rsid w:val="00B00B95"/>
    <w:rsid w:val="00B010BE"/>
    <w:rsid w:val="00B012A2"/>
    <w:rsid w:val="00B01AC8"/>
    <w:rsid w:val="00B01B4D"/>
    <w:rsid w:val="00B027AB"/>
    <w:rsid w:val="00B04446"/>
    <w:rsid w:val="00B04489"/>
    <w:rsid w:val="00B057B6"/>
    <w:rsid w:val="00B05D7B"/>
    <w:rsid w:val="00B06571"/>
    <w:rsid w:val="00B066AE"/>
    <w:rsid w:val="00B068BA"/>
    <w:rsid w:val="00B07217"/>
    <w:rsid w:val="00B07759"/>
    <w:rsid w:val="00B07D5C"/>
    <w:rsid w:val="00B105A1"/>
    <w:rsid w:val="00B10E2E"/>
    <w:rsid w:val="00B10FA6"/>
    <w:rsid w:val="00B11164"/>
    <w:rsid w:val="00B118BB"/>
    <w:rsid w:val="00B11E30"/>
    <w:rsid w:val="00B11F16"/>
    <w:rsid w:val="00B130BC"/>
    <w:rsid w:val="00B13479"/>
    <w:rsid w:val="00B13851"/>
    <w:rsid w:val="00B13B1C"/>
    <w:rsid w:val="00B14B5F"/>
    <w:rsid w:val="00B15A7E"/>
    <w:rsid w:val="00B1613A"/>
    <w:rsid w:val="00B16A18"/>
    <w:rsid w:val="00B17256"/>
    <w:rsid w:val="00B1767E"/>
    <w:rsid w:val="00B207F0"/>
    <w:rsid w:val="00B21F90"/>
    <w:rsid w:val="00B22291"/>
    <w:rsid w:val="00B22970"/>
    <w:rsid w:val="00B22A2E"/>
    <w:rsid w:val="00B23078"/>
    <w:rsid w:val="00B236AA"/>
    <w:rsid w:val="00B239CB"/>
    <w:rsid w:val="00B23EDC"/>
    <w:rsid w:val="00B23F9A"/>
    <w:rsid w:val="00B2417B"/>
    <w:rsid w:val="00B24E6F"/>
    <w:rsid w:val="00B25792"/>
    <w:rsid w:val="00B26166"/>
    <w:rsid w:val="00B26CB5"/>
    <w:rsid w:val="00B2727C"/>
    <w:rsid w:val="00B2752E"/>
    <w:rsid w:val="00B30039"/>
    <w:rsid w:val="00B307CC"/>
    <w:rsid w:val="00B30C3C"/>
    <w:rsid w:val="00B31CE1"/>
    <w:rsid w:val="00B32610"/>
    <w:rsid w:val="00B326B7"/>
    <w:rsid w:val="00B326D2"/>
    <w:rsid w:val="00B326FA"/>
    <w:rsid w:val="00B33248"/>
    <w:rsid w:val="00B334A2"/>
    <w:rsid w:val="00B343EF"/>
    <w:rsid w:val="00B34C97"/>
    <w:rsid w:val="00B34DFA"/>
    <w:rsid w:val="00B34FE9"/>
    <w:rsid w:val="00B35316"/>
    <w:rsid w:val="00B3588E"/>
    <w:rsid w:val="00B360BA"/>
    <w:rsid w:val="00B367FD"/>
    <w:rsid w:val="00B3769E"/>
    <w:rsid w:val="00B37F8F"/>
    <w:rsid w:val="00B4014D"/>
    <w:rsid w:val="00B404DE"/>
    <w:rsid w:val="00B4050E"/>
    <w:rsid w:val="00B4198F"/>
    <w:rsid w:val="00B41A21"/>
    <w:rsid w:val="00B41F3D"/>
    <w:rsid w:val="00B4297B"/>
    <w:rsid w:val="00B431E8"/>
    <w:rsid w:val="00B43640"/>
    <w:rsid w:val="00B43BB7"/>
    <w:rsid w:val="00B44D4D"/>
    <w:rsid w:val="00B450DB"/>
    <w:rsid w:val="00B45141"/>
    <w:rsid w:val="00B46016"/>
    <w:rsid w:val="00B46AB8"/>
    <w:rsid w:val="00B46DE8"/>
    <w:rsid w:val="00B4714A"/>
    <w:rsid w:val="00B47229"/>
    <w:rsid w:val="00B47474"/>
    <w:rsid w:val="00B501B5"/>
    <w:rsid w:val="00B50EFC"/>
    <w:rsid w:val="00B5164A"/>
    <w:rsid w:val="00B519CD"/>
    <w:rsid w:val="00B520E6"/>
    <w:rsid w:val="00B52551"/>
    <w:rsid w:val="00B5273A"/>
    <w:rsid w:val="00B52E5D"/>
    <w:rsid w:val="00B5307B"/>
    <w:rsid w:val="00B5311F"/>
    <w:rsid w:val="00B5357D"/>
    <w:rsid w:val="00B53BFC"/>
    <w:rsid w:val="00B5482E"/>
    <w:rsid w:val="00B5499E"/>
    <w:rsid w:val="00B549AF"/>
    <w:rsid w:val="00B55169"/>
    <w:rsid w:val="00B55335"/>
    <w:rsid w:val="00B558B7"/>
    <w:rsid w:val="00B55EF1"/>
    <w:rsid w:val="00B56353"/>
    <w:rsid w:val="00B56A53"/>
    <w:rsid w:val="00B56CF2"/>
    <w:rsid w:val="00B56D7E"/>
    <w:rsid w:val="00B57252"/>
    <w:rsid w:val="00B57329"/>
    <w:rsid w:val="00B574C6"/>
    <w:rsid w:val="00B60434"/>
    <w:rsid w:val="00B60E61"/>
    <w:rsid w:val="00B61DF3"/>
    <w:rsid w:val="00B626A1"/>
    <w:rsid w:val="00B62B50"/>
    <w:rsid w:val="00B62DEE"/>
    <w:rsid w:val="00B635B7"/>
    <w:rsid w:val="00B63AE8"/>
    <w:rsid w:val="00B63DBE"/>
    <w:rsid w:val="00B63EB4"/>
    <w:rsid w:val="00B64CFB"/>
    <w:rsid w:val="00B64F7C"/>
    <w:rsid w:val="00B65397"/>
    <w:rsid w:val="00B65950"/>
    <w:rsid w:val="00B65CCF"/>
    <w:rsid w:val="00B66604"/>
    <w:rsid w:val="00B6688F"/>
    <w:rsid w:val="00B66D83"/>
    <w:rsid w:val="00B672C0"/>
    <w:rsid w:val="00B676FD"/>
    <w:rsid w:val="00B678B6"/>
    <w:rsid w:val="00B67C6A"/>
    <w:rsid w:val="00B70D9B"/>
    <w:rsid w:val="00B7118C"/>
    <w:rsid w:val="00B713C7"/>
    <w:rsid w:val="00B7226D"/>
    <w:rsid w:val="00B728DA"/>
    <w:rsid w:val="00B72E5B"/>
    <w:rsid w:val="00B7325F"/>
    <w:rsid w:val="00B73C8C"/>
    <w:rsid w:val="00B74453"/>
    <w:rsid w:val="00B75646"/>
    <w:rsid w:val="00B757E0"/>
    <w:rsid w:val="00B7629E"/>
    <w:rsid w:val="00B7745C"/>
    <w:rsid w:val="00B8131D"/>
    <w:rsid w:val="00B816A8"/>
    <w:rsid w:val="00B83418"/>
    <w:rsid w:val="00B83739"/>
    <w:rsid w:val="00B837D6"/>
    <w:rsid w:val="00B83B7F"/>
    <w:rsid w:val="00B83C53"/>
    <w:rsid w:val="00B83FB5"/>
    <w:rsid w:val="00B85113"/>
    <w:rsid w:val="00B8553E"/>
    <w:rsid w:val="00B85D39"/>
    <w:rsid w:val="00B86E46"/>
    <w:rsid w:val="00B87A96"/>
    <w:rsid w:val="00B901A8"/>
    <w:rsid w:val="00B90729"/>
    <w:rsid w:val="00B907DA"/>
    <w:rsid w:val="00B90B09"/>
    <w:rsid w:val="00B91416"/>
    <w:rsid w:val="00B922E4"/>
    <w:rsid w:val="00B92F68"/>
    <w:rsid w:val="00B9325C"/>
    <w:rsid w:val="00B94704"/>
    <w:rsid w:val="00B94C5E"/>
    <w:rsid w:val="00B94EB6"/>
    <w:rsid w:val="00B950BC"/>
    <w:rsid w:val="00B95263"/>
    <w:rsid w:val="00B95A9D"/>
    <w:rsid w:val="00B96A10"/>
    <w:rsid w:val="00B9714C"/>
    <w:rsid w:val="00B974D2"/>
    <w:rsid w:val="00B97F64"/>
    <w:rsid w:val="00BA037C"/>
    <w:rsid w:val="00BA1024"/>
    <w:rsid w:val="00BA20F3"/>
    <w:rsid w:val="00BA23D1"/>
    <w:rsid w:val="00BA26F6"/>
    <w:rsid w:val="00BA28EF"/>
    <w:rsid w:val="00BA29AD"/>
    <w:rsid w:val="00BA33CF"/>
    <w:rsid w:val="00BA33DA"/>
    <w:rsid w:val="00BA34DB"/>
    <w:rsid w:val="00BA3B24"/>
    <w:rsid w:val="00BA3E05"/>
    <w:rsid w:val="00BA3F8D"/>
    <w:rsid w:val="00BA46EF"/>
    <w:rsid w:val="00BA49A4"/>
    <w:rsid w:val="00BA56A8"/>
    <w:rsid w:val="00BA6BF7"/>
    <w:rsid w:val="00BA6F0A"/>
    <w:rsid w:val="00BA6F19"/>
    <w:rsid w:val="00BA7398"/>
    <w:rsid w:val="00BA7954"/>
    <w:rsid w:val="00BB24D8"/>
    <w:rsid w:val="00BB342B"/>
    <w:rsid w:val="00BB3B17"/>
    <w:rsid w:val="00BB3DE8"/>
    <w:rsid w:val="00BB4E42"/>
    <w:rsid w:val="00BB5DD5"/>
    <w:rsid w:val="00BB6049"/>
    <w:rsid w:val="00BB672D"/>
    <w:rsid w:val="00BB6872"/>
    <w:rsid w:val="00BB6971"/>
    <w:rsid w:val="00BB74AC"/>
    <w:rsid w:val="00BB7A10"/>
    <w:rsid w:val="00BB7BE2"/>
    <w:rsid w:val="00BC03FC"/>
    <w:rsid w:val="00BC194E"/>
    <w:rsid w:val="00BC2505"/>
    <w:rsid w:val="00BC299E"/>
    <w:rsid w:val="00BC2A35"/>
    <w:rsid w:val="00BC2D46"/>
    <w:rsid w:val="00BC3027"/>
    <w:rsid w:val="00BC31CB"/>
    <w:rsid w:val="00BC3258"/>
    <w:rsid w:val="00BC35DA"/>
    <w:rsid w:val="00BC3D8E"/>
    <w:rsid w:val="00BC54B7"/>
    <w:rsid w:val="00BC5745"/>
    <w:rsid w:val="00BC58DD"/>
    <w:rsid w:val="00BC60BE"/>
    <w:rsid w:val="00BC6983"/>
    <w:rsid w:val="00BC7468"/>
    <w:rsid w:val="00BC78F0"/>
    <w:rsid w:val="00BC7D4F"/>
    <w:rsid w:val="00BC7ED7"/>
    <w:rsid w:val="00BD0862"/>
    <w:rsid w:val="00BD2850"/>
    <w:rsid w:val="00BD2D97"/>
    <w:rsid w:val="00BD38DB"/>
    <w:rsid w:val="00BD3A36"/>
    <w:rsid w:val="00BD41C4"/>
    <w:rsid w:val="00BD5937"/>
    <w:rsid w:val="00BD6B9D"/>
    <w:rsid w:val="00BD6C5F"/>
    <w:rsid w:val="00BD713D"/>
    <w:rsid w:val="00BE2342"/>
    <w:rsid w:val="00BE24BF"/>
    <w:rsid w:val="00BE28D2"/>
    <w:rsid w:val="00BE2962"/>
    <w:rsid w:val="00BE34AC"/>
    <w:rsid w:val="00BE449A"/>
    <w:rsid w:val="00BE47BD"/>
    <w:rsid w:val="00BE489C"/>
    <w:rsid w:val="00BE4A64"/>
    <w:rsid w:val="00BE4EA8"/>
    <w:rsid w:val="00BE561A"/>
    <w:rsid w:val="00BE5E43"/>
    <w:rsid w:val="00BE7120"/>
    <w:rsid w:val="00BE74D4"/>
    <w:rsid w:val="00BE78F8"/>
    <w:rsid w:val="00BE7EF0"/>
    <w:rsid w:val="00BF0A23"/>
    <w:rsid w:val="00BF0DA9"/>
    <w:rsid w:val="00BF1D58"/>
    <w:rsid w:val="00BF1FA2"/>
    <w:rsid w:val="00BF2A39"/>
    <w:rsid w:val="00BF3DAF"/>
    <w:rsid w:val="00BF3E79"/>
    <w:rsid w:val="00BF447A"/>
    <w:rsid w:val="00BF557D"/>
    <w:rsid w:val="00BF59EF"/>
    <w:rsid w:val="00BF658D"/>
    <w:rsid w:val="00BF6BC5"/>
    <w:rsid w:val="00BF7909"/>
    <w:rsid w:val="00BF7F58"/>
    <w:rsid w:val="00C00E4A"/>
    <w:rsid w:val="00C01381"/>
    <w:rsid w:val="00C01AB1"/>
    <w:rsid w:val="00C01F23"/>
    <w:rsid w:val="00C026A0"/>
    <w:rsid w:val="00C02F1D"/>
    <w:rsid w:val="00C036AE"/>
    <w:rsid w:val="00C03B2C"/>
    <w:rsid w:val="00C047EF"/>
    <w:rsid w:val="00C05A12"/>
    <w:rsid w:val="00C05AFD"/>
    <w:rsid w:val="00C06137"/>
    <w:rsid w:val="00C06929"/>
    <w:rsid w:val="00C06C48"/>
    <w:rsid w:val="00C06F04"/>
    <w:rsid w:val="00C079B8"/>
    <w:rsid w:val="00C10037"/>
    <w:rsid w:val="00C100C6"/>
    <w:rsid w:val="00C10192"/>
    <w:rsid w:val="00C10490"/>
    <w:rsid w:val="00C10CA3"/>
    <w:rsid w:val="00C115E1"/>
    <w:rsid w:val="00C11882"/>
    <w:rsid w:val="00C11F0F"/>
    <w:rsid w:val="00C1202B"/>
    <w:rsid w:val="00C12243"/>
    <w:rsid w:val="00C123EA"/>
    <w:rsid w:val="00C1242F"/>
    <w:rsid w:val="00C128FC"/>
    <w:rsid w:val="00C12A49"/>
    <w:rsid w:val="00C13287"/>
    <w:rsid w:val="00C133EE"/>
    <w:rsid w:val="00C13403"/>
    <w:rsid w:val="00C13C7E"/>
    <w:rsid w:val="00C13F85"/>
    <w:rsid w:val="00C13FCA"/>
    <w:rsid w:val="00C143EA"/>
    <w:rsid w:val="00C149D0"/>
    <w:rsid w:val="00C15E30"/>
    <w:rsid w:val="00C1611B"/>
    <w:rsid w:val="00C162FF"/>
    <w:rsid w:val="00C16751"/>
    <w:rsid w:val="00C1680A"/>
    <w:rsid w:val="00C16BF6"/>
    <w:rsid w:val="00C208DE"/>
    <w:rsid w:val="00C214CC"/>
    <w:rsid w:val="00C21AB1"/>
    <w:rsid w:val="00C21F08"/>
    <w:rsid w:val="00C226F5"/>
    <w:rsid w:val="00C22DA3"/>
    <w:rsid w:val="00C23CAD"/>
    <w:rsid w:val="00C24105"/>
    <w:rsid w:val="00C243E7"/>
    <w:rsid w:val="00C24635"/>
    <w:rsid w:val="00C24CBC"/>
    <w:rsid w:val="00C24D6A"/>
    <w:rsid w:val="00C25083"/>
    <w:rsid w:val="00C255F2"/>
    <w:rsid w:val="00C25CDE"/>
    <w:rsid w:val="00C264B2"/>
    <w:rsid w:val="00C26588"/>
    <w:rsid w:val="00C26A69"/>
    <w:rsid w:val="00C27A5A"/>
    <w:rsid w:val="00C27DE9"/>
    <w:rsid w:val="00C3058A"/>
    <w:rsid w:val="00C3170E"/>
    <w:rsid w:val="00C31EEF"/>
    <w:rsid w:val="00C32989"/>
    <w:rsid w:val="00C32B89"/>
    <w:rsid w:val="00C33388"/>
    <w:rsid w:val="00C337BC"/>
    <w:rsid w:val="00C33B3F"/>
    <w:rsid w:val="00C33ECB"/>
    <w:rsid w:val="00C35484"/>
    <w:rsid w:val="00C36229"/>
    <w:rsid w:val="00C37171"/>
    <w:rsid w:val="00C37C88"/>
    <w:rsid w:val="00C40AE1"/>
    <w:rsid w:val="00C411D7"/>
    <w:rsid w:val="00C4142B"/>
    <w:rsid w:val="00C41503"/>
    <w:rsid w:val="00C4150C"/>
    <w:rsid w:val="00C4173A"/>
    <w:rsid w:val="00C41EFB"/>
    <w:rsid w:val="00C422F6"/>
    <w:rsid w:val="00C42741"/>
    <w:rsid w:val="00C42E92"/>
    <w:rsid w:val="00C42F9B"/>
    <w:rsid w:val="00C43AB6"/>
    <w:rsid w:val="00C43D17"/>
    <w:rsid w:val="00C4478F"/>
    <w:rsid w:val="00C44F23"/>
    <w:rsid w:val="00C45CE1"/>
    <w:rsid w:val="00C46449"/>
    <w:rsid w:val="00C46815"/>
    <w:rsid w:val="00C469BB"/>
    <w:rsid w:val="00C47408"/>
    <w:rsid w:val="00C50094"/>
    <w:rsid w:val="00C50CD4"/>
    <w:rsid w:val="00C50DED"/>
    <w:rsid w:val="00C51DF6"/>
    <w:rsid w:val="00C521B7"/>
    <w:rsid w:val="00C52217"/>
    <w:rsid w:val="00C53A55"/>
    <w:rsid w:val="00C53FB0"/>
    <w:rsid w:val="00C54303"/>
    <w:rsid w:val="00C56461"/>
    <w:rsid w:val="00C57AC3"/>
    <w:rsid w:val="00C602D1"/>
    <w:rsid w:val="00C602FF"/>
    <w:rsid w:val="00C60411"/>
    <w:rsid w:val="00C6051B"/>
    <w:rsid w:val="00C61174"/>
    <w:rsid w:val="00C6148F"/>
    <w:rsid w:val="00C61799"/>
    <w:rsid w:val="00C621B1"/>
    <w:rsid w:val="00C6255C"/>
    <w:rsid w:val="00C62F7A"/>
    <w:rsid w:val="00C63B9C"/>
    <w:rsid w:val="00C64138"/>
    <w:rsid w:val="00C65627"/>
    <w:rsid w:val="00C65CAB"/>
    <w:rsid w:val="00C65CE9"/>
    <w:rsid w:val="00C6605F"/>
    <w:rsid w:val="00C667A7"/>
    <w:rsid w:val="00C6682F"/>
    <w:rsid w:val="00C6699B"/>
    <w:rsid w:val="00C66C93"/>
    <w:rsid w:val="00C67BF4"/>
    <w:rsid w:val="00C70177"/>
    <w:rsid w:val="00C70A7A"/>
    <w:rsid w:val="00C70EDD"/>
    <w:rsid w:val="00C71027"/>
    <w:rsid w:val="00C71691"/>
    <w:rsid w:val="00C71E6B"/>
    <w:rsid w:val="00C71E7B"/>
    <w:rsid w:val="00C71F5B"/>
    <w:rsid w:val="00C72709"/>
    <w:rsid w:val="00C7275E"/>
    <w:rsid w:val="00C731AF"/>
    <w:rsid w:val="00C74C5D"/>
    <w:rsid w:val="00C74E97"/>
    <w:rsid w:val="00C75920"/>
    <w:rsid w:val="00C75D4A"/>
    <w:rsid w:val="00C75DBD"/>
    <w:rsid w:val="00C762FE"/>
    <w:rsid w:val="00C76679"/>
    <w:rsid w:val="00C76C44"/>
    <w:rsid w:val="00C77187"/>
    <w:rsid w:val="00C7742A"/>
    <w:rsid w:val="00C801EB"/>
    <w:rsid w:val="00C80E12"/>
    <w:rsid w:val="00C81725"/>
    <w:rsid w:val="00C81844"/>
    <w:rsid w:val="00C83AFE"/>
    <w:rsid w:val="00C83FF4"/>
    <w:rsid w:val="00C85784"/>
    <w:rsid w:val="00C85ED3"/>
    <w:rsid w:val="00C863C4"/>
    <w:rsid w:val="00C86495"/>
    <w:rsid w:val="00C86F32"/>
    <w:rsid w:val="00C87E2A"/>
    <w:rsid w:val="00C906CB"/>
    <w:rsid w:val="00C90DAB"/>
    <w:rsid w:val="00C90E92"/>
    <w:rsid w:val="00C919E3"/>
    <w:rsid w:val="00C91A80"/>
    <w:rsid w:val="00C920EA"/>
    <w:rsid w:val="00C926FF"/>
    <w:rsid w:val="00C92D34"/>
    <w:rsid w:val="00C93C3E"/>
    <w:rsid w:val="00C9482F"/>
    <w:rsid w:val="00C94A40"/>
    <w:rsid w:val="00C94BB1"/>
    <w:rsid w:val="00C94D03"/>
    <w:rsid w:val="00C95284"/>
    <w:rsid w:val="00C958A4"/>
    <w:rsid w:val="00C95A39"/>
    <w:rsid w:val="00C962D2"/>
    <w:rsid w:val="00C9636E"/>
    <w:rsid w:val="00C97051"/>
    <w:rsid w:val="00CA027E"/>
    <w:rsid w:val="00CA1121"/>
    <w:rsid w:val="00CA12E3"/>
    <w:rsid w:val="00CA1476"/>
    <w:rsid w:val="00CA1BFE"/>
    <w:rsid w:val="00CA2163"/>
    <w:rsid w:val="00CA26C0"/>
    <w:rsid w:val="00CA2720"/>
    <w:rsid w:val="00CA2B41"/>
    <w:rsid w:val="00CA32B0"/>
    <w:rsid w:val="00CA3425"/>
    <w:rsid w:val="00CA3A6A"/>
    <w:rsid w:val="00CA4115"/>
    <w:rsid w:val="00CA48D9"/>
    <w:rsid w:val="00CA4AA5"/>
    <w:rsid w:val="00CA5549"/>
    <w:rsid w:val="00CA596E"/>
    <w:rsid w:val="00CA5F20"/>
    <w:rsid w:val="00CA6611"/>
    <w:rsid w:val="00CA6AE6"/>
    <w:rsid w:val="00CA6BFC"/>
    <w:rsid w:val="00CA7767"/>
    <w:rsid w:val="00CA77C4"/>
    <w:rsid w:val="00CA782F"/>
    <w:rsid w:val="00CB05F3"/>
    <w:rsid w:val="00CB086B"/>
    <w:rsid w:val="00CB0FF7"/>
    <w:rsid w:val="00CB187B"/>
    <w:rsid w:val="00CB2651"/>
    <w:rsid w:val="00CB2835"/>
    <w:rsid w:val="00CB2C64"/>
    <w:rsid w:val="00CB3285"/>
    <w:rsid w:val="00CB4500"/>
    <w:rsid w:val="00CB46B6"/>
    <w:rsid w:val="00CB4A15"/>
    <w:rsid w:val="00CB5469"/>
    <w:rsid w:val="00CB7E36"/>
    <w:rsid w:val="00CC09AC"/>
    <w:rsid w:val="00CC0C72"/>
    <w:rsid w:val="00CC19CC"/>
    <w:rsid w:val="00CC2BFD"/>
    <w:rsid w:val="00CC34A9"/>
    <w:rsid w:val="00CC3BB0"/>
    <w:rsid w:val="00CC402E"/>
    <w:rsid w:val="00CC42D8"/>
    <w:rsid w:val="00CC59E6"/>
    <w:rsid w:val="00CC5DCC"/>
    <w:rsid w:val="00CC5EFD"/>
    <w:rsid w:val="00CC67AE"/>
    <w:rsid w:val="00CC6F40"/>
    <w:rsid w:val="00CC73AA"/>
    <w:rsid w:val="00CC768E"/>
    <w:rsid w:val="00CC76B5"/>
    <w:rsid w:val="00CC7914"/>
    <w:rsid w:val="00CD02C4"/>
    <w:rsid w:val="00CD0881"/>
    <w:rsid w:val="00CD0AB0"/>
    <w:rsid w:val="00CD2147"/>
    <w:rsid w:val="00CD29C4"/>
    <w:rsid w:val="00CD3476"/>
    <w:rsid w:val="00CD4864"/>
    <w:rsid w:val="00CD4B85"/>
    <w:rsid w:val="00CD4C13"/>
    <w:rsid w:val="00CD5EF6"/>
    <w:rsid w:val="00CD64DF"/>
    <w:rsid w:val="00CD6C65"/>
    <w:rsid w:val="00CD6CBD"/>
    <w:rsid w:val="00CD7214"/>
    <w:rsid w:val="00CD7540"/>
    <w:rsid w:val="00CD79AF"/>
    <w:rsid w:val="00CE0D7D"/>
    <w:rsid w:val="00CE12D2"/>
    <w:rsid w:val="00CE19B9"/>
    <w:rsid w:val="00CE1BD8"/>
    <w:rsid w:val="00CE1C83"/>
    <w:rsid w:val="00CE1E8E"/>
    <w:rsid w:val="00CE225F"/>
    <w:rsid w:val="00CE22C4"/>
    <w:rsid w:val="00CE29B7"/>
    <w:rsid w:val="00CE3303"/>
    <w:rsid w:val="00CE34F8"/>
    <w:rsid w:val="00CE3B46"/>
    <w:rsid w:val="00CE3EA6"/>
    <w:rsid w:val="00CE41A8"/>
    <w:rsid w:val="00CE476F"/>
    <w:rsid w:val="00CE4A02"/>
    <w:rsid w:val="00CE4D3C"/>
    <w:rsid w:val="00CE5641"/>
    <w:rsid w:val="00CE5A33"/>
    <w:rsid w:val="00CE5A7A"/>
    <w:rsid w:val="00CE5C8E"/>
    <w:rsid w:val="00CE5EB3"/>
    <w:rsid w:val="00CE5F85"/>
    <w:rsid w:val="00CE7BA8"/>
    <w:rsid w:val="00CE7C99"/>
    <w:rsid w:val="00CF0F44"/>
    <w:rsid w:val="00CF1BF5"/>
    <w:rsid w:val="00CF2131"/>
    <w:rsid w:val="00CF273E"/>
    <w:rsid w:val="00CF2CF2"/>
    <w:rsid w:val="00CF2EB2"/>
    <w:rsid w:val="00CF2F50"/>
    <w:rsid w:val="00CF3273"/>
    <w:rsid w:val="00CF3CCD"/>
    <w:rsid w:val="00CF3DCB"/>
    <w:rsid w:val="00CF3FF1"/>
    <w:rsid w:val="00CF495E"/>
    <w:rsid w:val="00CF4C46"/>
    <w:rsid w:val="00CF5F25"/>
    <w:rsid w:val="00CF6198"/>
    <w:rsid w:val="00CF6B74"/>
    <w:rsid w:val="00CF7195"/>
    <w:rsid w:val="00D00616"/>
    <w:rsid w:val="00D00D45"/>
    <w:rsid w:val="00D02356"/>
    <w:rsid w:val="00D02919"/>
    <w:rsid w:val="00D03FF0"/>
    <w:rsid w:val="00D047F0"/>
    <w:rsid w:val="00D04C61"/>
    <w:rsid w:val="00D05688"/>
    <w:rsid w:val="00D05B8D"/>
    <w:rsid w:val="00D05B9B"/>
    <w:rsid w:val="00D065A2"/>
    <w:rsid w:val="00D0660D"/>
    <w:rsid w:val="00D06AD2"/>
    <w:rsid w:val="00D06C3C"/>
    <w:rsid w:val="00D0789A"/>
    <w:rsid w:val="00D079AA"/>
    <w:rsid w:val="00D07C2F"/>
    <w:rsid w:val="00D07C75"/>
    <w:rsid w:val="00D07F00"/>
    <w:rsid w:val="00D10714"/>
    <w:rsid w:val="00D1130F"/>
    <w:rsid w:val="00D11C45"/>
    <w:rsid w:val="00D13558"/>
    <w:rsid w:val="00D141A4"/>
    <w:rsid w:val="00D141B2"/>
    <w:rsid w:val="00D17B72"/>
    <w:rsid w:val="00D2031C"/>
    <w:rsid w:val="00D20BCB"/>
    <w:rsid w:val="00D20D8C"/>
    <w:rsid w:val="00D21152"/>
    <w:rsid w:val="00D21421"/>
    <w:rsid w:val="00D2164B"/>
    <w:rsid w:val="00D21F77"/>
    <w:rsid w:val="00D22325"/>
    <w:rsid w:val="00D23D7B"/>
    <w:rsid w:val="00D24993"/>
    <w:rsid w:val="00D252AC"/>
    <w:rsid w:val="00D25520"/>
    <w:rsid w:val="00D25BD2"/>
    <w:rsid w:val="00D2666F"/>
    <w:rsid w:val="00D26D7F"/>
    <w:rsid w:val="00D26DF2"/>
    <w:rsid w:val="00D27210"/>
    <w:rsid w:val="00D27B78"/>
    <w:rsid w:val="00D30973"/>
    <w:rsid w:val="00D30B97"/>
    <w:rsid w:val="00D31003"/>
    <w:rsid w:val="00D31547"/>
    <w:rsid w:val="00D315DE"/>
    <w:rsid w:val="00D3185C"/>
    <w:rsid w:val="00D3205F"/>
    <w:rsid w:val="00D324F3"/>
    <w:rsid w:val="00D32F04"/>
    <w:rsid w:val="00D3318E"/>
    <w:rsid w:val="00D337F6"/>
    <w:rsid w:val="00D33E72"/>
    <w:rsid w:val="00D34A7F"/>
    <w:rsid w:val="00D34FFB"/>
    <w:rsid w:val="00D3532F"/>
    <w:rsid w:val="00D35350"/>
    <w:rsid w:val="00D3592D"/>
    <w:rsid w:val="00D35B20"/>
    <w:rsid w:val="00D35BD6"/>
    <w:rsid w:val="00D35C8C"/>
    <w:rsid w:val="00D361B5"/>
    <w:rsid w:val="00D411A2"/>
    <w:rsid w:val="00D41593"/>
    <w:rsid w:val="00D41596"/>
    <w:rsid w:val="00D4167B"/>
    <w:rsid w:val="00D41AC6"/>
    <w:rsid w:val="00D44042"/>
    <w:rsid w:val="00D44121"/>
    <w:rsid w:val="00D45AD6"/>
    <w:rsid w:val="00D45C4D"/>
    <w:rsid w:val="00D45DCC"/>
    <w:rsid w:val="00D45DD0"/>
    <w:rsid w:val="00D4606D"/>
    <w:rsid w:val="00D462C7"/>
    <w:rsid w:val="00D46338"/>
    <w:rsid w:val="00D4697F"/>
    <w:rsid w:val="00D469F9"/>
    <w:rsid w:val="00D46A76"/>
    <w:rsid w:val="00D47701"/>
    <w:rsid w:val="00D47931"/>
    <w:rsid w:val="00D47A97"/>
    <w:rsid w:val="00D47EC7"/>
    <w:rsid w:val="00D50591"/>
    <w:rsid w:val="00D50B9C"/>
    <w:rsid w:val="00D50BD8"/>
    <w:rsid w:val="00D512A3"/>
    <w:rsid w:val="00D513AF"/>
    <w:rsid w:val="00D52D73"/>
    <w:rsid w:val="00D52E58"/>
    <w:rsid w:val="00D53633"/>
    <w:rsid w:val="00D54A51"/>
    <w:rsid w:val="00D55360"/>
    <w:rsid w:val="00D55385"/>
    <w:rsid w:val="00D55436"/>
    <w:rsid w:val="00D56456"/>
    <w:rsid w:val="00D56620"/>
    <w:rsid w:val="00D56AB0"/>
    <w:rsid w:val="00D56B20"/>
    <w:rsid w:val="00D57044"/>
    <w:rsid w:val="00D578B3"/>
    <w:rsid w:val="00D60491"/>
    <w:rsid w:val="00D6069B"/>
    <w:rsid w:val="00D60A5C"/>
    <w:rsid w:val="00D6161F"/>
    <w:rsid w:val="00D618F4"/>
    <w:rsid w:val="00D61AAA"/>
    <w:rsid w:val="00D61FB2"/>
    <w:rsid w:val="00D622DA"/>
    <w:rsid w:val="00D629D1"/>
    <w:rsid w:val="00D62DDF"/>
    <w:rsid w:val="00D63636"/>
    <w:rsid w:val="00D6364F"/>
    <w:rsid w:val="00D637E3"/>
    <w:rsid w:val="00D650BB"/>
    <w:rsid w:val="00D65A69"/>
    <w:rsid w:val="00D67E84"/>
    <w:rsid w:val="00D70666"/>
    <w:rsid w:val="00D7095E"/>
    <w:rsid w:val="00D70AAB"/>
    <w:rsid w:val="00D710C3"/>
    <w:rsid w:val="00D71177"/>
    <w:rsid w:val="00D714CC"/>
    <w:rsid w:val="00D71872"/>
    <w:rsid w:val="00D72666"/>
    <w:rsid w:val="00D73717"/>
    <w:rsid w:val="00D741C2"/>
    <w:rsid w:val="00D7421A"/>
    <w:rsid w:val="00D75490"/>
    <w:rsid w:val="00D75531"/>
    <w:rsid w:val="00D7571E"/>
    <w:rsid w:val="00D75E87"/>
    <w:rsid w:val="00D75EA7"/>
    <w:rsid w:val="00D7667D"/>
    <w:rsid w:val="00D76ECC"/>
    <w:rsid w:val="00D779B0"/>
    <w:rsid w:val="00D80D6F"/>
    <w:rsid w:val="00D8107F"/>
    <w:rsid w:val="00D81421"/>
    <w:rsid w:val="00D81ADF"/>
    <w:rsid w:val="00D81F21"/>
    <w:rsid w:val="00D82419"/>
    <w:rsid w:val="00D8278D"/>
    <w:rsid w:val="00D82BF9"/>
    <w:rsid w:val="00D83164"/>
    <w:rsid w:val="00D83A4B"/>
    <w:rsid w:val="00D83F5D"/>
    <w:rsid w:val="00D845DD"/>
    <w:rsid w:val="00D84F52"/>
    <w:rsid w:val="00D852BC"/>
    <w:rsid w:val="00D859D2"/>
    <w:rsid w:val="00D864F2"/>
    <w:rsid w:val="00D866A8"/>
    <w:rsid w:val="00D872A5"/>
    <w:rsid w:val="00D8753C"/>
    <w:rsid w:val="00D879AB"/>
    <w:rsid w:val="00D87EA4"/>
    <w:rsid w:val="00D90316"/>
    <w:rsid w:val="00D90D23"/>
    <w:rsid w:val="00D91668"/>
    <w:rsid w:val="00D930AF"/>
    <w:rsid w:val="00D93E37"/>
    <w:rsid w:val="00D943F8"/>
    <w:rsid w:val="00D9502A"/>
    <w:rsid w:val="00D95470"/>
    <w:rsid w:val="00D956F7"/>
    <w:rsid w:val="00D96A4B"/>
    <w:rsid w:val="00D96B55"/>
    <w:rsid w:val="00D97ACD"/>
    <w:rsid w:val="00DA0879"/>
    <w:rsid w:val="00DA1477"/>
    <w:rsid w:val="00DA1D84"/>
    <w:rsid w:val="00DA24B8"/>
    <w:rsid w:val="00DA2619"/>
    <w:rsid w:val="00DA2C20"/>
    <w:rsid w:val="00DA3632"/>
    <w:rsid w:val="00DA4239"/>
    <w:rsid w:val="00DA4A39"/>
    <w:rsid w:val="00DA57FF"/>
    <w:rsid w:val="00DA588C"/>
    <w:rsid w:val="00DA59F7"/>
    <w:rsid w:val="00DA5B4B"/>
    <w:rsid w:val="00DA6203"/>
    <w:rsid w:val="00DA65DE"/>
    <w:rsid w:val="00DA73C8"/>
    <w:rsid w:val="00DB0B61"/>
    <w:rsid w:val="00DB104C"/>
    <w:rsid w:val="00DB13A4"/>
    <w:rsid w:val="00DB1474"/>
    <w:rsid w:val="00DB2962"/>
    <w:rsid w:val="00DB2FB6"/>
    <w:rsid w:val="00DB3607"/>
    <w:rsid w:val="00DB405B"/>
    <w:rsid w:val="00DB408E"/>
    <w:rsid w:val="00DB4376"/>
    <w:rsid w:val="00DB4963"/>
    <w:rsid w:val="00DB4F67"/>
    <w:rsid w:val="00DB52FB"/>
    <w:rsid w:val="00DB533D"/>
    <w:rsid w:val="00DB56F2"/>
    <w:rsid w:val="00DB5AFE"/>
    <w:rsid w:val="00DB7DF2"/>
    <w:rsid w:val="00DC013B"/>
    <w:rsid w:val="00DC090B"/>
    <w:rsid w:val="00DC1679"/>
    <w:rsid w:val="00DC1C29"/>
    <w:rsid w:val="00DC1E41"/>
    <w:rsid w:val="00DC2089"/>
    <w:rsid w:val="00DC20E2"/>
    <w:rsid w:val="00DC219B"/>
    <w:rsid w:val="00DC2CF1"/>
    <w:rsid w:val="00DC2DC7"/>
    <w:rsid w:val="00DC2EA0"/>
    <w:rsid w:val="00DC31DE"/>
    <w:rsid w:val="00DC3A7C"/>
    <w:rsid w:val="00DC40EF"/>
    <w:rsid w:val="00DC43CF"/>
    <w:rsid w:val="00DC48E4"/>
    <w:rsid w:val="00DC4FCF"/>
    <w:rsid w:val="00DC50E0"/>
    <w:rsid w:val="00DC5A32"/>
    <w:rsid w:val="00DC6386"/>
    <w:rsid w:val="00DC698B"/>
    <w:rsid w:val="00DC6D8B"/>
    <w:rsid w:val="00DC6FFD"/>
    <w:rsid w:val="00DD027D"/>
    <w:rsid w:val="00DD1130"/>
    <w:rsid w:val="00DD17A4"/>
    <w:rsid w:val="00DD1951"/>
    <w:rsid w:val="00DD2077"/>
    <w:rsid w:val="00DD25E5"/>
    <w:rsid w:val="00DD313B"/>
    <w:rsid w:val="00DD3464"/>
    <w:rsid w:val="00DD3B8A"/>
    <w:rsid w:val="00DD3B9A"/>
    <w:rsid w:val="00DD3D58"/>
    <w:rsid w:val="00DD3DBE"/>
    <w:rsid w:val="00DD4098"/>
    <w:rsid w:val="00DD4171"/>
    <w:rsid w:val="00DD422A"/>
    <w:rsid w:val="00DD487D"/>
    <w:rsid w:val="00DD4E83"/>
    <w:rsid w:val="00DD51E6"/>
    <w:rsid w:val="00DD51F0"/>
    <w:rsid w:val="00DD5880"/>
    <w:rsid w:val="00DD591D"/>
    <w:rsid w:val="00DD6007"/>
    <w:rsid w:val="00DD6628"/>
    <w:rsid w:val="00DD6727"/>
    <w:rsid w:val="00DD6945"/>
    <w:rsid w:val="00DD6A1B"/>
    <w:rsid w:val="00DD7858"/>
    <w:rsid w:val="00DD7D34"/>
    <w:rsid w:val="00DE047C"/>
    <w:rsid w:val="00DE04C9"/>
    <w:rsid w:val="00DE0F89"/>
    <w:rsid w:val="00DE0FEC"/>
    <w:rsid w:val="00DE116B"/>
    <w:rsid w:val="00DE12FE"/>
    <w:rsid w:val="00DE14D5"/>
    <w:rsid w:val="00DE2D04"/>
    <w:rsid w:val="00DE3250"/>
    <w:rsid w:val="00DE34DB"/>
    <w:rsid w:val="00DE4EA8"/>
    <w:rsid w:val="00DE5894"/>
    <w:rsid w:val="00DE5C64"/>
    <w:rsid w:val="00DE6028"/>
    <w:rsid w:val="00DE6B60"/>
    <w:rsid w:val="00DE6C85"/>
    <w:rsid w:val="00DE739E"/>
    <w:rsid w:val="00DE74C5"/>
    <w:rsid w:val="00DE765F"/>
    <w:rsid w:val="00DE78A3"/>
    <w:rsid w:val="00DF0777"/>
    <w:rsid w:val="00DF083A"/>
    <w:rsid w:val="00DF0A6E"/>
    <w:rsid w:val="00DF1249"/>
    <w:rsid w:val="00DF14BE"/>
    <w:rsid w:val="00DF1A71"/>
    <w:rsid w:val="00DF2830"/>
    <w:rsid w:val="00DF2E44"/>
    <w:rsid w:val="00DF326E"/>
    <w:rsid w:val="00DF3B3F"/>
    <w:rsid w:val="00DF3F39"/>
    <w:rsid w:val="00DF42C6"/>
    <w:rsid w:val="00DF445B"/>
    <w:rsid w:val="00DF50FC"/>
    <w:rsid w:val="00DF55ED"/>
    <w:rsid w:val="00DF569A"/>
    <w:rsid w:val="00DF6276"/>
    <w:rsid w:val="00DF68C7"/>
    <w:rsid w:val="00DF6D66"/>
    <w:rsid w:val="00DF713D"/>
    <w:rsid w:val="00DF731A"/>
    <w:rsid w:val="00DF7513"/>
    <w:rsid w:val="00DF79D8"/>
    <w:rsid w:val="00E00C4E"/>
    <w:rsid w:val="00E01625"/>
    <w:rsid w:val="00E01B96"/>
    <w:rsid w:val="00E02BCA"/>
    <w:rsid w:val="00E04976"/>
    <w:rsid w:val="00E04B49"/>
    <w:rsid w:val="00E05992"/>
    <w:rsid w:val="00E05CE5"/>
    <w:rsid w:val="00E0615F"/>
    <w:rsid w:val="00E068B5"/>
    <w:rsid w:val="00E06B75"/>
    <w:rsid w:val="00E06E03"/>
    <w:rsid w:val="00E07227"/>
    <w:rsid w:val="00E10A6B"/>
    <w:rsid w:val="00E11332"/>
    <w:rsid w:val="00E11352"/>
    <w:rsid w:val="00E1179E"/>
    <w:rsid w:val="00E11CE3"/>
    <w:rsid w:val="00E12017"/>
    <w:rsid w:val="00E134F9"/>
    <w:rsid w:val="00E13B50"/>
    <w:rsid w:val="00E13C8E"/>
    <w:rsid w:val="00E14222"/>
    <w:rsid w:val="00E1480E"/>
    <w:rsid w:val="00E148AE"/>
    <w:rsid w:val="00E14B3F"/>
    <w:rsid w:val="00E170DC"/>
    <w:rsid w:val="00E174B8"/>
    <w:rsid w:val="00E17546"/>
    <w:rsid w:val="00E210B5"/>
    <w:rsid w:val="00E2119F"/>
    <w:rsid w:val="00E221D5"/>
    <w:rsid w:val="00E233F1"/>
    <w:rsid w:val="00E23A36"/>
    <w:rsid w:val="00E24880"/>
    <w:rsid w:val="00E250AE"/>
    <w:rsid w:val="00E252C2"/>
    <w:rsid w:val="00E25462"/>
    <w:rsid w:val="00E25E36"/>
    <w:rsid w:val="00E261B3"/>
    <w:rsid w:val="00E26466"/>
    <w:rsid w:val="00E26818"/>
    <w:rsid w:val="00E26ED1"/>
    <w:rsid w:val="00E27114"/>
    <w:rsid w:val="00E27FFC"/>
    <w:rsid w:val="00E30623"/>
    <w:rsid w:val="00E30B15"/>
    <w:rsid w:val="00E32CFB"/>
    <w:rsid w:val="00E33237"/>
    <w:rsid w:val="00E33521"/>
    <w:rsid w:val="00E33B5D"/>
    <w:rsid w:val="00E33EE4"/>
    <w:rsid w:val="00E356FA"/>
    <w:rsid w:val="00E36558"/>
    <w:rsid w:val="00E36D9F"/>
    <w:rsid w:val="00E377ED"/>
    <w:rsid w:val="00E37B6B"/>
    <w:rsid w:val="00E40181"/>
    <w:rsid w:val="00E40254"/>
    <w:rsid w:val="00E4052B"/>
    <w:rsid w:val="00E41FDB"/>
    <w:rsid w:val="00E42D0F"/>
    <w:rsid w:val="00E42EE2"/>
    <w:rsid w:val="00E439EC"/>
    <w:rsid w:val="00E43F25"/>
    <w:rsid w:val="00E44374"/>
    <w:rsid w:val="00E4445E"/>
    <w:rsid w:val="00E44C9E"/>
    <w:rsid w:val="00E453A2"/>
    <w:rsid w:val="00E45D63"/>
    <w:rsid w:val="00E4625F"/>
    <w:rsid w:val="00E462C0"/>
    <w:rsid w:val="00E478C8"/>
    <w:rsid w:val="00E47FDD"/>
    <w:rsid w:val="00E50035"/>
    <w:rsid w:val="00E50109"/>
    <w:rsid w:val="00E516ED"/>
    <w:rsid w:val="00E528D9"/>
    <w:rsid w:val="00E52FB7"/>
    <w:rsid w:val="00E53289"/>
    <w:rsid w:val="00E536AD"/>
    <w:rsid w:val="00E53D4F"/>
    <w:rsid w:val="00E53D6F"/>
    <w:rsid w:val="00E53F87"/>
    <w:rsid w:val="00E544C9"/>
    <w:rsid w:val="00E54950"/>
    <w:rsid w:val="00E54BF1"/>
    <w:rsid w:val="00E55668"/>
    <w:rsid w:val="00E55FB3"/>
    <w:rsid w:val="00E561CA"/>
    <w:rsid w:val="00E56546"/>
    <w:rsid w:val="00E56A01"/>
    <w:rsid w:val="00E57987"/>
    <w:rsid w:val="00E57F89"/>
    <w:rsid w:val="00E61ABE"/>
    <w:rsid w:val="00E61BEC"/>
    <w:rsid w:val="00E62048"/>
    <w:rsid w:val="00E6288D"/>
    <w:rsid w:val="00E629A1"/>
    <w:rsid w:val="00E63859"/>
    <w:rsid w:val="00E6395F"/>
    <w:rsid w:val="00E64277"/>
    <w:rsid w:val="00E64708"/>
    <w:rsid w:val="00E6474C"/>
    <w:rsid w:val="00E64E97"/>
    <w:rsid w:val="00E6503F"/>
    <w:rsid w:val="00E659F2"/>
    <w:rsid w:val="00E65F42"/>
    <w:rsid w:val="00E6794C"/>
    <w:rsid w:val="00E70640"/>
    <w:rsid w:val="00E70CFB"/>
    <w:rsid w:val="00E713A6"/>
    <w:rsid w:val="00E71591"/>
    <w:rsid w:val="00E715E4"/>
    <w:rsid w:val="00E71785"/>
    <w:rsid w:val="00E71AAF"/>
    <w:rsid w:val="00E71CEB"/>
    <w:rsid w:val="00E725A4"/>
    <w:rsid w:val="00E7298B"/>
    <w:rsid w:val="00E72B0A"/>
    <w:rsid w:val="00E72C98"/>
    <w:rsid w:val="00E732D2"/>
    <w:rsid w:val="00E7474F"/>
    <w:rsid w:val="00E748C9"/>
    <w:rsid w:val="00E74BFC"/>
    <w:rsid w:val="00E74F82"/>
    <w:rsid w:val="00E7551C"/>
    <w:rsid w:val="00E759B8"/>
    <w:rsid w:val="00E75A5A"/>
    <w:rsid w:val="00E75F26"/>
    <w:rsid w:val="00E77A48"/>
    <w:rsid w:val="00E80DE3"/>
    <w:rsid w:val="00E81957"/>
    <w:rsid w:val="00E82103"/>
    <w:rsid w:val="00E82C55"/>
    <w:rsid w:val="00E8303F"/>
    <w:rsid w:val="00E83BFB"/>
    <w:rsid w:val="00E84319"/>
    <w:rsid w:val="00E8437D"/>
    <w:rsid w:val="00E84DBB"/>
    <w:rsid w:val="00E85013"/>
    <w:rsid w:val="00E85169"/>
    <w:rsid w:val="00E854F5"/>
    <w:rsid w:val="00E860CE"/>
    <w:rsid w:val="00E86C45"/>
    <w:rsid w:val="00E8761B"/>
    <w:rsid w:val="00E877AB"/>
    <w:rsid w:val="00E8787E"/>
    <w:rsid w:val="00E9042A"/>
    <w:rsid w:val="00E90823"/>
    <w:rsid w:val="00E90ECB"/>
    <w:rsid w:val="00E90FED"/>
    <w:rsid w:val="00E917A8"/>
    <w:rsid w:val="00E918AF"/>
    <w:rsid w:val="00E91D2E"/>
    <w:rsid w:val="00E92AC3"/>
    <w:rsid w:val="00E93890"/>
    <w:rsid w:val="00E93A27"/>
    <w:rsid w:val="00E94032"/>
    <w:rsid w:val="00E95734"/>
    <w:rsid w:val="00E9591E"/>
    <w:rsid w:val="00E969FC"/>
    <w:rsid w:val="00E97E45"/>
    <w:rsid w:val="00EA12E6"/>
    <w:rsid w:val="00EA18DD"/>
    <w:rsid w:val="00EA1DC9"/>
    <w:rsid w:val="00EA2E30"/>
    <w:rsid w:val="00EA2F6A"/>
    <w:rsid w:val="00EA3804"/>
    <w:rsid w:val="00EA3E19"/>
    <w:rsid w:val="00EA40EB"/>
    <w:rsid w:val="00EA47BE"/>
    <w:rsid w:val="00EA53D2"/>
    <w:rsid w:val="00EA6009"/>
    <w:rsid w:val="00EA6011"/>
    <w:rsid w:val="00EA6D09"/>
    <w:rsid w:val="00EA7817"/>
    <w:rsid w:val="00EB00E0"/>
    <w:rsid w:val="00EB01E6"/>
    <w:rsid w:val="00EB05D5"/>
    <w:rsid w:val="00EB1941"/>
    <w:rsid w:val="00EB1E4E"/>
    <w:rsid w:val="00EB2527"/>
    <w:rsid w:val="00EB2D23"/>
    <w:rsid w:val="00EB4476"/>
    <w:rsid w:val="00EB456A"/>
    <w:rsid w:val="00EB45E5"/>
    <w:rsid w:val="00EB4687"/>
    <w:rsid w:val="00EB4BC7"/>
    <w:rsid w:val="00EB4F4C"/>
    <w:rsid w:val="00EB5561"/>
    <w:rsid w:val="00EB5659"/>
    <w:rsid w:val="00EB56B9"/>
    <w:rsid w:val="00EB56E3"/>
    <w:rsid w:val="00EB5B8C"/>
    <w:rsid w:val="00EB5BFB"/>
    <w:rsid w:val="00EB6D42"/>
    <w:rsid w:val="00EB7FD5"/>
    <w:rsid w:val="00EC0549"/>
    <w:rsid w:val="00EC059F"/>
    <w:rsid w:val="00EC1A1D"/>
    <w:rsid w:val="00EC1B35"/>
    <w:rsid w:val="00EC1F24"/>
    <w:rsid w:val="00EC1F48"/>
    <w:rsid w:val="00EC2217"/>
    <w:rsid w:val="00EC22F6"/>
    <w:rsid w:val="00EC2A98"/>
    <w:rsid w:val="00EC37D9"/>
    <w:rsid w:val="00EC3DB9"/>
    <w:rsid w:val="00EC4C4D"/>
    <w:rsid w:val="00EC5526"/>
    <w:rsid w:val="00EC5F7D"/>
    <w:rsid w:val="00EC652D"/>
    <w:rsid w:val="00EC78D9"/>
    <w:rsid w:val="00EC7D23"/>
    <w:rsid w:val="00ED0EA1"/>
    <w:rsid w:val="00ED14C9"/>
    <w:rsid w:val="00ED1EEA"/>
    <w:rsid w:val="00ED3415"/>
    <w:rsid w:val="00ED3A18"/>
    <w:rsid w:val="00ED4B2B"/>
    <w:rsid w:val="00ED53C7"/>
    <w:rsid w:val="00ED5B9B"/>
    <w:rsid w:val="00ED6677"/>
    <w:rsid w:val="00ED68C0"/>
    <w:rsid w:val="00ED6AAB"/>
    <w:rsid w:val="00ED6BAD"/>
    <w:rsid w:val="00ED6D97"/>
    <w:rsid w:val="00ED7447"/>
    <w:rsid w:val="00ED7762"/>
    <w:rsid w:val="00EE00D6"/>
    <w:rsid w:val="00EE045F"/>
    <w:rsid w:val="00EE11E7"/>
    <w:rsid w:val="00EE1488"/>
    <w:rsid w:val="00EE28C4"/>
    <w:rsid w:val="00EE29AD"/>
    <w:rsid w:val="00EE2A8A"/>
    <w:rsid w:val="00EE2EA8"/>
    <w:rsid w:val="00EE3AFA"/>
    <w:rsid w:val="00EE3E24"/>
    <w:rsid w:val="00EE4015"/>
    <w:rsid w:val="00EE4D5D"/>
    <w:rsid w:val="00EE5131"/>
    <w:rsid w:val="00EE5316"/>
    <w:rsid w:val="00EE5993"/>
    <w:rsid w:val="00EE651D"/>
    <w:rsid w:val="00EE68F6"/>
    <w:rsid w:val="00EE6E44"/>
    <w:rsid w:val="00EE7028"/>
    <w:rsid w:val="00EE7369"/>
    <w:rsid w:val="00EF01FB"/>
    <w:rsid w:val="00EF06AF"/>
    <w:rsid w:val="00EF07FB"/>
    <w:rsid w:val="00EF109B"/>
    <w:rsid w:val="00EF1640"/>
    <w:rsid w:val="00EF1A8B"/>
    <w:rsid w:val="00EF201C"/>
    <w:rsid w:val="00EF2C72"/>
    <w:rsid w:val="00EF349D"/>
    <w:rsid w:val="00EF3650"/>
    <w:rsid w:val="00EF36AF"/>
    <w:rsid w:val="00EF4B82"/>
    <w:rsid w:val="00EF579E"/>
    <w:rsid w:val="00EF59A3"/>
    <w:rsid w:val="00EF5B48"/>
    <w:rsid w:val="00EF6675"/>
    <w:rsid w:val="00EF670D"/>
    <w:rsid w:val="00EF6F4D"/>
    <w:rsid w:val="00EF74B0"/>
    <w:rsid w:val="00EF77F8"/>
    <w:rsid w:val="00EF7F8A"/>
    <w:rsid w:val="00F0063D"/>
    <w:rsid w:val="00F00718"/>
    <w:rsid w:val="00F00A51"/>
    <w:rsid w:val="00F00C73"/>
    <w:rsid w:val="00F00F9C"/>
    <w:rsid w:val="00F0188D"/>
    <w:rsid w:val="00F01927"/>
    <w:rsid w:val="00F01E20"/>
    <w:rsid w:val="00F01E5F"/>
    <w:rsid w:val="00F02158"/>
    <w:rsid w:val="00F024F3"/>
    <w:rsid w:val="00F02ABA"/>
    <w:rsid w:val="00F02B2B"/>
    <w:rsid w:val="00F03378"/>
    <w:rsid w:val="00F04148"/>
    <w:rsid w:val="00F0437A"/>
    <w:rsid w:val="00F04428"/>
    <w:rsid w:val="00F05255"/>
    <w:rsid w:val="00F05517"/>
    <w:rsid w:val="00F06C36"/>
    <w:rsid w:val="00F10020"/>
    <w:rsid w:val="00F100F8"/>
    <w:rsid w:val="00F101B8"/>
    <w:rsid w:val="00F10F0B"/>
    <w:rsid w:val="00F11037"/>
    <w:rsid w:val="00F11115"/>
    <w:rsid w:val="00F113A8"/>
    <w:rsid w:val="00F11FAC"/>
    <w:rsid w:val="00F13E57"/>
    <w:rsid w:val="00F1479E"/>
    <w:rsid w:val="00F14D84"/>
    <w:rsid w:val="00F1564E"/>
    <w:rsid w:val="00F16819"/>
    <w:rsid w:val="00F16E05"/>
    <w:rsid w:val="00F16F1B"/>
    <w:rsid w:val="00F17A75"/>
    <w:rsid w:val="00F17B2E"/>
    <w:rsid w:val="00F17E08"/>
    <w:rsid w:val="00F203C1"/>
    <w:rsid w:val="00F204C1"/>
    <w:rsid w:val="00F2181C"/>
    <w:rsid w:val="00F21A50"/>
    <w:rsid w:val="00F21D1A"/>
    <w:rsid w:val="00F22689"/>
    <w:rsid w:val="00F23222"/>
    <w:rsid w:val="00F23743"/>
    <w:rsid w:val="00F2417E"/>
    <w:rsid w:val="00F250A9"/>
    <w:rsid w:val="00F267AF"/>
    <w:rsid w:val="00F30158"/>
    <w:rsid w:val="00F303E0"/>
    <w:rsid w:val="00F30C16"/>
    <w:rsid w:val="00F30FF4"/>
    <w:rsid w:val="00F311AA"/>
    <w:rsid w:val="00F3122E"/>
    <w:rsid w:val="00F32368"/>
    <w:rsid w:val="00F32836"/>
    <w:rsid w:val="00F32A5C"/>
    <w:rsid w:val="00F3307E"/>
    <w:rsid w:val="00F331AD"/>
    <w:rsid w:val="00F33EC8"/>
    <w:rsid w:val="00F35287"/>
    <w:rsid w:val="00F35413"/>
    <w:rsid w:val="00F37877"/>
    <w:rsid w:val="00F404E0"/>
    <w:rsid w:val="00F40A70"/>
    <w:rsid w:val="00F41C27"/>
    <w:rsid w:val="00F41D43"/>
    <w:rsid w:val="00F42A48"/>
    <w:rsid w:val="00F42F07"/>
    <w:rsid w:val="00F43A37"/>
    <w:rsid w:val="00F43F72"/>
    <w:rsid w:val="00F443BE"/>
    <w:rsid w:val="00F449CB"/>
    <w:rsid w:val="00F456ED"/>
    <w:rsid w:val="00F4641B"/>
    <w:rsid w:val="00F4644C"/>
    <w:rsid w:val="00F46EB8"/>
    <w:rsid w:val="00F47BCA"/>
    <w:rsid w:val="00F50537"/>
    <w:rsid w:val="00F5064F"/>
    <w:rsid w:val="00F50CD1"/>
    <w:rsid w:val="00F51015"/>
    <w:rsid w:val="00F511E4"/>
    <w:rsid w:val="00F51225"/>
    <w:rsid w:val="00F520C5"/>
    <w:rsid w:val="00F524EB"/>
    <w:rsid w:val="00F52796"/>
    <w:rsid w:val="00F52D09"/>
    <w:rsid w:val="00F52E08"/>
    <w:rsid w:val="00F53414"/>
    <w:rsid w:val="00F535AE"/>
    <w:rsid w:val="00F5381F"/>
    <w:rsid w:val="00F53A66"/>
    <w:rsid w:val="00F53E88"/>
    <w:rsid w:val="00F5462D"/>
    <w:rsid w:val="00F54EA7"/>
    <w:rsid w:val="00F553D7"/>
    <w:rsid w:val="00F55B21"/>
    <w:rsid w:val="00F55D4F"/>
    <w:rsid w:val="00F5605B"/>
    <w:rsid w:val="00F56EF6"/>
    <w:rsid w:val="00F57DBE"/>
    <w:rsid w:val="00F60082"/>
    <w:rsid w:val="00F61040"/>
    <w:rsid w:val="00F61A9F"/>
    <w:rsid w:val="00F61B5F"/>
    <w:rsid w:val="00F63690"/>
    <w:rsid w:val="00F63A67"/>
    <w:rsid w:val="00F640A9"/>
    <w:rsid w:val="00F6453B"/>
    <w:rsid w:val="00F64696"/>
    <w:rsid w:val="00F64D22"/>
    <w:rsid w:val="00F6507E"/>
    <w:rsid w:val="00F65844"/>
    <w:rsid w:val="00F65AA9"/>
    <w:rsid w:val="00F65BFF"/>
    <w:rsid w:val="00F65D55"/>
    <w:rsid w:val="00F66301"/>
    <w:rsid w:val="00F66E0D"/>
    <w:rsid w:val="00F6768F"/>
    <w:rsid w:val="00F67977"/>
    <w:rsid w:val="00F70A93"/>
    <w:rsid w:val="00F7136E"/>
    <w:rsid w:val="00F7153D"/>
    <w:rsid w:val="00F71C8E"/>
    <w:rsid w:val="00F71EB5"/>
    <w:rsid w:val="00F721FB"/>
    <w:rsid w:val="00F7290A"/>
    <w:rsid w:val="00F72C2C"/>
    <w:rsid w:val="00F732A8"/>
    <w:rsid w:val="00F73C72"/>
    <w:rsid w:val="00F740C2"/>
    <w:rsid w:val="00F741F2"/>
    <w:rsid w:val="00F7467C"/>
    <w:rsid w:val="00F74C5E"/>
    <w:rsid w:val="00F74E44"/>
    <w:rsid w:val="00F7577B"/>
    <w:rsid w:val="00F760B4"/>
    <w:rsid w:val="00F7667A"/>
    <w:rsid w:val="00F76CAB"/>
    <w:rsid w:val="00F76CE7"/>
    <w:rsid w:val="00F77252"/>
    <w:rsid w:val="00F772C6"/>
    <w:rsid w:val="00F77375"/>
    <w:rsid w:val="00F77982"/>
    <w:rsid w:val="00F8009F"/>
    <w:rsid w:val="00F80C48"/>
    <w:rsid w:val="00F812EA"/>
    <w:rsid w:val="00F815B5"/>
    <w:rsid w:val="00F8166C"/>
    <w:rsid w:val="00F81C8B"/>
    <w:rsid w:val="00F82414"/>
    <w:rsid w:val="00F83F76"/>
    <w:rsid w:val="00F84157"/>
    <w:rsid w:val="00F85195"/>
    <w:rsid w:val="00F8537C"/>
    <w:rsid w:val="00F85F16"/>
    <w:rsid w:val="00F868E3"/>
    <w:rsid w:val="00F869E3"/>
    <w:rsid w:val="00F900B9"/>
    <w:rsid w:val="00F90553"/>
    <w:rsid w:val="00F905F4"/>
    <w:rsid w:val="00F9087B"/>
    <w:rsid w:val="00F908E9"/>
    <w:rsid w:val="00F909A0"/>
    <w:rsid w:val="00F91504"/>
    <w:rsid w:val="00F91BFA"/>
    <w:rsid w:val="00F92D68"/>
    <w:rsid w:val="00F938BA"/>
    <w:rsid w:val="00F94CB0"/>
    <w:rsid w:val="00F952F3"/>
    <w:rsid w:val="00F95E1D"/>
    <w:rsid w:val="00F960ED"/>
    <w:rsid w:val="00F9684D"/>
    <w:rsid w:val="00F96F5C"/>
    <w:rsid w:val="00F97126"/>
    <w:rsid w:val="00F97919"/>
    <w:rsid w:val="00F97A19"/>
    <w:rsid w:val="00F97D46"/>
    <w:rsid w:val="00FA0492"/>
    <w:rsid w:val="00FA06C8"/>
    <w:rsid w:val="00FA1505"/>
    <w:rsid w:val="00FA1CF2"/>
    <w:rsid w:val="00FA1FC5"/>
    <w:rsid w:val="00FA2174"/>
    <w:rsid w:val="00FA2810"/>
    <w:rsid w:val="00FA2880"/>
    <w:rsid w:val="00FA29EE"/>
    <w:rsid w:val="00FA2AB7"/>
    <w:rsid w:val="00FA2C46"/>
    <w:rsid w:val="00FA2D76"/>
    <w:rsid w:val="00FA3525"/>
    <w:rsid w:val="00FA3A33"/>
    <w:rsid w:val="00FA42D6"/>
    <w:rsid w:val="00FA53FB"/>
    <w:rsid w:val="00FA5A53"/>
    <w:rsid w:val="00FA5DE2"/>
    <w:rsid w:val="00FA6343"/>
    <w:rsid w:val="00FA7119"/>
    <w:rsid w:val="00FA7243"/>
    <w:rsid w:val="00FA7502"/>
    <w:rsid w:val="00FA78C9"/>
    <w:rsid w:val="00FA7E89"/>
    <w:rsid w:val="00FB011C"/>
    <w:rsid w:val="00FB08CC"/>
    <w:rsid w:val="00FB093D"/>
    <w:rsid w:val="00FB12B9"/>
    <w:rsid w:val="00FB1D2E"/>
    <w:rsid w:val="00FB1E11"/>
    <w:rsid w:val="00FB1F6E"/>
    <w:rsid w:val="00FB21C9"/>
    <w:rsid w:val="00FB38B4"/>
    <w:rsid w:val="00FB39F4"/>
    <w:rsid w:val="00FB4644"/>
    <w:rsid w:val="00FB4769"/>
    <w:rsid w:val="00FB4901"/>
    <w:rsid w:val="00FB4CDA"/>
    <w:rsid w:val="00FB5118"/>
    <w:rsid w:val="00FB5F7A"/>
    <w:rsid w:val="00FB6481"/>
    <w:rsid w:val="00FB6D36"/>
    <w:rsid w:val="00FC0965"/>
    <w:rsid w:val="00FC0C3B"/>
    <w:rsid w:val="00FC0F08"/>
    <w:rsid w:val="00FC0F81"/>
    <w:rsid w:val="00FC1552"/>
    <w:rsid w:val="00FC1E92"/>
    <w:rsid w:val="00FC252F"/>
    <w:rsid w:val="00FC395C"/>
    <w:rsid w:val="00FC4430"/>
    <w:rsid w:val="00FC48ED"/>
    <w:rsid w:val="00FC4F05"/>
    <w:rsid w:val="00FC5B4B"/>
    <w:rsid w:val="00FC5E8E"/>
    <w:rsid w:val="00FC65AC"/>
    <w:rsid w:val="00FD00C6"/>
    <w:rsid w:val="00FD010F"/>
    <w:rsid w:val="00FD190A"/>
    <w:rsid w:val="00FD1AE1"/>
    <w:rsid w:val="00FD1C3C"/>
    <w:rsid w:val="00FD22DF"/>
    <w:rsid w:val="00FD27B6"/>
    <w:rsid w:val="00FD3766"/>
    <w:rsid w:val="00FD3941"/>
    <w:rsid w:val="00FD3973"/>
    <w:rsid w:val="00FD3D05"/>
    <w:rsid w:val="00FD4332"/>
    <w:rsid w:val="00FD47C4"/>
    <w:rsid w:val="00FD4877"/>
    <w:rsid w:val="00FD4B54"/>
    <w:rsid w:val="00FD5211"/>
    <w:rsid w:val="00FD5392"/>
    <w:rsid w:val="00FD61D1"/>
    <w:rsid w:val="00FD717A"/>
    <w:rsid w:val="00FE00CE"/>
    <w:rsid w:val="00FE0D20"/>
    <w:rsid w:val="00FE0DA5"/>
    <w:rsid w:val="00FE13ED"/>
    <w:rsid w:val="00FE17D4"/>
    <w:rsid w:val="00FE1A09"/>
    <w:rsid w:val="00FE2DCF"/>
    <w:rsid w:val="00FE362C"/>
    <w:rsid w:val="00FE3DD0"/>
    <w:rsid w:val="00FE3FA7"/>
    <w:rsid w:val="00FE4081"/>
    <w:rsid w:val="00FE44E6"/>
    <w:rsid w:val="00FE5120"/>
    <w:rsid w:val="00FE60CA"/>
    <w:rsid w:val="00FE633D"/>
    <w:rsid w:val="00FE6937"/>
    <w:rsid w:val="00FE7EF9"/>
    <w:rsid w:val="00FF0F15"/>
    <w:rsid w:val="00FF134D"/>
    <w:rsid w:val="00FF1419"/>
    <w:rsid w:val="00FF246E"/>
    <w:rsid w:val="00FF2648"/>
    <w:rsid w:val="00FF2A4E"/>
    <w:rsid w:val="00FF2FCE"/>
    <w:rsid w:val="00FF3703"/>
    <w:rsid w:val="00FF38B4"/>
    <w:rsid w:val="00FF4148"/>
    <w:rsid w:val="00FF4181"/>
    <w:rsid w:val="00FF422A"/>
    <w:rsid w:val="00FF4968"/>
    <w:rsid w:val="00FF4A45"/>
    <w:rsid w:val="00FF4C69"/>
    <w:rsid w:val="00FF4EC5"/>
    <w:rsid w:val="00FF4F7D"/>
    <w:rsid w:val="00FF50BA"/>
    <w:rsid w:val="00FF66EA"/>
    <w:rsid w:val="00FF6B03"/>
    <w:rsid w:val="00FF6B62"/>
    <w:rsid w:val="00FF6D9D"/>
    <w:rsid w:val="00FF7130"/>
    <w:rsid w:val="00FF737C"/>
    <w:rsid w:val="00FF7620"/>
    <w:rsid w:val="00FF7DD5"/>
    <w:rsid w:val="00FF7F23"/>
    <w:rsid w:val="015DDB75"/>
    <w:rsid w:val="02E16A44"/>
    <w:rsid w:val="06BA0B86"/>
    <w:rsid w:val="06D18AED"/>
    <w:rsid w:val="080CC667"/>
    <w:rsid w:val="0901117E"/>
    <w:rsid w:val="09413955"/>
    <w:rsid w:val="0B2ACAD1"/>
    <w:rsid w:val="0CE6545D"/>
    <w:rsid w:val="0D6CA5A0"/>
    <w:rsid w:val="0D9DE960"/>
    <w:rsid w:val="0F63E1BF"/>
    <w:rsid w:val="0FC0FFBA"/>
    <w:rsid w:val="119878BE"/>
    <w:rsid w:val="127F2427"/>
    <w:rsid w:val="13EA230D"/>
    <w:rsid w:val="153C762E"/>
    <w:rsid w:val="170B5EF9"/>
    <w:rsid w:val="186EECBD"/>
    <w:rsid w:val="19A0E69A"/>
    <w:rsid w:val="1A24A87D"/>
    <w:rsid w:val="1A714080"/>
    <w:rsid w:val="1B4621A6"/>
    <w:rsid w:val="1C9FD411"/>
    <w:rsid w:val="1D1AF850"/>
    <w:rsid w:val="1D93136B"/>
    <w:rsid w:val="1EE277F3"/>
    <w:rsid w:val="1F81033E"/>
    <w:rsid w:val="21085582"/>
    <w:rsid w:val="2123B28B"/>
    <w:rsid w:val="228DE442"/>
    <w:rsid w:val="23D638FE"/>
    <w:rsid w:val="24BFFE5E"/>
    <w:rsid w:val="24EAAE4F"/>
    <w:rsid w:val="2514ECE1"/>
    <w:rsid w:val="26050233"/>
    <w:rsid w:val="270B1846"/>
    <w:rsid w:val="285C3566"/>
    <w:rsid w:val="2B4F58AB"/>
    <w:rsid w:val="2B87B254"/>
    <w:rsid w:val="2C1C2FEC"/>
    <w:rsid w:val="2CA33581"/>
    <w:rsid w:val="2CD8EAD1"/>
    <w:rsid w:val="2DF9AEFB"/>
    <w:rsid w:val="2F9FFF2D"/>
    <w:rsid w:val="3083C035"/>
    <w:rsid w:val="32DD616B"/>
    <w:rsid w:val="3385A1AA"/>
    <w:rsid w:val="35ACC6A6"/>
    <w:rsid w:val="365622A4"/>
    <w:rsid w:val="395D28B2"/>
    <w:rsid w:val="3C192D6B"/>
    <w:rsid w:val="3C1A3CC6"/>
    <w:rsid w:val="3C2C2CFE"/>
    <w:rsid w:val="3DEE69AC"/>
    <w:rsid w:val="3E1FFCAD"/>
    <w:rsid w:val="40DA27D5"/>
    <w:rsid w:val="40FCBCF5"/>
    <w:rsid w:val="41D48D73"/>
    <w:rsid w:val="44383705"/>
    <w:rsid w:val="45F63BEA"/>
    <w:rsid w:val="46FFCC40"/>
    <w:rsid w:val="47F05FFF"/>
    <w:rsid w:val="4878A108"/>
    <w:rsid w:val="487CEF6E"/>
    <w:rsid w:val="4BFE41B1"/>
    <w:rsid w:val="4D8C8796"/>
    <w:rsid w:val="4DDA80BB"/>
    <w:rsid w:val="4EEC59EE"/>
    <w:rsid w:val="512AAEDC"/>
    <w:rsid w:val="515EFBA7"/>
    <w:rsid w:val="5169BC3A"/>
    <w:rsid w:val="53269A9A"/>
    <w:rsid w:val="53E94948"/>
    <w:rsid w:val="54F3B4E0"/>
    <w:rsid w:val="556A0A28"/>
    <w:rsid w:val="55B82D56"/>
    <w:rsid w:val="55C3080F"/>
    <w:rsid w:val="55FBAC04"/>
    <w:rsid w:val="56F8EE95"/>
    <w:rsid w:val="573D75E9"/>
    <w:rsid w:val="57F690F0"/>
    <w:rsid w:val="589F5679"/>
    <w:rsid w:val="5941AC59"/>
    <w:rsid w:val="594E4345"/>
    <w:rsid w:val="59A12F17"/>
    <w:rsid w:val="59BA4F18"/>
    <w:rsid w:val="5A1170B0"/>
    <w:rsid w:val="5A3C5628"/>
    <w:rsid w:val="5A8091B6"/>
    <w:rsid w:val="5AAB6F77"/>
    <w:rsid w:val="5C9FA013"/>
    <w:rsid w:val="5CD0D9AC"/>
    <w:rsid w:val="5CE4A599"/>
    <w:rsid w:val="5D11E27B"/>
    <w:rsid w:val="5D22FCEB"/>
    <w:rsid w:val="5D5100ED"/>
    <w:rsid w:val="5DE0C124"/>
    <w:rsid w:val="600C9133"/>
    <w:rsid w:val="60EF5F78"/>
    <w:rsid w:val="61803DC2"/>
    <w:rsid w:val="63A6C64A"/>
    <w:rsid w:val="63C524FF"/>
    <w:rsid w:val="63D3232F"/>
    <w:rsid w:val="65877947"/>
    <w:rsid w:val="65D99B18"/>
    <w:rsid w:val="664D746F"/>
    <w:rsid w:val="66E6C73D"/>
    <w:rsid w:val="6731F4C9"/>
    <w:rsid w:val="677D8AD5"/>
    <w:rsid w:val="686F6580"/>
    <w:rsid w:val="68AF7EDB"/>
    <w:rsid w:val="68C1DC49"/>
    <w:rsid w:val="6985EC05"/>
    <w:rsid w:val="6B3575E0"/>
    <w:rsid w:val="6BEB336C"/>
    <w:rsid w:val="6C4734B2"/>
    <w:rsid w:val="6C9E7BBC"/>
    <w:rsid w:val="6D6CA4B6"/>
    <w:rsid w:val="6E5E4588"/>
    <w:rsid w:val="6ED04190"/>
    <w:rsid w:val="70A9F4A7"/>
    <w:rsid w:val="70C6D5DC"/>
    <w:rsid w:val="73653680"/>
    <w:rsid w:val="73F68626"/>
    <w:rsid w:val="74CF0CE7"/>
    <w:rsid w:val="75DE9999"/>
    <w:rsid w:val="761512D6"/>
    <w:rsid w:val="7636C151"/>
    <w:rsid w:val="767F6E98"/>
    <w:rsid w:val="77492905"/>
    <w:rsid w:val="7A2AE0D4"/>
    <w:rsid w:val="7AADADFD"/>
    <w:rsid w:val="7B082F73"/>
    <w:rsid w:val="7B43C602"/>
    <w:rsid w:val="7E0FA306"/>
    <w:rsid w:val="7E5A3958"/>
    <w:rsid w:val="7F177562"/>
    <w:rsid w:val="7F394C25"/>
    <w:rsid w:val="7F3A5331"/>
    <w:rsid w:val="7FD9DE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8BC63758-8D46-4D22-B92C-A8BBCF4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AF18F3"/>
    <w:pPr>
      <w:keepNext/>
      <w:keepLines/>
      <w:numPr>
        <w:numId w:val="6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586155"/>
    <w:pPr>
      <w:keepNext/>
      <w:keepLines/>
      <w:numPr>
        <w:ilvl w:val="1"/>
        <w:numId w:val="6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68"/>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numPr>
        <w:ilvl w:val="4"/>
        <w:numId w:val="68"/>
      </w:numPr>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5B699B"/>
    <w:pPr>
      <w:keepNext/>
      <w:keepLines/>
      <w:numPr>
        <w:ilvl w:val="5"/>
        <w:numId w:val="68"/>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5B699B"/>
    <w:pPr>
      <w:numPr>
        <w:ilvl w:val="6"/>
        <w:numId w:val="68"/>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5B699B"/>
    <w:pPr>
      <w:numPr>
        <w:ilvl w:val="7"/>
        <w:numId w:val="68"/>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5B699B"/>
    <w:pPr>
      <w:numPr>
        <w:ilvl w:val="8"/>
        <w:numId w:val="68"/>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F18F3"/>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586155"/>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A18DD"/>
    <w:pPr>
      <w:numPr>
        <w:numId w:val="31"/>
      </w:numPr>
      <w:spacing w:after="40"/>
      <w:ind w:right="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297FC9"/>
    <w:pPr>
      <w:keepNext/>
      <w:keepLines/>
      <w:spacing w:before="240" w:after="120"/>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481585"/>
    <w:pPr>
      <w:numPr>
        <w:ilvl w:val="1"/>
        <w:numId w:val="1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5"/>
      </w:numPr>
      <w:tabs>
        <w:tab w:val="clear" w:pos="794"/>
      </w:tabs>
      <w:ind w:left="144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9"/>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0"/>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0"/>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0"/>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tabs>
        <w:tab w:val="num" w:pos="397"/>
      </w:tabs>
      <w:ind w:left="397" w:hanging="397"/>
    </w:pPr>
  </w:style>
  <w:style w:type="paragraph" w:customStyle="1" w:styleId="Numberlowerromanindent">
    <w:name w:val="Number lower roman indent"/>
    <w:basedOn w:val="Body"/>
    <w:uiPriority w:val="3"/>
    <w:rsid w:val="00C60411"/>
    <w:pPr>
      <w:tabs>
        <w:tab w:val="num" w:pos="794"/>
      </w:tabs>
      <w:ind w:left="794" w:hanging="397"/>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afterbullets"/>
    <w:next w:val="Body"/>
    <w:uiPriority w:val="1"/>
    <w:rsid w:val="00593CD6"/>
    <w:pPr>
      <w:spacing w:before="240"/>
    </w:pPr>
  </w:style>
  <w:style w:type="paragraph" w:customStyle="1" w:styleId="Bulletafternumbers2">
    <w:name w:val="Bullet after numbers 2"/>
    <w:basedOn w:val="Body"/>
    <w:rsid w:val="00C60411"/>
    <w:pPr>
      <w:numPr>
        <w:ilvl w:val="3"/>
        <w:numId w:val="10"/>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basedOn w:val="DefaultParagraphFont"/>
    <w:link w:val="Heading6"/>
    <w:rsid w:val="005B699B"/>
    <w:rPr>
      <w:rFonts w:ascii="Arial" w:eastAsia="Meiryo" w:hAnsi="Arial" w:cs="Arial"/>
      <w:b/>
      <w:bCs/>
      <w:lang w:eastAsia="en-US"/>
    </w:rPr>
  </w:style>
  <w:style w:type="character" w:customStyle="1" w:styleId="Heading7Char">
    <w:name w:val="Heading 7 Char"/>
    <w:basedOn w:val="DefaultParagraphFont"/>
    <w:link w:val="Heading7"/>
    <w:uiPriority w:val="98"/>
    <w:rsid w:val="005B699B"/>
    <w:rPr>
      <w:rFonts w:ascii="Calibri" w:hAnsi="Calibri"/>
      <w:sz w:val="24"/>
      <w:szCs w:val="24"/>
      <w:lang w:eastAsia="en-US"/>
    </w:rPr>
  </w:style>
  <w:style w:type="character" w:customStyle="1" w:styleId="Heading8Char">
    <w:name w:val="Heading 8 Char"/>
    <w:basedOn w:val="DefaultParagraphFont"/>
    <w:link w:val="Heading8"/>
    <w:uiPriority w:val="98"/>
    <w:semiHidden/>
    <w:rsid w:val="005B699B"/>
    <w:rPr>
      <w:rFonts w:ascii="Calibri" w:hAnsi="Calibri"/>
      <w:i/>
      <w:iCs/>
      <w:sz w:val="24"/>
      <w:szCs w:val="24"/>
      <w:lang w:eastAsia="en-US"/>
    </w:rPr>
  </w:style>
  <w:style w:type="character" w:customStyle="1" w:styleId="Heading9Char">
    <w:name w:val="Heading 9 Char"/>
    <w:basedOn w:val="DefaultParagraphFont"/>
    <w:link w:val="Heading9"/>
    <w:uiPriority w:val="98"/>
    <w:semiHidden/>
    <w:rsid w:val="005B699B"/>
    <w:rPr>
      <w:rFonts w:ascii="Arial" w:hAnsi="Arial"/>
      <w:sz w:val="22"/>
      <w:szCs w:val="22"/>
      <w:lang w:eastAsia="en-US"/>
    </w:rPr>
  </w:style>
  <w:style w:type="numbering" w:customStyle="1" w:styleId="ZZTablebullets105pt">
    <w:name w:val="ZZ Table bullets 10.5pt"/>
    <w:basedOn w:val="NoList"/>
    <w:rsid w:val="005B699B"/>
    <w:pPr>
      <w:numPr>
        <w:numId w:val="8"/>
      </w:numPr>
    </w:pPr>
  </w:style>
  <w:style w:type="paragraph" w:styleId="ListParagraph">
    <w:name w:val="List Paragraph"/>
    <w:basedOn w:val="Normal"/>
    <w:link w:val="ListParagraphChar"/>
    <w:uiPriority w:val="34"/>
    <w:qFormat/>
    <w:rsid w:val="005B699B"/>
    <w:pPr>
      <w:spacing w:after="0" w:line="240" w:lineRule="auto"/>
      <w:ind w:left="720"/>
    </w:pPr>
    <w:rPr>
      <w:rFonts w:ascii="Cambria" w:hAnsi="Cambria"/>
      <w:sz w:val="20"/>
    </w:rPr>
  </w:style>
  <w:style w:type="paragraph" w:customStyle="1" w:styleId="Tablefigurenote9pt">
    <w:name w:val="Table/figure note 9pt"/>
    <w:uiPriority w:val="4"/>
    <w:rsid w:val="005B699B"/>
    <w:pPr>
      <w:spacing w:before="60" w:after="60" w:line="240" w:lineRule="exact"/>
    </w:pPr>
    <w:rPr>
      <w:rFonts w:ascii="Arial" w:hAnsi="Arial"/>
      <w:sz w:val="18"/>
      <w:lang w:eastAsia="en-US"/>
    </w:rPr>
  </w:style>
  <w:style w:type="paragraph" w:customStyle="1" w:styleId="Tabletext9pt">
    <w:name w:val="Table text 9pt"/>
    <w:uiPriority w:val="3"/>
    <w:qFormat/>
    <w:rsid w:val="005B699B"/>
    <w:pPr>
      <w:spacing w:before="80" w:after="60"/>
    </w:pPr>
    <w:rPr>
      <w:rFonts w:ascii="Arial" w:hAnsi="Arial"/>
      <w:sz w:val="18"/>
      <w:lang w:eastAsia="en-US"/>
    </w:rPr>
  </w:style>
  <w:style w:type="paragraph" w:customStyle="1" w:styleId="Acronym">
    <w:name w:val="Acronym"/>
    <w:basedOn w:val="Normal"/>
    <w:uiPriority w:val="8"/>
    <w:rsid w:val="005B699B"/>
    <w:pPr>
      <w:tabs>
        <w:tab w:val="left" w:pos="1418"/>
      </w:tabs>
      <w:spacing w:after="60" w:line="270" w:lineRule="atLeast"/>
    </w:pPr>
    <w:rPr>
      <w:rFonts w:eastAsia="Times"/>
      <w:sz w:val="20"/>
    </w:rPr>
  </w:style>
  <w:style w:type="paragraph" w:customStyle="1" w:styleId="Tablecolhead9pt">
    <w:name w:val="Table col head 9pt"/>
    <w:uiPriority w:val="99"/>
    <w:qFormat/>
    <w:rsid w:val="005B699B"/>
    <w:pPr>
      <w:spacing w:before="80" w:after="60"/>
    </w:pPr>
    <w:rPr>
      <w:rFonts w:ascii="Arial" w:hAnsi="Arial"/>
      <w:b/>
      <w:color w:val="FFFFFF"/>
      <w:sz w:val="18"/>
      <w:lang w:eastAsia="en-US"/>
    </w:rPr>
  </w:style>
  <w:style w:type="paragraph" w:customStyle="1" w:styleId="Tablebullet9pt">
    <w:name w:val="Table bullet 9pt"/>
    <w:basedOn w:val="Tabletext9pt"/>
    <w:uiPriority w:val="3"/>
    <w:qFormat/>
    <w:rsid w:val="005B699B"/>
    <w:pPr>
      <w:numPr>
        <w:numId w:val="14"/>
      </w:numPr>
    </w:pPr>
  </w:style>
  <w:style w:type="character" w:styleId="Emphasis">
    <w:name w:val="Emphasis"/>
    <w:uiPriority w:val="20"/>
    <w:qFormat/>
    <w:rsid w:val="005B699B"/>
    <w:rPr>
      <w:i/>
      <w:iCs/>
    </w:rPr>
  </w:style>
  <w:style w:type="paragraph" w:styleId="TOCHeading">
    <w:name w:val="TOC Heading"/>
    <w:basedOn w:val="Heading1"/>
    <w:next w:val="Normal"/>
    <w:uiPriority w:val="39"/>
    <w:unhideWhenUsed/>
    <w:qFormat/>
    <w:rsid w:val="005B699B"/>
    <w:pPr>
      <w:pageBreakBefore/>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styleId="Caption">
    <w:name w:val="caption"/>
    <w:basedOn w:val="Normal"/>
    <w:next w:val="Normal"/>
    <w:uiPriority w:val="5"/>
    <w:unhideWhenUsed/>
    <w:qFormat/>
    <w:rsid w:val="005B699B"/>
    <w:pPr>
      <w:spacing w:after="200" w:line="240" w:lineRule="auto"/>
    </w:pPr>
    <w:rPr>
      <w:i/>
      <w:iCs/>
      <w:color w:val="1F497D" w:themeColor="text2"/>
      <w:sz w:val="18"/>
      <w:szCs w:val="18"/>
    </w:rPr>
  </w:style>
  <w:style w:type="paragraph" w:styleId="TableofFigures">
    <w:name w:val="table of figures"/>
    <w:basedOn w:val="Body"/>
    <w:next w:val="Normal"/>
    <w:link w:val="TableofFiguresChar"/>
    <w:uiPriority w:val="99"/>
    <w:qFormat/>
    <w:rsid w:val="005B699B"/>
    <w:rPr>
      <w:szCs w:val="18"/>
    </w:rPr>
  </w:style>
  <w:style w:type="character" w:customStyle="1" w:styleId="TableofFiguresChar">
    <w:name w:val="Table of Figures Char"/>
    <w:link w:val="TableofFigures"/>
    <w:uiPriority w:val="99"/>
    <w:rsid w:val="005B699B"/>
    <w:rPr>
      <w:rFonts w:ascii="Arial" w:eastAsia="Times" w:hAnsi="Arial"/>
      <w:sz w:val="21"/>
      <w:szCs w:val="18"/>
      <w:lang w:eastAsia="en-US"/>
    </w:rPr>
  </w:style>
  <w:style w:type="character" w:customStyle="1" w:styleId="ListParagraphChar">
    <w:name w:val="List Paragraph Char"/>
    <w:link w:val="ListParagraph"/>
    <w:uiPriority w:val="34"/>
    <w:qFormat/>
    <w:locked/>
    <w:rsid w:val="005B699B"/>
    <w:rPr>
      <w:rFonts w:ascii="Cambria" w:hAnsi="Cambria"/>
      <w:lang w:eastAsia="en-US"/>
    </w:rPr>
  </w:style>
  <w:style w:type="character" w:customStyle="1" w:styleId="Hyperlinkitalic">
    <w:name w:val="Hyperlink italic"/>
    <w:basedOn w:val="Hyperlink"/>
    <w:uiPriority w:val="1"/>
    <w:qFormat/>
    <w:rsid w:val="005B699B"/>
    <w:rPr>
      <w:i/>
      <w:color w:val="004C97"/>
      <w:u w:val="dotted"/>
    </w:rPr>
  </w:style>
  <w:style w:type="character" w:customStyle="1" w:styleId="HeaderChar">
    <w:name w:val="Header Char"/>
    <w:link w:val="Header"/>
    <w:uiPriority w:val="10"/>
    <w:locked/>
    <w:rsid w:val="005B699B"/>
    <w:rPr>
      <w:rFonts w:ascii="Arial" w:hAnsi="Arial" w:cs="Arial"/>
      <w:b/>
      <w:color w:val="53565A"/>
      <w:sz w:val="18"/>
      <w:szCs w:val="18"/>
      <w:lang w:eastAsia="en-US"/>
    </w:rPr>
  </w:style>
  <w:style w:type="character" w:customStyle="1" w:styleId="FooterChar">
    <w:name w:val="Footer Char"/>
    <w:link w:val="Footer"/>
    <w:uiPriority w:val="8"/>
    <w:locked/>
    <w:rsid w:val="005B699B"/>
    <w:rPr>
      <w:rFonts w:ascii="Arial" w:hAnsi="Arial" w:cs="Arial"/>
      <w:szCs w:val="18"/>
      <w:lang w:eastAsia="en-US"/>
    </w:rPr>
  </w:style>
  <w:style w:type="paragraph" w:customStyle="1" w:styleId="ColorfulShading-Accent11">
    <w:name w:val="Colorful Shading - Accent 11"/>
    <w:hidden/>
    <w:uiPriority w:val="99"/>
    <w:rsid w:val="005B699B"/>
    <w:rPr>
      <w:rFonts w:ascii="Cambria" w:hAnsi="Cambria"/>
      <w:lang w:eastAsia="en-US"/>
    </w:rPr>
  </w:style>
  <w:style w:type="paragraph" w:customStyle="1" w:styleId="LightList-Accent31">
    <w:name w:val="Light List - Accent 31"/>
    <w:hidden/>
    <w:uiPriority w:val="99"/>
    <w:semiHidden/>
    <w:rsid w:val="005B699B"/>
    <w:rPr>
      <w:rFonts w:ascii="Cambria" w:hAnsi="Cambria"/>
      <w:lang w:eastAsia="en-US"/>
    </w:rPr>
  </w:style>
  <w:style w:type="paragraph" w:customStyle="1" w:styleId="ColorfulGrid-Accent61">
    <w:name w:val="Colorful Grid - Accent 61"/>
    <w:hidden/>
    <w:uiPriority w:val="99"/>
    <w:rsid w:val="005B699B"/>
    <w:rPr>
      <w:rFonts w:ascii="Verdana" w:hAnsi="Verdana"/>
      <w:lang w:eastAsia="en-US"/>
    </w:rPr>
  </w:style>
  <w:style w:type="paragraph" w:customStyle="1" w:styleId="Superscript">
    <w:name w:val="Superscript"/>
    <w:basedOn w:val="Normal"/>
    <w:link w:val="SuperscriptChar"/>
    <w:autoRedefine/>
    <w:uiPriority w:val="99"/>
    <w:semiHidden/>
    <w:rsid w:val="005B699B"/>
    <w:pPr>
      <w:spacing w:after="200" w:line="276" w:lineRule="auto"/>
      <w:ind w:left="-91"/>
    </w:pPr>
    <w:rPr>
      <w:rFonts w:ascii="CorporateSBQ-Regular" w:hAnsi="CorporateSBQ-Regular"/>
      <w:bCs/>
      <w:sz w:val="20"/>
      <w:szCs w:val="17"/>
      <w:vertAlign w:val="superscript"/>
      <w:lang w:val="en-US"/>
    </w:rPr>
  </w:style>
  <w:style w:type="character" w:customStyle="1" w:styleId="SuperscriptChar">
    <w:name w:val="Superscript Char"/>
    <w:link w:val="Superscript"/>
    <w:uiPriority w:val="99"/>
    <w:semiHidden/>
    <w:locked/>
    <w:rsid w:val="005B699B"/>
    <w:rPr>
      <w:rFonts w:ascii="CorporateSBQ-Regular" w:hAnsi="CorporateSBQ-Regular"/>
      <w:bCs/>
      <w:szCs w:val="17"/>
      <w:vertAlign w:val="superscript"/>
      <w:lang w:val="en-US" w:eastAsia="en-US"/>
    </w:rPr>
  </w:style>
  <w:style w:type="table" w:styleId="TableSimple1">
    <w:name w:val="Table Simple 1"/>
    <w:basedOn w:val="TableNormal"/>
    <w:uiPriority w:val="99"/>
    <w:rsid w:val="005B699B"/>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5B699B"/>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5B699B"/>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5B699B"/>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5B699B"/>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5B699B"/>
    <w:pPr>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5B699B"/>
    <w:pPr>
      <w:autoSpaceDE w:val="0"/>
      <w:autoSpaceDN w:val="0"/>
      <w:adjustRightInd w:val="0"/>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B699B"/>
    <w:pPr>
      <w:autoSpaceDE w:val="0"/>
      <w:autoSpaceDN w:val="0"/>
      <w:adjustRightInd w:val="0"/>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5B699B"/>
    <w:pPr>
      <w:autoSpaceDE w:val="0"/>
      <w:autoSpaceDN w:val="0"/>
      <w:adjustRightInd w:val="0"/>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5B699B"/>
    <w:rPr>
      <w:rFonts w:ascii="Cambria" w:hAnsi="Cambria"/>
      <w:lang w:eastAsia="en-US"/>
    </w:rPr>
  </w:style>
  <w:style w:type="paragraph" w:customStyle="1" w:styleId="ColorfulGrid-Accent62">
    <w:name w:val="Colorful Grid - Accent 62"/>
    <w:hidden/>
    <w:uiPriority w:val="99"/>
    <w:rsid w:val="005B699B"/>
    <w:rPr>
      <w:rFonts w:ascii="Verdana" w:hAnsi="Verdana"/>
      <w:lang w:eastAsia="en-US"/>
    </w:rPr>
  </w:style>
  <w:style w:type="paragraph" w:customStyle="1" w:styleId="Tabletext8pt">
    <w:name w:val="Table text 8pt"/>
    <w:basedOn w:val="Tabletext9pt"/>
    <w:qFormat/>
    <w:rsid w:val="005B699B"/>
    <w:rPr>
      <w:sz w:val="15"/>
      <w:szCs w:val="16"/>
    </w:rPr>
  </w:style>
  <w:style w:type="paragraph" w:customStyle="1" w:styleId="ColorfulShading-Accent110">
    <w:name w:val="Colorful Shading - Accent 110"/>
    <w:hidden/>
    <w:uiPriority w:val="99"/>
    <w:semiHidden/>
    <w:rsid w:val="005B699B"/>
    <w:rPr>
      <w:rFonts w:ascii="Cambria" w:hAnsi="Cambria"/>
      <w:lang w:eastAsia="en-US"/>
    </w:rPr>
  </w:style>
  <w:style w:type="numbering" w:customStyle="1" w:styleId="ZZBoxbullets">
    <w:name w:val="ZZ Box bullets"/>
    <w:basedOn w:val="NoList"/>
    <w:uiPriority w:val="99"/>
    <w:rsid w:val="005B699B"/>
    <w:pPr>
      <w:numPr>
        <w:numId w:val="9"/>
      </w:numPr>
    </w:pPr>
  </w:style>
  <w:style w:type="numbering" w:customStyle="1" w:styleId="ZZTablenoteroman">
    <w:name w:val="ZZ Table note roman"/>
    <w:basedOn w:val="NoList"/>
    <w:rsid w:val="005B699B"/>
    <w:pPr>
      <w:numPr>
        <w:numId w:val="18"/>
      </w:numPr>
    </w:pPr>
  </w:style>
  <w:style w:type="paragraph" w:customStyle="1" w:styleId="Tablecolhead8pt">
    <w:name w:val="Table col head 8pt"/>
    <w:basedOn w:val="Tablecolhead9pt"/>
    <w:uiPriority w:val="98"/>
    <w:qFormat/>
    <w:rsid w:val="005B699B"/>
    <w:rPr>
      <w:sz w:val="16"/>
      <w:szCs w:val="16"/>
    </w:rPr>
  </w:style>
  <w:style w:type="paragraph" w:customStyle="1" w:styleId="Tablesubheadrownavy8pt">
    <w:name w:val="Table subhead row navy 8pt"/>
    <w:basedOn w:val="Tablecolhead9pt"/>
    <w:uiPriority w:val="98"/>
    <w:qFormat/>
    <w:rsid w:val="005B699B"/>
    <w:pPr>
      <w:keepNext/>
    </w:pPr>
    <w:rPr>
      <w:rFonts w:eastAsiaTheme="minorHAnsi" w:cstheme="minorBidi"/>
      <w:color w:val="201547"/>
      <w:sz w:val="16"/>
      <w:szCs w:val="16"/>
      <w:lang w:eastAsia="en-AU"/>
    </w:rPr>
  </w:style>
  <w:style w:type="paragraph" w:customStyle="1" w:styleId="ColorfulShading-Accent12">
    <w:name w:val="Colorful Shading - Accent 12"/>
    <w:hidden/>
    <w:uiPriority w:val="71"/>
    <w:rsid w:val="005B699B"/>
    <w:rPr>
      <w:rFonts w:ascii="Cambria" w:hAnsi="Cambria"/>
      <w:lang w:eastAsia="en-US"/>
    </w:rPr>
  </w:style>
  <w:style w:type="paragraph" w:customStyle="1" w:styleId="ColorfulShading-Accent111">
    <w:name w:val="Colorful Shading - Accent 111"/>
    <w:hidden/>
    <w:uiPriority w:val="99"/>
    <w:rsid w:val="005B699B"/>
    <w:rPr>
      <w:rFonts w:ascii="Cambria" w:hAnsi="Cambria"/>
      <w:lang w:eastAsia="en-US"/>
    </w:rPr>
  </w:style>
  <w:style w:type="numbering" w:customStyle="1" w:styleId="ZZNumberedheadingsaddendums">
    <w:name w:val="ZZ Numbered headings addendums"/>
    <w:basedOn w:val="NoList"/>
    <w:uiPriority w:val="99"/>
    <w:rsid w:val="005B699B"/>
  </w:style>
  <w:style w:type="numbering" w:customStyle="1" w:styleId="ZZBoxnumbersroman">
    <w:name w:val="ZZ Box numbers roman"/>
    <w:basedOn w:val="NoList"/>
    <w:uiPriority w:val="99"/>
    <w:rsid w:val="005B699B"/>
  </w:style>
  <w:style w:type="paragraph" w:customStyle="1" w:styleId="Tablecolheadlandscape">
    <w:name w:val="Table col head landscape"/>
    <w:basedOn w:val="Tablecolhead"/>
    <w:uiPriority w:val="11"/>
    <w:rsid w:val="005B699B"/>
    <w:rPr>
      <w:sz w:val="16"/>
      <w:szCs w:val="16"/>
    </w:rPr>
  </w:style>
  <w:style w:type="paragraph" w:customStyle="1" w:styleId="Heading1partopener">
    <w:name w:val="Heading 1 part opener"/>
    <w:basedOn w:val="Normal"/>
    <w:rsid w:val="005B699B"/>
    <w:pPr>
      <w:keepNext/>
      <w:keepLines/>
      <w:pageBreakBefore/>
      <w:suppressAutoHyphens/>
      <w:spacing w:before="4500" w:after="440" w:line="440" w:lineRule="atLeast"/>
      <w:ind w:left="1701"/>
      <w:outlineLvl w:val="0"/>
    </w:pPr>
    <w:rPr>
      <w:bCs/>
      <w:color w:val="201547"/>
      <w:sz w:val="44"/>
      <w:szCs w:val="44"/>
    </w:rPr>
  </w:style>
  <w:style w:type="paragraph" w:customStyle="1" w:styleId="TableParagraph">
    <w:name w:val="Table Paragraph"/>
    <w:basedOn w:val="Normal"/>
    <w:uiPriority w:val="1"/>
    <w:qFormat/>
    <w:rsid w:val="005B699B"/>
    <w:pPr>
      <w:widowControl w:val="0"/>
      <w:autoSpaceDE w:val="0"/>
      <w:autoSpaceDN w:val="0"/>
      <w:spacing w:before="99"/>
    </w:pPr>
    <w:rPr>
      <w:rFonts w:ascii="Calibri" w:eastAsia="Calibri" w:hAnsi="Calibri" w:cs="Calibri"/>
      <w:sz w:val="22"/>
      <w:szCs w:val="22"/>
    </w:rPr>
  </w:style>
  <w:style w:type="paragraph" w:customStyle="1" w:styleId="DHHSaccessibilitypara">
    <w:name w:val="DHHS accessibility para"/>
    <w:uiPriority w:val="8"/>
    <w:rsid w:val="00762082"/>
    <w:pPr>
      <w:spacing w:after="300" w:line="300" w:lineRule="atLeast"/>
    </w:pPr>
    <w:rPr>
      <w:rFonts w:ascii="Arial" w:eastAsia="Times" w:hAnsi="Arial"/>
      <w:sz w:val="24"/>
      <w:szCs w:val="19"/>
      <w:lang w:eastAsia="en-US"/>
    </w:rPr>
  </w:style>
  <w:style w:type="paragraph" w:customStyle="1" w:styleId="Bodyafterfiguretable">
    <w:name w:val="Body after figure/table"/>
    <w:basedOn w:val="Body"/>
    <w:uiPriority w:val="11"/>
    <w:rsid w:val="00F90553"/>
    <w:pPr>
      <w:spacing w:before="240"/>
    </w:pPr>
  </w:style>
  <w:style w:type="character" w:styleId="Mention">
    <w:name w:val="Mention"/>
    <w:basedOn w:val="DefaultParagraphFont"/>
    <w:uiPriority w:val="99"/>
    <w:unhideWhenUsed/>
    <w:rsid w:val="00B63EB4"/>
    <w:rPr>
      <w:color w:val="2B579A"/>
      <w:shd w:val="clear" w:color="auto" w:fill="E1DFDD"/>
    </w:rPr>
  </w:style>
  <w:style w:type="table" w:customStyle="1" w:styleId="TableGrid1">
    <w:name w:val="Table Grid1"/>
    <w:basedOn w:val="TableNormal"/>
    <w:next w:val="TableGrid"/>
    <w:uiPriority w:val="59"/>
    <w:rsid w:val="00E05CE5"/>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table" w:customStyle="1" w:styleId="TableGrid12">
    <w:name w:val="Table Grid12"/>
    <w:basedOn w:val="TableNormal"/>
    <w:uiPriority w:val="59"/>
    <w:rsid w:val="006270A2"/>
    <w:rPr>
      <w:rFonts w:asciiTheme="minorHAnsi" w:eastAsiaTheme="minorHAnsi" w:hAnsiTheme="minorHAnsi" w:cstheme="minorBidi"/>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character" w:customStyle="1" w:styleId="normaltextrun">
    <w:name w:val="normaltextrun"/>
    <w:basedOn w:val="DefaultParagraphFont"/>
    <w:rsid w:val="00462DC7"/>
  </w:style>
  <w:style w:type="paragraph" w:customStyle="1" w:styleId="Tablenoteroman">
    <w:name w:val="Table note roman"/>
    <w:basedOn w:val="Tablefigurenote9pt"/>
    <w:uiPriority w:val="4"/>
    <w:qFormat/>
    <w:rsid w:val="008E4F36"/>
    <w:pPr>
      <w:tabs>
        <w:tab w:val="num" w:pos="397"/>
        <w:tab w:val="num" w:pos="720"/>
      </w:tabs>
      <w:ind w:left="397" w:hanging="397"/>
    </w:pPr>
    <w:rPr>
      <w:rFonts w:eastAsia="Times"/>
    </w:rPr>
  </w:style>
  <w:style w:type="character" w:customStyle="1" w:styleId="ui-provider">
    <w:name w:val="ui-provider"/>
    <w:basedOn w:val="DefaultParagraphFont"/>
    <w:rsid w:val="00D8107F"/>
  </w:style>
  <w:style w:type="numbering" w:customStyle="1" w:styleId="CurrentList1">
    <w:name w:val="Current List1"/>
    <w:uiPriority w:val="99"/>
    <w:rsid w:val="003F33E2"/>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1163153">
      <w:bodyDiv w:val="1"/>
      <w:marLeft w:val="0"/>
      <w:marRight w:val="0"/>
      <w:marTop w:val="0"/>
      <w:marBottom w:val="0"/>
      <w:divBdr>
        <w:top w:val="none" w:sz="0" w:space="0" w:color="auto"/>
        <w:left w:val="none" w:sz="0" w:space="0" w:color="auto"/>
        <w:bottom w:val="none" w:sz="0" w:space="0" w:color="auto"/>
        <w:right w:val="none" w:sz="0" w:space="0" w:color="auto"/>
      </w:divBdr>
    </w:div>
    <w:div w:id="177894958">
      <w:bodyDiv w:val="1"/>
      <w:marLeft w:val="0"/>
      <w:marRight w:val="0"/>
      <w:marTop w:val="0"/>
      <w:marBottom w:val="0"/>
      <w:divBdr>
        <w:top w:val="none" w:sz="0" w:space="0" w:color="auto"/>
        <w:left w:val="none" w:sz="0" w:space="0" w:color="auto"/>
        <w:bottom w:val="none" w:sz="0" w:space="0" w:color="auto"/>
        <w:right w:val="none" w:sz="0" w:space="0" w:color="auto"/>
      </w:divBdr>
      <w:divsChild>
        <w:div w:id="146098916">
          <w:marLeft w:val="0"/>
          <w:marRight w:val="0"/>
          <w:marTop w:val="0"/>
          <w:marBottom w:val="0"/>
          <w:divBdr>
            <w:top w:val="none" w:sz="0" w:space="0" w:color="auto"/>
            <w:left w:val="none" w:sz="0" w:space="0" w:color="auto"/>
            <w:bottom w:val="none" w:sz="0" w:space="0" w:color="auto"/>
            <w:right w:val="none" w:sz="0" w:space="0" w:color="auto"/>
          </w:divBdr>
          <w:divsChild>
            <w:div w:id="1158881673">
              <w:marLeft w:val="0"/>
              <w:marRight w:val="0"/>
              <w:marTop w:val="0"/>
              <w:marBottom w:val="0"/>
              <w:divBdr>
                <w:top w:val="none" w:sz="0" w:space="0" w:color="auto"/>
                <w:left w:val="none" w:sz="0" w:space="0" w:color="auto"/>
                <w:bottom w:val="none" w:sz="0" w:space="0" w:color="auto"/>
                <w:right w:val="none" w:sz="0" w:space="0" w:color="auto"/>
              </w:divBdr>
            </w:div>
          </w:divsChild>
        </w:div>
        <w:div w:id="225846887">
          <w:marLeft w:val="0"/>
          <w:marRight w:val="0"/>
          <w:marTop w:val="0"/>
          <w:marBottom w:val="0"/>
          <w:divBdr>
            <w:top w:val="none" w:sz="0" w:space="0" w:color="auto"/>
            <w:left w:val="none" w:sz="0" w:space="0" w:color="auto"/>
            <w:bottom w:val="none" w:sz="0" w:space="0" w:color="auto"/>
            <w:right w:val="none" w:sz="0" w:space="0" w:color="auto"/>
          </w:divBdr>
          <w:divsChild>
            <w:div w:id="111487289">
              <w:marLeft w:val="0"/>
              <w:marRight w:val="0"/>
              <w:marTop w:val="0"/>
              <w:marBottom w:val="0"/>
              <w:divBdr>
                <w:top w:val="none" w:sz="0" w:space="0" w:color="auto"/>
                <w:left w:val="none" w:sz="0" w:space="0" w:color="auto"/>
                <w:bottom w:val="none" w:sz="0" w:space="0" w:color="auto"/>
                <w:right w:val="none" w:sz="0" w:space="0" w:color="auto"/>
              </w:divBdr>
            </w:div>
          </w:divsChild>
        </w:div>
        <w:div w:id="263726501">
          <w:marLeft w:val="0"/>
          <w:marRight w:val="0"/>
          <w:marTop w:val="0"/>
          <w:marBottom w:val="0"/>
          <w:divBdr>
            <w:top w:val="none" w:sz="0" w:space="0" w:color="auto"/>
            <w:left w:val="none" w:sz="0" w:space="0" w:color="auto"/>
            <w:bottom w:val="none" w:sz="0" w:space="0" w:color="auto"/>
            <w:right w:val="none" w:sz="0" w:space="0" w:color="auto"/>
          </w:divBdr>
          <w:divsChild>
            <w:div w:id="455946628">
              <w:marLeft w:val="0"/>
              <w:marRight w:val="0"/>
              <w:marTop w:val="0"/>
              <w:marBottom w:val="0"/>
              <w:divBdr>
                <w:top w:val="none" w:sz="0" w:space="0" w:color="auto"/>
                <w:left w:val="none" w:sz="0" w:space="0" w:color="auto"/>
                <w:bottom w:val="none" w:sz="0" w:space="0" w:color="auto"/>
                <w:right w:val="none" w:sz="0" w:space="0" w:color="auto"/>
              </w:divBdr>
            </w:div>
            <w:div w:id="1702247322">
              <w:marLeft w:val="0"/>
              <w:marRight w:val="0"/>
              <w:marTop w:val="0"/>
              <w:marBottom w:val="0"/>
              <w:divBdr>
                <w:top w:val="none" w:sz="0" w:space="0" w:color="auto"/>
                <w:left w:val="none" w:sz="0" w:space="0" w:color="auto"/>
                <w:bottom w:val="none" w:sz="0" w:space="0" w:color="auto"/>
                <w:right w:val="none" w:sz="0" w:space="0" w:color="auto"/>
              </w:divBdr>
            </w:div>
          </w:divsChild>
        </w:div>
        <w:div w:id="285161484">
          <w:marLeft w:val="0"/>
          <w:marRight w:val="0"/>
          <w:marTop w:val="0"/>
          <w:marBottom w:val="0"/>
          <w:divBdr>
            <w:top w:val="none" w:sz="0" w:space="0" w:color="auto"/>
            <w:left w:val="none" w:sz="0" w:space="0" w:color="auto"/>
            <w:bottom w:val="none" w:sz="0" w:space="0" w:color="auto"/>
            <w:right w:val="none" w:sz="0" w:space="0" w:color="auto"/>
          </w:divBdr>
          <w:divsChild>
            <w:div w:id="371462389">
              <w:marLeft w:val="0"/>
              <w:marRight w:val="0"/>
              <w:marTop w:val="0"/>
              <w:marBottom w:val="0"/>
              <w:divBdr>
                <w:top w:val="none" w:sz="0" w:space="0" w:color="auto"/>
                <w:left w:val="none" w:sz="0" w:space="0" w:color="auto"/>
                <w:bottom w:val="none" w:sz="0" w:space="0" w:color="auto"/>
                <w:right w:val="none" w:sz="0" w:space="0" w:color="auto"/>
              </w:divBdr>
            </w:div>
          </w:divsChild>
        </w:div>
        <w:div w:id="324211156">
          <w:marLeft w:val="0"/>
          <w:marRight w:val="0"/>
          <w:marTop w:val="0"/>
          <w:marBottom w:val="0"/>
          <w:divBdr>
            <w:top w:val="none" w:sz="0" w:space="0" w:color="auto"/>
            <w:left w:val="none" w:sz="0" w:space="0" w:color="auto"/>
            <w:bottom w:val="none" w:sz="0" w:space="0" w:color="auto"/>
            <w:right w:val="none" w:sz="0" w:space="0" w:color="auto"/>
          </w:divBdr>
          <w:divsChild>
            <w:div w:id="1169713897">
              <w:marLeft w:val="0"/>
              <w:marRight w:val="0"/>
              <w:marTop w:val="0"/>
              <w:marBottom w:val="0"/>
              <w:divBdr>
                <w:top w:val="none" w:sz="0" w:space="0" w:color="auto"/>
                <w:left w:val="none" w:sz="0" w:space="0" w:color="auto"/>
                <w:bottom w:val="none" w:sz="0" w:space="0" w:color="auto"/>
                <w:right w:val="none" w:sz="0" w:space="0" w:color="auto"/>
              </w:divBdr>
            </w:div>
          </w:divsChild>
        </w:div>
        <w:div w:id="423182961">
          <w:marLeft w:val="0"/>
          <w:marRight w:val="0"/>
          <w:marTop w:val="0"/>
          <w:marBottom w:val="0"/>
          <w:divBdr>
            <w:top w:val="none" w:sz="0" w:space="0" w:color="auto"/>
            <w:left w:val="none" w:sz="0" w:space="0" w:color="auto"/>
            <w:bottom w:val="none" w:sz="0" w:space="0" w:color="auto"/>
            <w:right w:val="none" w:sz="0" w:space="0" w:color="auto"/>
          </w:divBdr>
          <w:divsChild>
            <w:div w:id="1735202441">
              <w:marLeft w:val="0"/>
              <w:marRight w:val="0"/>
              <w:marTop w:val="0"/>
              <w:marBottom w:val="0"/>
              <w:divBdr>
                <w:top w:val="none" w:sz="0" w:space="0" w:color="auto"/>
                <w:left w:val="none" w:sz="0" w:space="0" w:color="auto"/>
                <w:bottom w:val="none" w:sz="0" w:space="0" w:color="auto"/>
                <w:right w:val="none" w:sz="0" w:space="0" w:color="auto"/>
              </w:divBdr>
            </w:div>
          </w:divsChild>
        </w:div>
        <w:div w:id="443159524">
          <w:marLeft w:val="0"/>
          <w:marRight w:val="0"/>
          <w:marTop w:val="0"/>
          <w:marBottom w:val="0"/>
          <w:divBdr>
            <w:top w:val="none" w:sz="0" w:space="0" w:color="auto"/>
            <w:left w:val="none" w:sz="0" w:space="0" w:color="auto"/>
            <w:bottom w:val="none" w:sz="0" w:space="0" w:color="auto"/>
            <w:right w:val="none" w:sz="0" w:space="0" w:color="auto"/>
          </w:divBdr>
          <w:divsChild>
            <w:div w:id="1358385819">
              <w:marLeft w:val="0"/>
              <w:marRight w:val="0"/>
              <w:marTop w:val="0"/>
              <w:marBottom w:val="0"/>
              <w:divBdr>
                <w:top w:val="none" w:sz="0" w:space="0" w:color="auto"/>
                <w:left w:val="none" w:sz="0" w:space="0" w:color="auto"/>
                <w:bottom w:val="none" w:sz="0" w:space="0" w:color="auto"/>
                <w:right w:val="none" w:sz="0" w:space="0" w:color="auto"/>
              </w:divBdr>
            </w:div>
          </w:divsChild>
        </w:div>
        <w:div w:id="470558194">
          <w:marLeft w:val="0"/>
          <w:marRight w:val="0"/>
          <w:marTop w:val="0"/>
          <w:marBottom w:val="0"/>
          <w:divBdr>
            <w:top w:val="none" w:sz="0" w:space="0" w:color="auto"/>
            <w:left w:val="none" w:sz="0" w:space="0" w:color="auto"/>
            <w:bottom w:val="none" w:sz="0" w:space="0" w:color="auto"/>
            <w:right w:val="none" w:sz="0" w:space="0" w:color="auto"/>
          </w:divBdr>
          <w:divsChild>
            <w:div w:id="1642340722">
              <w:marLeft w:val="0"/>
              <w:marRight w:val="0"/>
              <w:marTop w:val="0"/>
              <w:marBottom w:val="0"/>
              <w:divBdr>
                <w:top w:val="none" w:sz="0" w:space="0" w:color="auto"/>
                <w:left w:val="none" w:sz="0" w:space="0" w:color="auto"/>
                <w:bottom w:val="none" w:sz="0" w:space="0" w:color="auto"/>
                <w:right w:val="none" w:sz="0" w:space="0" w:color="auto"/>
              </w:divBdr>
            </w:div>
          </w:divsChild>
        </w:div>
        <w:div w:id="482696916">
          <w:marLeft w:val="0"/>
          <w:marRight w:val="0"/>
          <w:marTop w:val="0"/>
          <w:marBottom w:val="0"/>
          <w:divBdr>
            <w:top w:val="none" w:sz="0" w:space="0" w:color="auto"/>
            <w:left w:val="none" w:sz="0" w:space="0" w:color="auto"/>
            <w:bottom w:val="none" w:sz="0" w:space="0" w:color="auto"/>
            <w:right w:val="none" w:sz="0" w:space="0" w:color="auto"/>
          </w:divBdr>
          <w:divsChild>
            <w:div w:id="556363004">
              <w:marLeft w:val="0"/>
              <w:marRight w:val="0"/>
              <w:marTop w:val="0"/>
              <w:marBottom w:val="0"/>
              <w:divBdr>
                <w:top w:val="none" w:sz="0" w:space="0" w:color="auto"/>
                <w:left w:val="none" w:sz="0" w:space="0" w:color="auto"/>
                <w:bottom w:val="none" w:sz="0" w:space="0" w:color="auto"/>
                <w:right w:val="none" w:sz="0" w:space="0" w:color="auto"/>
              </w:divBdr>
            </w:div>
          </w:divsChild>
        </w:div>
        <w:div w:id="505487942">
          <w:marLeft w:val="0"/>
          <w:marRight w:val="0"/>
          <w:marTop w:val="0"/>
          <w:marBottom w:val="0"/>
          <w:divBdr>
            <w:top w:val="none" w:sz="0" w:space="0" w:color="auto"/>
            <w:left w:val="none" w:sz="0" w:space="0" w:color="auto"/>
            <w:bottom w:val="none" w:sz="0" w:space="0" w:color="auto"/>
            <w:right w:val="none" w:sz="0" w:space="0" w:color="auto"/>
          </w:divBdr>
          <w:divsChild>
            <w:div w:id="353658291">
              <w:marLeft w:val="0"/>
              <w:marRight w:val="0"/>
              <w:marTop w:val="0"/>
              <w:marBottom w:val="0"/>
              <w:divBdr>
                <w:top w:val="none" w:sz="0" w:space="0" w:color="auto"/>
                <w:left w:val="none" w:sz="0" w:space="0" w:color="auto"/>
                <w:bottom w:val="none" w:sz="0" w:space="0" w:color="auto"/>
                <w:right w:val="none" w:sz="0" w:space="0" w:color="auto"/>
              </w:divBdr>
            </w:div>
          </w:divsChild>
        </w:div>
        <w:div w:id="536428102">
          <w:marLeft w:val="0"/>
          <w:marRight w:val="0"/>
          <w:marTop w:val="0"/>
          <w:marBottom w:val="0"/>
          <w:divBdr>
            <w:top w:val="none" w:sz="0" w:space="0" w:color="auto"/>
            <w:left w:val="none" w:sz="0" w:space="0" w:color="auto"/>
            <w:bottom w:val="none" w:sz="0" w:space="0" w:color="auto"/>
            <w:right w:val="none" w:sz="0" w:space="0" w:color="auto"/>
          </w:divBdr>
          <w:divsChild>
            <w:div w:id="267783343">
              <w:marLeft w:val="0"/>
              <w:marRight w:val="0"/>
              <w:marTop w:val="0"/>
              <w:marBottom w:val="0"/>
              <w:divBdr>
                <w:top w:val="none" w:sz="0" w:space="0" w:color="auto"/>
                <w:left w:val="none" w:sz="0" w:space="0" w:color="auto"/>
                <w:bottom w:val="none" w:sz="0" w:space="0" w:color="auto"/>
                <w:right w:val="none" w:sz="0" w:space="0" w:color="auto"/>
              </w:divBdr>
            </w:div>
          </w:divsChild>
        </w:div>
        <w:div w:id="606237030">
          <w:marLeft w:val="0"/>
          <w:marRight w:val="0"/>
          <w:marTop w:val="0"/>
          <w:marBottom w:val="0"/>
          <w:divBdr>
            <w:top w:val="none" w:sz="0" w:space="0" w:color="auto"/>
            <w:left w:val="none" w:sz="0" w:space="0" w:color="auto"/>
            <w:bottom w:val="none" w:sz="0" w:space="0" w:color="auto"/>
            <w:right w:val="none" w:sz="0" w:space="0" w:color="auto"/>
          </w:divBdr>
          <w:divsChild>
            <w:div w:id="1162547122">
              <w:marLeft w:val="0"/>
              <w:marRight w:val="0"/>
              <w:marTop w:val="0"/>
              <w:marBottom w:val="0"/>
              <w:divBdr>
                <w:top w:val="none" w:sz="0" w:space="0" w:color="auto"/>
                <w:left w:val="none" w:sz="0" w:space="0" w:color="auto"/>
                <w:bottom w:val="none" w:sz="0" w:space="0" w:color="auto"/>
                <w:right w:val="none" w:sz="0" w:space="0" w:color="auto"/>
              </w:divBdr>
            </w:div>
          </w:divsChild>
        </w:div>
        <w:div w:id="656762822">
          <w:marLeft w:val="0"/>
          <w:marRight w:val="0"/>
          <w:marTop w:val="0"/>
          <w:marBottom w:val="0"/>
          <w:divBdr>
            <w:top w:val="none" w:sz="0" w:space="0" w:color="auto"/>
            <w:left w:val="none" w:sz="0" w:space="0" w:color="auto"/>
            <w:bottom w:val="none" w:sz="0" w:space="0" w:color="auto"/>
            <w:right w:val="none" w:sz="0" w:space="0" w:color="auto"/>
          </w:divBdr>
          <w:divsChild>
            <w:div w:id="2108190545">
              <w:marLeft w:val="0"/>
              <w:marRight w:val="0"/>
              <w:marTop w:val="0"/>
              <w:marBottom w:val="0"/>
              <w:divBdr>
                <w:top w:val="none" w:sz="0" w:space="0" w:color="auto"/>
                <w:left w:val="none" w:sz="0" w:space="0" w:color="auto"/>
                <w:bottom w:val="none" w:sz="0" w:space="0" w:color="auto"/>
                <w:right w:val="none" w:sz="0" w:space="0" w:color="auto"/>
              </w:divBdr>
            </w:div>
          </w:divsChild>
        </w:div>
        <w:div w:id="673217837">
          <w:marLeft w:val="0"/>
          <w:marRight w:val="0"/>
          <w:marTop w:val="0"/>
          <w:marBottom w:val="0"/>
          <w:divBdr>
            <w:top w:val="none" w:sz="0" w:space="0" w:color="auto"/>
            <w:left w:val="none" w:sz="0" w:space="0" w:color="auto"/>
            <w:bottom w:val="none" w:sz="0" w:space="0" w:color="auto"/>
            <w:right w:val="none" w:sz="0" w:space="0" w:color="auto"/>
          </w:divBdr>
          <w:divsChild>
            <w:div w:id="494565636">
              <w:marLeft w:val="0"/>
              <w:marRight w:val="0"/>
              <w:marTop w:val="0"/>
              <w:marBottom w:val="0"/>
              <w:divBdr>
                <w:top w:val="none" w:sz="0" w:space="0" w:color="auto"/>
                <w:left w:val="none" w:sz="0" w:space="0" w:color="auto"/>
                <w:bottom w:val="none" w:sz="0" w:space="0" w:color="auto"/>
                <w:right w:val="none" w:sz="0" w:space="0" w:color="auto"/>
              </w:divBdr>
            </w:div>
          </w:divsChild>
        </w:div>
        <w:div w:id="776097510">
          <w:marLeft w:val="0"/>
          <w:marRight w:val="0"/>
          <w:marTop w:val="0"/>
          <w:marBottom w:val="0"/>
          <w:divBdr>
            <w:top w:val="none" w:sz="0" w:space="0" w:color="auto"/>
            <w:left w:val="none" w:sz="0" w:space="0" w:color="auto"/>
            <w:bottom w:val="none" w:sz="0" w:space="0" w:color="auto"/>
            <w:right w:val="none" w:sz="0" w:space="0" w:color="auto"/>
          </w:divBdr>
          <w:divsChild>
            <w:div w:id="2015261682">
              <w:marLeft w:val="0"/>
              <w:marRight w:val="0"/>
              <w:marTop w:val="0"/>
              <w:marBottom w:val="0"/>
              <w:divBdr>
                <w:top w:val="none" w:sz="0" w:space="0" w:color="auto"/>
                <w:left w:val="none" w:sz="0" w:space="0" w:color="auto"/>
                <w:bottom w:val="none" w:sz="0" w:space="0" w:color="auto"/>
                <w:right w:val="none" w:sz="0" w:space="0" w:color="auto"/>
              </w:divBdr>
            </w:div>
          </w:divsChild>
        </w:div>
        <w:div w:id="778456060">
          <w:marLeft w:val="0"/>
          <w:marRight w:val="0"/>
          <w:marTop w:val="0"/>
          <w:marBottom w:val="0"/>
          <w:divBdr>
            <w:top w:val="none" w:sz="0" w:space="0" w:color="auto"/>
            <w:left w:val="none" w:sz="0" w:space="0" w:color="auto"/>
            <w:bottom w:val="none" w:sz="0" w:space="0" w:color="auto"/>
            <w:right w:val="none" w:sz="0" w:space="0" w:color="auto"/>
          </w:divBdr>
          <w:divsChild>
            <w:div w:id="15354403">
              <w:marLeft w:val="0"/>
              <w:marRight w:val="0"/>
              <w:marTop w:val="0"/>
              <w:marBottom w:val="0"/>
              <w:divBdr>
                <w:top w:val="none" w:sz="0" w:space="0" w:color="auto"/>
                <w:left w:val="none" w:sz="0" w:space="0" w:color="auto"/>
                <w:bottom w:val="none" w:sz="0" w:space="0" w:color="auto"/>
                <w:right w:val="none" w:sz="0" w:space="0" w:color="auto"/>
              </w:divBdr>
            </w:div>
            <w:div w:id="1516729058">
              <w:marLeft w:val="0"/>
              <w:marRight w:val="0"/>
              <w:marTop w:val="0"/>
              <w:marBottom w:val="0"/>
              <w:divBdr>
                <w:top w:val="none" w:sz="0" w:space="0" w:color="auto"/>
                <w:left w:val="none" w:sz="0" w:space="0" w:color="auto"/>
                <w:bottom w:val="none" w:sz="0" w:space="0" w:color="auto"/>
                <w:right w:val="none" w:sz="0" w:space="0" w:color="auto"/>
              </w:divBdr>
            </w:div>
          </w:divsChild>
        </w:div>
        <w:div w:id="797333170">
          <w:marLeft w:val="0"/>
          <w:marRight w:val="0"/>
          <w:marTop w:val="0"/>
          <w:marBottom w:val="0"/>
          <w:divBdr>
            <w:top w:val="none" w:sz="0" w:space="0" w:color="auto"/>
            <w:left w:val="none" w:sz="0" w:space="0" w:color="auto"/>
            <w:bottom w:val="none" w:sz="0" w:space="0" w:color="auto"/>
            <w:right w:val="none" w:sz="0" w:space="0" w:color="auto"/>
          </w:divBdr>
          <w:divsChild>
            <w:div w:id="204492733">
              <w:marLeft w:val="0"/>
              <w:marRight w:val="0"/>
              <w:marTop w:val="0"/>
              <w:marBottom w:val="0"/>
              <w:divBdr>
                <w:top w:val="none" w:sz="0" w:space="0" w:color="auto"/>
                <w:left w:val="none" w:sz="0" w:space="0" w:color="auto"/>
                <w:bottom w:val="none" w:sz="0" w:space="0" w:color="auto"/>
                <w:right w:val="none" w:sz="0" w:space="0" w:color="auto"/>
              </w:divBdr>
            </w:div>
          </w:divsChild>
        </w:div>
        <w:div w:id="820923837">
          <w:marLeft w:val="0"/>
          <w:marRight w:val="0"/>
          <w:marTop w:val="0"/>
          <w:marBottom w:val="0"/>
          <w:divBdr>
            <w:top w:val="none" w:sz="0" w:space="0" w:color="auto"/>
            <w:left w:val="none" w:sz="0" w:space="0" w:color="auto"/>
            <w:bottom w:val="none" w:sz="0" w:space="0" w:color="auto"/>
            <w:right w:val="none" w:sz="0" w:space="0" w:color="auto"/>
          </w:divBdr>
          <w:divsChild>
            <w:div w:id="1698382857">
              <w:marLeft w:val="0"/>
              <w:marRight w:val="0"/>
              <w:marTop w:val="0"/>
              <w:marBottom w:val="0"/>
              <w:divBdr>
                <w:top w:val="none" w:sz="0" w:space="0" w:color="auto"/>
                <w:left w:val="none" w:sz="0" w:space="0" w:color="auto"/>
                <w:bottom w:val="none" w:sz="0" w:space="0" w:color="auto"/>
                <w:right w:val="none" w:sz="0" w:space="0" w:color="auto"/>
              </w:divBdr>
            </w:div>
          </w:divsChild>
        </w:div>
        <w:div w:id="829950048">
          <w:marLeft w:val="0"/>
          <w:marRight w:val="0"/>
          <w:marTop w:val="0"/>
          <w:marBottom w:val="0"/>
          <w:divBdr>
            <w:top w:val="none" w:sz="0" w:space="0" w:color="auto"/>
            <w:left w:val="none" w:sz="0" w:space="0" w:color="auto"/>
            <w:bottom w:val="none" w:sz="0" w:space="0" w:color="auto"/>
            <w:right w:val="none" w:sz="0" w:space="0" w:color="auto"/>
          </w:divBdr>
          <w:divsChild>
            <w:div w:id="1887982432">
              <w:marLeft w:val="0"/>
              <w:marRight w:val="0"/>
              <w:marTop w:val="0"/>
              <w:marBottom w:val="0"/>
              <w:divBdr>
                <w:top w:val="none" w:sz="0" w:space="0" w:color="auto"/>
                <w:left w:val="none" w:sz="0" w:space="0" w:color="auto"/>
                <w:bottom w:val="none" w:sz="0" w:space="0" w:color="auto"/>
                <w:right w:val="none" w:sz="0" w:space="0" w:color="auto"/>
              </w:divBdr>
            </w:div>
          </w:divsChild>
        </w:div>
        <w:div w:id="831986087">
          <w:marLeft w:val="0"/>
          <w:marRight w:val="0"/>
          <w:marTop w:val="0"/>
          <w:marBottom w:val="0"/>
          <w:divBdr>
            <w:top w:val="none" w:sz="0" w:space="0" w:color="auto"/>
            <w:left w:val="none" w:sz="0" w:space="0" w:color="auto"/>
            <w:bottom w:val="none" w:sz="0" w:space="0" w:color="auto"/>
            <w:right w:val="none" w:sz="0" w:space="0" w:color="auto"/>
          </w:divBdr>
          <w:divsChild>
            <w:div w:id="675425021">
              <w:marLeft w:val="0"/>
              <w:marRight w:val="0"/>
              <w:marTop w:val="0"/>
              <w:marBottom w:val="0"/>
              <w:divBdr>
                <w:top w:val="none" w:sz="0" w:space="0" w:color="auto"/>
                <w:left w:val="none" w:sz="0" w:space="0" w:color="auto"/>
                <w:bottom w:val="none" w:sz="0" w:space="0" w:color="auto"/>
                <w:right w:val="none" w:sz="0" w:space="0" w:color="auto"/>
              </w:divBdr>
            </w:div>
          </w:divsChild>
        </w:div>
        <w:div w:id="1025789462">
          <w:marLeft w:val="0"/>
          <w:marRight w:val="0"/>
          <w:marTop w:val="0"/>
          <w:marBottom w:val="0"/>
          <w:divBdr>
            <w:top w:val="none" w:sz="0" w:space="0" w:color="auto"/>
            <w:left w:val="none" w:sz="0" w:space="0" w:color="auto"/>
            <w:bottom w:val="none" w:sz="0" w:space="0" w:color="auto"/>
            <w:right w:val="none" w:sz="0" w:space="0" w:color="auto"/>
          </w:divBdr>
          <w:divsChild>
            <w:div w:id="1161576424">
              <w:marLeft w:val="0"/>
              <w:marRight w:val="0"/>
              <w:marTop w:val="0"/>
              <w:marBottom w:val="0"/>
              <w:divBdr>
                <w:top w:val="none" w:sz="0" w:space="0" w:color="auto"/>
                <w:left w:val="none" w:sz="0" w:space="0" w:color="auto"/>
                <w:bottom w:val="none" w:sz="0" w:space="0" w:color="auto"/>
                <w:right w:val="none" w:sz="0" w:space="0" w:color="auto"/>
              </w:divBdr>
            </w:div>
            <w:div w:id="1713767858">
              <w:marLeft w:val="0"/>
              <w:marRight w:val="0"/>
              <w:marTop w:val="0"/>
              <w:marBottom w:val="0"/>
              <w:divBdr>
                <w:top w:val="none" w:sz="0" w:space="0" w:color="auto"/>
                <w:left w:val="none" w:sz="0" w:space="0" w:color="auto"/>
                <w:bottom w:val="none" w:sz="0" w:space="0" w:color="auto"/>
                <w:right w:val="none" w:sz="0" w:space="0" w:color="auto"/>
              </w:divBdr>
            </w:div>
          </w:divsChild>
        </w:div>
        <w:div w:id="1029449714">
          <w:marLeft w:val="0"/>
          <w:marRight w:val="0"/>
          <w:marTop w:val="0"/>
          <w:marBottom w:val="0"/>
          <w:divBdr>
            <w:top w:val="none" w:sz="0" w:space="0" w:color="auto"/>
            <w:left w:val="none" w:sz="0" w:space="0" w:color="auto"/>
            <w:bottom w:val="none" w:sz="0" w:space="0" w:color="auto"/>
            <w:right w:val="none" w:sz="0" w:space="0" w:color="auto"/>
          </w:divBdr>
          <w:divsChild>
            <w:div w:id="208685840">
              <w:marLeft w:val="0"/>
              <w:marRight w:val="0"/>
              <w:marTop w:val="0"/>
              <w:marBottom w:val="0"/>
              <w:divBdr>
                <w:top w:val="none" w:sz="0" w:space="0" w:color="auto"/>
                <w:left w:val="none" w:sz="0" w:space="0" w:color="auto"/>
                <w:bottom w:val="none" w:sz="0" w:space="0" w:color="auto"/>
                <w:right w:val="none" w:sz="0" w:space="0" w:color="auto"/>
              </w:divBdr>
            </w:div>
          </w:divsChild>
        </w:div>
        <w:div w:id="1059592188">
          <w:marLeft w:val="0"/>
          <w:marRight w:val="0"/>
          <w:marTop w:val="0"/>
          <w:marBottom w:val="0"/>
          <w:divBdr>
            <w:top w:val="none" w:sz="0" w:space="0" w:color="auto"/>
            <w:left w:val="none" w:sz="0" w:space="0" w:color="auto"/>
            <w:bottom w:val="none" w:sz="0" w:space="0" w:color="auto"/>
            <w:right w:val="none" w:sz="0" w:space="0" w:color="auto"/>
          </w:divBdr>
          <w:divsChild>
            <w:div w:id="1738045323">
              <w:marLeft w:val="0"/>
              <w:marRight w:val="0"/>
              <w:marTop w:val="0"/>
              <w:marBottom w:val="0"/>
              <w:divBdr>
                <w:top w:val="none" w:sz="0" w:space="0" w:color="auto"/>
                <w:left w:val="none" w:sz="0" w:space="0" w:color="auto"/>
                <w:bottom w:val="none" w:sz="0" w:space="0" w:color="auto"/>
                <w:right w:val="none" w:sz="0" w:space="0" w:color="auto"/>
              </w:divBdr>
            </w:div>
          </w:divsChild>
        </w:div>
        <w:div w:id="1110397373">
          <w:marLeft w:val="0"/>
          <w:marRight w:val="0"/>
          <w:marTop w:val="0"/>
          <w:marBottom w:val="0"/>
          <w:divBdr>
            <w:top w:val="none" w:sz="0" w:space="0" w:color="auto"/>
            <w:left w:val="none" w:sz="0" w:space="0" w:color="auto"/>
            <w:bottom w:val="none" w:sz="0" w:space="0" w:color="auto"/>
            <w:right w:val="none" w:sz="0" w:space="0" w:color="auto"/>
          </w:divBdr>
          <w:divsChild>
            <w:div w:id="1392844770">
              <w:marLeft w:val="0"/>
              <w:marRight w:val="0"/>
              <w:marTop w:val="0"/>
              <w:marBottom w:val="0"/>
              <w:divBdr>
                <w:top w:val="none" w:sz="0" w:space="0" w:color="auto"/>
                <w:left w:val="none" w:sz="0" w:space="0" w:color="auto"/>
                <w:bottom w:val="none" w:sz="0" w:space="0" w:color="auto"/>
                <w:right w:val="none" w:sz="0" w:space="0" w:color="auto"/>
              </w:divBdr>
            </w:div>
          </w:divsChild>
        </w:div>
        <w:div w:id="1180852918">
          <w:marLeft w:val="0"/>
          <w:marRight w:val="0"/>
          <w:marTop w:val="0"/>
          <w:marBottom w:val="0"/>
          <w:divBdr>
            <w:top w:val="none" w:sz="0" w:space="0" w:color="auto"/>
            <w:left w:val="none" w:sz="0" w:space="0" w:color="auto"/>
            <w:bottom w:val="none" w:sz="0" w:space="0" w:color="auto"/>
            <w:right w:val="none" w:sz="0" w:space="0" w:color="auto"/>
          </w:divBdr>
          <w:divsChild>
            <w:div w:id="321784611">
              <w:marLeft w:val="0"/>
              <w:marRight w:val="0"/>
              <w:marTop w:val="0"/>
              <w:marBottom w:val="0"/>
              <w:divBdr>
                <w:top w:val="none" w:sz="0" w:space="0" w:color="auto"/>
                <w:left w:val="none" w:sz="0" w:space="0" w:color="auto"/>
                <w:bottom w:val="none" w:sz="0" w:space="0" w:color="auto"/>
                <w:right w:val="none" w:sz="0" w:space="0" w:color="auto"/>
              </w:divBdr>
            </w:div>
            <w:div w:id="618339859">
              <w:marLeft w:val="0"/>
              <w:marRight w:val="0"/>
              <w:marTop w:val="0"/>
              <w:marBottom w:val="0"/>
              <w:divBdr>
                <w:top w:val="none" w:sz="0" w:space="0" w:color="auto"/>
                <w:left w:val="none" w:sz="0" w:space="0" w:color="auto"/>
                <w:bottom w:val="none" w:sz="0" w:space="0" w:color="auto"/>
                <w:right w:val="none" w:sz="0" w:space="0" w:color="auto"/>
              </w:divBdr>
            </w:div>
          </w:divsChild>
        </w:div>
        <w:div w:id="1261140459">
          <w:marLeft w:val="0"/>
          <w:marRight w:val="0"/>
          <w:marTop w:val="0"/>
          <w:marBottom w:val="0"/>
          <w:divBdr>
            <w:top w:val="none" w:sz="0" w:space="0" w:color="auto"/>
            <w:left w:val="none" w:sz="0" w:space="0" w:color="auto"/>
            <w:bottom w:val="none" w:sz="0" w:space="0" w:color="auto"/>
            <w:right w:val="none" w:sz="0" w:space="0" w:color="auto"/>
          </w:divBdr>
          <w:divsChild>
            <w:div w:id="1507670766">
              <w:marLeft w:val="0"/>
              <w:marRight w:val="0"/>
              <w:marTop w:val="0"/>
              <w:marBottom w:val="0"/>
              <w:divBdr>
                <w:top w:val="none" w:sz="0" w:space="0" w:color="auto"/>
                <w:left w:val="none" w:sz="0" w:space="0" w:color="auto"/>
                <w:bottom w:val="none" w:sz="0" w:space="0" w:color="auto"/>
                <w:right w:val="none" w:sz="0" w:space="0" w:color="auto"/>
              </w:divBdr>
            </w:div>
          </w:divsChild>
        </w:div>
        <w:div w:id="1274247119">
          <w:marLeft w:val="0"/>
          <w:marRight w:val="0"/>
          <w:marTop w:val="0"/>
          <w:marBottom w:val="0"/>
          <w:divBdr>
            <w:top w:val="none" w:sz="0" w:space="0" w:color="auto"/>
            <w:left w:val="none" w:sz="0" w:space="0" w:color="auto"/>
            <w:bottom w:val="none" w:sz="0" w:space="0" w:color="auto"/>
            <w:right w:val="none" w:sz="0" w:space="0" w:color="auto"/>
          </w:divBdr>
          <w:divsChild>
            <w:div w:id="201477304">
              <w:marLeft w:val="0"/>
              <w:marRight w:val="0"/>
              <w:marTop w:val="0"/>
              <w:marBottom w:val="0"/>
              <w:divBdr>
                <w:top w:val="none" w:sz="0" w:space="0" w:color="auto"/>
                <w:left w:val="none" w:sz="0" w:space="0" w:color="auto"/>
                <w:bottom w:val="none" w:sz="0" w:space="0" w:color="auto"/>
                <w:right w:val="none" w:sz="0" w:space="0" w:color="auto"/>
              </w:divBdr>
            </w:div>
          </w:divsChild>
        </w:div>
        <w:div w:id="1368330732">
          <w:marLeft w:val="0"/>
          <w:marRight w:val="0"/>
          <w:marTop w:val="0"/>
          <w:marBottom w:val="0"/>
          <w:divBdr>
            <w:top w:val="none" w:sz="0" w:space="0" w:color="auto"/>
            <w:left w:val="none" w:sz="0" w:space="0" w:color="auto"/>
            <w:bottom w:val="none" w:sz="0" w:space="0" w:color="auto"/>
            <w:right w:val="none" w:sz="0" w:space="0" w:color="auto"/>
          </w:divBdr>
          <w:divsChild>
            <w:div w:id="195047284">
              <w:marLeft w:val="0"/>
              <w:marRight w:val="0"/>
              <w:marTop w:val="0"/>
              <w:marBottom w:val="0"/>
              <w:divBdr>
                <w:top w:val="none" w:sz="0" w:space="0" w:color="auto"/>
                <w:left w:val="none" w:sz="0" w:space="0" w:color="auto"/>
                <w:bottom w:val="none" w:sz="0" w:space="0" w:color="auto"/>
                <w:right w:val="none" w:sz="0" w:space="0" w:color="auto"/>
              </w:divBdr>
            </w:div>
            <w:div w:id="1677154507">
              <w:marLeft w:val="0"/>
              <w:marRight w:val="0"/>
              <w:marTop w:val="0"/>
              <w:marBottom w:val="0"/>
              <w:divBdr>
                <w:top w:val="none" w:sz="0" w:space="0" w:color="auto"/>
                <w:left w:val="none" w:sz="0" w:space="0" w:color="auto"/>
                <w:bottom w:val="none" w:sz="0" w:space="0" w:color="auto"/>
                <w:right w:val="none" w:sz="0" w:space="0" w:color="auto"/>
              </w:divBdr>
            </w:div>
            <w:div w:id="1719816840">
              <w:marLeft w:val="0"/>
              <w:marRight w:val="0"/>
              <w:marTop w:val="0"/>
              <w:marBottom w:val="0"/>
              <w:divBdr>
                <w:top w:val="none" w:sz="0" w:space="0" w:color="auto"/>
                <w:left w:val="none" w:sz="0" w:space="0" w:color="auto"/>
                <w:bottom w:val="none" w:sz="0" w:space="0" w:color="auto"/>
                <w:right w:val="none" w:sz="0" w:space="0" w:color="auto"/>
              </w:divBdr>
            </w:div>
            <w:div w:id="2076051316">
              <w:marLeft w:val="0"/>
              <w:marRight w:val="0"/>
              <w:marTop w:val="0"/>
              <w:marBottom w:val="0"/>
              <w:divBdr>
                <w:top w:val="none" w:sz="0" w:space="0" w:color="auto"/>
                <w:left w:val="none" w:sz="0" w:space="0" w:color="auto"/>
                <w:bottom w:val="none" w:sz="0" w:space="0" w:color="auto"/>
                <w:right w:val="none" w:sz="0" w:space="0" w:color="auto"/>
              </w:divBdr>
            </w:div>
          </w:divsChild>
        </w:div>
        <w:div w:id="1396971162">
          <w:marLeft w:val="0"/>
          <w:marRight w:val="0"/>
          <w:marTop w:val="0"/>
          <w:marBottom w:val="0"/>
          <w:divBdr>
            <w:top w:val="none" w:sz="0" w:space="0" w:color="auto"/>
            <w:left w:val="none" w:sz="0" w:space="0" w:color="auto"/>
            <w:bottom w:val="none" w:sz="0" w:space="0" w:color="auto"/>
            <w:right w:val="none" w:sz="0" w:space="0" w:color="auto"/>
          </w:divBdr>
          <w:divsChild>
            <w:div w:id="626353858">
              <w:marLeft w:val="0"/>
              <w:marRight w:val="0"/>
              <w:marTop w:val="0"/>
              <w:marBottom w:val="0"/>
              <w:divBdr>
                <w:top w:val="none" w:sz="0" w:space="0" w:color="auto"/>
                <w:left w:val="none" w:sz="0" w:space="0" w:color="auto"/>
                <w:bottom w:val="none" w:sz="0" w:space="0" w:color="auto"/>
                <w:right w:val="none" w:sz="0" w:space="0" w:color="auto"/>
              </w:divBdr>
            </w:div>
          </w:divsChild>
        </w:div>
        <w:div w:id="1502085835">
          <w:marLeft w:val="0"/>
          <w:marRight w:val="0"/>
          <w:marTop w:val="0"/>
          <w:marBottom w:val="0"/>
          <w:divBdr>
            <w:top w:val="none" w:sz="0" w:space="0" w:color="auto"/>
            <w:left w:val="none" w:sz="0" w:space="0" w:color="auto"/>
            <w:bottom w:val="none" w:sz="0" w:space="0" w:color="auto"/>
            <w:right w:val="none" w:sz="0" w:space="0" w:color="auto"/>
          </w:divBdr>
          <w:divsChild>
            <w:div w:id="454564678">
              <w:marLeft w:val="0"/>
              <w:marRight w:val="0"/>
              <w:marTop w:val="0"/>
              <w:marBottom w:val="0"/>
              <w:divBdr>
                <w:top w:val="none" w:sz="0" w:space="0" w:color="auto"/>
                <w:left w:val="none" w:sz="0" w:space="0" w:color="auto"/>
                <w:bottom w:val="none" w:sz="0" w:space="0" w:color="auto"/>
                <w:right w:val="none" w:sz="0" w:space="0" w:color="auto"/>
              </w:divBdr>
            </w:div>
            <w:div w:id="1735619708">
              <w:marLeft w:val="0"/>
              <w:marRight w:val="0"/>
              <w:marTop w:val="0"/>
              <w:marBottom w:val="0"/>
              <w:divBdr>
                <w:top w:val="none" w:sz="0" w:space="0" w:color="auto"/>
                <w:left w:val="none" w:sz="0" w:space="0" w:color="auto"/>
                <w:bottom w:val="none" w:sz="0" w:space="0" w:color="auto"/>
                <w:right w:val="none" w:sz="0" w:space="0" w:color="auto"/>
              </w:divBdr>
            </w:div>
          </w:divsChild>
        </w:div>
        <w:div w:id="1512187471">
          <w:marLeft w:val="0"/>
          <w:marRight w:val="0"/>
          <w:marTop w:val="0"/>
          <w:marBottom w:val="0"/>
          <w:divBdr>
            <w:top w:val="none" w:sz="0" w:space="0" w:color="auto"/>
            <w:left w:val="none" w:sz="0" w:space="0" w:color="auto"/>
            <w:bottom w:val="none" w:sz="0" w:space="0" w:color="auto"/>
            <w:right w:val="none" w:sz="0" w:space="0" w:color="auto"/>
          </w:divBdr>
          <w:divsChild>
            <w:div w:id="442959918">
              <w:marLeft w:val="0"/>
              <w:marRight w:val="0"/>
              <w:marTop w:val="0"/>
              <w:marBottom w:val="0"/>
              <w:divBdr>
                <w:top w:val="none" w:sz="0" w:space="0" w:color="auto"/>
                <w:left w:val="none" w:sz="0" w:space="0" w:color="auto"/>
                <w:bottom w:val="none" w:sz="0" w:space="0" w:color="auto"/>
                <w:right w:val="none" w:sz="0" w:space="0" w:color="auto"/>
              </w:divBdr>
            </w:div>
          </w:divsChild>
        </w:div>
        <w:div w:id="1613825314">
          <w:marLeft w:val="0"/>
          <w:marRight w:val="0"/>
          <w:marTop w:val="0"/>
          <w:marBottom w:val="0"/>
          <w:divBdr>
            <w:top w:val="none" w:sz="0" w:space="0" w:color="auto"/>
            <w:left w:val="none" w:sz="0" w:space="0" w:color="auto"/>
            <w:bottom w:val="none" w:sz="0" w:space="0" w:color="auto"/>
            <w:right w:val="none" w:sz="0" w:space="0" w:color="auto"/>
          </w:divBdr>
          <w:divsChild>
            <w:div w:id="1858618842">
              <w:marLeft w:val="0"/>
              <w:marRight w:val="0"/>
              <w:marTop w:val="0"/>
              <w:marBottom w:val="0"/>
              <w:divBdr>
                <w:top w:val="none" w:sz="0" w:space="0" w:color="auto"/>
                <w:left w:val="none" w:sz="0" w:space="0" w:color="auto"/>
                <w:bottom w:val="none" w:sz="0" w:space="0" w:color="auto"/>
                <w:right w:val="none" w:sz="0" w:space="0" w:color="auto"/>
              </w:divBdr>
            </w:div>
          </w:divsChild>
        </w:div>
        <w:div w:id="1690833068">
          <w:marLeft w:val="0"/>
          <w:marRight w:val="0"/>
          <w:marTop w:val="0"/>
          <w:marBottom w:val="0"/>
          <w:divBdr>
            <w:top w:val="none" w:sz="0" w:space="0" w:color="auto"/>
            <w:left w:val="none" w:sz="0" w:space="0" w:color="auto"/>
            <w:bottom w:val="none" w:sz="0" w:space="0" w:color="auto"/>
            <w:right w:val="none" w:sz="0" w:space="0" w:color="auto"/>
          </w:divBdr>
          <w:divsChild>
            <w:div w:id="729310064">
              <w:marLeft w:val="0"/>
              <w:marRight w:val="0"/>
              <w:marTop w:val="0"/>
              <w:marBottom w:val="0"/>
              <w:divBdr>
                <w:top w:val="none" w:sz="0" w:space="0" w:color="auto"/>
                <w:left w:val="none" w:sz="0" w:space="0" w:color="auto"/>
                <w:bottom w:val="none" w:sz="0" w:space="0" w:color="auto"/>
                <w:right w:val="none" w:sz="0" w:space="0" w:color="auto"/>
              </w:divBdr>
            </w:div>
          </w:divsChild>
        </w:div>
        <w:div w:id="1700081071">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 w:id="1715813588">
          <w:marLeft w:val="0"/>
          <w:marRight w:val="0"/>
          <w:marTop w:val="0"/>
          <w:marBottom w:val="0"/>
          <w:divBdr>
            <w:top w:val="none" w:sz="0" w:space="0" w:color="auto"/>
            <w:left w:val="none" w:sz="0" w:space="0" w:color="auto"/>
            <w:bottom w:val="none" w:sz="0" w:space="0" w:color="auto"/>
            <w:right w:val="none" w:sz="0" w:space="0" w:color="auto"/>
          </w:divBdr>
          <w:divsChild>
            <w:div w:id="1095131799">
              <w:marLeft w:val="0"/>
              <w:marRight w:val="0"/>
              <w:marTop w:val="0"/>
              <w:marBottom w:val="0"/>
              <w:divBdr>
                <w:top w:val="none" w:sz="0" w:space="0" w:color="auto"/>
                <w:left w:val="none" w:sz="0" w:space="0" w:color="auto"/>
                <w:bottom w:val="none" w:sz="0" w:space="0" w:color="auto"/>
                <w:right w:val="none" w:sz="0" w:space="0" w:color="auto"/>
              </w:divBdr>
            </w:div>
          </w:divsChild>
        </w:div>
        <w:div w:id="1727099045">
          <w:marLeft w:val="0"/>
          <w:marRight w:val="0"/>
          <w:marTop w:val="0"/>
          <w:marBottom w:val="0"/>
          <w:divBdr>
            <w:top w:val="none" w:sz="0" w:space="0" w:color="auto"/>
            <w:left w:val="none" w:sz="0" w:space="0" w:color="auto"/>
            <w:bottom w:val="none" w:sz="0" w:space="0" w:color="auto"/>
            <w:right w:val="none" w:sz="0" w:space="0" w:color="auto"/>
          </w:divBdr>
          <w:divsChild>
            <w:div w:id="371805509">
              <w:marLeft w:val="0"/>
              <w:marRight w:val="0"/>
              <w:marTop w:val="0"/>
              <w:marBottom w:val="0"/>
              <w:divBdr>
                <w:top w:val="none" w:sz="0" w:space="0" w:color="auto"/>
                <w:left w:val="none" w:sz="0" w:space="0" w:color="auto"/>
                <w:bottom w:val="none" w:sz="0" w:space="0" w:color="auto"/>
                <w:right w:val="none" w:sz="0" w:space="0" w:color="auto"/>
              </w:divBdr>
            </w:div>
          </w:divsChild>
        </w:div>
        <w:div w:id="1760326898">
          <w:marLeft w:val="0"/>
          <w:marRight w:val="0"/>
          <w:marTop w:val="0"/>
          <w:marBottom w:val="0"/>
          <w:divBdr>
            <w:top w:val="none" w:sz="0" w:space="0" w:color="auto"/>
            <w:left w:val="none" w:sz="0" w:space="0" w:color="auto"/>
            <w:bottom w:val="none" w:sz="0" w:space="0" w:color="auto"/>
            <w:right w:val="none" w:sz="0" w:space="0" w:color="auto"/>
          </w:divBdr>
          <w:divsChild>
            <w:div w:id="788814677">
              <w:marLeft w:val="0"/>
              <w:marRight w:val="0"/>
              <w:marTop w:val="0"/>
              <w:marBottom w:val="0"/>
              <w:divBdr>
                <w:top w:val="none" w:sz="0" w:space="0" w:color="auto"/>
                <w:left w:val="none" w:sz="0" w:space="0" w:color="auto"/>
                <w:bottom w:val="none" w:sz="0" w:space="0" w:color="auto"/>
                <w:right w:val="none" w:sz="0" w:space="0" w:color="auto"/>
              </w:divBdr>
            </w:div>
            <w:div w:id="1921988741">
              <w:marLeft w:val="0"/>
              <w:marRight w:val="0"/>
              <w:marTop w:val="0"/>
              <w:marBottom w:val="0"/>
              <w:divBdr>
                <w:top w:val="none" w:sz="0" w:space="0" w:color="auto"/>
                <w:left w:val="none" w:sz="0" w:space="0" w:color="auto"/>
                <w:bottom w:val="none" w:sz="0" w:space="0" w:color="auto"/>
                <w:right w:val="none" w:sz="0" w:space="0" w:color="auto"/>
              </w:divBdr>
            </w:div>
          </w:divsChild>
        </w:div>
        <w:div w:id="1855728902">
          <w:marLeft w:val="0"/>
          <w:marRight w:val="0"/>
          <w:marTop w:val="0"/>
          <w:marBottom w:val="0"/>
          <w:divBdr>
            <w:top w:val="none" w:sz="0" w:space="0" w:color="auto"/>
            <w:left w:val="none" w:sz="0" w:space="0" w:color="auto"/>
            <w:bottom w:val="none" w:sz="0" w:space="0" w:color="auto"/>
            <w:right w:val="none" w:sz="0" w:space="0" w:color="auto"/>
          </w:divBdr>
          <w:divsChild>
            <w:div w:id="243613450">
              <w:marLeft w:val="0"/>
              <w:marRight w:val="0"/>
              <w:marTop w:val="0"/>
              <w:marBottom w:val="0"/>
              <w:divBdr>
                <w:top w:val="none" w:sz="0" w:space="0" w:color="auto"/>
                <w:left w:val="none" w:sz="0" w:space="0" w:color="auto"/>
                <w:bottom w:val="none" w:sz="0" w:space="0" w:color="auto"/>
                <w:right w:val="none" w:sz="0" w:space="0" w:color="auto"/>
              </w:divBdr>
            </w:div>
          </w:divsChild>
        </w:div>
        <w:div w:id="1855798360">
          <w:marLeft w:val="0"/>
          <w:marRight w:val="0"/>
          <w:marTop w:val="0"/>
          <w:marBottom w:val="0"/>
          <w:divBdr>
            <w:top w:val="none" w:sz="0" w:space="0" w:color="auto"/>
            <w:left w:val="none" w:sz="0" w:space="0" w:color="auto"/>
            <w:bottom w:val="none" w:sz="0" w:space="0" w:color="auto"/>
            <w:right w:val="none" w:sz="0" w:space="0" w:color="auto"/>
          </w:divBdr>
          <w:divsChild>
            <w:div w:id="283461713">
              <w:marLeft w:val="0"/>
              <w:marRight w:val="0"/>
              <w:marTop w:val="0"/>
              <w:marBottom w:val="0"/>
              <w:divBdr>
                <w:top w:val="none" w:sz="0" w:space="0" w:color="auto"/>
                <w:left w:val="none" w:sz="0" w:space="0" w:color="auto"/>
                <w:bottom w:val="none" w:sz="0" w:space="0" w:color="auto"/>
                <w:right w:val="none" w:sz="0" w:space="0" w:color="auto"/>
              </w:divBdr>
            </w:div>
          </w:divsChild>
        </w:div>
        <w:div w:id="1888949472">
          <w:marLeft w:val="0"/>
          <w:marRight w:val="0"/>
          <w:marTop w:val="0"/>
          <w:marBottom w:val="0"/>
          <w:divBdr>
            <w:top w:val="none" w:sz="0" w:space="0" w:color="auto"/>
            <w:left w:val="none" w:sz="0" w:space="0" w:color="auto"/>
            <w:bottom w:val="none" w:sz="0" w:space="0" w:color="auto"/>
            <w:right w:val="none" w:sz="0" w:space="0" w:color="auto"/>
          </w:divBdr>
          <w:divsChild>
            <w:div w:id="582639499">
              <w:marLeft w:val="0"/>
              <w:marRight w:val="0"/>
              <w:marTop w:val="0"/>
              <w:marBottom w:val="0"/>
              <w:divBdr>
                <w:top w:val="none" w:sz="0" w:space="0" w:color="auto"/>
                <w:left w:val="none" w:sz="0" w:space="0" w:color="auto"/>
                <w:bottom w:val="none" w:sz="0" w:space="0" w:color="auto"/>
                <w:right w:val="none" w:sz="0" w:space="0" w:color="auto"/>
              </w:divBdr>
            </w:div>
          </w:divsChild>
        </w:div>
        <w:div w:id="1893344073">
          <w:marLeft w:val="0"/>
          <w:marRight w:val="0"/>
          <w:marTop w:val="0"/>
          <w:marBottom w:val="0"/>
          <w:divBdr>
            <w:top w:val="none" w:sz="0" w:space="0" w:color="auto"/>
            <w:left w:val="none" w:sz="0" w:space="0" w:color="auto"/>
            <w:bottom w:val="none" w:sz="0" w:space="0" w:color="auto"/>
            <w:right w:val="none" w:sz="0" w:space="0" w:color="auto"/>
          </w:divBdr>
          <w:divsChild>
            <w:div w:id="956791239">
              <w:marLeft w:val="0"/>
              <w:marRight w:val="0"/>
              <w:marTop w:val="0"/>
              <w:marBottom w:val="0"/>
              <w:divBdr>
                <w:top w:val="none" w:sz="0" w:space="0" w:color="auto"/>
                <w:left w:val="none" w:sz="0" w:space="0" w:color="auto"/>
                <w:bottom w:val="none" w:sz="0" w:space="0" w:color="auto"/>
                <w:right w:val="none" w:sz="0" w:space="0" w:color="auto"/>
              </w:divBdr>
            </w:div>
          </w:divsChild>
        </w:div>
        <w:div w:id="1911192907">
          <w:marLeft w:val="0"/>
          <w:marRight w:val="0"/>
          <w:marTop w:val="0"/>
          <w:marBottom w:val="0"/>
          <w:divBdr>
            <w:top w:val="none" w:sz="0" w:space="0" w:color="auto"/>
            <w:left w:val="none" w:sz="0" w:space="0" w:color="auto"/>
            <w:bottom w:val="none" w:sz="0" w:space="0" w:color="auto"/>
            <w:right w:val="none" w:sz="0" w:space="0" w:color="auto"/>
          </w:divBdr>
          <w:divsChild>
            <w:div w:id="250552081">
              <w:marLeft w:val="0"/>
              <w:marRight w:val="0"/>
              <w:marTop w:val="0"/>
              <w:marBottom w:val="0"/>
              <w:divBdr>
                <w:top w:val="none" w:sz="0" w:space="0" w:color="auto"/>
                <w:left w:val="none" w:sz="0" w:space="0" w:color="auto"/>
                <w:bottom w:val="none" w:sz="0" w:space="0" w:color="auto"/>
                <w:right w:val="none" w:sz="0" w:space="0" w:color="auto"/>
              </w:divBdr>
            </w:div>
          </w:divsChild>
        </w:div>
        <w:div w:id="1961758328">
          <w:marLeft w:val="0"/>
          <w:marRight w:val="0"/>
          <w:marTop w:val="0"/>
          <w:marBottom w:val="0"/>
          <w:divBdr>
            <w:top w:val="none" w:sz="0" w:space="0" w:color="auto"/>
            <w:left w:val="none" w:sz="0" w:space="0" w:color="auto"/>
            <w:bottom w:val="none" w:sz="0" w:space="0" w:color="auto"/>
            <w:right w:val="none" w:sz="0" w:space="0" w:color="auto"/>
          </w:divBdr>
          <w:divsChild>
            <w:div w:id="135338142">
              <w:marLeft w:val="0"/>
              <w:marRight w:val="0"/>
              <w:marTop w:val="0"/>
              <w:marBottom w:val="0"/>
              <w:divBdr>
                <w:top w:val="none" w:sz="0" w:space="0" w:color="auto"/>
                <w:left w:val="none" w:sz="0" w:space="0" w:color="auto"/>
                <w:bottom w:val="none" w:sz="0" w:space="0" w:color="auto"/>
                <w:right w:val="none" w:sz="0" w:space="0" w:color="auto"/>
              </w:divBdr>
            </w:div>
            <w:div w:id="736241794">
              <w:marLeft w:val="0"/>
              <w:marRight w:val="0"/>
              <w:marTop w:val="0"/>
              <w:marBottom w:val="0"/>
              <w:divBdr>
                <w:top w:val="none" w:sz="0" w:space="0" w:color="auto"/>
                <w:left w:val="none" w:sz="0" w:space="0" w:color="auto"/>
                <w:bottom w:val="none" w:sz="0" w:space="0" w:color="auto"/>
                <w:right w:val="none" w:sz="0" w:space="0" w:color="auto"/>
              </w:divBdr>
            </w:div>
          </w:divsChild>
        </w:div>
        <w:div w:id="1964966497">
          <w:marLeft w:val="0"/>
          <w:marRight w:val="0"/>
          <w:marTop w:val="0"/>
          <w:marBottom w:val="0"/>
          <w:divBdr>
            <w:top w:val="none" w:sz="0" w:space="0" w:color="auto"/>
            <w:left w:val="none" w:sz="0" w:space="0" w:color="auto"/>
            <w:bottom w:val="none" w:sz="0" w:space="0" w:color="auto"/>
            <w:right w:val="none" w:sz="0" w:space="0" w:color="auto"/>
          </w:divBdr>
          <w:divsChild>
            <w:div w:id="1945459424">
              <w:marLeft w:val="0"/>
              <w:marRight w:val="0"/>
              <w:marTop w:val="0"/>
              <w:marBottom w:val="0"/>
              <w:divBdr>
                <w:top w:val="none" w:sz="0" w:space="0" w:color="auto"/>
                <w:left w:val="none" w:sz="0" w:space="0" w:color="auto"/>
                <w:bottom w:val="none" w:sz="0" w:space="0" w:color="auto"/>
                <w:right w:val="none" w:sz="0" w:space="0" w:color="auto"/>
              </w:divBdr>
            </w:div>
          </w:divsChild>
        </w:div>
        <w:div w:id="2054765491">
          <w:marLeft w:val="0"/>
          <w:marRight w:val="0"/>
          <w:marTop w:val="0"/>
          <w:marBottom w:val="0"/>
          <w:divBdr>
            <w:top w:val="none" w:sz="0" w:space="0" w:color="auto"/>
            <w:left w:val="none" w:sz="0" w:space="0" w:color="auto"/>
            <w:bottom w:val="none" w:sz="0" w:space="0" w:color="auto"/>
            <w:right w:val="none" w:sz="0" w:space="0" w:color="auto"/>
          </w:divBdr>
          <w:divsChild>
            <w:div w:id="75709868">
              <w:marLeft w:val="0"/>
              <w:marRight w:val="0"/>
              <w:marTop w:val="0"/>
              <w:marBottom w:val="0"/>
              <w:divBdr>
                <w:top w:val="none" w:sz="0" w:space="0" w:color="auto"/>
                <w:left w:val="none" w:sz="0" w:space="0" w:color="auto"/>
                <w:bottom w:val="none" w:sz="0" w:space="0" w:color="auto"/>
                <w:right w:val="none" w:sz="0" w:space="0" w:color="auto"/>
              </w:divBdr>
            </w:div>
          </w:divsChild>
        </w:div>
        <w:div w:id="2082756028">
          <w:marLeft w:val="0"/>
          <w:marRight w:val="0"/>
          <w:marTop w:val="0"/>
          <w:marBottom w:val="0"/>
          <w:divBdr>
            <w:top w:val="none" w:sz="0" w:space="0" w:color="auto"/>
            <w:left w:val="none" w:sz="0" w:space="0" w:color="auto"/>
            <w:bottom w:val="none" w:sz="0" w:space="0" w:color="auto"/>
            <w:right w:val="none" w:sz="0" w:space="0" w:color="auto"/>
          </w:divBdr>
          <w:divsChild>
            <w:div w:id="1296254060">
              <w:marLeft w:val="0"/>
              <w:marRight w:val="0"/>
              <w:marTop w:val="0"/>
              <w:marBottom w:val="0"/>
              <w:divBdr>
                <w:top w:val="none" w:sz="0" w:space="0" w:color="auto"/>
                <w:left w:val="none" w:sz="0" w:space="0" w:color="auto"/>
                <w:bottom w:val="none" w:sz="0" w:space="0" w:color="auto"/>
                <w:right w:val="none" w:sz="0" w:space="0" w:color="auto"/>
              </w:divBdr>
            </w:div>
          </w:divsChild>
        </w:div>
        <w:div w:id="2086805960">
          <w:marLeft w:val="0"/>
          <w:marRight w:val="0"/>
          <w:marTop w:val="0"/>
          <w:marBottom w:val="0"/>
          <w:divBdr>
            <w:top w:val="none" w:sz="0" w:space="0" w:color="auto"/>
            <w:left w:val="none" w:sz="0" w:space="0" w:color="auto"/>
            <w:bottom w:val="none" w:sz="0" w:space="0" w:color="auto"/>
            <w:right w:val="none" w:sz="0" w:space="0" w:color="auto"/>
          </w:divBdr>
          <w:divsChild>
            <w:div w:id="547382432">
              <w:marLeft w:val="0"/>
              <w:marRight w:val="0"/>
              <w:marTop w:val="0"/>
              <w:marBottom w:val="0"/>
              <w:divBdr>
                <w:top w:val="none" w:sz="0" w:space="0" w:color="auto"/>
                <w:left w:val="none" w:sz="0" w:space="0" w:color="auto"/>
                <w:bottom w:val="none" w:sz="0" w:space="0" w:color="auto"/>
                <w:right w:val="none" w:sz="0" w:space="0" w:color="auto"/>
              </w:divBdr>
            </w:div>
          </w:divsChild>
        </w:div>
        <w:div w:id="2141070574">
          <w:marLeft w:val="0"/>
          <w:marRight w:val="0"/>
          <w:marTop w:val="0"/>
          <w:marBottom w:val="0"/>
          <w:divBdr>
            <w:top w:val="none" w:sz="0" w:space="0" w:color="auto"/>
            <w:left w:val="none" w:sz="0" w:space="0" w:color="auto"/>
            <w:bottom w:val="none" w:sz="0" w:space="0" w:color="auto"/>
            <w:right w:val="none" w:sz="0" w:space="0" w:color="auto"/>
          </w:divBdr>
          <w:divsChild>
            <w:div w:id="21148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3273334">
      <w:bodyDiv w:val="1"/>
      <w:marLeft w:val="0"/>
      <w:marRight w:val="0"/>
      <w:marTop w:val="0"/>
      <w:marBottom w:val="0"/>
      <w:divBdr>
        <w:top w:val="none" w:sz="0" w:space="0" w:color="auto"/>
        <w:left w:val="none" w:sz="0" w:space="0" w:color="auto"/>
        <w:bottom w:val="none" w:sz="0" w:space="0" w:color="auto"/>
        <w:right w:val="none" w:sz="0" w:space="0" w:color="auto"/>
      </w:divBdr>
      <w:divsChild>
        <w:div w:id="1577282695">
          <w:marLeft w:val="274"/>
          <w:marRight w:val="0"/>
          <w:marTop w:val="0"/>
          <w:marBottom w:val="0"/>
          <w:divBdr>
            <w:top w:val="none" w:sz="0" w:space="0" w:color="auto"/>
            <w:left w:val="none" w:sz="0" w:space="0" w:color="auto"/>
            <w:bottom w:val="none" w:sz="0" w:space="0" w:color="auto"/>
            <w:right w:val="none" w:sz="0" w:space="0" w:color="auto"/>
          </w:divBdr>
        </w:div>
      </w:divsChild>
    </w:div>
    <w:div w:id="8367732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317574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089135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495569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867055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policy-and-funding-guidelines-for-health-services" TargetMode="External"/><Relationship Id="rId21" Type="http://schemas.openxmlformats.org/officeDocument/2006/relationships/header" Target="header2.xml"/><Relationship Id="rId42" Type="http://schemas.openxmlformats.org/officeDocument/2006/relationships/hyperlink" Target="https://www.ihacpa.gov.au/resources/national-pricing-model-technical-specifications-2024-25" TargetMode="External"/><Relationship Id="rId47" Type="http://schemas.openxmlformats.org/officeDocument/2006/relationships/hyperlink" Target="https://meteor.aihw.gov.au" TargetMode="External"/><Relationship Id="rId63" Type="http://schemas.openxmlformats.org/officeDocument/2006/relationships/hyperlink" Target="https://www.ihacpa.gov.au/pricing/national-efficient-price-determination" TargetMode="External"/><Relationship Id="rId68" Type="http://schemas.openxmlformats.org/officeDocument/2006/relationships/hyperlink" Target="https://www.ihacpa.gov.au/health-care/pricing/national-pricing-model-technical-specifications" TargetMode="External"/><Relationship Id="rId84" Type="http://schemas.openxmlformats.org/officeDocument/2006/relationships/footer" Target="footer7.xml"/><Relationship Id="rId89" Type="http://schemas.openxmlformats.org/officeDocument/2006/relationships/header" Target="header15.xml"/><Relationship Id="rId7" Type="http://schemas.openxmlformats.org/officeDocument/2006/relationships/settings" Target="settings.xml"/><Relationship Id="rId71" Type="http://schemas.openxmlformats.org/officeDocument/2006/relationships/hyperlink" Target="https://www.health.vic.gov.au/patient-fees-charges/private-patients" TargetMode="External"/><Relationship Id="rId92"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yperlink" Target="mailto:accountability@health.vic.gov.au" TargetMode="External"/><Relationship Id="rId29" Type="http://schemas.openxmlformats.org/officeDocument/2006/relationships/hyperlink" Target="https://www.health.vic.gov.au/patient-care/subcutaneous-immunoglobulin-scig-access-program" TargetMode="External"/><Relationship Id="rId107" Type="http://schemas.openxmlformats.org/officeDocument/2006/relationships/theme" Target="theme/theme1.xml"/><Relationship Id="rId11" Type="http://schemas.openxmlformats.org/officeDocument/2006/relationships/image" Target="media/image1.jpg"/><Relationship Id="rId24" Type="http://schemas.openxmlformats.org/officeDocument/2006/relationships/hyperlink" Target="https://www.health.vic.gov.au/patient-care/conditions-of-funding-for-palliative-care" TargetMode="External"/><Relationship Id="rId32" Type="http://schemas.openxmlformats.org/officeDocument/2006/relationships/hyperlink" Target="http://www.dva.gov.au" TargetMode="External"/><Relationship Id="rId37" Type="http://schemas.openxmlformats.org/officeDocument/2006/relationships/hyperlink" Target="https://www.ihacpa.gov.au/pricing/national-efficient-price-determination" TargetMode="External"/><Relationship Id="rId40" Type="http://schemas.openxmlformats.org/officeDocument/2006/relationships/hyperlink" Target="https://www.safetyandquality.gov.au/our-work/indicators/hospital-acquired-complications" TargetMode="External"/><Relationship Id="rId45" Type="http://schemas.openxmlformats.org/officeDocument/2006/relationships/hyperlink" Target="https://www.health.vic.gov.au/data-reporting/health-data-standards-and-systems" TargetMode="External"/><Relationship Id="rId53" Type="http://schemas.openxmlformats.org/officeDocument/2006/relationships/hyperlink" Target="https://www.ihacpa.gov.au/pricing/national-pricing-model-technical-specifications" TargetMode="External"/><Relationship Id="rId58" Type="http://schemas.openxmlformats.org/officeDocument/2006/relationships/hyperlink" Target="https://www.health.vic.gov.au/data-reporting/victorian-integrated-non-admitted-health-vinah-dataset" TargetMode="External"/><Relationship Id="rId66" Type="http://schemas.openxmlformats.org/officeDocument/2006/relationships/hyperlink" Target="https://www.ihacpa.gov.au/pricing/national-efficient-price-determination" TargetMode="External"/><Relationship Id="rId74" Type="http://schemas.openxmlformats.org/officeDocument/2006/relationships/footer" Target="footer4.xml"/><Relationship Id="rId79" Type="http://schemas.openxmlformats.org/officeDocument/2006/relationships/header" Target="header9.xml"/><Relationship Id="rId87" Type="http://schemas.openxmlformats.org/officeDocument/2006/relationships/footer" Target="footer8.xml"/><Relationship Id="rId102" Type="http://schemas.openxmlformats.org/officeDocument/2006/relationships/header" Target="header24.xml"/><Relationship Id="rId5" Type="http://schemas.openxmlformats.org/officeDocument/2006/relationships/numbering" Target="numbering.xml"/><Relationship Id="rId61" Type="http://schemas.openxmlformats.org/officeDocument/2006/relationships/hyperlink" Target="https://www.health.gov.au/our-work/2020-25-national-health-reform-agreement-nhra" TargetMode="External"/><Relationship Id="rId82" Type="http://schemas.openxmlformats.org/officeDocument/2006/relationships/header" Target="header12.xml"/><Relationship Id="rId90" Type="http://schemas.openxmlformats.org/officeDocument/2006/relationships/header" Target="header16.xml"/><Relationship Id="rId95" Type="http://schemas.openxmlformats.org/officeDocument/2006/relationships/header" Target="header19.xml"/><Relationship Id="rId19" Type="http://schemas.openxmlformats.org/officeDocument/2006/relationships/hyperlink" Target="https://fac.dhhs.vic.gov.au/service-agreement"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www.health.vic.gov.au/health-strategies/radiotherapy-service-locations" TargetMode="External"/><Relationship Id="rId30" Type="http://schemas.openxmlformats.org/officeDocument/2006/relationships/hyperlink" Target="http://www.health.vic.gov.au/data-reporting/victorian-emergency-minimum-dataset-vemd" TargetMode="External"/><Relationship Id="rId35" Type="http://schemas.openxmlformats.org/officeDocument/2006/relationships/hyperlink" Target="https://www.health.vic.gov.au/patient-fees-charges/worksafe-patients" TargetMode="External"/><Relationship Id="rId43" Type="http://schemas.openxmlformats.org/officeDocument/2006/relationships/hyperlink" Target="https://www.health.vic.gov.au/data-reporting/victorian-cost-data-collection-vcdc" TargetMode="External"/><Relationship Id="rId48" Type="http://schemas.openxmlformats.org/officeDocument/2006/relationships/hyperlink" Target="https://www.health.vic.gov.au/data-reporting/health-data-standards-and-systems" TargetMode="External"/><Relationship Id="rId56" Type="http://schemas.openxmlformats.org/officeDocument/2006/relationships/hyperlink" Target="https://www.ihacpa.gov.au/health-care/classification/non-admitted-care/tier-2-non-admitted-services-classification" TargetMode="External"/><Relationship Id="rId64" Type="http://schemas.openxmlformats.org/officeDocument/2006/relationships/hyperlink" Target="https://www.publichospitalfunding.gov.au/public-hospital-funding/pay" TargetMode="External"/><Relationship Id="rId69" Type="http://schemas.openxmlformats.org/officeDocument/2006/relationships/hyperlink" Target="https://www.health.vic.gov.au/data-reporting/national-funding-model-implementation-resources" TargetMode="External"/><Relationship Id="rId77" Type="http://schemas.openxmlformats.org/officeDocument/2006/relationships/footer" Target="footer5.xml"/><Relationship Id="rId100" Type="http://schemas.openxmlformats.org/officeDocument/2006/relationships/header" Target="header22.xml"/><Relationship Id="rId105"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hyperlink" Target="https://www.health.vic.gov.au/patient-care/subacute-planning-framework" TargetMode="External"/><Relationship Id="rId72" Type="http://schemas.openxmlformats.org/officeDocument/2006/relationships/header" Target="header4.xml"/><Relationship Id="rId80" Type="http://schemas.openxmlformats.org/officeDocument/2006/relationships/header" Target="header10.xml"/><Relationship Id="rId85" Type="http://schemas.openxmlformats.org/officeDocument/2006/relationships/header" Target="header13.xml"/><Relationship Id="rId93" Type="http://schemas.openxmlformats.org/officeDocument/2006/relationships/header" Target="header18.xml"/><Relationship Id="rId98"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vic.gov.au/policy-and-funding-guidelines-for-health-services" TargetMode="External"/><Relationship Id="rId25" Type="http://schemas.openxmlformats.org/officeDocument/2006/relationships/hyperlink" Target="https://www.health.vic.gov.au/funding-performance-accountability/statements-of-priorities" TargetMode="External"/><Relationship Id="rId33" Type="http://schemas.openxmlformats.org/officeDocument/2006/relationships/hyperlink" Target="https://www.health.vic.gov.au/patient-fees-charges/transport-accident-commission-patients" TargetMode="External"/><Relationship Id="rId38" Type="http://schemas.openxmlformats.org/officeDocument/2006/relationships/hyperlink" Target="https://www.health.vic.gov.au/publications/aboriginal-cultural-safety-fixed-grant-guidelines-cultural-safety-planning-and" TargetMode="External"/><Relationship Id="rId46" Type="http://schemas.openxmlformats.org/officeDocument/2006/relationships/hyperlink" Target="https://www.health.vic.gov.au/publications/hospital-access-for-people-seeking-asylum" TargetMode="External"/><Relationship Id="rId59" Type="http://schemas.openxmlformats.org/officeDocument/2006/relationships/hyperlink" Target="https://www.ihacpa.gov.au/health-care/classification/non-admitted-care/tier-2-non-admitted-services-classification" TargetMode="External"/><Relationship Id="rId67" Type="http://schemas.openxmlformats.org/officeDocument/2006/relationships/hyperlink" Target="https://www.ihacpa.gov.au/health-care/pricing/national-efficient-cost-determination" TargetMode="External"/><Relationship Id="rId103" Type="http://schemas.openxmlformats.org/officeDocument/2006/relationships/footer" Target="footer14.xml"/><Relationship Id="rId108" Type="http://schemas.microsoft.com/office/2019/05/relationships/documenttasks" Target="documenttasks/documenttasks1.xml"/><Relationship Id="rId20" Type="http://schemas.openxmlformats.org/officeDocument/2006/relationships/hyperlink" Target="https://providers.dffh.vic.gov.au/families-fairness-housing-health-activity-search" TargetMode="External"/><Relationship Id="rId41" Type="http://schemas.openxmlformats.org/officeDocument/2006/relationships/hyperlink" Target="https://www.ihacpa.gov.au/resources/national-pricing-model-technical-specifications-2024-25" TargetMode="External"/><Relationship Id="rId54" Type="http://schemas.openxmlformats.org/officeDocument/2006/relationships/hyperlink" Target="mailto:hdss.helpdesk@health.vic.gov.au" TargetMode="External"/><Relationship Id="rId62" Type="http://schemas.openxmlformats.org/officeDocument/2006/relationships/hyperlink" Target="https://www.ihacpa.gov.au/health-care/pricing/pricing-framework-australian-public-hospital-services" TargetMode="External"/><Relationship Id="rId70" Type="http://schemas.openxmlformats.org/officeDocument/2006/relationships/hyperlink" Target="mailto:hdss.helpdesk@health.vic.gov.au" TargetMode="External"/><Relationship Id="rId75" Type="http://schemas.openxmlformats.org/officeDocument/2006/relationships/header" Target="header6.xml"/><Relationship Id="rId83" Type="http://schemas.openxmlformats.org/officeDocument/2006/relationships/footer" Target="footer6.xml"/><Relationship Id="rId88" Type="http://schemas.openxmlformats.org/officeDocument/2006/relationships/footer" Target="footer9.xml"/><Relationship Id="rId91" Type="http://schemas.openxmlformats.org/officeDocument/2006/relationships/footer" Target="footer10.xml"/><Relationship Id="rId96"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patient-care/nationally-funded-centres" TargetMode="External"/><Relationship Id="rId28" Type="http://schemas.openxmlformats.org/officeDocument/2006/relationships/hyperlink" Target="https://www.health.vic.gov.au/health-strategies/radiotherapy-services" TargetMode="External"/><Relationship Id="rId36" Type="http://schemas.openxmlformats.org/officeDocument/2006/relationships/hyperlink" Target="https://www.health.vic.gov.au/hospitals-and-health-services/patient-fees-and-charges-for-public-health-services" TargetMode="External"/><Relationship Id="rId49" Type="http://schemas.openxmlformats.org/officeDocument/2006/relationships/hyperlink" Target="https://www.ihacpa.gov.au/health-care/pricing/national-efficient-cost-determination" TargetMode="External"/><Relationship Id="rId57" Type="http://schemas.openxmlformats.org/officeDocument/2006/relationships/hyperlink" Target="https://www.healthcollect.vic.gov.a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dva.gov.au/health-and-wellbeing/home-and-care/rehabilitation-appliances-program-rap" TargetMode="External"/><Relationship Id="rId44" Type="http://schemas.openxmlformats.org/officeDocument/2006/relationships/hyperlink" Target="https://www.health.vic.gov.au/data-reporting/health-data-standards-and-systems" TargetMode="External"/><Relationship Id="rId52" Type="http://schemas.openxmlformats.org/officeDocument/2006/relationships/hyperlink" Target="https://www.ihacpa.gov.au/pricing/national-efficient-price-determination" TargetMode="External"/><Relationship Id="rId60" Type="http://schemas.openxmlformats.org/officeDocument/2006/relationships/hyperlink" Target="https://www.health.gov.au/our-work/2020-25-national-health-reform-agreement-nhra" TargetMode="External"/><Relationship Id="rId65" Type="http://schemas.openxmlformats.org/officeDocument/2006/relationships/hyperlink" Target="https://www.ihacpa.gov.au/health-care/pricing/pricing-framework-australian-public-hospital-services" TargetMode="External"/><Relationship Id="rId73" Type="http://schemas.openxmlformats.org/officeDocument/2006/relationships/header" Target="header5.xml"/><Relationship Id="rId78" Type="http://schemas.openxmlformats.org/officeDocument/2006/relationships/header" Target="header8.xml"/><Relationship Id="rId81" Type="http://schemas.openxmlformats.org/officeDocument/2006/relationships/header" Target="header11.xml"/><Relationship Id="rId86" Type="http://schemas.openxmlformats.org/officeDocument/2006/relationships/header" Target="header14.xml"/><Relationship Id="rId94" Type="http://schemas.openxmlformats.org/officeDocument/2006/relationships/footer" Target="footer11.xml"/><Relationship Id="rId99" Type="http://schemas.openxmlformats.org/officeDocument/2006/relationships/footer" Target="footer13.xml"/><Relationship Id="rId101"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vic.gov.au/policy-and-funding-guidelines-for-health-services" TargetMode="External"/><Relationship Id="rId39" Type="http://schemas.openxmlformats.org/officeDocument/2006/relationships/hyperlink" Target="https://www.health.vic.gov.au/publications/aboriginal-cultural-safety-fixed-grant-guidelines-cultural-safety-planning-and" TargetMode="External"/><Relationship Id="rId34" Type="http://schemas.openxmlformats.org/officeDocument/2006/relationships/hyperlink" Target="https://www.tac.vic.gov.au/providers" TargetMode="External"/><Relationship Id="rId50" Type="http://schemas.openxmlformats.org/officeDocument/2006/relationships/hyperlink" Target="https://www.health.vic.gov.au/data-reporting/victorian-admitted-episodes-dataset" TargetMode="External"/><Relationship Id="rId55" Type="http://schemas.openxmlformats.org/officeDocument/2006/relationships/hyperlink" Target="https://meteor.aihw.gov.au/content/775784" TargetMode="External"/><Relationship Id="rId76" Type="http://schemas.openxmlformats.org/officeDocument/2006/relationships/header" Target="header7.xml"/><Relationship Id="rId97" Type="http://schemas.openxmlformats.org/officeDocument/2006/relationships/header" Target="header21.xml"/><Relationship Id="rId104" Type="http://schemas.openxmlformats.org/officeDocument/2006/relationships/footer" Target="footer15.xml"/></Relationships>
</file>

<file path=word/documenttasks/documenttasks1.xml><?xml version="1.0" encoding="utf-8"?>
<t:Tasks xmlns:t="http://schemas.microsoft.com/office/tasks/2019/documenttasks" xmlns:oel="http://schemas.microsoft.com/office/2019/extlst">
  <t:Task id="{747456A9-6DD4-4972-BBB3-5CB27711BD49}">
    <t:Anchor>
      <t:Comment id="1061513930"/>
    </t:Anchor>
    <t:History>
      <t:Event id="{FE5D8FBE-E3A2-4D51-8B00-9B366D24091B}" time="2024-08-25T23:12:41.075Z">
        <t:Attribution userId="S::james.withers@health.vic.gov.au::ee334fc4-e01b-4679-a88e-b93b5f19de3c" userProvider="AD" userName="James Withers (Health)"/>
        <t:Anchor>
          <t:Comment id="1061513930"/>
        </t:Anchor>
        <t:Create/>
      </t:Event>
      <t:Event id="{2C3BF691-8640-4596-954B-572AC05FCABE}" time="2024-08-25T23:12:41.075Z">
        <t:Attribution userId="S::james.withers@health.vic.gov.au::ee334fc4-e01b-4679-a88e-b93b5f19de3c" userProvider="AD" userName="James Withers (Health)"/>
        <t:Anchor>
          <t:Comment id="1061513930"/>
        </t:Anchor>
        <t:Assign userId="S::james.downie@health.vic.gov.au::dbaa1f09-b1e0-4efe-9c16-19dc4b398b07" userProvider="AD" userName="James Downie (Health)"/>
      </t:Event>
      <t:Event id="{1F9DF2F3-FCE3-4A8B-B7A0-CD571FD35B29}" time="2024-08-25T23:12:41.075Z">
        <t:Attribution userId="S::james.withers@health.vic.gov.au::ee334fc4-e01b-4679-a88e-b93b5f19de3c" userProvider="AD" userName="James Withers (Health)"/>
        <t:Anchor>
          <t:Comment id="1061513930"/>
        </t:Anchor>
        <t:SetTitle title="@James Downie (Health) This is the doc that contains recall polic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33c502-030c-43db-90e0-03d88d6d0151">
      <UserInfo>
        <DisplayName>Rosa Rocca (Health)</DisplayName>
        <AccountId>40</AccountId>
        <AccountType/>
      </UserInfo>
      <UserInfo>
        <DisplayName>Kristel Reid (Health)</DisplayName>
        <AccountId>191</AccountId>
        <AccountType/>
      </UserInfo>
      <UserInfo>
        <DisplayName>Lucy Solier (Health)</DisplayName>
        <AccountId>172</AccountId>
        <AccountType/>
      </UserInfo>
      <UserInfo>
        <DisplayName>Alice Wandke (Health)</DisplayName>
        <AccountId>1659</AccountId>
        <AccountType/>
      </UserInfo>
      <UserInfo>
        <DisplayName>Stephanie Worsteling (Health)</DisplayName>
        <AccountId>1110</AccountId>
        <AccountType/>
      </UserInfo>
      <UserInfo>
        <DisplayName>Alicia Sim (Health)</DisplayName>
        <AccountId>253</AccountId>
        <AccountType/>
      </UserInfo>
    </SharedWithUsers>
    <TaxCatchAll xmlns="4d33c502-030c-43db-90e0-03d88d6d0151" xsi:nil="true"/>
    <lcf76f155ced4ddcb4097134ff3c332f xmlns="47e38451-04d3-4ba3-b385-7c061ba67f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4" ma:contentTypeDescription="Create a new document." ma:contentTypeScope="" ma:versionID="c340d2fddd6e8ce8fdfe3842dfa9757e">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d3e444aaac98e0dbb2b463fa59bc06f9"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313d74-dc82-433b-ad2a-7b3f53f3f711}"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33c502-030c-43db-90e0-03d88d6d0151"/>
    <ds:schemaRef ds:uri="47e38451-04d3-4ba3-b385-7c061ba67f5a"/>
  </ds:schemaRefs>
</ds:datastoreItem>
</file>

<file path=customXml/itemProps2.xml><?xml version="1.0" encoding="utf-8"?>
<ds:datastoreItem xmlns:ds="http://schemas.openxmlformats.org/officeDocument/2006/customXml" ds:itemID="{92B96F94-ECEC-49EA-9410-D96DB5EE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132</Pages>
  <Words>40523</Words>
  <Characters>230983</Characters>
  <Application>Microsoft Office Word</Application>
  <DocSecurity>0</DocSecurity>
  <Lines>1924</Lines>
  <Paragraphs>541</Paragraphs>
  <ScaleCrop>false</ScaleCrop>
  <Manager/>
  <Company>Victoria State Government, Department of Health</Company>
  <LinksUpToDate>false</LinksUpToDate>
  <CharactersWithSpaces>270965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funding guide 2024-25</dc:title>
  <dc:subject>Funding rules for funded organisations</dc:subject>
  <dc:creator>Health Funding, Finance and Investment</dc:creator>
  <cp:keywords>Funding rules, Victoria, health services</cp:keywords>
  <dc:description/>
  <cp:lastPrinted>2021-02-03T18:27:00Z</cp:lastPrinted>
  <dcterms:created xsi:type="dcterms:W3CDTF">2024-05-31T00:28:00Z</dcterms:created>
  <dcterms:modified xsi:type="dcterms:W3CDTF">2024-10-24T22:55:00Z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43e64453-338c-4f93-8a4d-0039a0a41f2a_Enabled">
    <vt:lpwstr>true</vt:lpwstr>
  </property>
  <property fmtid="{D5CDD505-2E9C-101B-9397-08002B2CF9AE}" pid="8" name="MSIP_Label_43e64453-338c-4f93-8a4d-0039a0a41f2a_SetDate">
    <vt:lpwstr>2024-10-24T22:54:40Z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a8a86e03-0e36-4e55-8824-a2e1900944ea</vt:lpwstr>
  </property>
  <property fmtid="{D5CDD505-2E9C-101B-9397-08002B2CF9AE}" pid="13" name="MSIP_Label_43e64453-338c-4f93-8a4d-0039a0a41f2a_ContentBits">
    <vt:lpwstr>2</vt:lpwstr>
  </property>
</Properties>
</file>