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A3E4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B4D7C73" wp14:editId="36ABF61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84D64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D3A7B77" w14:textId="77777777" w:rsidTr="00B07FF7">
        <w:trPr>
          <w:trHeight w:val="622"/>
        </w:trPr>
        <w:tc>
          <w:tcPr>
            <w:tcW w:w="10348" w:type="dxa"/>
            <w:tcMar>
              <w:top w:w="1531" w:type="dxa"/>
              <w:left w:w="0" w:type="dxa"/>
              <w:right w:w="0" w:type="dxa"/>
            </w:tcMar>
          </w:tcPr>
          <w:p w14:paraId="051C6424" w14:textId="1E1424CF" w:rsidR="003B5733" w:rsidRPr="003B5733" w:rsidRDefault="007F563F" w:rsidP="00622E71">
            <w:pPr>
              <w:pStyle w:val="Documenttitle"/>
              <w:spacing w:after="120"/>
            </w:pPr>
            <w:r>
              <w:t xml:space="preserve">Land value calculator </w:t>
            </w:r>
            <w:r w:rsidR="00530867" w:rsidRPr="00860626">
              <w:t>user guide</w:t>
            </w:r>
          </w:p>
        </w:tc>
      </w:tr>
      <w:tr w:rsidR="002B4BB8" w14:paraId="34AA97DC" w14:textId="77777777" w:rsidTr="00D84292">
        <w:tc>
          <w:tcPr>
            <w:tcW w:w="10348" w:type="dxa"/>
          </w:tcPr>
          <w:p w14:paraId="0944EFA7" w14:textId="473E935C" w:rsidR="002B4BB8" w:rsidRPr="00A1389F" w:rsidRDefault="00622E71" w:rsidP="00D84292">
            <w:pPr>
              <w:pStyle w:val="Documentsubtitle"/>
            </w:pPr>
            <w:r>
              <w:t>Guidance for Class B cemetery trusts</w:t>
            </w:r>
          </w:p>
        </w:tc>
      </w:tr>
      <w:tr w:rsidR="003B5733" w14:paraId="5E7B7B22" w14:textId="77777777" w:rsidTr="00B07FF7">
        <w:tc>
          <w:tcPr>
            <w:tcW w:w="10348" w:type="dxa"/>
          </w:tcPr>
          <w:p w14:paraId="0E7CA2BA" w14:textId="77777777" w:rsidR="003B5733" w:rsidRPr="001E5058" w:rsidRDefault="000F2DC9" w:rsidP="001E5058">
            <w:pPr>
              <w:pStyle w:val="Bannermarking"/>
            </w:pPr>
            <w:fldSimple w:instr="FILLIN  &quot;Type the protective marking&quot; \d OFFICIAL \o  \* MERGEFORMAT">
              <w:r w:rsidR="00530867">
                <w:t>OFFICIAL</w:t>
              </w:r>
            </w:fldSimple>
          </w:p>
        </w:tc>
      </w:tr>
    </w:tbl>
    <w:p w14:paraId="48F66B53" w14:textId="14453BD0" w:rsidR="007173CA" w:rsidRDefault="007173CA" w:rsidP="00D079AA">
      <w:pPr>
        <w:pStyle w:val="Body"/>
      </w:pPr>
    </w:p>
    <w:p w14:paraId="30803AD3"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7CBDF3C" w14:textId="7EE378D4" w:rsidR="00530867" w:rsidRDefault="00530867" w:rsidP="00622E71">
      <w:pPr>
        <w:pStyle w:val="Heading1"/>
        <w:spacing w:before="360"/>
      </w:pPr>
      <w:bookmarkStart w:id="0" w:name="_Toc440566508"/>
      <w:bookmarkStart w:id="1" w:name="_Hlk41913885"/>
      <w:r>
        <w:t>Introduction</w:t>
      </w:r>
    </w:p>
    <w:p w14:paraId="433FE760" w14:textId="081DA29D" w:rsidR="00530867" w:rsidRPr="000E4C77" w:rsidRDefault="00530867" w:rsidP="00530867">
      <w:pPr>
        <w:pStyle w:val="Body"/>
      </w:pPr>
      <w:r>
        <w:t>This is a step-by-step guide to using the</w:t>
      </w:r>
      <w:r w:rsidR="000618C6">
        <w:t xml:space="preserve"> department’s</w:t>
      </w:r>
      <w:r>
        <w:t xml:space="preserve"> </w:t>
      </w:r>
      <w:hyperlink r:id="rId16" w:history="1">
        <w:r w:rsidR="007F563F">
          <w:rPr>
            <w:rStyle w:val="Hyperlink"/>
            <w:u w:val="none"/>
          </w:rPr>
          <w:t>Land value calculator</w:t>
        </w:r>
      </w:hyperlink>
      <w:r>
        <w:t xml:space="preserve"> &lt;https://www.health.vic.gov.au/cemeteries-and-crematoria/class-b-cemetery-trust-fee-setting&gt;.</w:t>
      </w:r>
    </w:p>
    <w:p w14:paraId="7BE442CC" w14:textId="77777777" w:rsidR="007F563F" w:rsidRDefault="00530867" w:rsidP="00530867">
      <w:pPr>
        <w:pStyle w:val="Body"/>
      </w:pPr>
      <w:r>
        <w:t xml:space="preserve">The </w:t>
      </w:r>
      <w:r w:rsidR="007F563F">
        <w:t>land value calculator</w:t>
      </w:r>
      <w:r>
        <w:t xml:space="preserve"> has been designed to assist cemetery trusts to capture the costs associated with the development of cemetery land for the sale of rights of interment (ROIs) for bodily remains and cremated remains (ground or niche walls). </w:t>
      </w:r>
    </w:p>
    <w:p w14:paraId="059C1AE8" w14:textId="683CB478" w:rsidR="00530867" w:rsidRDefault="00530867" w:rsidP="00530867">
      <w:pPr>
        <w:pStyle w:val="Body"/>
      </w:pPr>
      <w:r>
        <w:t xml:space="preserve">The </w:t>
      </w:r>
      <w:r w:rsidR="007F563F">
        <w:t xml:space="preserve">land value calculator </w:t>
      </w:r>
      <w:r w:rsidR="4E549855">
        <w:t>helps cemetery trusts</w:t>
      </w:r>
      <w:r>
        <w:t xml:space="preserve"> </w:t>
      </w:r>
      <w:r w:rsidR="43517FCD">
        <w:t xml:space="preserve">incorporate development costs into fees as well as </w:t>
      </w:r>
      <w:r>
        <w:t xml:space="preserve">the cost of shared infrastructure, such as toilet blocks, roads, pathways and communal gardens. </w:t>
      </w:r>
    </w:p>
    <w:p w14:paraId="50C0DF44" w14:textId="43EDB78B" w:rsidR="00530867" w:rsidRDefault="00530867" w:rsidP="00530867">
      <w:pPr>
        <w:pStyle w:val="Body"/>
      </w:pPr>
      <w:r>
        <w:t xml:space="preserve">The </w:t>
      </w:r>
      <w:r w:rsidR="007F563F">
        <w:t xml:space="preserve">land value calculator </w:t>
      </w:r>
      <w:r w:rsidR="003E7914">
        <w:t xml:space="preserve">calculates </w:t>
      </w:r>
      <w:r w:rsidR="12DC7DB8">
        <w:t xml:space="preserve">the development </w:t>
      </w:r>
      <w:r>
        <w:t xml:space="preserve">cost </w:t>
      </w:r>
      <w:r w:rsidR="521FACC8">
        <w:t xml:space="preserve">of </w:t>
      </w:r>
      <w:r>
        <w:t xml:space="preserve">each type of ROI. The cost proposed by the </w:t>
      </w:r>
      <w:r w:rsidR="007F563F">
        <w:t xml:space="preserve">land value calculator </w:t>
      </w:r>
      <w:r>
        <w:t xml:space="preserve">can be used as the Land Value figure in a fee justification model submitted </w:t>
      </w:r>
      <w:r w:rsidR="000618C6">
        <w:t>to</w:t>
      </w:r>
      <w:r>
        <w:t xml:space="preserve"> the </w:t>
      </w:r>
      <w:r w:rsidR="000618C6">
        <w:t xml:space="preserve">department </w:t>
      </w:r>
      <w:r>
        <w:t>as part of a</w:t>
      </w:r>
      <w:r w:rsidR="000618C6">
        <w:t xml:space="preserve"> fee</w:t>
      </w:r>
      <w:r>
        <w:t xml:space="preserve"> application.</w:t>
      </w:r>
    </w:p>
    <w:p w14:paraId="1131D9BE" w14:textId="0B5A3E45" w:rsidR="000618C6" w:rsidRDefault="000618C6" w:rsidP="00530867">
      <w:pPr>
        <w:pStyle w:val="Body"/>
      </w:pPr>
      <w:r>
        <w:t xml:space="preserve">Note: The </w:t>
      </w:r>
      <w:r w:rsidR="007F563F">
        <w:t xml:space="preserve">land value calculator </w:t>
      </w:r>
      <w:r>
        <w:t>is not designed to assess the financial viability of a development project.</w:t>
      </w:r>
    </w:p>
    <w:p w14:paraId="12421B42" w14:textId="6F98D658" w:rsidR="00530867" w:rsidRDefault="00530867" w:rsidP="00530867">
      <w:pPr>
        <w:pStyle w:val="Body"/>
      </w:pPr>
      <w:r>
        <w:t xml:space="preserve">The </w:t>
      </w:r>
      <w:r w:rsidR="007F563F">
        <w:t xml:space="preserve">land value calculator </w:t>
      </w:r>
      <w:r w:rsidR="000618C6">
        <w:t>has</w:t>
      </w:r>
      <w:r>
        <w:t xml:space="preserve"> three sections:</w:t>
      </w:r>
    </w:p>
    <w:p w14:paraId="0D1C6781" w14:textId="77777777" w:rsidR="00530867" w:rsidRDefault="00530867" w:rsidP="00530867">
      <w:pPr>
        <w:pStyle w:val="Bullet1"/>
      </w:pPr>
      <w:r>
        <w:t>Section A – Project specifics</w:t>
      </w:r>
    </w:p>
    <w:p w14:paraId="15BB8001" w14:textId="77777777" w:rsidR="00530867" w:rsidRDefault="00530867" w:rsidP="00530867">
      <w:pPr>
        <w:pStyle w:val="Bullet1"/>
      </w:pPr>
      <w:r>
        <w:t>Section B – Project expenditure</w:t>
      </w:r>
    </w:p>
    <w:p w14:paraId="552A6C6C" w14:textId="34B2A15D" w:rsidR="00530867" w:rsidRDefault="00530867" w:rsidP="00530867">
      <w:pPr>
        <w:pStyle w:val="Bullet1"/>
      </w:pPr>
      <w:r>
        <w:t xml:space="preserve">Section C – </w:t>
      </w:r>
      <w:r w:rsidR="7A5B4DD5">
        <w:t>Development c</w:t>
      </w:r>
      <w:r>
        <w:t>ost per right of interment</w:t>
      </w:r>
    </w:p>
    <w:p w14:paraId="578E3EB4" w14:textId="6A9B1EE0" w:rsidR="00530867" w:rsidRDefault="00530867" w:rsidP="00530867">
      <w:pPr>
        <w:pStyle w:val="Bodyafterbullets"/>
      </w:pPr>
      <w:r>
        <w:t xml:space="preserve">Instructions for </w:t>
      </w:r>
      <w:r w:rsidR="000618C6">
        <w:t xml:space="preserve">completing each section of the </w:t>
      </w:r>
      <w:r w:rsidR="007F563F">
        <w:t xml:space="preserve">land value calculator </w:t>
      </w:r>
      <w:r w:rsidR="000618C6">
        <w:t>are provided below followed by two examples</w:t>
      </w:r>
      <w:r>
        <w:t>.</w:t>
      </w:r>
    </w:p>
    <w:p w14:paraId="4390F647" w14:textId="77777777" w:rsidR="000618C6" w:rsidRDefault="000618C6" w:rsidP="007F563F">
      <w:pPr>
        <w:pStyle w:val="Heading1"/>
        <w:spacing w:before="480"/>
      </w:pPr>
      <w:bookmarkStart w:id="2" w:name="_Toc149731469"/>
      <w:r>
        <w:t>First steps</w:t>
      </w:r>
      <w:bookmarkEnd w:id="2"/>
    </w:p>
    <w:p w14:paraId="2B44DE2E" w14:textId="7161074A" w:rsidR="000618C6" w:rsidRPr="00762725" w:rsidRDefault="000618C6" w:rsidP="00762725">
      <w:pPr>
        <w:pStyle w:val="Numberdigit"/>
        <w:numPr>
          <w:ilvl w:val="0"/>
          <w:numId w:val="42"/>
        </w:numPr>
      </w:pPr>
      <w:r w:rsidRPr="00762725">
        <w:t xml:space="preserve">Download the </w:t>
      </w:r>
      <w:hyperlink r:id="rId17" w:history="1">
        <w:r w:rsidR="007F563F" w:rsidRPr="007F563F">
          <w:rPr>
            <w:rStyle w:val="Hyperlink"/>
            <w:u w:val="none"/>
          </w:rPr>
          <w:t>land value calculator</w:t>
        </w:r>
      </w:hyperlink>
      <w:r w:rsidRPr="00762725">
        <w:t xml:space="preserve"> from the department’s website and save to the computer hard drive or other storage device.</w:t>
      </w:r>
    </w:p>
    <w:p w14:paraId="0C0C6321" w14:textId="77777777" w:rsidR="000618C6" w:rsidRPr="00762725" w:rsidRDefault="000618C6" w:rsidP="00762725">
      <w:pPr>
        <w:pStyle w:val="Numberdigit"/>
        <w:numPr>
          <w:ilvl w:val="0"/>
          <w:numId w:val="42"/>
        </w:numPr>
      </w:pPr>
      <w:r w:rsidRPr="00762725">
        <w:t>Note the instructions at the top of the spreadsheet to complete only the rows and columns highlighted in grey. All other fields are automatically populated and cannot be edited.</w:t>
      </w:r>
    </w:p>
    <w:p w14:paraId="127D67BB" w14:textId="1987C309" w:rsidR="000618C6" w:rsidRPr="00762725" w:rsidRDefault="000618C6" w:rsidP="00762725">
      <w:pPr>
        <w:pStyle w:val="Numberdigit"/>
        <w:numPr>
          <w:ilvl w:val="0"/>
          <w:numId w:val="42"/>
        </w:numPr>
      </w:pPr>
      <w:r w:rsidRPr="00762725">
        <w:t>Enter the name of the cemetery trust and the name of the development project</w:t>
      </w:r>
      <w:r w:rsidR="3203B239" w:rsidRPr="00762725">
        <w:t xml:space="preserve"> or cemetery area</w:t>
      </w:r>
      <w:r w:rsidRPr="00762725">
        <w:t>.</w:t>
      </w:r>
    </w:p>
    <w:p w14:paraId="07086692" w14:textId="3161DD8E" w:rsidR="00530867" w:rsidRDefault="00530867" w:rsidP="007F563F">
      <w:pPr>
        <w:pStyle w:val="Heading1"/>
        <w:spacing w:before="360"/>
      </w:pPr>
      <w:r>
        <w:lastRenderedPageBreak/>
        <w:t>Section A – Project specifics</w:t>
      </w:r>
    </w:p>
    <w:p w14:paraId="6853A715" w14:textId="59F367AB" w:rsidR="00530867" w:rsidRPr="00E331B6" w:rsidRDefault="000618C6" w:rsidP="007F563F">
      <w:pPr>
        <w:pStyle w:val="Body"/>
        <w:keepNext/>
        <w:keepLines/>
      </w:pPr>
      <w:r>
        <w:t>Instructions for completing each row in Section A are detailed in the following table</w:t>
      </w:r>
      <w:r w:rsidR="00530867" w:rsidRPr="00E331B6">
        <w:t>.</w:t>
      </w:r>
    </w:p>
    <w:tbl>
      <w:tblPr>
        <w:tblStyle w:val="TableGrid"/>
        <w:tblW w:w="0" w:type="auto"/>
        <w:tblLook w:val="04A0" w:firstRow="1" w:lastRow="0" w:firstColumn="1" w:lastColumn="0" w:noHBand="0" w:noVBand="1"/>
      </w:tblPr>
      <w:tblGrid>
        <w:gridCol w:w="2122"/>
        <w:gridCol w:w="8072"/>
      </w:tblGrid>
      <w:tr w:rsidR="00530867" w14:paraId="3EBC6843" w14:textId="77777777" w:rsidTr="003057FC">
        <w:tc>
          <w:tcPr>
            <w:tcW w:w="2122" w:type="dxa"/>
            <w:shd w:val="clear" w:color="auto" w:fill="DBE5F1" w:themeFill="accent1" w:themeFillTint="33"/>
          </w:tcPr>
          <w:p w14:paraId="6C8E89A5" w14:textId="69899679" w:rsidR="00530867" w:rsidRDefault="000618C6" w:rsidP="007F563F">
            <w:pPr>
              <w:pStyle w:val="Tablecolhead"/>
              <w:keepNext/>
              <w:keepLines/>
            </w:pPr>
            <w:r>
              <w:t>Total d</w:t>
            </w:r>
            <w:r w:rsidR="00530867">
              <w:t>evelopment area</w:t>
            </w:r>
          </w:p>
        </w:tc>
        <w:tc>
          <w:tcPr>
            <w:tcW w:w="8072" w:type="dxa"/>
          </w:tcPr>
          <w:p w14:paraId="33437A6D" w14:textId="6E8570FD" w:rsidR="00530867" w:rsidRDefault="00530867" w:rsidP="007F563F">
            <w:pPr>
              <w:pStyle w:val="Tabletext"/>
              <w:keepNext/>
              <w:keepLines/>
            </w:pPr>
            <w:r>
              <w:t>Insert the total area of the cemetery that is going to be developed</w:t>
            </w:r>
            <w:r w:rsidR="000618C6">
              <w:t xml:space="preserve"> (metres squared)</w:t>
            </w:r>
            <w:r>
              <w:t>.</w:t>
            </w:r>
          </w:p>
        </w:tc>
      </w:tr>
      <w:tr w:rsidR="00530867" w14:paraId="44D63934" w14:textId="77777777" w:rsidTr="003057FC">
        <w:tc>
          <w:tcPr>
            <w:tcW w:w="2122" w:type="dxa"/>
            <w:shd w:val="clear" w:color="auto" w:fill="DBE5F1" w:themeFill="accent1" w:themeFillTint="33"/>
          </w:tcPr>
          <w:p w14:paraId="5CF8A2D0" w14:textId="77777777" w:rsidR="00530867" w:rsidRDefault="00530867" w:rsidP="007F563F">
            <w:pPr>
              <w:pStyle w:val="Tablecolhead"/>
              <w:keepNext/>
              <w:keepLines/>
            </w:pPr>
            <w:r>
              <w:t>Estimated land value</w:t>
            </w:r>
          </w:p>
        </w:tc>
        <w:tc>
          <w:tcPr>
            <w:tcW w:w="8072" w:type="dxa"/>
          </w:tcPr>
          <w:p w14:paraId="47570904" w14:textId="1E5026EA" w:rsidR="00530867" w:rsidRDefault="003E7914" w:rsidP="007F563F">
            <w:pPr>
              <w:pStyle w:val="Tabletext"/>
              <w:keepNext/>
              <w:keepLines/>
            </w:pPr>
            <w:r>
              <w:t>Insert the e</w:t>
            </w:r>
            <w:r w:rsidR="00530867">
              <w:t>stimate</w:t>
            </w:r>
            <w:r>
              <w:t>d</w:t>
            </w:r>
            <w:r w:rsidR="00530867" w:rsidDel="003E7914">
              <w:t xml:space="preserve"> </w:t>
            </w:r>
            <w:r w:rsidR="00530867">
              <w:t xml:space="preserve">total </w:t>
            </w:r>
            <w:r w:rsidR="000618C6">
              <w:t xml:space="preserve">dollar </w:t>
            </w:r>
            <w:r w:rsidR="00530867">
              <w:t xml:space="preserve">value of the land being used. </w:t>
            </w:r>
          </w:p>
          <w:p w14:paraId="7101BF55" w14:textId="21F1CA41" w:rsidR="00530867" w:rsidRDefault="00530867" w:rsidP="007F563F">
            <w:pPr>
              <w:pStyle w:val="Tabletext"/>
              <w:keepNext/>
              <w:keepLines/>
            </w:pPr>
            <w:r>
              <w:t xml:space="preserve">When determining the value of the development site, </w:t>
            </w:r>
            <w:r w:rsidR="00670A62">
              <w:t xml:space="preserve">cemetery </w:t>
            </w:r>
            <w:r>
              <w:t xml:space="preserve">trusts should consider the cost to the trust of replacing the land at the current land value. </w:t>
            </w:r>
            <w:r w:rsidR="00670A62">
              <w:t>Cemetery t</w:t>
            </w:r>
            <w:r>
              <w:t xml:space="preserve">rusts can reference similar </w:t>
            </w:r>
            <w:r w:rsidR="6D7F9B26">
              <w:t xml:space="preserve">(undeveloped) </w:t>
            </w:r>
            <w:r>
              <w:t xml:space="preserve">land values from within the local area. </w:t>
            </w:r>
            <w:r w:rsidR="00670A62">
              <w:t>Cemetery t</w:t>
            </w:r>
            <w:r>
              <w:t xml:space="preserve">rusts should consider the effect of the location of the land to ensure that estimated replacement costs are cost effective and not inflated. </w:t>
            </w:r>
          </w:p>
          <w:p w14:paraId="63335F27" w14:textId="1F62AE69" w:rsidR="00530867" w:rsidRDefault="00670A62" w:rsidP="007F563F">
            <w:pPr>
              <w:pStyle w:val="Tabletext"/>
              <w:keepNext/>
              <w:keepLines/>
            </w:pPr>
            <w:r>
              <w:t>E</w:t>
            </w:r>
            <w:r w:rsidR="00530867">
              <w:t>xample</w:t>
            </w:r>
            <w:r>
              <w:t>:</w:t>
            </w:r>
            <w:r w:rsidR="00530867">
              <w:t xml:space="preserve"> </w:t>
            </w:r>
            <w:r>
              <w:t>A</w:t>
            </w:r>
            <w:r w:rsidR="00530867">
              <w:t xml:space="preserve"> </w:t>
            </w:r>
            <w:r>
              <w:t xml:space="preserve">cemetery </w:t>
            </w:r>
            <w:r w:rsidR="00530867">
              <w:t xml:space="preserve">trust identifies a hectare (10,000 square metres) of undeveloped land in the local area has a conservative value of $100,000, </w:t>
            </w:r>
            <w:r>
              <w:t xml:space="preserve">which </w:t>
            </w:r>
            <w:r w:rsidR="00530867">
              <w:t xml:space="preserve">equates to $10 per square metre. </w:t>
            </w:r>
            <w:r>
              <w:t xml:space="preserve">The cemetery </w:t>
            </w:r>
            <w:r w:rsidR="00530867">
              <w:t xml:space="preserve">trust is planning </w:t>
            </w:r>
            <w:r>
              <w:t>to</w:t>
            </w:r>
            <w:r w:rsidR="00530867">
              <w:t xml:space="preserve"> develop a total of 350 square metres</w:t>
            </w:r>
            <w:r>
              <w:t xml:space="preserve"> so</w:t>
            </w:r>
            <w:r w:rsidR="00530867">
              <w:t xml:space="preserve">, based on the comparative cost of $10 per square metre, the </w:t>
            </w:r>
            <w:r>
              <w:t xml:space="preserve">cemetery </w:t>
            </w:r>
            <w:r w:rsidR="00530867">
              <w:t>trust enter</w:t>
            </w:r>
            <w:r>
              <w:t>s</w:t>
            </w:r>
            <w:r w:rsidR="00530867">
              <w:t xml:space="preserve"> $3,500 (350 x $10) as the estimated land value.</w:t>
            </w:r>
          </w:p>
        </w:tc>
      </w:tr>
      <w:tr w:rsidR="00530867" w14:paraId="091D5FFF" w14:textId="77777777" w:rsidTr="003057FC">
        <w:tc>
          <w:tcPr>
            <w:tcW w:w="2122" w:type="dxa"/>
            <w:shd w:val="clear" w:color="auto" w:fill="DBE5F1" w:themeFill="accent1" w:themeFillTint="33"/>
          </w:tcPr>
          <w:p w14:paraId="695D5827" w14:textId="6F5FA655" w:rsidR="00530867" w:rsidRDefault="00530867" w:rsidP="007F563F">
            <w:pPr>
              <w:pStyle w:val="Tablecolhead"/>
              <w:keepNext/>
              <w:keepLines/>
            </w:pPr>
            <w:r>
              <w:t>Allowance for variation</w:t>
            </w:r>
            <w:r w:rsidR="00670A62">
              <w:t xml:space="preserve"> in cost</w:t>
            </w:r>
          </w:p>
        </w:tc>
        <w:tc>
          <w:tcPr>
            <w:tcW w:w="8072" w:type="dxa"/>
          </w:tcPr>
          <w:p w14:paraId="3D0BCF52" w14:textId="7374C67D" w:rsidR="00530867" w:rsidRDefault="00530867" w:rsidP="007F563F">
            <w:pPr>
              <w:pStyle w:val="Tabletext"/>
              <w:keepNext/>
              <w:keepLines/>
            </w:pPr>
            <w:r>
              <w:t>The default allowance for cost variation is set at 15 per cent. This can be amended to another figure. Any change to the default figure must be explained in supporting documents.</w:t>
            </w:r>
          </w:p>
        </w:tc>
      </w:tr>
      <w:tr w:rsidR="00530867" w14:paraId="7E63DE16" w14:textId="77777777" w:rsidTr="003057FC">
        <w:tc>
          <w:tcPr>
            <w:tcW w:w="2122" w:type="dxa"/>
            <w:shd w:val="clear" w:color="auto" w:fill="DBE5F1" w:themeFill="accent1" w:themeFillTint="33"/>
          </w:tcPr>
          <w:p w14:paraId="46F87FFF" w14:textId="42D2DDE6" w:rsidR="00530867" w:rsidRDefault="00530867" w:rsidP="007F563F">
            <w:pPr>
              <w:pStyle w:val="Tablecolhead"/>
              <w:keepNext/>
              <w:keepLines/>
            </w:pPr>
            <w:r>
              <w:t>Number of ROI – Bodily remains</w:t>
            </w:r>
          </w:p>
        </w:tc>
        <w:tc>
          <w:tcPr>
            <w:tcW w:w="8072" w:type="dxa"/>
          </w:tcPr>
          <w:p w14:paraId="4653229E" w14:textId="64030932" w:rsidR="00530867" w:rsidRDefault="00530867" w:rsidP="007F563F">
            <w:pPr>
              <w:pStyle w:val="Tabletext"/>
              <w:keepNext/>
              <w:keepLines/>
            </w:pPr>
            <w:r>
              <w:t>Insert the total number of ROIs for bodily remains the development will create.</w:t>
            </w:r>
          </w:p>
        </w:tc>
      </w:tr>
      <w:tr w:rsidR="00530867" w14:paraId="4CDA2146" w14:textId="77777777" w:rsidTr="003057FC">
        <w:tc>
          <w:tcPr>
            <w:tcW w:w="2122" w:type="dxa"/>
            <w:shd w:val="clear" w:color="auto" w:fill="DBE5F1" w:themeFill="accent1" w:themeFillTint="33"/>
          </w:tcPr>
          <w:p w14:paraId="584BF843" w14:textId="77777777" w:rsidR="00530867" w:rsidRPr="008567A8" w:rsidRDefault="00530867" w:rsidP="007F563F">
            <w:pPr>
              <w:pStyle w:val="Tablecolhead"/>
              <w:keepNext/>
              <w:keepLines/>
              <w:rPr>
                <w:i/>
              </w:rPr>
            </w:pPr>
            <w:r w:rsidRPr="008567A8">
              <w:rPr>
                <w:i/>
              </w:rPr>
              <w:t>Average area per plot</w:t>
            </w:r>
          </w:p>
        </w:tc>
        <w:tc>
          <w:tcPr>
            <w:tcW w:w="8072" w:type="dxa"/>
          </w:tcPr>
          <w:p w14:paraId="75800F5C" w14:textId="7BD3289F" w:rsidR="00530867" w:rsidRDefault="00530867" w:rsidP="007F563F">
            <w:pPr>
              <w:pStyle w:val="Tabletext"/>
              <w:keepNext/>
              <w:keepLines/>
            </w:pPr>
            <w:r>
              <w:t>Insert the average size of each plot</w:t>
            </w:r>
            <w:r w:rsidR="00670A62">
              <w:t xml:space="preserve"> for bodily remains (metres squared)</w:t>
            </w:r>
            <w:r>
              <w:t>.</w:t>
            </w:r>
          </w:p>
        </w:tc>
      </w:tr>
      <w:tr w:rsidR="00530867" w14:paraId="766BE47E" w14:textId="77777777" w:rsidTr="003057FC">
        <w:tc>
          <w:tcPr>
            <w:tcW w:w="2122" w:type="dxa"/>
            <w:shd w:val="clear" w:color="auto" w:fill="DBE5F1" w:themeFill="accent1" w:themeFillTint="33"/>
          </w:tcPr>
          <w:p w14:paraId="673B6726" w14:textId="52CEB903" w:rsidR="00530867" w:rsidRDefault="00530867" w:rsidP="003057FC">
            <w:pPr>
              <w:pStyle w:val="Tablecolhead"/>
            </w:pPr>
            <w:r>
              <w:t>Number of ROI – Cremated remains (ground)</w:t>
            </w:r>
          </w:p>
        </w:tc>
        <w:tc>
          <w:tcPr>
            <w:tcW w:w="8072" w:type="dxa"/>
          </w:tcPr>
          <w:p w14:paraId="6CF10C25" w14:textId="7B761F1C" w:rsidR="00530867" w:rsidRDefault="00530867" w:rsidP="00530867">
            <w:pPr>
              <w:pStyle w:val="Tabletext"/>
            </w:pPr>
            <w:r>
              <w:t>Insert the total number of in-ground ROIs for cremated remains the development will create.</w:t>
            </w:r>
          </w:p>
        </w:tc>
      </w:tr>
      <w:tr w:rsidR="00530867" w14:paraId="0004CB12" w14:textId="77777777" w:rsidTr="003057FC">
        <w:tc>
          <w:tcPr>
            <w:tcW w:w="2122" w:type="dxa"/>
            <w:shd w:val="clear" w:color="auto" w:fill="DBE5F1" w:themeFill="accent1" w:themeFillTint="33"/>
          </w:tcPr>
          <w:p w14:paraId="2429BC1F" w14:textId="77777777" w:rsidR="00530867" w:rsidRPr="008567A8" w:rsidRDefault="00530867" w:rsidP="003057FC">
            <w:pPr>
              <w:pStyle w:val="Tablecolhead"/>
              <w:rPr>
                <w:i/>
              </w:rPr>
            </w:pPr>
            <w:r w:rsidRPr="008567A8">
              <w:rPr>
                <w:i/>
              </w:rPr>
              <w:t>Average area per plot</w:t>
            </w:r>
          </w:p>
        </w:tc>
        <w:tc>
          <w:tcPr>
            <w:tcW w:w="8072" w:type="dxa"/>
          </w:tcPr>
          <w:p w14:paraId="7022BEF6" w14:textId="240D4BDF" w:rsidR="00530867" w:rsidRDefault="00530867" w:rsidP="00530867">
            <w:pPr>
              <w:pStyle w:val="Tabletext"/>
            </w:pPr>
            <w:r>
              <w:t xml:space="preserve">Insert the average size of each </w:t>
            </w:r>
            <w:r w:rsidR="2244F416">
              <w:t>plot</w:t>
            </w:r>
            <w:r w:rsidR="00670A62">
              <w:t xml:space="preserve"> for cremated remains (metres squared)</w:t>
            </w:r>
            <w:r>
              <w:t>.</w:t>
            </w:r>
          </w:p>
        </w:tc>
      </w:tr>
      <w:tr w:rsidR="00530867" w14:paraId="5AEB5902" w14:textId="77777777" w:rsidTr="003057FC">
        <w:tc>
          <w:tcPr>
            <w:tcW w:w="2122" w:type="dxa"/>
            <w:shd w:val="clear" w:color="auto" w:fill="DBE5F1" w:themeFill="accent1" w:themeFillTint="33"/>
          </w:tcPr>
          <w:p w14:paraId="52EF3400" w14:textId="77777777" w:rsidR="00530867" w:rsidRDefault="00530867" w:rsidP="003057FC">
            <w:pPr>
              <w:pStyle w:val="Tablecolhead"/>
            </w:pPr>
            <w:r>
              <w:t xml:space="preserve">Number of ROI – </w:t>
            </w:r>
            <w:r w:rsidRPr="004D0EC6">
              <w:t>Cremated remains (niche wall)</w:t>
            </w:r>
          </w:p>
        </w:tc>
        <w:tc>
          <w:tcPr>
            <w:tcW w:w="8072" w:type="dxa"/>
          </w:tcPr>
          <w:p w14:paraId="3DAAC243" w14:textId="03A1070B" w:rsidR="00530867" w:rsidRDefault="00530867" w:rsidP="00530867">
            <w:pPr>
              <w:pStyle w:val="Tabletext"/>
            </w:pPr>
            <w:r>
              <w:t>Insert the total number of niche wall ROIs the development will create.</w:t>
            </w:r>
          </w:p>
        </w:tc>
      </w:tr>
      <w:tr w:rsidR="00530867" w14:paraId="62B26482" w14:textId="77777777" w:rsidTr="003057FC">
        <w:tc>
          <w:tcPr>
            <w:tcW w:w="2122" w:type="dxa"/>
            <w:shd w:val="clear" w:color="auto" w:fill="DBE5F1" w:themeFill="accent1" w:themeFillTint="33"/>
          </w:tcPr>
          <w:p w14:paraId="11C2854F" w14:textId="77777777" w:rsidR="00530867" w:rsidRPr="008567A8" w:rsidRDefault="00530867" w:rsidP="003057FC">
            <w:pPr>
              <w:pStyle w:val="Tablecolhead"/>
              <w:rPr>
                <w:i/>
              </w:rPr>
            </w:pPr>
            <w:r w:rsidRPr="008567A8">
              <w:rPr>
                <w:i/>
              </w:rPr>
              <w:t>Total area of niche walls</w:t>
            </w:r>
          </w:p>
        </w:tc>
        <w:tc>
          <w:tcPr>
            <w:tcW w:w="8072" w:type="dxa"/>
          </w:tcPr>
          <w:p w14:paraId="6E80EA88" w14:textId="382899C6" w:rsidR="00530867" w:rsidRDefault="00530867" w:rsidP="00530867">
            <w:pPr>
              <w:pStyle w:val="Tabletext"/>
            </w:pPr>
            <w:r>
              <w:t>Insert the total land size of all niche walls</w:t>
            </w:r>
            <w:r w:rsidR="00670A62">
              <w:t xml:space="preserve"> (metres squared)</w:t>
            </w:r>
            <w:r>
              <w:t>.</w:t>
            </w:r>
          </w:p>
        </w:tc>
      </w:tr>
      <w:tr w:rsidR="00530867" w14:paraId="20E93A1F" w14:textId="77777777" w:rsidTr="003057FC">
        <w:tc>
          <w:tcPr>
            <w:tcW w:w="2122" w:type="dxa"/>
            <w:shd w:val="clear" w:color="auto" w:fill="DBE5F1" w:themeFill="accent1" w:themeFillTint="33"/>
          </w:tcPr>
          <w:p w14:paraId="70C6A7DD" w14:textId="77777777" w:rsidR="00530867" w:rsidRDefault="00530867" w:rsidP="003057FC">
            <w:pPr>
              <w:pStyle w:val="Tablecolhead"/>
            </w:pPr>
            <w:r>
              <w:t>Shared infrastructure</w:t>
            </w:r>
          </w:p>
        </w:tc>
        <w:tc>
          <w:tcPr>
            <w:tcW w:w="8072" w:type="dxa"/>
          </w:tcPr>
          <w:p w14:paraId="1022C4EC" w14:textId="38826164" w:rsidR="00530867" w:rsidRDefault="00530867" w:rsidP="00530867">
            <w:pPr>
              <w:pStyle w:val="Tabletext"/>
            </w:pPr>
            <w:r>
              <w:t>Insert total area for shared infrastructure such as paths, walkways, gardens, gazebos, roads</w:t>
            </w:r>
            <w:r w:rsidR="00C063CB">
              <w:t xml:space="preserve"> and</w:t>
            </w:r>
            <w:r>
              <w:t xml:space="preserve"> toilets</w:t>
            </w:r>
            <w:r w:rsidR="00670A62">
              <w:t xml:space="preserve"> (metres squared)</w:t>
            </w:r>
            <w:r>
              <w:t>.</w:t>
            </w:r>
          </w:p>
        </w:tc>
      </w:tr>
    </w:tbl>
    <w:p w14:paraId="477ECB7A" w14:textId="3A10E34D" w:rsidR="00530867" w:rsidRDefault="00530867" w:rsidP="00530867">
      <w:pPr>
        <w:pStyle w:val="Heading1"/>
        <w:spacing w:before="360"/>
      </w:pPr>
      <w:r>
        <w:t>Section B – Project expenditure</w:t>
      </w:r>
    </w:p>
    <w:p w14:paraId="34ECC36F" w14:textId="50ED063D" w:rsidR="00670A62" w:rsidRPr="00670A62" w:rsidRDefault="00670A62" w:rsidP="001F6F78">
      <w:pPr>
        <w:pStyle w:val="Body"/>
      </w:pPr>
      <w:r>
        <w:t xml:space="preserve">Instructions for completing each </w:t>
      </w:r>
      <w:r w:rsidR="48DB06B0">
        <w:t xml:space="preserve">row </w:t>
      </w:r>
      <w:r>
        <w:t>in Section B are detailed in the following table.</w:t>
      </w:r>
    </w:p>
    <w:tbl>
      <w:tblPr>
        <w:tblStyle w:val="TableGrid"/>
        <w:tblW w:w="0" w:type="auto"/>
        <w:tblLook w:val="04A0" w:firstRow="1" w:lastRow="0" w:firstColumn="1" w:lastColumn="0" w:noHBand="0" w:noVBand="1"/>
      </w:tblPr>
      <w:tblGrid>
        <w:gridCol w:w="2297"/>
        <w:gridCol w:w="7897"/>
      </w:tblGrid>
      <w:tr w:rsidR="00530867" w14:paraId="110B6B2E" w14:textId="77777777" w:rsidTr="003057FC">
        <w:tc>
          <w:tcPr>
            <w:tcW w:w="2297" w:type="dxa"/>
            <w:shd w:val="clear" w:color="auto" w:fill="DBE5F1" w:themeFill="accent1" w:themeFillTint="33"/>
          </w:tcPr>
          <w:p w14:paraId="0713807D" w14:textId="77777777" w:rsidR="00530867" w:rsidRDefault="00530867" w:rsidP="003057FC">
            <w:pPr>
              <w:pStyle w:val="Tablecolhead"/>
            </w:pPr>
            <w:r>
              <w:t>Planning costs – All areas</w:t>
            </w:r>
          </w:p>
        </w:tc>
        <w:tc>
          <w:tcPr>
            <w:tcW w:w="7897" w:type="dxa"/>
          </w:tcPr>
          <w:p w14:paraId="1234DCE8" w14:textId="42EEAAFF" w:rsidR="00530867" w:rsidRPr="008F7107" w:rsidRDefault="00530867" w:rsidP="00530867">
            <w:pPr>
              <w:pStyle w:val="Tabletext"/>
            </w:pPr>
            <w:r>
              <w:t>Include all costs relating to planning.</w:t>
            </w:r>
            <w:r w:rsidR="00670A62">
              <w:t xml:space="preserve"> Examples include drafting, council fees/permits, surveying, consultants, legal</w:t>
            </w:r>
            <w:r w:rsidR="00CD09C5">
              <w:t xml:space="preserve"> and</w:t>
            </w:r>
            <w:r w:rsidR="00670A62">
              <w:t xml:space="preserve"> market research.</w:t>
            </w:r>
          </w:p>
        </w:tc>
      </w:tr>
      <w:tr w:rsidR="00530867" w14:paraId="28BEC277" w14:textId="77777777" w:rsidTr="003057FC">
        <w:tc>
          <w:tcPr>
            <w:tcW w:w="2297" w:type="dxa"/>
            <w:shd w:val="clear" w:color="auto" w:fill="DBE5F1" w:themeFill="accent1" w:themeFillTint="33"/>
          </w:tcPr>
          <w:p w14:paraId="7E1B6E57" w14:textId="2C9DA780" w:rsidR="00530867" w:rsidRDefault="00530867" w:rsidP="003057FC">
            <w:pPr>
              <w:pStyle w:val="Tablecolhead"/>
            </w:pPr>
            <w:r>
              <w:t>Development costs – Burial areas</w:t>
            </w:r>
            <w:r w:rsidR="39D3408B">
              <w:t xml:space="preserve"> (bodily and </w:t>
            </w:r>
            <w:r w:rsidR="00951E21">
              <w:t>c</w:t>
            </w:r>
            <w:r w:rsidR="39D3408B">
              <w:t>remated remains)</w:t>
            </w:r>
          </w:p>
        </w:tc>
        <w:tc>
          <w:tcPr>
            <w:tcW w:w="7897" w:type="dxa"/>
          </w:tcPr>
          <w:p w14:paraId="7D650D5E" w14:textId="11056ABC" w:rsidR="00530867" w:rsidRPr="008F7107" w:rsidRDefault="00530867" w:rsidP="00530867">
            <w:pPr>
              <w:pStyle w:val="Tabletext"/>
            </w:pPr>
            <w:r>
              <w:t xml:space="preserve">Include all costs relating to the development of the burial areas for bodily </w:t>
            </w:r>
            <w:r w:rsidR="2455D718">
              <w:t xml:space="preserve">and cremated </w:t>
            </w:r>
            <w:r>
              <w:t>remains.</w:t>
            </w:r>
            <w:r w:rsidR="00670A62">
              <w:t xml:space="preserve"> Examples include materials, capital equipment, labour and contractors.</w:t>
            </w:r>
          </w:p>
        </w:tc>
      </w:tr>
      <w:tr w:rsidR="00530867" w14:paraId="0A141F60" w14:textId="77777777" w:rsidTr="003057FC">
        <w:tc>
          <w:tcPr>
            <w:tcW w:w="2297" w:type="dxa"/>
            <w:shd w:val="clear" w:color="auto" w:fill="DBE5F1" w:themeFill="accent1" w:themeFillTint="33"/>
          </w:tcPr>
          <w:p w14:paraId="393717B0" w14:textId="77777777" w:rsidR="00530867" w:rsidRDefault="00530867" w:rsidP="003057FC">
            <w:pPr>
              <w:pStyle w:val="Tablecolhead"/>
            </w:pPr>
            <w:r>
              <w:lastRenderedPageBreak/>
              <w:t>Development costs – Niche wall areas</w:t>
            </w:r>
          </w:p>
        </w:tc>
        <w:tc>
          <w:tcPr>
            <w:tcW w:w="7897" w:type="dxa"/>
          </w:tcPr>
          <w:p w14:paraId="11948738" w14:textId="15C7E754" w:rsidR="00530867" w:rsidRPr="008F7107" w:rsidRDefault="00530867" w:rsidP="00530867">
            <w:pPr>
              <w:pStyle w:val="Tabletext"/>
            </w:pPr>
            <w:r>
              <w:t>Include all costs relating to the development of niche wall areas.</w:t>
            </w:r>
            <w:r w:rsidR="00670A62">
              <w:t xml:space="preserve"> Examples include materials, capital equipment, labour and contractors.</w:t>
            </w:r>
          </w:p>
        </w:tc>
      </w:tr>
      <w:tr w:rsidR="00530867" w14:paraId="37259060" w14:textId="77777777" w:rsidTr="003057FC">
        <w:tc>
          <w:tcPr>
            <w:tcW w:w="2297" w:type="dxa"/>
            <w:shd w:val="clear" w:color="auto" w:fill="DBE5F1" w:themeFill="accent1" w:themeFillTint="33"/>
          </w:tcPr>
          <w:p w14:paraId="410469E9" w14:textId="77777777" w:rsidR="00530867" w:rsidRDefault="00530867" w:rsidP="003057FC">
            <w:pPr>
              <w:pStyle w:val="Tablecolhead"/>
            </w:pPr>
            <w:r>
              <w:t>Shared infrastructure</w:t>
            </w:r>
          </w:p>
        </w:tc>
        <w:tc>
          <w:tcPr>
            <w:tcW w:w="7897" w:type="dxa"/>
          </w:tcPr>
          <w:p w14:paraId="615FE6C9" w14:textId="77D63452" w:rsidR="00530867" w:rsidRPr="008F7107" w:rsidRDefault="00530867" w:rsidP="00670A62">
            <w:pPr>
              <w:pStyle w:val="Tabletext"/>
            </w:pPr>
            <w:r>
              <w:t>Include all costs relating to the development of shared infrastructure.</w:t>
            </w:r>
            <w:r w:rsidR="00670A62">
              <w:t xml:space="preserve"> Examples include materials, capital equipment, labour and contractors.</w:t>
            </w:r>
          </w:p>
        </w:tc>
      </w:tr>
      <w:tr w:rsidR="00530867" w14:paraId="7284C43E" w14:textId="77777777" w:rsidTr="003057FC">
        <w:tc>
          <w:tcPr>
            <w:tcW w:w="2297" w:type="dxa"/>
            <w:shd w:val="clear" w:color="auto" w:fill="DBE5F1" w:themeFill="accent1" w:themeFillTint="33"/>
          </w:tcPr>
          <w:p w14:paraId="3720872C" w14:textId="77777777" w:rsidR="00530867" w:rsidRDefault="00530867" w:rsidP="003057FC">
            <w:pPr>
              <w:pStyle w:val="Tablecolhead"/>
            </w:pPr>
            <w:r>
              <w:t>Marketing – All areas</w:t>
            </w:r>
          </w:p>
        </w:tc>
        <w:tc>
          <w:tcPr>
            <w:tcW w:w="7897" w:type="dxa"/>
          </w:tcPr>
          <w:p w14:paraId="2D075962" w14:textId="7EF85DB4" w:rsidR="00530867" w:rsidRDefault="00530867" w:rsidP="00530867">
            <w:pPr>
              <w:pStyle w:val="Tabletext"/>
            </w:pPr>
            <w:r>
              <w:t>Include all costs relating to marketing.</w:t>
            </w:r>
            <w:r w:rsidR="00670A62">
              <w:t xml:space="preserve"> Examples include advertising.</w:t>
            </w:r>
          </w:p>
          <w:p w14:paraId="557487A6" w14:textId="77777777" w:rsidR="00530867" w:rsidRPr="008F7107" w:rsidRDefault="00530867" w:rsidP="00530867">
            <w:pPr>
              <w:pStyle w:val="Tabletext"/>
            </w:pPr>
          </w:p>
        </w:tc>
      </w:tr>
      <w:tr w:rsidR="00530867" w14:paraId="462DE042" w14:textId="77777777" w:rsidTr="003057FC">
        <w:tc>
          <w:tcPr>
            <w:tcW w:w="2297" w:type="dxa"/>
            <w:shd w:val="clear" w:color="auto" w:fill="DBE5F1" w:themeFill="accent1" w:themeFillTint="33"/>
          </w:tcPr>
          <w:p w14:paraId="6A696FAA" w14:textId="77777777" w:rsidR="00530867" w:rsidRDefault="00530867" w:rsidP="003057FC">
            <w:pPr>
              <w:pStyle w:val="Tablecolhead"/>
            </w:pPr>
            <w:r>
              <w:t>Total project costs</w:t>
            </w:r>
          </w:p>
          <w:p w14:paraId="69EDB162" w14:textId="77777777" w:rsidR="00530867" w:rsidRDefault="00530867" w:rsidP="003057FC">
            <w:pPr>
              <w:pStyle w:val="Tablecolhead"/>
            </w:pPr>
          </w:p>
        </w:tc>
        <w:tc>
          <w:tcPr>
            <w:tcW w:w="7897" w:type="dxa"/>
          </w:tcPr>
          <w:p w14:paraId="5EBAFAA1" w14:textId="10F17262" w:rsidR="00530867" w:rsidRPr="008F7107" w:rsidRDefault="00530867" w:rsidP="00530867">
            <w:pPr>
              <w:pStyle w:val="Tabletext"/>
            </w:pPr>
            <w:r>
              <w:t>Total costs of the project including allowances for cost variations. This total is automatically calculated.</w:t>
            </w:r>
          </w:p>
        </w:tc>
      </w:tr>
    </w:tbl>
    <w:p w14:paraId="33BFA83E" w14:textId="145C2B16" w:rsidR="00530867" w:rsidRDefault="00530867" w:rsidP="00530867">
      <w:pPr>
        <w:pStyle w:val="Heading1"/>
        <w:spacing w:before="360"/>
      </w:pPr>
      <w:r>
        <w:t xml:space="preserve">Section C – </w:t>
      </w:r>
      <w:r w:rsidR="62FE6849">
        <w:t>Development c</w:t>
      </w:r>
      <w:r>
        <w:t xml:space="preserve">ost per right of interment </w:t>
      </w:r>
    </w:p>
    <w:p w14:paraId="186AE94A" w14:textId="324EFAD4" w:rsidR="00CA462A" w:rsidRDefault="00530867" w:rsidP="00530867">
      <w:pPr>
        <w:pStyle w:val="Body"/>
      </w:pPr>
      <w:r>
        <w:t xml:space="preserve">This section </w:t>
      </w:r>
      <w:r w:rsidR="002C1AAD">
        <w:t xml:space="preserve">automatically populates information from the </w:t>
      </w:r>
      <w:r w:rsidR="007F563F">
        <w:t xml:space="preserve">land value calculator </w:t>
      </w:r>
      <w:r w:rsidR="002C1AAD">
        <w:t xml:space="preserve">to </w:t>
      </w:r>
      <w:r w:rsidR="00015470">
        <w:t xml:space="preserve">calculate </w:t>
      </w:r>
      <w:r>
        <w:t xml:space="preserve">the </w:t>
      </w:r>
      <w:r w:rsidR="277C0C6E">
        <w:t xml:space="preserve">development </w:t>
      </w:r>
      <w:r>
        <w:t xml:space="preserve">cost for </w:t>
      </w:r>
      <w:r w:rsidR="00CA462A">
        <w:t>five</w:t>
      </w:r>
      <w:r>
        <w:t xml:space="preserve"> categories of ROI</w:t>
      </w:r>
      <w:r w:rsidR="00CA462A">
        <w:t>:</w:t>
      </w:r>
    </w:p>
    <w:p w14:paraId="6F7BE1F8" w14:textId="422D2428" w:rsidR="006E3F13" w:rsidRDefault="006E3F13" w:rsidP="006E3F13">
      <w:pPr>
        <w:pStyle w:val="Bullet1"/>
      </w:pPr>
      <w:r>
        <w:t>ROI bodily remains</w:t>
      </w:r>
    </w:p>
    <w:p w14:paraId="047E437E" w14:textId="2B6C2DF6" w:rsidR="006E3F13" w:rsidRDefault="006E3F13" w:rsidP="006E3F13">
      <w:pPr>
        <w:pStyle w:val="Bullet1"/>
      </w:pPr>
      <w:r>
        <w:t xml:space="preserve">ROI </w:t>
      </w:r>
      <w:r w:rsidR="003B3DB6">
        <w:t xml:space="preserve">cremated remains </w:t>
      </w:r>
      <w:r w:rsidR="00D422DE">
        <w:t xml:space="preserve">– </w:t>
      </w:r>
      <w:r w:rsidR="003B3DB6">
        <w:t>in-ground – perpetual</w:t>
      </w:r>
      <w:r w:rsidR="74FD1104">
        <w:t xml:space="preserve"> tenure</w:t>
      </w:r>
    </w:p>
    <w:p w14:paraId="6CCD14AA" w14:textId="1025166C" w:rsidR="003B3DB6" w:rsidRDefault="003B3DB6" w:rsidP="006E3F13">
      <w:pPr>
        <w:pStyle w:val="Bullet1"/>
      </w:pPr>
      <w:r>
        <w:t xml:space="preserve">ROI cremated remains </w:t>
      </w:r>
      <w:r w:rsidR="00D422DE">
        <w:t xml:space="preserve">– </w:t>
      </w:r>
      <w:r>
        <w:t xml:space="preserve">in-ground </w:t>
      </w:r>
      <w:r w:rsidR="005D1823">
        <w:t xml:space="preserve">– </w:t>
      </w:r>
      <w:r w:rsidR="18B47589">
        <w:t xml:space="preserve">25 year </w:t>
      </w:r>
      <w:r w:rsidR="005D1823">
        <w:t>tenure</w:t>
      </w:r>
    </w:p>
    <w:p w14:paraId="17227521" w14:textId="6A1451BA" w:rsidR="005D1823" w:rsidRDefault="005D1823" w:rsidP="006E3F13">
      <w:pPr>
        <w:pStyle w:val="Bullet1"/>
      </w:pPr>
      <w:r>
        <w:t>ROI cremated remains – niche wall – perpetual</w:t>
      </w:r>
      <w:r w:rsidR="15BCD99D">
        <w:t xml:space="preserve"> tenure</w:t>
      </w:r>
    </w:p>
    <w:p w14:paraId="7D010DA9" w14:textId="08E452A4" w:rsidR="005D1823" w:rsidRDefault="005D1823" w:rsidP="6C2E755E">
      <w:pPr>
        <w:pStyle w:val="Bullet1"/>
      </w:pPr>
      <w:r>
        <w:t xml:space="preserve">ROI cremated remains – niche wall </w:t>
      </w:r>
      <w:r w:rsidR="00D422DE">
        <w:t>–</w:t>
      </w:r>
      <w:r>
        <w:t xml:space="preserve"> </w:t>
      </w:r>
      <w:r w:rsidR="78B65DC4">
        <w:t xml:space="preserve">25 year </w:t>
      </w:r>
      <w:r w:rsidR="00D422DE">
        <w:t>tenure</w:t>
      </w:r>
    </w:p>
    <w:p w14:paraId="352BB002" w14:textId="1268B931" w:rsidR="00530867" w:rsidRDefault="00CF12D2" w:rsidP="6C2E755E">
      <w:pPr>
        <w:pStyle w:val="Bodyafterbullets"/>
      </w:pPr>
      <w:r>
        <w:t xml:space="preserve">Note: </w:t>
      </w:r>
      <w:r w:rsidR="00530867">
        <w:t>There are no fields to manually complete in this section.</w:t>
      </w:r>
    </w:p>
    <w:p w14:paraId="068048DE" w14:textId="20F8B426" w:rsidR="00670A62" w:rsidRDefault="00670A62" w:rsidP="001F6F78">
      <w:pPr>
        <w:pStyle w:val="Heading1"/>
      </w:pPr>
      <w:r>
        <w:t>Submission</w:t>
      </w:r>
    </w:p>
    <w:p w14:paraId="680C0F85" w14:textId="19CCC74B" w:rsidR="00530867" w:rsidRDefault="00530867" w:rsidP="00530867">
      <w:pPr>
        <w:pStyle w:val="Body"/>
      </w:pPr>
      <w:r>
        <w:t xml:space="preserve">When applying </w:t>
      </w:r>
      <w:r w:rsidR="00C01190">
        <w:t>to the department to establish</w:t>
      </w:r>
      <w:r>
        <w:t xml:space="preserve"> fees for the sale of ROIs, the costs </w:t>
      </w:r>
      <w:r w:rsidR="00D91278">
        <w:t>calculated</w:t>
      </w:r>
      <w:r w:rsidR="00C01190">
        <w:t xml:space="preserve"> in Section C </w:t>
      </w:r>
      <w:r>
        <w:t xml:space="preserve">can be used in the Land Value column of the </w:t>
      </w:r>
      <w:r w:rsidR="00C01190">
        <w:t xml:space="preserve">department’s </w:t>
      </w:r>
      <w:hyperlink r:id="rId18" w:history="1">
        <w:r w:rsidRPr="6C2E755E">
          <w:rPr>
            <w:rStyle w:val="Hyperlink"/>
            <w:u w:val="none"/>
          </w:rPr>
          <w:t>Interactive fee justification model</w:t>
        </w:r>
      </w:hyperlink>
      <w:r w:rsidDel="00C01190">
        <w:t xml:space="preserve"> </w:t>
      </w:r>
      <w:r>
        <w:t>&lt;</w:t>
      </w:r>
      <w:r w:rsidRPr="00151969">
        <w:t>https://www.health.vic.gov.au/cemeteries-and-crematoria/class-b-cemetery-trust-fee-setting</w:t>
      </w:r>
      <w:r>
        <w:t xml:space="preserve">&gt;. </w:t>
      </w:r>
    </w:p>
    <w:p w14:paraId="31BC5681" w14:textId="6C0CCE84" w:rsidR="00530867" w:rsidRPr="002764CE" w:rsidRDefault="00530867" w:rsidP="00530867">
      <w:pPr>
        <w:pStyle w:val="Body"/>
      </w:pPr>
      <w:r>
        <w:t xml:space="preserve">The completed </w:t>
      </w:r>
      <w:r w:rsidR="007F563F">
        <w:t xml:space="preserve">land value calculator </w:t>
      </w:r>
      <w:r>
        <w:t xml:space="preserve">should be submitted with the fee justification model as part of the </w:t>
      </w:r>
      <w:r w:rsidR="00C01190">
        <w:t xml:space="preserve">cemetery </w:t>
      </w:r>
      <w:r>
        <w:t>trust’s application. The Excel spreadsheet can be emailed to the dep</w:t>
      </w:r>
      <w:r w:rsidRPr="002764CE">
        <w:t>artment or printed out and sent by post.</w:t>
      </w:r>
    </w:p>
    <w:p w14:paraId="214F7000" w14:textId="77777777" w:rsidR="00530867" w:rsidRPr="002764CE" w:rsidRDefault="00530867" w:rsidP="00530867">
      <w:pPr>
        <w:pStyle w:val="Body"/>
      </w:pPr>
      <w:r w:rsidRPr="002764CE">
        <w:t>Email:</w:t>
      </w:r>
      <w:r w:rsidRPr="002764CE">
        <w:tab/>
      </w:r>
      <w:hyperlink r:id="rId19" w:history="1">
        <w:r w:rsidRPr="002764CE">
          <w:rPr>
            <w:rStyle w:val="Hyperlink"/>
            <w:u w:val="none"/>
          </w:rPr>
          <w:t>cemeteries@health.vic.gov.au</w:t>
        </w:r>
      </w:hyperlink>
      <w:r w:rsidRPr="002764CE">
        <w:t xml:space="preserve"> </w:t>
      </w:r>
    </w:p>
    <w:p w14:paraId="7F88815E" w14:textId="4169A1BD" w:rsidR="00530867" w:rsidRDefault="00530867" w:rsidP="00530867">
      <w:pPr>
        <w:pStyle w:val="Body"/>
        <w:ind w:left="720" w:hanging="720"/>
      </w:pPr>
      <w:r>
        <w:t>Post:</w:t>
      </w:r>
      <w:r>
        <w:tab/>
      </w:r>
      <w:r w:rsidR="000F2DC9">
        <w:t>Divisional Portfolio Entity and Appointments Advisory Team</w:t>
      </w:r>
      <w:r>
        <w:br/>
        <w:t>Department of Health</w:t>
      </w:r>
      <w:r>
        <w:br/>
        <w:t>GPO Box 4057</w:t>
      </w:r>
      <w:r>
        <w:br/>
        <w:t>MELBOURNE VIC 3001</w:t>
      </w:r>
    </w:p>
    <w:p w14:paraId="0F69EE31" w14:textId="77777777" w:rsidR="009F3A78" w:rsidRDefault="00530867" w:rsidP="00530867">
      <w:pPr>
        <w:pStyle w:val="Heading1"/>
      </w:pPr>
      <w:r>
        <w:t>Example</w:t>
      </w:r>
      <w:r w:rsidR="009F3A78">
        <w:t>s</w:t>
      </w:r>
    </w:p>
    <w:p w14:paraId="32D7FD64" w14:textId="1331DA37" w:rsidR="00530867" w:rsidRDefault="009F3A78" w:rsidP="6C2E755E">
      <w:pPr>
        <w:pStyle w:val="Heading2"/>
      </w:pPr>
      <w:r>
        <w:t>Example</w:t>
      </w:r>
      <w:r w:rsidR="00530867">
        <w:t xml:space="preserve"> 1 – New lawn section</w:t>
      </w:r>
    </w:p>
    <w:p w14:paraId="2320C41D" w14:textId="77777777" w:rsidR="00530867" w:rsidRDefault="00530867" w:rsidP="00530867">
      <w:pPr>
        <w:pStyle w:val="Body"/>
      </w:pPr>
      <w:r>
        <w:t>This example is demonstrated in Figure 1 below.</w:t>
      </w:r>
    </w:p>
    <w:p w14:paraId="3B105DC2" w14:textId="77777777" w:rsidR="00530867" w:rsidRDefault="00530867" w:rsidP="00530867">
      <w:pPr>
        <w:pStyle w:val="Body"/>
      </w:pPr>
      <w:r>
        <w:t xml:space="preserve">The total area proposed for development is 330 square metres. This includes 310 square metres for 100 burials (two lawn beams at 155 square metres, each with a capacity for 50 interments) and 20 square metres for walkways and gardens/plants. </w:t>
      </w:r>
    </w:p>
    <w:p w14:paraId="7DE9B16A" w14:textId="77777777" w:rsidR="00530867" w:rsidRDefault="00530867" w:rsidP="00530867">
      <w:pPr>
        <w:pStyle w:val="Body"/>
      </w:pPr>
      <w:r>
        <w:t>A notional land replacement value of $1,000 has been determined by the trust.</w:t>
      </w:r>
    </w:p>
    <w:p w14:paraId="09483CD4" w14:textId="77777777" w:rsidR="00530867" w:rsidRDefault="00530867" w:rsidP="00530867">
      <w:pPr>
        <w:pStyle w:val="Body"/>
      </w:pPr>
      <w:r>
        <w:lastRenderedPageBreak/>
        <w:t>The trust is using the department’s recommended 15 per cent for variation in costs.</w:t>
      </w:r>
    </w:p>
    <w:p w14:paraId="3352344F" w14:textId="77777777" w:rsidR="00530867" w:rsidRDefault="00530867" w:rsidP="00530867">
      <w:pPr>
        <w:pStyle w:val="Body"/>
      </w:pPr>
      <w:r>
        <w:t>The planning costs include drafting at $1,000.</w:t>
      </w:r>
    </w:p>
    <w:p w14:paraId="73AD8360" w14:textId="68B67366" w:rsidR="00530867" w:rsidRDefault="00530867" w:rsidP="00530867">
      <w:pPr>
        <w:pStyle w:val="Body"/>
      </w:pPr>
      <w:r>
        <w:t xml:space="preserve">The development costs for the graves include materials ($7,000), labour ($8,000), and the hire of excavating equipment </w:t>
      </w:r>
      <w:r w:rsidR="00CC27D2">
        <w:t>(</w:t>
      </w:r>
      <w:r>
        <w:t>$700</w:t>
      </w:r>
      <w:r w:rsidR="00CC27D2">
        <w:t>)</w:t>
      </w:r>
      <w:r>
        <w:t>.</w:t>
      </w:r>
    </w:p>
    <w:p w14:paraId="6296016B" w14:textId="77777777" w:rsidR="00530867" w:rsidRDefault="00530867" w:rsidP="00530867">
      <w:pPr>
        <w:pStyle w:val="Body"/>
      </w:pPr>
      <w:r>
        <w:t>A contractor has quoted $12,500 to complete all walkways and garden beds.</w:t>
      </w:r>
    </w:p>
    <w:p w14:paraId="2FC15657" w14:textId="77777777" w:rsidR="00530867" w:rsidRDefault="00530867" w:rsidP="00530867">
      <w:pPr>
        <w:pStyle w:val="Body"/>
      </w:pPr>
      <w:r>
        <w:t>The trust has no marketing costs planned.</w:t>
      </w:r>
    </w:p>
    <w:p w14:paraId="271A13BC" w14:textId="59B9B468" w:rsidR="00530867" w:rsidRDefault="00530867" w:rsidP="00530867">
      <w:pPr>
        <w:pStyle w:val="Body"/>
      </w:pPr>
      <w:r>
        <w:t xml:space="preserve">As there are only burial plots being developed, the </w:t>
      </w:r>
      <w:r w:rsidR="007F563F">
        <w:t xml:space="preserve">land value calculator </w:t>
      </w:r>
      <w:r>
        <w:t>identifies that the cost per burial ROI is $344.</w:t>
      </w:r>
    </w:p>
    <w:p w14:paraId="2E73DBC1" w14:textId="08151060" w:rsidR="00530867" w:rsidRDefault="00716DF7" w:rsidP="00530867">
      <w:pPr>
        <w:pStyle w:val="Body"/>
      </w:pPr>
      <w:r>
        <w:t xml:space="preserve">The trust </w:t>
      </w:r>
      <w:r w:rsidR="00452CD9">
        <w:t xml:space="preserve">enters $344 in the Land Value column of the fee justification model and </w:t>
      </w:r>
      <w:r w:rsidR="00C801FD">
        <w:t xml:space="preserve">submits a copy of the </w:t>
      </w:r>
      <w:r w:rsidR="007F563F">
        <w:t xml:space="preserve">land value calculator </w:t>
      </w:r>
      <w:r w:rsidR="00C801FD">
        <w:t xml:space="preserve">with its </w:t>
      </w:r>
      <w:r w:rsidR="00DB0BAA">
        <w:t xml:space="preserve">fee </w:t>
      </w:r>
      <w:r w:rsidR="00C801FD">
        <w:t>application to the department.</w:t>
      </w:r>
    </w:p>
    <w:p w14:paraId="2DC24764" w14:textId="77777777" w:rsidR="00530867" w:rsidRDefault="00530867" w:rsidP="00530867">
      <w:pPr>
        <w:pStyle w:val="Figurecaption"/>
      </w:pPr>
      <w:r>
        <w:t>Figure 1 – Example 1 – New lawn section</w:t>
      </w:r>
    </w:p>
    <w:p w14:paraId="11399DB9" w14:textId="77777777" w:rsidR="00530867" w:rsidRDefault="00530867" w:rsidP="00530867">
      <w:pPr>
        <w:pStyle w:val="Body"/>
      </w:pPr>
      <w:r>
        <w:rPr>
          <w:noProof/>
        </w:rPr>
        <w:drawing>
          <wp:inline distT="0" distB="0" distL="0" distR="0" wp14:anchorId="27463528" wp14:editId="46469B94">
            <wp:extent cx="5400675" cy="5603875"/>
            <wp:effectExtent l="19050" t="19050" r="28575" b="15875"/>
            <wp:docPr id="3" name="Picture 3" descr="Figure 1 – Small developmen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 Small development example"/>
                    <pic:cNvPicPr>
                      <a:picLocks noChangeAspect="1" noChangeArrowheads="1"/>
                    </pic:cNvPicPr>
                  </pic:nvPicPr>
                  <pic:blipFill rotWithShape="1">
                    <a:blip r:embed="rId20">
                      <a:extLst>
                        <a:ext uri="{28A0092B-C50C-407E-A947-70E740481C1C}">
                          <a14:useLocalDpi xmlns:a14="http://schemas.microsoft.com/office/drawing/2010/main" val="0"/>
                        </a:ext>
                      </a:extLst>
                    </a:blip>
                    <a:srcRect t="6167"/>
                    <a:stretch/>
                  </pic:blipFill>
                  <pic:spPr bwMode="auto">
                    <a:xfrm>
                      <a:off x="0" y="0"/>
                      <a:ext cx="5400675" cy="56038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A64863D" w14:textId="77777777" w:rsidR="00530867" w:rsidRDefault="00530867" w:rsidP="00530867">
      <w:pPr>
        <w:spacing w:after="0" w:line="240" w:lineRule="auto"/>
        <w:rPr>
          <w:rFonts w:eastAsia="Times"/>
        </w:rPr>
      </w:pPr>
      <w:r>
        <w:br w:type="page"/>
      </w:r>
    </w:p>
    <w:p w14:paraId="2D7ECFAB" w14:textId="77777777" w:rsidR="00530867" w:rsidRDefault="00530867" w:rsidP="6C2E755E">
      <w:pPr>
        <w:pStyle w:val="Heading2"/>
      </w:pPr>
      <w:r>
        <w:lastRenderedPageBreak/>
        <w:t>Example 2 – New area with multiple interment types</w:t>
      </w:r>
    </w:p>
    <w:p w14:paraId="74F1901C" w14:textId="77777777" w:rsidR="00530867" w:rsidRDefault="00530867" w:rsidP="00530867">
      <w:pPr>
        <w:pStyle w:val="Body"/>
      </w:pPr>
      <w:r>
        <w:t>This example is demonstrated in Figure 2 below.</w:t>
      </w:r>
    </w:p>
    <w:p w14:paraId="72327CD4" w14:textId="7547DFC0" w:rsidR="00530867" w:rsidRDefault="00530867" w:rsidP="00530867">
      <w:pPr>
        <w:pStyle w:val="Body"/>
      </w:pPr>
      <w:r>
        <w:t>The trust plans to develop an area measuring 16 x 25 metres (a total of 400 square metres). The plans are for a mix of burial spaces</w:t>
      </w:r>
      <w:r w:rsidR="02A7CF21">
        <w:t xml:space="preserve"> for bodily and cremated remains</w:t>
      </w:r>
      <w:r w:rsidR="0D896319">
        <w:t xml:space="preserve"> </w:t>
      </w:r>
      <w:r w:rsidR="725F3789">
        <w:t>as well as</w:t>
      </w:r>
      <w:r w:rsidDel="007C069C">
        <w:t xml:space="preserve"> </w:t>
      </w:r>
      <w:r w:rsidR="00204A2A">
        <w:t xml:space="preserve">niche </w:t>
      </w:r>
      <w:r>
        <w:t xml:space="preserve">walls for cremated remains. </w:t>
      </w:r>
    </w:p>
    <w:p w14:paraId="15EBB832" w14:textId="77777777" w:rsidR="00530867" w:rsidRDefault="00530867" w:rsidP="00530867">
      <w:pPr>
        <w:pStyle w:val="Body"/>
      </w:pPr>
      <w:r>
        <w:t>There will be 80 grave plots measured at an average of 2.44 metres x 1.22 metres (2.98 square metres).</w:t>
      </w:r>
    </w:p>
    <w:p w14:paraId="0F060E4A" w14:textId="62EFB6CD" w:rsidR="00530867" w:rsidRDefault="00530867" w:rsidP="00530867">
      <w:pPr>
        <w:pStyle w:val="Body"/>
      </w:pPr>
      <w:r>
        <w:t xml:space="preserve">There </w:t>
      </w:r>
      <w:r w:rsidR="6267FAF6">
        <w:t xml:space="preserve">will </w:t>
      </w:r>
      <w:r>
        <w:t xml:space="preserve">also </w:t>
      </w:r>
      <w:r w:rsidR="0F70BE35">
        <w:t>be</w:t>
      </w:r>
      <w:r>
        <w:t xml:space="preserve"> 200 </w:t>
      </w:r>
      <w:r w:rsidR="00204A2A">
        <w:t xml:space="preserve">in-ground </w:t>
      </w:r>
      <w:r>
        <w:t xml:space="preserve">memorial spaces </w:t>
      </w:r>
      <w:r w:rsidR="3A3E2EC0">
        <w:t>for cremated remains</w:t>
      </w:r>
      <w:r>
        <w:t xml:space="preserve"> measuring 0.75 metres x 0.75 metres (0.56 square meters).</w:t>
      </w:r>
    </w:p>
    <w:p w14:paraId="765EE23B" w14:textId="7251E4FC" w:rsidR="00530867" w:rsidRDefault="00530867" w:rsidP="00530867">
      <w:pPr>
        <w:pStyle w:val="Body"/>
      </w:pPr>
      <w:r>
        <w:t>The</w:t>
      </w:r>
      <w:r w:rsidR="350C4F8E">
        <w:t>re will be</w:t>
      </w:r>
      <w:r>
        <w:t xml:space="preserve"> five </w:t>
      </w:r>
      <w:r w:rsidR="00D66ACF">
        <w:t xml:space="preserve">niche </w:t>
      </w:r>
      <w:r>
        <w:t>walls</w:t>
      </w:r>
      <w:r w:rsidR="2F8001BD">
        <w:t>,</w:t>
      </w:r>
      <w:r>
        <w:t xml:space="preserve"> each hold</w:t>
      </w:r>
      <w:r w:rsidR="14584B1F">
        <w:t>ing</w:t>
      </w:r>
      <w:r>
        <w:t xml:space="preserve"> 50 niches with each wall taking up approximately five square metres of land (5 square meters x 5 walls equals a total of 25 square meters).</w:t>
      </w:r>
    </w:p>
    <w:p w14:paraId="3119D7DD" w14:textId="74FAD137" w:rsidR="00530867" w:rsidRDefault="00530867" w:rsidP="00530867">
      <w:pPr>
        <w:pStyle w:val="Body"/>
      </w:pPr>
      <w:r>
        <w:t xml:space="preserve">Land in the area is valued at approximately $200,000 per hectare. This equates to $20 per square metre, </w:t>
      </w:r>
      <w:r w:rsidR="0033683A">
        <w:t xml:space="preserve">making </w:t>
      </w:r>
      <w:r>
        <w:t>the total land value $8</w:t>
      </w:r>
      <w:r w:rsidR="0033683A">
        <w:t>,</w:t>
      </w:r>
      <w:r>
        <w:t>000.</w:t>
      </w:r>
    </w:p>
    <w:p w14:paraId="477AF873" w14:textId="77777777" w:rsidR="00530867" w:rsidRDefault="00530867" w:rsidP="00530867">
      <w:pPr>
        <w:pStyle w:val="Body"/>
      </w:pPr>
      <w:r>
        <w:t xml:space="preserve">The trust also wishes to build a toilet block for visitors measuring approximately 20 square metres. </w:t>
      </w:r>
    </w:p>
    <w:p w14:paraId="539A3256" w14:textId="77777777" w:rsidR="00530867" w:rsidRDefault="00530867" w:rsidP="00530867">
      <w:pPr>
        <w:pStyle w:val="Body"/>
      </w:pPr>
      <w:r>
        <w:t>The trust is using the department’s recommended 15 per cent for variation in costs.</w:t>
      </w:r>
    </w:p>
    <w:p w14:paraId="5D89EFEC" w14:textId="607E0AEC" w:rsidR="00530867" w:rsidRDefault="00530867" w:rsidP="00530867">
      <w:pPr>
        <w:pStyle w:val="Body"/>
      </w:pPr>
      <w:r>
        <w:t xml:space="preserve">The planning costs include surveying ($1,500), drafting ($900) and the engagement of a solicitor </w:t>
      </w:r>
      <w:r w:rsidR="0033683A">
        <w:t>(</w:t>
      </w:r>
      <w:r>
        <w:t>$2,000</w:t>
      </w:r>
      <w:r w:rsidR="0033683A">
        <w:t>)</w:t>
      </w:r>
      <w:r>
        <w:t>.</w:t>
      </w:r>
    </w:p>
    <w:p w14:paraId="0FC6130B" w14:textId="5076CEFB" w:rsidR="00530867" w:rsidRDefault="00530867" w:rsidP="00530867">
      <w:pPr>
        <w:pStyle w:val="Body"/>
      </w:pPr>
      <w:r>
        <w:t xml:space="preserve">The development costs for the graves and </w:t>
      </w:r>
      <w:r w:rsidR="0033683A">
        <w:t>in-ground</w:t>
      </w:r>
      <w:r w:rsidR="00B1479A">
        <w:t xml:space="preserve"> memorial</w:t>
      </w:r>
      <w:r w:rsidR="0033683A">
        <w:t xml:space="preserve"> </w:t>
      </w:r>
      <w:r>
        <w:t>spaces</w:t>
      </w:r>
      <w:r w:rsidDel="00B1479A">
        <w:t xml:space="preserve"> </w:t>
      </w:r>
      <w:r>
        <w:t>include materials ($38,000), labour ($45,000), capital equipment ($700) and the costs of renting an excavator for two weeks ($3,300).</w:t>
      </w:r>
    </w:p>
    <w:p w14:paraId="3CD54C76" w14:textId="77777777" w:rsidR="00530867" w:rsidRDefault="00530867" w:rsidP="00530867">
      <w:pPr>
        <w:pStyle w:val="Body"/>
      </w:pPr>
      <w:r>
        <w:t>The niche walls have been quoted at $5,500 each by a local contractor for a total of $27,500. The toilet block has been quoted at $25,000 including labour and materials. The trust has no marketing costs planned.</w:t>
      </w:r>
    </w:p>
    <w:p w14:paraId="5DE31EEF" w14:textId="2D17AE06" w:rsidR="00530867" w:rsidRDefault="00530867" w:rsidP="00530867">
      <w:pPr>
        <w:pStyle w:val="Body"/>
        <w:spacing w:after="240"/>
      </w:pPr>
      <w:r>
        <w:t xml:space="preserve">After all the figures have been entered and calculated, the </w:t>
      </w:r>
      <w:r w:rsidR="007F563F">
        <w:t xml:space="preserve">land value calculator </w:t>
      </w:r>
      <w:r>
        <w:t xml:space="preserve">identifies the following </w:t>
      </w:r>
      <w:r w:rsidR="02358219">
        <w:t>development</w:t>
      </w:r>
      <w:r w:rsidR="006563B3">
        <w:t xml:space="preserve"> </w:t>
      </w:r>
      <w:r>
        <w:t>costs per ROI:</w:t>
      </w:r>
    </w:p>
    <w:tbl>
      <w:tblPr>
        <w:tblStyle w:val="TableGrid"/>
        <w:tblW w:w="0" w:type="auto"/>
        <w:tblLook w:val="04A0" w:firstRow="1" w:lastRow="0" w:firstColumn="1" w:lastColumn="0" w:noHBand="0" w:noVBand="1"/>
      </w:tblPr>
      <w:tblGrid>
        <w:gridCol w:w="6516"/>
        <w:gridCol w:w="1276"/>
      </w:tblGrid>
      <w:tr w:rsidR="00530867" w14:paraId="5F853B85" w14:textId="77777777" w:rsidTr="008D2B8B">
        <w:tc>
          <w:tcPr>
            <w:tcW w:w="6516" w:type="dxa"/>
            <w:shd w:val="clear" w:color="auto" w:fill="DBE5F1" w:themeFill="accent1" w:themeFillTint="33"/>
          </w:tcPr>
          <w:p w14:paraId="6D26AF62" w14:textId="6BEA6DCE" w:rsidR="00530867" w:rsidRDefault="00530867" w:rsidP="008D2B8B">
            <w:pPr>
              <w:pStyle w:val="Tablecolhead"/>
            </w:pPr>
            <w:r>
              <w:t>Burial</w:t>
            </w:r>
          </w:p>
        </w:tc>
        <w:tc>
          <w:tcPr>
            <w:tcW w:w="1276" w:type="dxa"/>
          </w:tcPr>
          <w:p w14:paraId="00232669" w14:textId="77777777" w:rsidR="00530867" w:rsidRDefault="00530867" w:rsidP="001F6F78">
            <w:pPr>
              <w:pStyle w:val="Tabletext"/>
              <w:jc w:val="right"/>
            </w:pPr>
            <w:r>
              <w:t>$973</w:t>
            </w:r>
          </w:p>
        </w:tc>
      </w:tr>
      <w:tr w:rsidR="00530867" w14:paraId="2FC7C933" w14:textId="77777777" w:rsidTr="008D2B8B">
        <w:tc>
          <w:tcPr>
            <w:tcW w:w="6516" w:type="dxa"/>
            <w:shd w:val="clear" w:color="auto" w:fill="DBE5F1" w:themeFill="accent1" w:themeFillTint="33"/>
          </w:tcPr>
          <w:p w14:paraId="1549520F" w14:textId="6A21B0CE" w:rsidR="00530867" w:rsidRDefault="00530867" w:rsidP="008D2B8B">
            <w:pPr>
              <w:pStyle w:val="Tablecolhead"/>
            </w:pPr>
            <w:r>
              <w:t xml:space="preserve">Cremated remains </w:t>
            </w:r>
            <w:r w:rsidR="1B6BE235">
              <w:t>(ground)</w:t>
            </w:r>
            <w:r>
              <w:t xml:space="preserve"> – Perpetuity</w:t>
            </w:r>
          </w:p>
        </w:tc>
        <w:tc>
          <w:tcPr>
            <w:tcW w:w="1276" w:type="dxa"/>
          </w:tcPr>
          <w:p w14:paraId="38DDCB29" w14:textId="77777777" w:rsidR="00530867" w:rsidRDefault="00530867" w:rsidP="001F6F78">
            <w:pPr>
              <w:pStyle w:val="Tabletext"/>
              <w:jc w:val="right"/>
            </w:pPr>
            <w:r>
              <w:t>$235</w:t>
            </w:r>
          </w:p>
        </w:tc>
      </w:tr>
      <w:tr w:rsidR="00530867" w14:paraId="7BDEBF4B" w14:textId="77777777" w:rsidTr="008D2B8B">
        <w:tc>
          <w:tcPr>
            <w:tcW w:w="6516" w:type="dxa"/>
            <w:shd w:val="clear" w:color="auto" w:fill="DBE5F1" w:themeFill="accent1" w:themeFillTint="33"/>
          </w:tcPr>
          <w:p w14:paraId="1E7E732F" w14:textId="42A29AC1" w:rsidR="00530867" w:rsidRDefault="00530867" w:rsidP="008D2B8B">
            <w:pPr>
              <w:pStyle w:val="Tablecolhead"/>
            </w:pPr>
            <w:r>
              <w:t xml:space="preserve">Cremated remains </w:t>
            </w:r>
            <w:r w:rsidR="10FE7E82">
              <w:t>(ground)</w:t>
            </w:r>
            <w:r>
              <w:t xml:space="preserve"> – 25 year</w:t>
            </w:r>
          </w:p>
        </w:tc>
        <w:tc>
          <w:tcPr>
            <w:tcW w:w="1276" w:type="dxa"/>
          </w:tcPr>
          <w:p w14:paraId="74159AC0" w14:textId="77777777" w:rsidR="00530867" w:rsidRDefault="00530867" w:rsidP="001F6F78">
            <w:pPr>
              <w:pStyle w:val="Tabletext"/>
              <w:jc w:val="right"/>
            </w:pPr>
            <w:r>
              <w:t>$141</w:t>
            </w:r>
          </w:p>
        </w:tc>
      </w:tr>
      <w:tr w:rsidR="00530867" w14:paraId="00D97101" w14:textId="77777777" w:rsidTr="008D2B8B">
        <w:tc>
          <w:tcPr>
            <w:tcW w:w="6516" w:type="dxa"/>
            <w:shd w:val="clear" w:color="auto" w:fill="DBE5F1" w:themeFill="accent1" w:themeFillTint="33"/>
          </w:tcPr>
          <w:p w14:paraId="2B5D90B7" w14:textId="6B331917" w:rsidR="00530867" w:rsidRDefault="00530867" w:rsidP="008D2B8B">
            <w:pPr>
              <w:pStyle w:val="Tablecolhead"/>
            </w:pPr>
            <w:r>
              <w:t xml:space="preserve">Cremated remains </w:t>
            </w:r>
            <w:r w:rsidR="1400CF2A">
              <w:t>(n</w:t>
            </w:r>
            <w:r>
              <w:t>iche wall</w:t>
            </w:r>
            <w:r w:rsidR="5166486D">
              <w:t>)</w:t>
            </w:r>
            <w:r>
              <w:t xml:space="preserve"> – Perpetuity</w:t>
            </w:r>
          </w:p>
        </w:tc>
        <w:tc>
          <w:tcPr>
            <w:tcW w:w="1276" w:type="dxa"/>
          </w:tcPr>
          <w:p w14:paraId="3F8588AF" w14:textId="77777777" w:rsidR="00530867" w:rsidRDefault="00530867" w:rsidP="001F6F78">
            <w:pPr>
              <w:pStyle w:val="Tabletext"/>
              <w:jc w:val="right"/>
            </w:pPr>
            <w:r>
              <w:t>$192</w:t>
            </w:r>
          </w:p>
        </w:tc>
      </w:tr>
      <w:tr w:rsidR="00530867" w14:paraId="28C5F3FD" w14:textId="77777777" w:rsidTr="008D2B8B">
        <w:tc>
          <w:tcPr>
            <w:tcW w:w="6516" w:type="dxa"/>
            <w:shd w:val="clear" w:color="auto" w:fill="DBE5F1" w:themeFill="accent1" w:themeFillTint="33"/>
          </w:tcPr>
          <w:p w14:paraId="30D0D528" w14:textId="7ACF67C9" w:rsidR="00530867" w:rsidRDefault="00530867" w:rsidP="008D2B8B">
            <w:pPr>
              <w:pStyle w:val="Tablecolhead"/>
            </w:pPr>
            <w:r>
              <w:t xml:space="preserve">Cremated remains </w:t>
            </w:r>
            <w:r w:rsidR="03AA902D">
              <w:t>(n</w:t>
            </w:r>
            <w:r>
              <w:t>iche wall</w:t>
            </w:r>
            <w:r w:rsidR="3F8EE11C">
              <w:t>)</w:t>
            </w:r>
            <w:r>
              <w:t xml:space="preserve"> – 25 year</w:t>
            </w:r>
          </w:p>
        </w:tc>
        <w:tc>
          <w:tcPr>
            <w:tcW w:w="1276" w:type="dxa"/>
          </w:tcPr>
          <w:p w14:paraId="568E364C" w14:textId="77777777" w:rsidR="00530867" w:rsidRDefault="00530867" w:rsidP="001F6F78">
            <w:pPr>
              <w:pStyle w:val="Tabletext"/>
              <w:jc w:val="right"/>
            </w:pPr>
            <w:r>
              <w:t>$115</w:t>
            </w:r>
          </w:p>
        </w:tc>
      </w:tr>
    </w:tbl>
    <w:p w14:paraId="4D2E0222" w14:textId="2B49F5A4" w:rsidR="00530867" w:rsidRDefault="005408B6" w:rsidP="00530867">
      <w:pPr>
        <w:pStyle w:val="Bodyaftertablefigure"/>
      </w:pPr>
      <w:r>
        <w:t xml:space="preserve">The trust enters these costs in the Land Value column of the fee justification model and submits a copy of the </w:t>
      </w:r>
      <w:r w:rsidR="007F563F">
        <w:t xml:space="preserve">land value calculator </w:t>
      </w:r>
      <w:r>
        <w:t>with its fee application to the department.</w:t>
      </w:r>
    </w:p>
    <w:p w14:paraId="7914A84B" w14:textId="77777777" w:rsidR="00530867" w:rsidRDefault="00530867" w:rsidP="00530867">
      <w:pPr>
        <w:pStyle w:val="Figurecaption"/>
      </w:pPr>
      <w:r w:rsidRPr="002764CE">
        <w:lastRenderedPageBreak/>
        <w:t xml:space="preserve">Figure </w:t>
      </w:r>
      <w:r>
        <w:t>2</w:t>
      </w:r>
      <w:r w:rsidRPr="002764CE">
        <w:t xml:space="preserve"> – </w:t>
      </w:r>
      <w:r>
        <w:t>Example 2 – New area with multiple interment types</w:t>
      </w:r>
    </w:p>
    <w:p w14:paraId="28892C33" w14:textId="77777777" w:rsidR="00530867" w:rsidRDefault="00530867" w:rsidP="00530867">
      <w:pPr>
        <w:pStyle w:val="Body"/>
      </w:pPr>
      <w:r>
        <w:rPr>
          <w:noProof/>
        </w:rPr>
        <w:drawing>
          <wp:inline distT="0" distB="0" distL="0" distR="0" wp14:anchorId="70D17F60" wp14:editId="7F053A1C">
            <wp:extent cx="5743575" cy="5946775"/>
            <wp:effectExtent l="19050" t="19050" r="28575" b="15875"/>
            <wp:docPr id="4" name="Picture 4" descr="Figure 2 – Medium developmen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 Medium development example"/>
                    <pic:cNvPicPr>
                      <a:picLocks noChangeAspect="1" noChangeArrowheads="1"/>
                    </pic:cNvPicPr>
                  </pic:nvPicPr>
                  <pic:blipFill rotWithShape="1">
                    <a:blip r:embed="rId21">
                      <a:extLst>
                        <a:ext uri="{28A0092B-C50C-407E-A947-70E740481C1C}">
                          <a14:useLocalDpi xmlns:a14="http://schemas.microsoft.com/office/drawing/2010/main" val="0"/>
                        </a:ext>
                      </a:extLst>
                    </a:blip>
                    <a:srcRect t="6116"/>
                    <a:stretch/>
                  </pic:blipFill>
                  <pic:spPr bwMode="auto">
                    <a:xfrm>
                      <a:off x="0" y="0"/>
                      <a:ext cx="5743575" cy="59467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716A2F" w14:textId="77777777" w:rsidR="00530867" w:rsidRDefault="00530867" w:rsidP="001F6F78">
      <w:pPr>
        <w:pStyle w:val="Body"/>
      </w:pPr>
    </w:p>
    <w:p w14:paraId="58E6FD50" w14:textId="77777777" w:rsidR="007F563F" w:rsidRDefault="007F563F" w:rsidP="001F6F78">
      <w:pPr>
        <w:pStyle w:val="Body"/>
      </w:pPr>
    </w:p>
    <w:p w14:paraId="39DFC838" w14:textId="77777777" w:rsidR="007F563F" w:rsidRDefault="007F563F" w:rsidP="001F6F78">
      <w:pPr>
        <w:pStyle w:val="Body"/>
      </w:pPr>
    </w:p>
    <w:tbl>
      <w:tblPr>
        <w:tblStyle w:val="TableGrid"/>
        <w:tblW w:w="0" w:type="auto"/>
        <w:tblCellMar>
          <w:bottom w:w="108" w:type="dxa"/>
        </w:tblCellMar>
        <w:tblLook w:val="0600" w:firstRow="0" w:lastRow="0" w:firstColumn="0" w:lastColumn="0" w:noHBand="1" w:noVBand="1"/>
      </w:tblPr>
      <w:tblGrid>
        <w:gridCol w:w="10194"/>
      </w:tblGrid>
      <w:tr w:rsidR="00530867" w14:paraId="54AB19EF" w14:textId="77777777" w:rsidTr="003057FC">
        <w:tc>
          <w:tcPr>
            <w:tcW w:w="10194" w:type="dxa"/>
          </w:tcPr>
          <w:bookmarkEnd w:id="0"/>
          <w:p w14:paraId="670355C1" w14:textId="6DFFE6A4" w:rsidR="00530867" w:rsidRPr="0055119B" w:rsidRDefault="00530867" w:rsidP="003057FC">
            <w:pPr>
              <w:pStyle w:val="Accessibilitypara"/>
              <w:spacing w:before="120"/>
            </w:pPr>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22" w:history="1">
              <w:r w:rsidR="008A1041">
                <w:rPr>
                  <w:rStyle w:val="Hyperlink"/>
                  <w:u w:val="none"/>
                </w:rPr>
                <w:t>email the department</w:t>
              </w:r>
            </w:hyperlink>
            <w:r w:rsidRPr="0055119B">
              <w:rPr>
                <w:color w:val="004C97"/>
              </w:rPr>
              <w:t xml:space="preserve"> </w:t>
            </w:r>
            <w:r w:rsidRPr="0055119B">
              <w:t>&lt;</w:t>
            </w:r>
            <w:r>
              <w:t>cemeteries@health.vic.gov.au</w:t>
            </w:r>
            <w:r w:rsidRPr="0055119B">
              <w:t>&gt;.</w:t>
            </w:r>
          </w:p>
          <w:p w14:paraId="05FDAE4D" w14:textId="77777777" w:rsidR="00530867" w:rsidRPr="0055119B" w:rsidRDefault="00530867" w:rsidP="003057FC">
            <w:pPr>
              <w:pStyle w:val="Imprint"/>
            </w:pPr>
            <w:r w:rsidRPr="0055119B">
              <w:t>Authorised and published by the Victorian Government, 1 Treasury Place, Melbourne.</w:t>
            </w:r>
          </w:p>
          <w:p w14:paraId="701463A3" w14:textId="4A54BD37" w:rsidR="00530867" w:rsidRPr="0055119B" w:rsidRDefault="00530867" w:rsidP="003057FC">
            <w:pPr>
              <w:pStyle w:val="Imprint"/>
            </w:pPr>
            <w:r w:rsidRPr="0055119B">
              <w:t xml:space="preserve">© State of Victoria, Australia, </w:t>
            </w:r>
            <w:r w:rsidRPr="001E2A36">
              <w:t>Department of Health</w:t>
            </w:r>
            <w:r w:rsidRPr="0055119B">
              <w:t xml:space="preserve">, </w:t>
            </w:r>
            <w:r w:rsidR="007F563F">
              <w:t>April</w:t>
            </w:r>
            <w:r w:rsidR="00C01190">
              <w:t xml:space="preserve"> </w:t>
            </w:r>
            <w:r>
              <w:t>202</w:t>
            </w:r>
            <w:r w:rsidR="007F563F">
              <w:t>4</w:t>
            </w:r>
            <w:r>
              <w:t>.</w:t>
            </w:r>
          </w:p>
          <w:p w14:paraId="593F4FBC" w14:textId="77777777" w:rsidR="00530867" w:rsidRPr="0055119B" w:rsidRDefault="00530867" w:rsidP="003057FC">
            <w:pPr>
              <w:pStyle w:val="Imprint"/>
            </w:pPr>
            <w:r w:rsidRPr="002764CE">
              <w:t xml:space="preserve">ISBN 978-1-76069-209-4 (pdf/online/MS word)  </w:t>
            </w:r>
          </w:p>
          <w:p w14:paraId="6CE2D24F" w14:textId="5C2075C7" w:rsidR="00530867" w:rsidRDefault="00530867" w:rsidP="003057FC">
            <w:pPr>
              <w:pStyle w:val="Imprint"/>
            </w:pPr>
            <w:r w:rsidRPr="0055119B">
              <w:t xml:space="preserve">Available at </w:t>
            </w:r>
            <w:hyperlink r:id="rId23" w:history="1">
              <w:r w:rsidR="00C01190">
                <w:rPr>
                  <w:rStyle w:val="Hyperlink"/>
                  <w:u w:val="none"/>
                </w:rPr>
                <w:t>Class B cemetery trust fee setting</w:t>
              </w:r>
            </w:hyperlink>
            <w:r>
              <w:t xml:space="preserve"> &lt;</w:t>
            </w:r>
            <w:r w:rsidRPr="00405F7B">
              <w:t>https://www.health.vic.gov.au/cemeteries-and-crematoria/class-b-cemetery-trust-fee-setting</w:t>
            </w:r>
            <w:r w:rsidRPr="0055119B">
              <w:t>&gt;</w:t>
            </w:r>
          </w:p>
        </w:tc>
      </w:tr>
      <w:bookmarkEnd w:id="1"/>
    </w:tbl>
    <w:p w14:paraId="640412AE" w14:textId="77777777" w:rsidR="00162CA9" w:rsidRPr="001F6F78" w:rsidRDefault="00162CA9" w:rsidP="001F6F78">
      <w:pPr>
        <w:pStyle w:val="Body"/>
        <w:spacing w:after="0" w:line="240" w:lineRule="auto"/>
        <w:rPr>
          <w:sz w:val="6"/>
          <w:szCs w:val="4"/>
        </w:rPr>
      </w:pPr>
    </w:p>
    <w:sectPr w:rsidR="00162CA9" w:rsidRPr="001F6F78"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8C57F" w14:textId="77777777" w:rsidR="007926F3" w:rsidRDefault="007926F3">
      <w:r>
        <w:separator/>
      </w:r>
    </w:p>
  </w:endnote>
  <w:endnote w:type="continuationSeparator" w:id="0">
    <w:p w14:paraId="2544C730" w14:textId="77777777" w:rsidR="007926F3" w:rsidRDefault="007926F3">
      <w:r>
        <w:continuationSeparator/>
      </w:r>
    </w:p>
  </w:endnote>
  <w:endnote w:type="continuationNotice" w:id="1">
    <w:p w14:paraId="692FAA0A" w14:textId="77777777" w:rsidR="007926F3" w:rsidRDefault="00792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4966F"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DE86006" wp14:editId="16B88E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14D6F1B" wp14:editId="52AC28D6">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742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4D6F1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11742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049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1A78544" wp14:editId="02B04E4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1ABD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A78544"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AD1ABD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7963A"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0B7EC0F" wp14:editId="6AE7D55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1DC50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B7EC0F"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51DC50A"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A29C" w14:textId="77777777" w:rsidR="007926F3" w:rsidRDefault="007926F3" w:rsidP="002862F1">
      <w:pPr>
        <w:spacing w:before="120"/>
      </w:pPr>
      <w:r>
        <w:separator/>
      </w:r>
    </w:p>
  </w:footnote>
  <w:footnote w:type="continuationSeparator" w:id="0">
    <w:p w14:paraId="28A170DB" w14:textId="77777777" w:rsidR="007926F3" w:rsidRDefault="007926F3">
      <w:r>
        <w:continuationSeparator/>
      </w:r>
    </w:p>
  </w:footnote>
  <w:footnote w:type="continuationNotice" w:id="1">
    <w:p w14:paraId="63420661" w14:textId="77777777" w:rsidR="007926F3" w:rsidRDefault="00792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298A6"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11B68" w14:textId="32B4564D" w:rsidR="00E261B3" w:rsidRPr="0051568D" w:rsidRDefault="007F563F" w:rsidP="0011701A">
    <w:pPr>
      <w:pStyle w:val="Header"/>
    </w:pPr>
    <w:r>
      <w:t xml:space="preserve">Land value calculator </w:t>
    </w:r>
    <w:r w:rsidR="00530867" w:rsidRPr="00860626">
      <w:t>user guide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4067C0E"/>
    <w:multiLevelType w:val="hybridMultilevel"/>
    <w:tmpl w:val="DA6CFD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0036758"/>
    <w:multiLevelType w:val="hybridMultilevel"/>
    <w:tmpl w:val="BFD852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45386819">
    <w:abstractNumId w:val="10"/>
  </w:num>
  <w:num w:numId="2" w16cid:durableId="493109055">
    <w:abstractNumId w:val="18"/>
  </w:num>
  <w:num w:numId="3" w16cid:durableId="613176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2054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483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027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755049">
    <w:abstractNumId w:val="22"/>
  </w:num>
  <w:num w:numId="8" w16cid:durableId="1579748063">
    <w:abstractNumId w:val="17"/>
  </w:num>
  <w:num w:numId="9" w16cid:durableId="479732884">
    <w:abstractNumId w:val="21"/>
  </w:num>
  <w:num w:numId="10" w16cid:durableId="1560944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0987862">
    <w:abstractNumId w:val="23"/>
  </w:num>
  <w:num w:numId="12" w16cid:durableId="15114825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1097001">
    <w:abstractNumId w:val="19"/>
  </w:num>
  <w:num w:numId="14" w16cid:durableId="635796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0996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8551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347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418782">
    <w:abstractNumId w:val="25"/>
  </w:num>
  <w:num w:numId="19" w16cid:durableId="10457168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564550">
    <w:abstractNumId w:val="15"/>
  </w:num>
  <w:num w:numId="21" w16cid:durableId="512763787">
    <w:abstractNumId w:val="12"/>
  </w:num>
  <w:num w:numId="22" w16cid:durableId="628053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2508864">
    <w:abstractNumId w:val="16"/>
  </w:num>
  <w:num w:numId="24" w16cid:durableId="1092319162">
    <w:abstractNumId w:val="27"/>
  </w:num>
  <w:num w:numId="25" w16cid:durableId="1955818111">
    <w:abstractNumId w:val="24"/>
  </w:num>
  <w:num w:numId="26" w16cid:durableId="1180847755">
    <w:abstractNumId w:val="20"/>
  </w:num>
  <w:num w:numId="27" w16cid:durableId="725376608">
    <w:abstractNumId w:val="11"/>
  </w:num>
  <w:num w:numId="28" w16cid:durableId="144202438">
    <w:abstractNumId w:val="28"/>
  </w:num>
  <w:num w:numId="29" w16cid:durableId="1497376136">
    <w:abstractNumId w:val="9"/>
  </w:num>
  <w:num w:numId="30" w16cid:durableId="269123223">
    <w:abstractNumId w:val="7"/>
  </w:num>
  <w:num w:numId="31" w16cid:durableId="1611283890">
    <w:abstractNumId w:val="6"/>
  </w:num>
  <w:num w:numId="32" w16cid:durableId="1211578485">
    <w:abstractNumId w:val="5"/>
  </w:num>
  <w:num w:numId="33" w16cid:durableId="1968508750">
    <w:abstractNumId w:val="4"/>
  </w:num>
  <w:num w:numId="34" w16cid:durableId="467749158">
    <w:abstractNumId w:val="8"/>
  </w:num>
  <w:num w:numId="35" w16cid:durableId="1208373605">
    <w:abstractNumId w:val="3"/>
  </w:num>
  <w:num w:numId="36" w16cid:durableId="528840316">
    <w:abstractNumId w:val="2"/>
  </w:num>
  <w:num w:numId="37" w16cid:durableId="156307431">
    <w:abstractNumId w:val="1"/>
  </w:num>
  <w:num w:numId="38" w16cid:durableId="1513960088">
    <w:abstractNumId w:val="0"/>
  </w:num>
  <w:num w:numId="39" w16cid:durableId="1453667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7742070">
    <w:abstractNumId w:val="18"/>
  </w:num>
  <w:num w:numId="41" w16cid:durableId="1295983143">
    <w:abstractNumId w:val="13"/>
  </w:num>
  <w:num w:numId="42" w16cid:durableId="143524400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67"/>
    <w:rsid w:val="00000719"/>
    <w:rsid w:val="00003403"/>
    <w:rsid w:val="00005347"/>
    <w:rsid w:val="000072B6"/>
    <w:rsid w:val="0001021B"/>
    <w:rsid w:val="00011D89"/>
    <w:rsid w:val="00015470"/>
    <w:rsid w:val="000154FD"/>
    <w:rsid w:val="00016FBF"/>
    <w:rsid w:val="00022271"/>
    <w:rsid w:val="000223A7"/>
    <w:rsid w:val="000235E8"/>
    <w:rsid w:val="00024D89"/>
    <w:rsid w:val="000250B6"/>
    <w:rsid w:val="00033D81"/>
    <w:rsid w:val="00037366"/>
    <w:rsid w:val="00041BF0"/>
    <w:rsid w:val="00042C8A"/>
    <w:rsid w:val="0004536B"/>
    <w:rsid w:val="00046B68"/>
    <w:rsid w:val="000527DD"/>
    <w:rsid w:val="000578B2"/>
    <w:rsid w:val="00060959"/>
    <w:rsid w:val="00060C8F"/>
    <w:rsid w:val="000618C6"/>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1F74"/>
    <w:rsid w:val="000F2259"/>
    <w:rsid w:val="000F2DC9"/>
    <w:rsid w:val="000F2DDA"/>
    <w:rsid w:val="000F5213"/>
    <w:rsid w:val="00101001"/>
    <w:rsid w:val="00101079"/>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6FC6"/>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5E65"/>
    <w:rsid w:val="001F6E46"/>
    <w:rsid w:val="001F6F78"/>
    <w:rsid w:val="001F7186"/>
    <w:rsid w:val="001F7C91"/>
    <w:rsid w:val="00200176"/>
    <w:rsid w:val="002033B7"/>
    <w:rsid w:val="00204A2A"/>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57C52"/>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BB8"/>
    <w:rsid w:val="002B4DD4"/>
    <w:rsid w:val="002B5277"/>
    <w:rsid w:val="002B5375"/>
    <w:rsid w:val="002B77C1"/>
    <w:rsid w:val="002C0ED7"/>
    <w:rsid w:val="002C1AAD"/>
    <w:rsid w:val="002C2728"/>
    <w:rsid w:val="002D1E0D"/>
    <w:rsid w:val="002D5006"/>
    <w:rsid w:val="002E01D0"/>
    <w:rsid w:val="002E161D"/>
    <w:rsid w:val="002E3100"/>
    <w:rsid w:val="002E5F58"/>
    <w:rsid w:val="002E6C95"/>
    <w:rsid w:val="002E7C36"/>
    <w:rsid w:val="002F0107"/>
    <w:rsid w:val="002F3D32"/>
    <w:rsid w:val="002F5F31"/>
    <w:rsid w:val="002F5F46"/>
    <w:rsid w:val="00302216"/>
    <w:rsid w:val="00303E53"/>
    <w:rsid w:val="003057FC"/>
    <w:rsid w:val="00305CC1"/>
    <w:rsid w:val="00306E5F"/>
    <w:rsid w:val="00307E14"/>
    <w:rsid w:val="00314054"/>
    <w:rsid w:val="00315BD8"/>
    <w:rsid w:val="00316F27"/>
    <w:rsid w:val="003214F1"/>
    <w:rsid w:val="00322E4B"/>
    <w:rsid w:val="00327870"/>
    <w:rsid w:val="0033259D"/>
    <w:rsid w:val="003333D2"/>
    <w:rsid w:val="0033683A"/>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DB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E7914"/>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3553"/>
    <w:rsid w:val="00424D65"/>
    <w:rsid w:val="00425B57"/>
    <w:rsid w:val="00442C6C"/>
    <w:rsid w:val="00443CBE"/>
    <w:rsid w:val="00443E8A"/>
    <w:rsid w:val="004441BC"/>
    <w:rsid w:val="004468B4"/>
    <w:rsid w:val="0045230A"/>
    <w:rsid w:val="00452CD9"/>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867"/>
    <w:rsid w:val="00536395"/>
    <w:rsid w:val="00536499"/>
    <w:rsid w:val="005408B6"/>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6584"/>
    <w:rsid w:val="005D07B8"/>
    <w:rsid w:val="005D1823"/>
    <w:rsid w:val="005D6597"/>
    <w:rsid w:val="005E14E7"/>
    <w:rsid w:val="005E26A3"/>
    <w:rsid w:val="005E2ECB"/>
    <w:rsid w:val="005E34B3"/>
    <w:rsid w:val="005E447E"/>
    <w:rsid w:val="005E4FD1"/>
    <w:rsid w:val="005F0775"/>
    <w:rsid w:val="005F0CF5"/>
    <w:rsid w:val="005F21EB"/>
    <w:rsid w:val="00605908"/>
    <w:rsid w:val="00610D7C"/>
    <w:rsid w:val="00613414"/>
    <w:rsid w:val="00620154"/>
    <w:rsid w:val="00622E71"/>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2A63"/>
    <w:rsid w:val="006557A7"/>
    <w:rsid w:val="00656290"/>
    <w:rsid w:val="006563B3"/>
    <w:rsid w:val="006608D8"/>
    <w:rsid w:val="006621D7"/>
    <w:rsid w:val="0066302A"/>
    <w:rsid w:val="00667770"/>
    <w:rsid w:val="00670597"/>
    <w:rsid w:val="006706D0"/>
    <w:rsid w:val="00670A62"/>
    <w:rsid w:val="00677574"/>
    <w:rsid w:val="0068454C"/>
    <w:rsid w:val="00691B62"/>
    <w:rsid w:val="006930A1"/>
    <w:rsid w:val="006933B5"/>
    <w:rsid w:val="00693D14"/>
    <w:rsid w:val="00696F27"/>
    <w:rsid w:val="006A18C2"/>
    <w:rsid w:val="006A3383"/>
    <w:rsid w:val="006B077C"/>
    <w:rsid w:val="006B6803"/>
    <w:rsid w:val="006D0F16"/>
    <w:rsid w:val="006D2A3F"/>
    <w:rsid w:val="006D2FBC"/>
    <w:rsid w:val="006E0541"/>
    <w:rsid w:val="006E138B"/>
    <w:rsid w:val="006E3F13"/>
    <w:rsid w:val="006E56C2"/>
    <w:rsid w:val="006F0330"/>
    <w:rsid w:val="006F1FDC"/>
    <w:rsid w:val="006F6B8C"/>
    <w:rsid w:val="006F780B"/>
    <w:rsid w:val="007013EF"/>
    <w:rsid w:val="007055BD"/>
    <w:rsid w:val="00716DF7"/>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725"/>
    <w:rsid w:val="00763139"/>
    <w:rsid w:val="00770F37"/>
    <w:rsid w:val="007711A0"/>
    <w:rsid w:val="00772D5E"/>
    <w:rsid w:val="0077463E"/>
    <w:rsid w:val="00776928"/>
    <w:rsid w:val="00776E0F"/>
    <w:rsid w:val="007774B1"/>
    <w:rsid w:val="00777BE1"/>
    <w:rsid w:val="007833D8"/>
    <w:rsid w:val="00785677"/>
    <w:rsid w:val="00786F16"/>
    <w:rsid w:val="00791BD7"/>
    <w:rsid w:val="007926F3"/>
    <w:rsid w:val="007933F7"/>
    <w:rsid w:val="00796E20"/>
    <w:rsid w:val="00797C32"/>
    <w:rsid w:val="007A11E8"/>
    <w:rsid w:val="007A7E1F"/>
    <w:rsid w:val="007B0914"/>
    <w:rsid w:val="007B1374"/>
    <w:rsid w:val="007B32E5"/>
    <w:rsid w:val="007B3DB9"/>
    <w:rsid w:val="007B589F"/>
    <w:rsid w:val="007B6186"/>
    <w:rsid w:val="007B73BC"/>
    <w:rsid w:val="007C069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563F"/>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6C40"/>
    <w:rsid w:val="008338A2"/>
    <w:rsid w:val="00835FAF"/>
    <w:rsid w:val="00841AA9"/>
    <w:rsid w:val="008474FE"/>
    <w:rsid w:val="00853EE4"/>
    <w:rsid w:val="00855535"/>
    <w:rsid w:val="00855920"/>
    <w:rsid w:val="008567A8"/>
    <w:rsid w:val="00857C5A"/>
    <w:rsid w:val="00861CC7"/>
    <w:rsid w:val="0086255E"/>
    <w:rsid w:val="008633F0"/>
    <w:rsid w:val="00867D9D"/>
    <w:rsid w:val="00872E0A"/>
    <w:rsid w:val="00873594"/>
    <w:rsid w:val="00875285"/>
    <w:rsid w:val="00884B62"/>
    <w:rsid w:val="0088529C"/>
    <w:rsid w:val="00885477"/>
    <w:rsid w:val="00887903"/>
    <w:rsid w:val="0089270A"/>
    <w:rsid w:val="00893AF6"/>
    <w:rsid w:val="00894BC4"/>
    <w:rsid w:val="008A1041"/>
    <w:rsid w:val="008A28A8"/>
    <w:rsid w:val="008A5B32"/>
    <w:rsid w:val="008B2EE4"/>
    <w:rsid w:val="008B4D3D"/>
    <w:rsid w:val="008B57C7"/>
    <w:rsid w:val="008C2F92"/>
    <w:rsid w:val="008C3697"/>
    <w:rsid w:val="008C5557"/>
    <w:rsid w:val="008C589D"/>
    <w:rsid w:val="008C6D51"/>
    <w:rsid w:val="008D2846"/>
    <w:rsid w:val="008D2B8B"/>
    <w:rsid w:val="008D4236"/>
    <w:rsid w:val="008D462F"/>
    <w:rsid w:val="008D6DCF"/>
    <w:rsid w:val="008E3DE9"/>
    <w:rsid w:val="008E4376"/>
    <w:rsid w:val="008E7A0A"/>
    <w:rsid w:val="008E7B49"/>
    <w:rsid w:val="008F59F6"/>
    <w:rsid w:val="00900719"/>
    <w:rsid w:val="009017AC"/>
    <w:rsid w:val="00902A9A"/>
    <w:rsid w:val="00904A1C"/>
    <w:rsid w:val="00904AB4"/>
    <w:rsid w:val="00904B55"/>
    <w:rsid w:val="00905030"/>
    <w:rsid w:val="00906490"/>
    <w:rsid w:val="009111B2"/>
    <w:rsid w:val="009151F5"/>
    <w:rsid w:val="00915FF0"/>
    <w:rsid w:val="009220CA"/>
    <w:rsid w:val="00924AE1"/>
    <w:rsid w:val="009269B1"/>
    <w:rsid w:val="0092724D"/>
    <w:rsid w:val="009272B3"/>
    <w:rsid w:val="009315BE"/>
    <w:rsid w:val="0093338F"/>
    <w:rsid w:val="00937BD9"/>
    <w:rsid w:val="00945A55"/>
    <w:rsid w:val="00950E2C"/>
    <w:rsid w:val="00951D50"/>
    <w:rsid w:val="00951E21"/>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D29"/>
    <w:rsid w:val="009E7F92"/>
    <w:rsid w:val="009F02A3"/>
    <w:rsid w:val="009F2F27"/>
    <w:rsid w:val="009F34AA"/>
    <w:rsid w:val="009F3A78"/>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45522"/>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176"/>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4A5"/>
    <w:rsid w:val="00B06571"/>
    <w:rsid w:val="00B068BA"/>
    <w:rsid w:val="00B07FF7"/>
    <w:rsid w:val="00B13851"/>
    <w:rsid w:val="00B13B1C"/>
    <w:rsid w:val="00B14780"/>
    <w:rsid w:val="00B1479A"/>
    <w:rsid w:val="00B21F90"/>
    <w:rsid w:val="00B22291"/>
    <w:rsid w:val="00B23F9A"/>
    <w:rsid w:val="00B2417B"/>
    <w:rsid w:val="00B24E6F"/>
    <w:rsid w:val="00B26CB5"/>
    <w:rsid w:val="00B2752E"/>
    <w:rsid w:val="00B307CC"/>
    <w:rsid w:val="00B326B7"/>
    <w:rsid w:val="00B3588E"/>
    <w:rsid w:val="00B41F3D"/>
    <w:rsid w:val="00B41FE9"/>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0E66"/>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190"/>
    <w:rsid w:val="00C01381"/>
    <w:rsid w:val="00C01AB1"/>
    <w:rsid w:val="00C026A0"/>
    <w:rsid w:val="00C06137"/>
    <w:rsid w:val="00C063CB"/>
    <w:rsid w:val="00C079B8"/>
    <w:rsid w:val="00C10037"/>
    <w:rsid w:val="00C123EA"/>
    <w:rsid w:val="00C12A49"/>
    <w:rsid w:val="00C133EE"/>
    <w:rsid w:val="00C149D0"/>
    <w:rsid w:val="00C26588"/>
    <w:rsid w:val="00C271E6"/>
    <w:rsid w:val="00C27DE9"/>
    <w:rsid w:val="00C32989"/>
    <w:rsid w:val="00C33388"/>
    <w:rsid w:val="00C35484"/>
    <w:rsid w:val="00C4173A"/>
    <w:rsid w:val="00C50DED"/>
    <w:rsid w:val="00C55D1F"/>
    <w:rsid w:val="00C602FF"/>
    <w:rsid w:val="00C61174"/>
    <w:rsid w:val="00C6148F"/>
    <w:rsid w:val="00C621B1"/>
    <w:rsid w:val="00C62F7A"/>
    <w:rsid w:val="00C63B9C"/>
    <w:rsid w:val="00C6682F"/>
    <w:rsid w:val="00C67BF4"/>
    <w:rsid w:val="00C7275E"/>
    <w:rsid w:val="00C74C5D"/>
    <w:rsid w:val="00C801FD"/>
    <w:rsid w:val="00C863C4"/>
    <w:rsid w:val="00C8746D"/>
    <w:rsid w:val="00C920EA"/>
    <w:rsid w:val="00C93C3E"/>
    <w:rsid w:val="00CA12E3"/>
    <w:rsid w:val="00CA1476"/>
    <w:rsid w:val="00CA462A"/>
    <w:rsid w:val="00CA6611"/>
    <w:rsid w:val="00CA6AE6"/>
    <w:rsid w:val="00CA782F"/>
    <w:rsid w:val="00CB187B"/>
    <w:rsid w:val="00CB2835"/>
    <w:rsid w:val="00CB3285"/>
    <w:rsid w:val="00CB4500"/>
    <w:rsid w:val="00CB7800"/>
    <w:rsid w:val="00CC0C72"/>
    <w:rsid w:val="00CC27D2"/>
    <w:rsid w:val="00CC2BFD"/>
    <w:rsid w:val="00CC403B"/>
    <w:rsid w:val="00CC7C74"/>
    <w:rsid w:val="00CD09C5"/>
    <w:rsid w:val="00CD3476"/>
    <w:rsid w:val="00CD64DF"/>
    <w:rsid w:val="00CE225F"/>
    <w:rsid w:val="00CE6047"/>
    <w:rsid w:val="00CF12D2"/>
    <w:rsid w:val="00CF2F50"/>
    <w:rsid w:val="00CF5DF9"/>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22DE"/>
    <w:rsid w:val="00D4606D"/>
    <w:rsid w:val="00D46C92"/>
    <w:rsid w:val="00D50B9C"/>
    <w:rsid w:val="00D52291"/>
    <w:rsid w:val="00D52D73"/>
    <w:rsid w:val="00D52E58"/>
    <w:rsid w:val="00D56B20"/>
    <w:rsid w:val="00D578B3"/>
    <w:rsid w:val="00D618F4"/>
    <w:rsid w:val="00D66ACF"/>
    <w:rsid w:val="00D714CC"/>
    <w:rsid w:val="00D75EA7"/>
    <w:rsid w:val="00D81ADF"/>
    <w:rsid w:val="00D81F21"/>
    <w:rsid w:val="00D864F2"/>
    <w:rsid w:val="00D91278"/>
    <w:rsid w:val="00D92F95"/>
    <w:rsid w:val="00D943F8"/>
    <w:rsid w:val="00D95470"/>
    <w:rsid w:val="00D96B55"/>
    <w:rsid w:val="00DA2619"/>
    <w:rsid w:val="00DA4239"/>
    <w:rsid w:val="00DA65DE"/>
    <w:rsid w:val="00DB0508"/>
    <w:rsid w:val="00DB0B61"/>
    <w:rsid w:val="00DB0BAA"/>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78E"/>
    <w:rsid w:val="00E37F5B"/>
    <w:rsid w:val="00E40181"/>
    <w:rsid w:val="00E45BD7"/>
    <w:rsid w:val="00E54950"/>
    <w:rsid w:val="00E56A01"/>
    <w:rsid w:val="00E62622"/>
    <w:rsid w:val="00E629A1"/>
    <w:rsid w:val="00E6794C"/>
    <w:rsid w:val="00E71591"/>
    <w:rsid w:val="00E71CEB"/>
    <w:rsid w:val="00E7474F"/>
    <w:rsid w:val="00E755C7"/>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4C4"/>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272A9"/>
    <w:rsid w:val="00F30424"/>
    <w:rsid w:val="00F30FF4"/>
    <w:rsid w:val="00F3122E"/>
    <w:rsid w:val="00F32368"/>
    <w:rsid w:val="00F331AD"/>
    <w:rsid w:val="00F35287"/>
    <w:rsid w:val="00F40A70"/>
    <w:rsid w:val="00F42B4A"/>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2DDD"/>
    <w:rsid w:val="00FD3766"/>
    <w:rsid w:val="00FD47C4"/>
    <w:rsid w:val="00FD722A"/>
    <w:rsid w:val="00FE2DCF"/>
    <w:rsid w:val="00FE3FA7"/>
    <w:rsid w:val="00FF2A4E"/>
    <w:rsid w:val="00FF2FCE"/>
    <w:rsid w:val="00FF4DE4"/>
    <w:rsid w:val="00FF4F7D"/>
    <w:rsid w:val="00FF54DF"/>
    <w:rsid w:val="00FF6D9D"/>
    <w:rsid w:val="00FF7DD5"/>
    <w:rsid w:val="02358219"/>
    <w:rsid w:val="02A7CF21"/>
    <w:rsid w:val="03AA902D"/>
    <w:rsid w:val="0D896319"/>
    <w:rsid w:val="0F70BE35"/>
    <w:rsid w:val="103F3CB7"/>
    <w:rsid w:val="10FE7E82"/>
    <w:rsid w:val="12DC7DB8"/>
    <w:rsid w:val="1400CF2A"/>
    <w:rsid w:val="14584B1F"/>
    <w:rsid w:val="15BCD99D"/>
    <w:rsid w:val="18755C15"/>
    <w:rsid w:val="18B47589"/>
    <w:rsid w:val="1B6BE235"/>
    <w:rsid w:val="208CEE0C"/>
    <w:rsid w:val="2244F416"/>
    <w:rsid w:val="2455D718"/>
    <w:rsid w:val="277C0C6E"/>
    <w:rsid w:val="2AD22670"/>
    <w:rsid w:val="2C065289"/>
    <w:rsid w:val="2F8001BD"/>
    <w:rsid w:val="3203B239"/>
    <w:rsid w:val="350C4F8E"/>
    <w:rsid w:val="386F5E3B"/>
    <w:rsid w:val="39D3408B"/>
    <w:rsid w:val="3A3E2EC0"/>
    <w:rsid w:val="3B67DB1F"/>
    <w:rsid w:val="3F8EE11C"/>
    <w:rsid w:val="43517FCD"/>
    <w:rsid w:val="445AAB77"/>
    <w:rsid w:val="48DB06B0"/>
    <w:rsid w:val="4D3D520B"/>
    <w:rsid w:val="4E549855"/>
    <w:rsid w:val="5166486D"/>
    <w:rsid w:val="521FACC8"/>
    <w:rsid w:val="5837D9DA"/>
    <w:rsid w:val="5C83CEAC"/>
    <w:rsid w:val="5CA79825"/>
    <w:rsid w:val="6267FAF6"/>
    <w:rsid w:val="62FE6849"/>
    <w:rsid w:val="69E5785F"/>
    <w:rsid w:val="6C2E755E"/>
    <w:rsid w:val="6D7F9B26"/>
    <w:rsid w:val="725F3789"/>
    <w:rsid w:val="74FD1104"/>
    <w:rsid w:val="78B65DC4"/>
    <w:rsid w:val="7A5B4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38DD0D"/>
  <w15:docId w15:val="{40289C8D-FDA5-48BE-B29C-E43B5CD1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cemeteries-and-crematoria/class-b-cemetery-trust-fee-sett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cemeteries-and-crematoria/class-b-cemetery-trust-fee-set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cemeteries-and-crematoria/class-b-cemetery-trust-fee-setting"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cemeteries-and-crematoria/land-development-costings" TargetMode="Externa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emeterie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7" ma:contentTypeDescription="Create a new document." ma:contentTypeScope="" ma:versionID="72f2fdd51ebef6666e2956ed4c022a31">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afe60dc940f37add1b6c61d3b3883bba"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8121FD23-6638-40BD-9049-9E9809BB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12</TotalTime>
  <Pages>6</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Cemetery land development costing model user guide</vt:lpstr>
    </vt:vector>
  </TitlesOfParts>
  <Manager/>
  <Company>Victoria State Government, Department of Health</Company>
  <LinksUpToDate>false</LinksUpToDate>
  <CharactersWithSpaces>10472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value calculator user guide</dc:title>
  <dc:subject>Cemetery trust fees</dc:subject>
  <dc:creator>Cemeteries@health.vic.gov.au</dc:creator>
  <cp:keywords>Land value calculator user guide</cp:keywords>
  <dc:description/>
  <cp:lastPrinted>2020-03-29T09:28:00Z</cp:lastPrinted>
  <dcterms:created xsi:type="dcterms:W3CDTF">2024-04-09T05:58:00Z</dcterms:created>
  <dcterms:modified xsi:type="dcterms:W3CDTF">2024-11-11T03:26:00Z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