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EB7B"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4C6EEE" w:rsidRDefault="00A62D44" w:rsidP="00EC40D5">
      <w:pPr>
        <w:pStyle w:val="Sectionbreakfirstpage"/>
        <w:sectPr w:rsidR="00A62D44" w:rsidRPr="004C6EEE" w:rsidSect="00E62622">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BADE0A" w14:textId="77777777" w:rsidTr="00B07FF7">
        <w:trPr>
          <w:trHeight w:val="622"/>
        </w:trPr>
        <w:tc>
          <w:tcPr>
            <w:tcW w:w="10348" w:type="dxa"/>
            <w:tcMar>
              <w:top w:w="1531" w:type="dxa"/>
              <w:left w:w="0" w:type="dxa"/>
              <w:right w:w="0" w:type="dxa"/>
            </w:tcMar>
          </w:tcPr>
          <w:p w14:paraId="29CB2799" w14:textId="16EDF1A5" w:rsidR="003B5733" w:rsidRPr="003B5733" w:rsidRDefault="00FC23EE" w:rsidP="003B5733">
            <w:pPr>
              <w:pStyle w:val="Documenttitle"/>
            </w:pPr>
            <w:r>
              <w:t xml:space="preserve">Syphilis </w:t>
            </w:r>
          </w:p>
        </w:tc>
      </w:tr>
      <w:tr w:rsidR="003B5733" w14:paraId="765A1D8F" w14:textId="77777777" w:rsidTr="00B07FF7">
        <w:tc>
          <w:tcPr>
            <w:tcW w:w="10348" w:type="dxa"/>
          </w:tcPr>
          <w:p w14:paraId="28E50E16" w14:textId="548FC773" w:rsidR="003B5733" w:rsidRPr="00A1389F" w:rsidRDefault="00FC23EE" w:rsidP="005F44C0">
            <w:pPr>
              <w:pStyle w:val="Documentsubtitle"/>
            </w:pPr>
            <w:r>
              <w:t>Factsheet for clinicians</w:t>
            </w:r>
          </w:p>
        </w:tc>
      </w:tr>
      <w:tr w:rsidR="003B5733" w14:paraId="26A5AC70" w14:textId="77777777" w:rsidTr="00B07FF7">
        <w:tc>
          <w:tcPr>
            <w:tcW w:w="10348" w:type="dxa"/>
          </w:tcPr>
          <w:p w14:paraId="7A2CE04C" w14:textId="77777777" w:rsidR="003B5733" w:rsidRPr="001E5058" w:rsidRDefault="00475733" w:rsidP="001E5058">
            <w:pPr>
              <w:pStyle w:val="Bannermarking"/>
            </w:pPr>
            <w:r>
              <w:fldChar w:fldCharType="begin"/>
            </w:r>
            <w:r>
              <w:instrText xml:space="preserve"> FILLIN  "Type the protective marking" \d OFFICIAL \o  \* MERGEFORMAT </w:instrText>
            </w:r>
            <w:r>
              <w:fldChar w:fldCharType="separate"/>
            </w:r>
            <w:r w:rsidR="003F30C3">
              <w:t>OFFICIAL</w:t>
            </w:r>
            <w:r>
              <w:fldChar w:fldCharType="end"/>
            </w:r>
          </w:p>
        </w:tc>
      </w:tr>
    </w:tbl>
    <w:p w14:paraId="3CD4FCA9" w14:textId="77777777" w:rsidR="00AD784C" w:rsidRPr="00B57329" w:rsidRDefault="00AD784C" w:rsidP="002365B4">
      <w:pPr>
        <w:pStyle w:val="TOCheadingfactsheet"/>
      </w:pPr>
      <w:r w:rsidRPr="00B57329">
        <w:t>Contents</w:t>
      </w:r>
    </w:p>
    <w:p w14:paraId="5DCDF726" w14:textId="357857A2" w:rsidR="00873A47"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0429738" w:history="1">
        <w:r w:rsidR="00873A47" w:rsidRPr="00C5747E">
          <w:rPr>
            <w:rStyle w:val="Hyperlink"/>
          </w:rPr>
          <w:t>The facts</w:t>
        </w:r>
        <w:r w:rsidR="00873A47">
          <w:rPr>
            <w:webHidden/>
          </w:rPr>
          <w:tab/>
        </w:r>
        <w:r w:rsidR="00873A47">
          <w:rPr>
            <w:webHidden/>
          </w:rPr>
          <w:fldChar w:fldCharType="begin"/>
        </w:r>
        <w:r w:rsidR="00873A47">
          <w:rPr>
            <w:webHidden/>
          </w:rPr>
          <w:instrText xml:space="preserve"> PAGEREF _Toc190429738 \h </w:instrText>
        </w:r>
        <w:r w:rsidR="00873A47">
          <w:rPr>
            <w:webHidden/>
          </w:rPr>
        </w:r>
        <w:r w:rsidR="00873A47">
          <w:rPr>
            <w:webHidden/>
          </w:rPr>
          <w:fldChar w:fldCharType="separate"/>
        </w:r>
        <w:r w:rsidR="00873A47">
          <w:rPr>
            <w:webHidden/>
          </w:rPr>
          <w:t>1</w:t>
        </w:r>
        <w:r w:rsidR="00873A47">
          <w:rPr>
            <w:webHidden/>
          </w:rPr>
          <w:fldChar w:fldCharType="end"/>
        </w:r>
      </w:hyperlink>
    </w:p>
    <w:p w14:paraId="418F546E" w14:textId="71BC466E" w:rsidR="00873A47" w:rsidRDefault="00873A47">
      <w:pPr>
        <w:pStyle w:val="TOC2"/>
        <w:rPr>
          <w:rFonts w:asciiTheme="minorHAnsi" w:eastAsiaTheme="minorEastAsia" w:hAnsiTheme="minorHAnsi" w:cstheme="minorBidi"/>
          <w:kern w:val="2"/>
          <w:sz w:val="24"/>
          <w:szCs w:val="24"/>
          <w:lang w:eastAsia="en-AU"/>
          <w14:ligatures w14:val="standardContextual"/>
        </w:rPr>
      </w:pPr>
      <w:hyperlink w:anchor="_Toc190429739" w:history="1">
        <w:r w:rsidRPr="00C5747E">
          <w:rPr>
            <w:rStyle w:val="Hyperlink"/>
            <w:rFonts w:eastAsia="MS Gothic"/>
          </w:rPr>
          <w:t>Who should be tested?</w:t>
        </w:r>
        <w:r>
          <w:rPr>
            <w:webHidden/>
          </w:rPr>
          <w:tab/>
        </w:r>
        <w:r>
          <w:rPr>
            <w:webHidden/>
          </w:rPr>
          <w:fldChar w:fldCharType="begin"/>
        </w:r>
        <w:r>
          <w:rPr>
            <w:webHidden/>
          </w:rPr>
          <w:instrText xml:space="preserve"> PAGEREF _Toc190429739 \h </w:instrText>
        </w:r>
        <w:r>
          <w:rPr>
            <w:webHidden/>
          </w:rPr>
        </w:r>
        <w:r>
          <w:rPr>
            <w:webHidden/>
          </w:rPr>
          <w:fldChar w:fldCharType="separate"/>
        </w:r>
        <w:r>
          <w:rPr>
            <w:webHidden/>
          </w:rPr>
          <w:t>1</w:t>
        </w:r>
        <w:r>
          <w:rPr>
            <w:webHidden/>
          </w:rPr>
          <w:fldChar w:fldCharType="end"/>
        </w:r>
      </w:hyperlink>
    </w:p>
    <w:p w14:paraId="32A6E1D2" w14:textId="0A990585" w:rsidR="00873A47" w:rsidRDefault="00873A47">
      <w:pPr>
        <w:pStyle w:val="TOC2"/>
        <w:rPr>
          <w:rFonts w:asciiTheme="minorHAnsi" w:eastAsiaTheme="minorEastAsia" w:hAnsiTheme="minorHAnsi" w:cstheme="minorBidi"/>
          <w:kern w:val="2"/>
          <w:sz w:val="24"/>
          <w:szCs w:val="24"/>
          <w:lang w:eastAsia="en-AU"/>
          <w14:ligatures w14:val="standardContextual"/>
        </w:rPr>
      </w:pPr>
      <w:hyperlink w:anchor="_Toc190429740" w:history="1">
        <w:r w:rsidRPr="00C5747E">
          <w:rPr>
            <w:rStyle w:val="Hyperlink"/>
          </w:rPr>
          <w:t>How is it diagnosed?</w:t>
        </w:r>
        <w:r>
          <w:rPr>
            <w:webHidden/>
          </w:rPr>
          <w:tab/>
        </w:r>
        <w:r>
          <w:rPr>
            <w:webHidden/>
          </w:rPr>
          <w:fldChar w:fldCharType="begin"/>
        </w:r>
        <w:r>
          <w:rPr>
            <w:webHidden/>
          </w:rPr>
          <w:instrText xml:space="preserve"> PAGEREF _Toc190429740 \h </w:instrText>
        </w:r>
        <w:r>
          <w:rPr>
            <w:webHidden/>
          </w:rPr>
        </w:r>
        <w:r>
          <w:rPr>
            <w:webHidden/>
          </w:rPr>
          <w:fldChar w:fldCharType="separate"/>
        </w:r>
        <w:r>
          <w:rPr>
            <w:webHidden/>
          </w:rPr>
          <w:t>2</w:t>
        </w:r>
        <w:r>
          <w:rPr>
            <w:webHidden/>
          </w:rPr>
          <w:fldChar w:fldCharType="end"/>
        </w:r>
      </w:hyperlink>
    </w:p>
    <w:p w14:paraId="4731F14E" w14:textId="0C7E3BDA" w:rsidR="00873A47" w:rsidRDefault="00873A47">
      <w:pPr>
        <w:pStyle w:val="TOC2"/>
        <w:rPr>
          <w:rFonts w:asciiTheme="minorHAnsi" w:eastAsiaTheme="minorEastAsia" w:hAnsiTheme="minorHAnsi" w:cstheme="minorBidi"/>
          <w:kern w:val="2"/>
          <w:sz w:val="24"/>
          <w:szCs w:val="24"/>
          <w:lang w:eastAsia="en-AU"/>
          <w14:ligatures w14:val="standardContextual"/>
        </w:rPr>
      </w:pPr>
      <w:hyperlink w:anchor="_Toc190429741" w:history="1">
        <w:r w:rsidRPr="00C5747E">
          <w:rPr>
            <w:rStyle w:val="Hyperlink"/>
          </w:rPr>
          <w:t>How should cases be managed?</w:t>
        </w:r>
        <w:r>
          <w:rPr>
            <w:webHidden/>
          </w:rPr>
          <w:tab/>
        </w:r>
        <w:r>
          <w:rPr>
            <w:webHidden/>
          </w:rPr>
          <w:fldChar w:fldCharType="begin"/>
        </w:r>
        <w:r>
          <w:rPr>
            <w:webHidden/>
          </w:rPr>
          <w:instrText xml:space="preserve"> PAGEREF _Toc190429741 \h </w:instrText>
        </w:r>
        <w:r>
          <w:rPr>
            <w:webHidden/>
          </w:rPr>
        </w:r>
        <w:r>
          <w:rPr>
            <w:webHidden/>
          </w:rPr>
          <w:fldChar w:fldCharType="separate"/>
        </w:r>
        <w:r>
          <w:rPr>
            <w:webHidden/>
          </w:rPr>
          <w:t>2</w:t>
        </w:r>
        <w:r>
          <w:rPr>
            <w:webHidden/>
          </w:rPr>
          <w:fldChar w:fldCharType="end"/>
        </w:r>
      </w:hyperlink>
    </w:p>
    <w:p w14:paraId="62032A21" w14:textId="5675E0D8" w:rsidR="00873A47" w:rsidRDefault="00873A47">
      <w:pPr>
        <w:pStyle w:val="TOC2"/>
        <w:rPr>
          <w:rFonts w:asciiTheme="minorHAnsi" w:eastAsiaTheme="minorEastAsia" w:hAnsiTheme="minorHAnsi" w:cstheme="minorBidi"/>
          <w:kern w:val="2"/>
          <w:sz w:val="24"/>
          <w:szCs w:val="24"/>
          <w:lang w:eastAsia="en-AU"/>
          <w14:ligatures w14:val="standardContextual"/>
        </w:rPr>
      </w:pPr>
      <w:hyperlink w:anchor="_Toc190429742" w:history="1">
        <w:r w:rsidRPr="00C5747E">
          <w:rPr>
            <w:rStyle w:val="Hyperlink"/>
          </w:rPr>
          <w:t>How should contacts be managed?</w:t>
        </w:r>
        <w:r>
          <w:rPr>
            <w:webHidden/>
          </w:rPr>
          <w:tab/>
        </w:r>
        <w:r>
          <w:rPr>
            <w:webHidden/>
          </w:rPr>
          <w:fldChar w:fldCharType="begin"/>
        </w:r>
        <w:r>
          <w:rPr>
            <w:webHidden/>
          </w:rPr>
          <w:instrText xml:space="preserve"> PAGEREF _Toc190429742 \h </w:instrText>
        </w:r>
        <w:r>
          <w:rPr>
            <w:webHidden/>
          </w:rPr>
        </w:r>
        <w:r>
          <w:rPr>
            <w:webHidden/>
          </w:rPr>
          <w:fldChar w:fldCharType="separate"/>
        </w:r>
        <w:r>
          <w:rPr>
            <w:webHidden/>
          </w:rPr>
          <w:t>2</w:t>
        </w:r>
        <w:r>
          <w:rPr>
            <w:webHidden/>
          </w:rPr>
          <w:fldChar w:fldCharType="end"/>
        </w:r>
      </w:hyperlink>
    </w:p>
    <w:p w14:paraId="2E742A4D" w14:textId="2BA5A477" w:rsidR="00873A47" w:rsidRDefault="00873A47">
      <w:pPr>
        <w:pStyle w:val="TOC1"/>
        <w:rPr>
          <w:rFonts w:asciiTheme="minorHAnsi" w:eastAsiaTheme="minorEastAsia" w:hAnsiTheme="minorHAnsi" w:cstheme="minorBidi"/>
          <w:b w:val="0"/>
          <w:kern w:val="2"/>
          <w:sz w:val="24"/>
          <w:szCs w:val="24"/>
          <w:lang w:eastAsia="en-AU"/>
          <w14:ligatures w14:val="standardContextual"/>
        </w:rPr>
      </w:pPr>
      <w:hyperlink w:anchor="_Toc190429743" w:history="1">
        <w:r w:rsidRPr="00C5747E">
          <w:rPr>
            <w:rStyle w:val="Hyperlink"/>
          </w:rPr>
          <w:t>Classification of syphilis</w:t>
        </w:r>
        <w:r>
          <w:rPr>
            <w:webHidden/>
          </w:rPr>
          <w:tab/>
        </w:r>
        <w:r>
          <w:rPr>
            <w:webHidden/>
          </w:rPr>
          <w:fldChar w:fldCharType="begin"/>
        </w:r>
        <w:r>
          <w:rPr>
            <w:webHidden/>
          </w:rPr>
          <w:instrText xml:space="preserve"> PAGEREF _Toc190429743 \h </w:instrText>
        </w:r>
        <w:r>
          <w:rPr>
            <w:webHidden/>
          </w:rPr>
        </w:r>
        <w:r>
          <w:rPr>
            <w:webHidden/>
          </w:rPr>
          <w:fldChar w:fldCharType="separate"/>
        </w:r>
        <w:r>
          <w:rPr>
            <w:webHidden/>
          </w:rPr>
          <w:t>3</w:t>
        </w:r>
        <w:r>
          <w:rPr>
            <w:webHidden/>
          </w:rPr>
          <w:fldChar w:fldCharType="end"/>
        </w:r>
      </w:hyperlink>
    </w:p>
    <w:p w14:paraId="39879E8B" w14:textId="6E414830" w:rsidR="00873A47" w:rsidRDefault="00873A47">
      <w:pPr>
        <w:pStyle w:val="TOC2"/>
        <w:rPr>
          <w:rFonts w:asciiTheme="minorHAnsi" w:eastAsiaTheme="minorEastAsia" w:hAnsiTheme="minorHAnsi" w:cstheme="minorBidi"/>
          <w:kern w:val="2"/>
          <w:sz w:val="24"/>
          <w:szCs w:val="24"/>
          <w:lang w:eastAsia="en-AU"/>
          <w14:ligatures w14:val="standardContextual"/>
        </w:rPr>
      </w:pPr>
      <w:hyperlink w:anchor="_Toc190429744" w:history="1">
        <w:r w:rsidRPr="00C5747E">
          <w:rPr>
            <w:rStyle w:val="Hyperlink"/>
          </w:rPr>
          <w:t>Early infection acquired within last two years (infectious syphilis)</w:t>
        </w:r>
        <w:r>
          <w:rPr>
            <w:webHidden/>
          </w:rPr>
          <w:tab/>
        </w:r>
        <w:r>
          <w:rPr>
            <w:webHidden/>
          </w:rPr>
          <w:fldChar w:fldCharType="begin"/>
        </w:r>
        <w:r>
          <w:rPr>
            <w:webHidden/>
          </w:rPr>
          <w:instrText xml:space="preserve"> PAGEREF _Toc190429744 \h </w:instrText>
        </w:r>
        <w:r>
          <w:rPr>
            <w:webHidden/>
          </w:rPr>
        </w:r>
        <w:r>
          <w:rPr>
            <w:webHidden/>
          </w:rPr>
          <w:fldChar w:fldCharType="separate"/>
        </w:r>
        <w:r>
          <w:rPr>
            <w:webHidden/>
          </w:rPr>
          <w:t>3</w:t>
        </w:r>
        <w:r>
          <w:rPr>
            <w:webHidden/>
          </w:rPr>
          <w:fldChar w:fldCharType="end"/>
        </w:r>
      </w:hyperlink>
    </w:p>
    <w:p w14:paraId="22DA1AC8" w14:textId="3128E047" w:rsidR="00873A47" w:rsidRDefault="00873A47">
      <w:pPr>
        <w:pStyle w:val="TOC2"/>
        <w:rPr>
          <w:rFonts w:asciiTheme="minorHAnsi" w:eastAsiaTheme="minorEastAsia" w:hAnsiTheme="minorHAnsi" w:cstheme="minorBidi"/>
          <w:kern w:val="2"/>
          <w:sz w:val="24"/>
          <w:szCs w:val="24"/>
          <w:lang w:eastAsia="en-AU"/>
          <w14:ligatures w14:val="standardContextual"/>
        </w:rPr>
      </w:pPr>
      <w:hyperlink w:anchor="_Toc190429745" w:history="1">
        <w:r w:rsidRPr="00C5747E">
          <w:rPr>
            <w:rStyle w:val="Hyperlink"/>
          </w:rPr>
          <w:t>Late syphilis acquired more than 2 years ago or at an unknown time (non-infectious)</w:t>
        </w:r>
        <w:r>
          <w:rPr>
            <w:webHidden/>
          </w:rPr>
          <w:tab/>
        </w:r>
        <w:r>
          <w:rPr>
            <w:webHidden/>
          </w:rPr>
          <w:fldChar w:fldCharType="begin"/>
        </w:r>
        <w:r>
          <w:rPr>
            <w:webHidden/>
          </w:rPr>
          <w:instrText xml:space="preserve"> PAGEREF _Toc190429745 \h </w:instrText>
        </w:r>
        <w:r>
          <w:rPr>
            <w:webHidden/>
          </w:rPr>
        </w:r>
        <w:r>
          <w:rPr>
            <w:webHidden/>
          </w:rPr>
          <w:fldChar w:fldCharType="separate"/>
        </w:r>
        <w:r>
          <w:rPr>
            <w:webHidden/>
          </w:rPr>
          <w:t>3</w:t>
        </w:r>
        <w:r>
          <w:rPr>
            <w:webHidden/>
          </w:rPr>
          <w:fldChar w:fldCharType="end"/>
        </w:r>
      </w:hyperlink>
    </w:p>
    <w:p w14:paraId="24422DCB" w14:textId="59E362F1" w:rsidR="00873A47" w:rsidRDefault="00873A47">
      <w:pPr>
        <w:pStyle w:val="TOC1"/>
        <w:rPr>
          <w:rFonts w:asciiTheme="minorHAnsi" w:eastAsiaTheme="minorEastAsia" w:hAnsiTheme="minorHAnsi" w:cstheme="minorBidi"/>
          <w:b w:val="0"/>
          <w:kern w:val="2"/>
          <w:sz w:val="24"/>
          <w:szCs w:val="24"/>
          <w:lang w:eastAsia="en-AU"/>
          <w14:ligatures w14:val="standardContextual"/>
        </w:rPr>
      </w:pPr>
      <w:hyperlink w:anchor="_Toc190429746" w:history="1">
        <w:r w:rsidRPr="00C5747E">
          <w:rPr>
            <w:rStyle w:val="Hyperlink"/>
          </w:rPr>
          <w:t>Additional resources</w:t>
        </w:r>
        <w:r>
          <w:rPr>
            <w:webHidden/>
          </w:rPr>
          <w:tab/>
        </w:r>
        <w:r>
          <w:rPr>
            <w:webHidden/>
          </w:rPr>
          <w:fldChar w:fldCharType="begin"/>
        </w:r>
        <w:r>
          <w:rPr>
            <w:webHidden/>
          </w:rPr>
          <w:instrText xml:space="preserve"> PAGEREF _Toc190429746 \h </w:instrText>
        </w:r>
        <w:r>
          <w:rPr>
            <w:webHidden/>
          </w:rPr>
        </w:r>
        <w:r>
          <w:rPr>
            <w:webHidden/>
          </w:rPr>
          <w:fldChar w:fldCharType="separate"/>
        </w:r>
        <w:r>
          <w:rPr>
            <w:webHidden/>
          </w:rPr>
          <w:t>4</w:t>
        </w:r>
        <w:r>
          <w:rPr>
            <w:webHidden/>
          </w:rPr>
          <w:fldChar w:fldCharType="end"/>
        </w:r>
      </w:hyperlink>
    </w:p>
    <w:p w14:paraId="76AA063C" w14:textId="19E394FF" w:rsidR="00580394" w:rsidRPr="00B519CD" w:rsidRDefault="00AD784C" w:rsidP="007173CA">
      <w:pPr>
        <w:pStyle w:val="Body"/>
        <w:sectPr w:rsidR="00580394" w:rsidRPr="00B519CD" w:rsidSect="00E62622">
          <w:headerReference w:type="default" r:id="rId13"/>
          <w:footerReference w:type="even" r:id="rId14"/>
          <w:footerReference w:type="default" r:id="rId15"/>
          <w:footerReference w:type="first" r:id="rId16"/>
          <w:type w:val="continuous"/>
          <w:pgSz w:w="11906" w:h="16838" w:code="9"/>
          <w:pgMar w:top="1418" w:right="851" w:bottom="1418" w:left="851" w:header="851" w:footer="851" w:gutter="0"/>
          <w:cols w:space="340"/>
          <w:titlePg/>
          <w:docGrid w:linePitch="360"/>
        </w:sectPr>
      </w:pPr>
      <w:r>
        <w:fldChar w:fldCharType="end"/>
      </w:r>
    </w:p>
    <w:p w14:paraId="38C3CC4B" w14:textId="7FC1EF84" w:rsidR="00C51F0A" w:rsidRPr="00A71CE4" w:rsidRDefault="00FC23EE" w:rsidP="00C51F0A">
      <w:pPr>
        <w:pStyle w:val="Heading1"/>
        <w:spacing w:before="0"/>
      </w:pPr>
      <w:bookmarkStart w:id="0" w:name="_Toc190429738"/>
      <w:r>
        <w:t>The facts</w:t>
      </w:r>
      <w:bookmarkEnd w:id="0"/>
    </w:p>
    <w:p w14:paraId="770478B4" w14:textId="77777777" w:rsidR="00FC23EE" w:rsidRPr="008861CA" w:rsidRDefault="00FC23EE" w:rsidP="00FC23EE">
      <w:pPr>
        <w:pStyle w:val="Bullet1"/>
      </w:pPr>
      <w:bookmarkStart w:id="1" w:name="_Toc66711981"/>
      <w:r w:rsidRPr="008861CA">
        <w:t>There is an increased prevalence of syphilis across Victoria in all demographic groups.</w:t>
      </w:r>
    </w:p>
    <w:p w14:paraId="019794BE" w14:textId="77777777" w:rsidR="00FC23EE" w:rsidRPr="008861CA" w:rsidRDefault="00FC23EE" w:rsidP="00FC23EE">
      <w:pPr>
        <w:pStyle w:val="Bullet1"/>
      </w:pPr>
      <w:r w:rsidRPr="008861CA">
        <w:t xml:space="preserve">Congenital syphilis, where the pathogen is transmitted vertically from </w:t>
      </w:r>
      <w:r>
        <w:t xml:space="preserve">parent </w:t>
      </w:r>
      <w:r w:rsidRPr="008861CA">
        <w:t>to child, can cause foetal death or developmental problems in the child. Congenital syphilis has re-emerged in Victoria</w:t>
      </w:r>
      <w:r>
        <w:t>.</w:t>
      </w:r>
      <w:r w:rsidRPr="008861CA">
        <w:t xml:space="preserve"> </w:t>
      </w:r>
    </w:p>
    <w:p w14:paraId="2F320089" w14:textId="77777777" w:rsidR="00FC23EE" w:rsidRPr="008861CA" w:rsidRDefault="00FC23EE" w:rsidP="00FC23EE">
      <w:pPr>
        <w:pStyle w:val="Bullet1"/>
      </w:pPr>
      <w:r w:rsidRPr="008861CA">
        <w:t xml:space="preserve">Syphilis is highly infectious and is transmitted through unprotected vaginal, anal and oral sex and skin to-skin contact during sex. </w:t>
      </w:r>
    </w:p>
    <w:p w14:paraId="2C4B5480" w14:textId="77777777" w:rsidR="00FC23EE" w:rsidRPr="008861CA" w:rsidRDefault="00FC23EE" w:rsidP="00FC23EE">
      <w:pPr>
        <w:pStyle w:val="Bullet1"/>
      </w:pPr>
      <w:r w:rsidRPr="008861CA">
        <w:t xml:space="preserve">Syphilis increases the risk of both acquiring and transmitting HIV infection. </w:t>
      </w:r>
    </w:p>
    <w:p w14:paraId="60F5717A" w14:textId="77777777" w:rsidR="00FC23EE" w:rsidRPr="008861CA" w:rsidRDefault="00FC23EE" w:rsidP="00FC23EE">
      <w:pPr>
        <w:pStyle w:val="Bullet1"/>
      </w:pPr>
      <w:r w:rsidRPr="008861CA">
        <w:t xml:space="preserve">There are three clinical stages: primary, secondary, tertiary syphilis (see next page for details). </w:t>
      </w:r>
    </w:p>
    <w:p w14:paraId="430F35A4" w14:textId="77777777" w:rsidR="00FC23EE" w:rsidRPr="008861CA" w:rsidRDefault="00FC23EE" w:rsidP="00FC23EE">
      <w:pPr>
        <w:pStyle w:val="Bullet1"/>
      </w:pPr>
      <w:r w:rsidRPr="008861CA">
        <w:t xml:space="preserve">Syphilis is asymptomatic in up to half of all cases. </w:t>
      </w:r>
    </w:p>
    <w:p w14:paraId="3963760E" w14:textId="77777777" w:rsidR="00FC23EE" w:rsidRDefault="00FC23EE" w:rsidP="00FC23EE">
      <w:pPr>
        <w:pStyle w:val="Bullet1"/>
      </w:pPr>
      <w:r w:rsidRPr="00FC23EE">
        <w:t>Reinfection is possible and is frequent in groups at risk such as gay, bisexual and other men who have sex with men (GBMSM).</w:t>
      </w:r>
    </w:p>
    <w:p w14:paraId="3B062496" w14:textId="77777777" w:rsidR="00FC23EE" w:rsidRPr="00FC23EE" w:rsidRDefault="00FC23EE" w:rsidP="00FC23EE">
      <w:pPr>
        <w:pStyle w:val="Bullet1"/>
        <w:numPr>
          <w:ilvl w:val="0"/>
          <w:numId w:val="0"/>
        </w:numPr>
        <w:ind w:left="284"/>
      </w:pPr>
    </w:p>
    <w:p w14:paraId="46487727" w14:textId="77777777" w:rsidR="00FC23EE" w:rsidRDefault="00FC23EE" w:rsidP="00FC23EE">
      <w:pPr>
        <w:pStyle w:val="Heading2"/>
        <w:rPr>
          <w:rFonts w:eastAsia="MS Gothic"/>
        </w:rPr>
      </w:pPr>
      <w:bookmarkStart w:id="2" w:name="_Toc190429739"/>
      <w:bookmarkEnd w:id="1"/>
      <w:r w:rsidRPr="00FC23EE">
        <w:rPr>
          <w:rFonts w:eastAsia="MS Gothic"/>
        </w:rPr>
        <w:t>Who should be tested?</w:t>
      </w:r>
      <w:bookmarkEnd w:id="2"/>
    </w:p>
    <w:p w14:paraId="1152A24E" w14:textId="77777777" w:rsidR="00FC23EE" w:rsidRDefault="00FC23EE" w:rsidP="00FC23EE">
      <w:pPr>
        <w:pStyle w:val="Heading3"/>
      </w:pPr>
      <w:r w:rsidRPr="00FC23EE">
        <w:t xml:space="preserve">Symptomatic patients </w:t>
      </w:r>
    </w:p>
    <w:p w14:paraId="1ED78C29" w14:textId="4CFAF70E" w:rsidR="00FC23EE" w:rsidRPr="00FC23EE" w:rsidRDefault="00FC23EE" w:rsidP="00FC23EE">
      <w:pPr>
        <w:pStyle w:val="Body"/>
      </w:pPr>
      <w:r w:rsidRPr="00FC23EE">
        <w:t>Patients presenting with any signs and symptoms of infectious syphilis (e.g. genital ulcers, rash affecting palms or soles, or persistent and unexplained lymphadenopathy).</w:t>
      </w:r>
    </w:p>
    <w:p w14:paraId="0D253CE9" w14:textId="77777777" w:rsidR="00FC23EE" w:rsidRPr="00FC23EE" w:rsidRDefault="00FC23EE" w:rsidP="00FC23EE">
      <w:pPr>
        <w:pStyle w:val="Heading3"/>
      </w:pPr>
      <w:r w:rsidRPr="00FC23EE">
        <w:t xml:space="preserve">Asymptomatic patients </w:t>
      </w:r>
    </w:p>
    <w:p w14:paraId="689E750F" w14:textId="77777777" w:rsidR="00FC23EE" w:rsidRPr="008861CA" w:rsidRDefault="00FC23EE" w:rsidP="004B090F">
      <w:pPr>
        <w:pStyle w:val="Bullet1"/>
      </w:pPr>
      <w:r w:rsidRPr="008861CA">
        <w:t>All sexually active people as part of a routine sexual health check</w:t>
      </w:r>
    </w:p>
    <w:p w14:paraId="4FA6828F" w14:textId="77777777" w:rsidR="004B090F" w:rsidRDefault="00FC23EE" w:rsidP="00FC23EE">
      <w:pPr>
        <w:pStyle w:val="Bullet1"/>
      </w:pPr>
      <w:r w:rsidRPr="00D3668D">
        <w:lastRenderedPageBreak/>
        <w:t>Pregnant people: test all pregnant people a minimum of 3 times: at the first antenatal visit, at 26-28 weeks, and at 36 weeks or birth (whichever is earlier). </w:t>
      </w:r>
    </w:p>
    <w:p w14:paraId="714043CF" w14:textId="2493A826" w:rsidR="00FC23EE" w:rsidRPr="00FC23EE" w:rsidRDefault="00FC23EE" w:rsidP="00FC23EE">
      <w:pPr>
        <w:pStyle w:val="Bullet1"/>
      </w:pPr>
      <w:r w:rsidRPr="00FC23EE">
        <w:t xml:space="preserve">GBMSM: at least annually, and more frequently (up to four times a year) for those at higher risk (e.g. men who have had more than ten partners in the last year). </w:t>
      </w:r>
    </w:p>
    <w:p w14:paraId="49763EE1" w14:textId="77777777" w:rsidR="00FC23EE" w:rsidRPr="00FC23EE" w:rsidRDefault="00FC23EE" w:rsidP="004B090F">
      <w:pPr>
        <w:pStyle w:val="Bullet1"/>
      </w:pPr>
      <w:r w:rsidRPr="00FC23EE">
        <w:t xml:space="preserve">HIV positive GBMSM: on each occasion of routine HIV monitoring (three to six monthly). </w:t>
      </w:r>
    </w:p>
    <w:p w14:paraId="5857201E" w14:textId="77777777" w:rsidR="00FC23EE" w:rsidRPr="00FC23EE" w:rsidRDefault="00FC23EE" w:rsidP="004B090F">
      <w:pPr>
        <w:pStyle w:val="Bullet1"/>
      </w:pPr>
      <w:r w:rsidRPr="00FC23EE">
        <w:t>Sexual contacts of a person diagnosed with syphilis.</w:t>
      </w:r>
    </w:p>
    <w:p w14:paraId="0F119ED8" w14:textId="21780BB2" w:rsidR="00FC23EE" w:rsidRDefault="00FC23EE" w:rsidP="00FC23EE">
      <w:pPr>
        <w:pStyle w:val="Body"/>
      </w:pPr>
      <w:r w:rsidRPr="00FC23EE">
        <w:t>Note: Consider including testing for HIV and hepatitis B in people at risk and testing for other sexually transmitted infections in people found to have syphilis infection</w:t>
      </w:r>
      <w:r w:rsidRPr="008861CA">
        <w:t>.</w:t>
      </w:r>
    </w:p>
    <w:p w14:paraId="06D931B1" w14:textId="3470A1D3" w:rsidR="00FC23EE" w:rsidRDefault="00FC23EE" w:rsidP="00FC23EE">
      <w:pPr>
        <w:pStyle w:val="Heading2"/>
        <w:rPr>
          <w:sz w:val="20"/>
        </w:rPr>
      </w:pPr>
      <w:bookmarkStart w:id="3" w:name="_Toc190429740"/>
      <w:r w:rsidRPr="004A55D0">
        <w:t>How is it diagnosed?</w:t>
      </w:r>
      <w:bookmarkEnd w:id="3"/>
    </w:p>
    <w:p w14:paraId="7693E1A8" w14:textId="77777777" w:rsidR="00FC23EE" w:rsidRPr="00FC23EE" w:rsidRDefault="00FC23EE" w:rsidP="00FC23EE">
      <w:pPr>
        <w:pStyle w:val="Body"/>
      </w:pPr>
      <w:r w:rsidRPr="00FC23EE">
        <w:t xml:space="preserve">A combination of serology, history and clinical assessment. </w:t>
      </w:r>
    </w:p>
    <w:p w14:paraId="2244F387" w14:textId="77777777" w:rsidR="00FC23EE" w:rsidRPr="00FC23EE" w:rsidRDefault="00FC23EE" w:rsidP="004B090F">
      <w:pPr>
        <w:pStyle w:val="Bullet1"/>
      </w:pPr>
      <w:r w:rsidRPr="004B090F">
        <w:rPr>
          <w:b/>
          <w:bCs/>
        </w:rPr>
        <w:t>Treponemal specific tests (EIA, TPPA, TPHA):</w:t>
      </w:r>
      <w:r w:rsidRPr="00FC23EE">
        <w:t xml:space="preserve"> detect antibodies against T. pallidum. Usually remain positive for life; if serology is negative repeat testing after two weeks (if there is clinical suspicion of syphilis). </w:t>
      </w:r>
    </w:p>
    <w:p w14:paraId="4A3F4182" w14:textId="77777777" w:rsidR="00FC23EE" w:rsidRPr="00FC23EE" w:rsidRDefault="00FC23EE" w:rsidP="004B090F">
      <w:pPr>
        <w:pStyle w:val="Bullet1"/>
      </w:pPr>
      <w:r w:rsidRPr="004B090F">
        <w:rPr>
          <w:b/>
          <w:bCs/>
        </w:rPr>
        <w:t>Non treponemal tests (RPR, VDRL):</w:t>
      </w:r>
      <w:r w:rsidRPr="00FC23EE">
        <w:t xml:space="preserve"> detect antibodies to lipoidal material released from damaged host cells and possibly cardiolipin released from treponemes. Give an indication of current disease activity and are used to monitor treatment response and diagnose re-infection. </w:t>
      </w:r>
    </w:p>
    <w:p w14:paraId="6DE643A4" w14:textId="3488E825" w:rsidR="00FC23EE" w:rsidRPr="00FC23EE" w:rsidRDefault="00FC23EE" w:rsidP="004B090F">
      <w:pPr>
        <w:pStyle w:val="Bullet1"/>
      </w:pPr>
      <w:r w:rsidRPr="004B090F">
        <w:rPr>
          <w:b/>
          <w:bCs/>
        </w:rPr>
        <w:t>Nucleic Acid Amplification Test (NAAT) (PCR swab of ulcer)</w:t>
      </w:r>
      <w:r w:rsidR="004B090F" w:rsidRPr="004B090F">
        <w:rPr>
          <w:b/>
          <w:bCs/>
        </w:rPr>
        <w:t>:</w:t>
      </w:r>
      <w:r w:rsidRPr="00FC23EE">
        <w:t xml:space="preserve"> NAAT may be positive prior to seroconversion</w:t>
      </w:r>
    </w:p>
    <w:p w14:paraId="503B5F8B" w14:textId="2C1B5B8D" w:rsidR="00FC23EE" w:rsidRDefault="00FC23EE" w:rsidP="00FC23EE">
      <w:pPr>
        <w:pStyle w:val="Heading2"/>
        <w:rPr>
          <w:sz w:val="20"/>
        </w:rPr>
      </w:pPr>
      <w:bookmarkStart w:id="4" w:name="_Toc190429741"/>
      <w:r w:rsidRPr="004A55D0">
        <w:t>How should cases be managed?</w:t>
      </w:r>
      <w:bookmarkEnd w:id="4"/>
    </w:p>
    <w:p w14:paraId="13596170" w14:textId="03408E24" w:rsidR="00FC23EE" w:rsidRPr="008861CA" w:rsidRDefault="00FC23EE" w:rsidP="004B090F">
      <w:pPr>
        <w:pStyle w:val="Bullet1"/>
      </w:pPr>
      <w:hyperlink r:id="rId17" w:history="1">
        <w:r w:rsidRPr="00FC23EE">
          <w:rPr>
            <w:rStyle w:val="Hyperlink"/>
            <w:sz w:val="20"/>
          </w:rPr>
          <w:t>Notify cases to the Department of Health</w:t>
        </w:r>
      </w:hyperlink>
      <w:r>
        <w:t xml:space="preserve"> &lt;</w:t>
      </w:r>
      <w:r w:rsidRPr="00FC23EE">
        <w:t>http://ideas.health.vic.gov.au/notifying.asp</w:t>
      </w:r>
      <w:r>
        <w:t xml:space="preserve">&gt; </w:t>
      </w:r>
      <w:r w:rsidRPr="008861CA">
        <w:t xml:space="preserve"> </w:t>
      </w:r>
    </w:p>
    <w:p w14:paraId="100C57CF" w14:textId="77777777" w:rsidR="004B090F" w:rsidRDefault="00FC23EE" w:rsidP="00FC23EE">
      <w:pPr>
        <w:pStyle w:val="Bullet1"/>
      </w:pPr>
      <w:r w:rsidRPr="00FC23EE">
        <w:t xml:space="preserve">Treat according to </w:t>
      </w:r>
      <w:hyperlink r:id="rId18" w:history="1">
        <w:r w:rsidRPr="00FC23EE">
          <w:rPr>
            <w:rStyle w:val="Hyperlink"/>
          </w:rPr>
          <w:t>current guidelines</w:t>
        </w:r>
      </w:hyperlink>
      <w:r>
        <w:t xml:space="preserve"> &lt;</w:t>
      </w:r>
      <w:hyperlink r:id="rId19" w:history="1">
        <w:r w:rsidRPr="00FC23EE">
          <w:rPr>
            <w:rStyle w:val="Hyperlink"/>
            <w:color w:val="auto"/>
            <w:u w:val="none"/>
          </w:rPr>
          <w:t>www.sti.guidelines.org.au/sexually-transmissible-infections/syphilis</w:t>
        </w:r>
      </w:hyperlink>
      <w:r>
        <w:rPr>
          <w:rStyle w:val="Hyperlink"/>
          <w:color w:val="auto"/>
          <w:u w:val="none"/>
        </w:rPr>
        <w:t>&gt;</w:t>
      </w:r>
      <w:r w:rsidRPr="00FC23EE">
        <w:t xml:space="preserve"> using benzathine penicillin, not shorter-acting benzylpenicillin, which is not effective</w:t>
      </w:r>
      <w:r>
        <w:t>.</w:t>
      </w:r>
    </w:p>
    <w:p w14:paraId="6323649B" w14:textId="5769C736" w:rsidR="00FC23EE" w:rsidRPr="00FC23EE" w:rsidRDefault="00FC23EE" w:rsidP="004B090F">
      <w:pPr>
        <w:pStyle w:val="Bullet2"/>
      </w:pPr>
      <w:r w:rsidRPr="00FC23EE">
        <w:t>Benzathine penicillin is available for prescription as part of the PBS Doctor’s Bag, allowing a stock to be held by GPs for use when required.</w:t>
      </w:r>
    </w:p>
    <w:p w14:paraId="5FD78B96" w14:textId="77777777" w:rsidR="00FC23EE" w:rsidRPr="00FC23EE" w:rsidRDefault="00FC23EE" w:rsidP="004B090F">
      <w:pPr>
        <w:pStyle w:val="Bullet1"/>
      </w:pPr>
      <w:r w:rsidRPr="00FC23EE">
        <w:t xml:space="preserve">Early referral or discussion with a sexual health specialist is strongly recommended. </w:t>
      </w:r>
    </w:p>
    <w:p w14:paraId="6B12EE4E" w14:textId="77777777" w:rsidR="00FC23EE" w:rsidRPr="00FC23EE" w:rsidRDefault="00FC23EE" w:rsidP="004B090F">
      <w:pPr>
        <w:pStyle w:val="Bullet1"/>
      </w:pPr>
      <w:r w:rsidRPr="00FC23EE">
        <w:t xml:space="preserve">Advise no sexual contact for seven days after treatment is administered to both the case and contacts. </w:t>
      </w:r>
    </w:p>
    <w:p w14:paraId="3D038CD1" w14:textId="77777777" w:rsidR="004B090F" w:rsidRDefault="00FC23EE" w:rsidP="00FC23EE">
      <w:pPr>
        <w:pStyle w:val="Bullet1"/>
      </w:pPr>
      <w:r w:rsidRPr="00FC23EE">
        <w:t xml:space="preserve">Provide education regarding prevention and early symptom recognition. </w:t>
      </w:r>
    </w:p>
    <w:p w14:paraId="36122467" w14:textId="56EE727A" w:rsidR="00FC23EE" w:rsidRPr="00FC23EE" w:rsidRDefault="00FC23EE" w:rsidP="004B090F">
      <w:pPr>
        <w:pStyle w:val="Bullet2"/>
      </w:pPr>
      <w:r w:rsidRPr="004B090F">
        <w:rPr>
          <w:b/>
          <w:bCs/>
        </w:rPr>
        <w:t>Partner notification:</w:t>
      </w:r>
      <w:r w:rsidRPr="00FC23EE">
        <w:t xml:space="preserve"> contact sexual partners of patients with syphilis at the time of diagnosis; </w:t>
      </w:r>
      <w:r w:rsidR="004B090F">
        <w:br/>
      </w:r>
      <w:r w:rsidRPr="00FC23EE">
        <w:t xml:space="preserve">online tools are available to contact partners anonymously via SMS or email  </w:t>
      </w:r>
      <w:hyperlink r:id="rId20" w:history="1">
        <w:r w:rsidRPr="00FC23EE">
          <w:rPr>
            <w:rStyle w:val="Hyperlink"/>
          </w:rPr>
          <w:t>Local Public Health Units</w:t>
        </w:r>
      </w:hyperlink>
      <w:r>
        <w:t xml:space="preserve"> &lt;</w:t>
      </w:r>
      <w:r w:rsidRPr="00FC23EE">
        <w:t>https://www.health.vic.gov.au/local-public-health-units</w:t>
      </w:r>
      <w:r>
        <w:t>&gt;</w:t>
      </w:r>
      <w:r w:rsidRPr="00FC23EE">
        <w:t xml:space="preserve"> and Partner Notification Officers from the Department of Health are also available to assist with partner notification (see Additional resources on the next page).</w:t>
      </w:r>
    </w:p>
    <w:p w14:paraId="710B4CFF" w14:textId="77777777" w:rsidR="00FC23EE" w:rsidRPr="008861CA" w:rsidRDefault="00FC23EE" w:rsidP="004B090F">
      <w:pPr>
        <w:pStyle w:val="Heading3"/>
      </w:pPr>
      <w:r w:rsidRPr="008861CA">
        <w:t xml:space="preserve">Follow-up: </w:t>
      </w:r>
    </w:p>
    <w:p w14:paraId="5995BAB6" w14:textId="707AEE6F" w:rsidR="00FC23EE" w:rsidRPr="008861CA" w:rsidRDefault="00FC23EE" w:rsidP="00FC23EE">
      <w:pPr>
        <w:pStyle w:val="Bullet1"/>
      </w:pPr>
      <w:r w:rsidRPr="008861CA">
        <w:t>RPR at 3, 6, 12 months to monitor treatment response and screen for reinfection.</w:t>
      </w:r>
    </w:p>
    <w:p w14:paraId="6028BD7E" w14:textId="7E964B83" w:rsidR="00FC23EE" w:rsidRPr="008861CA" w:rsidRDefault="00FC23EE" w:rsidP="00FC23EE">
      <w:pPr>
        <w:pStyle w:val="Bullet1"/>
      </w:pPr>
      <w:r w:rsidRPr="008861CA">
        <w:t>Ensure that partner notification has occurred.</w:t>
      </w:r>
    </w:p>
    <w:p w14:paraId="1E0B5961" w14:textId="2DB2C4D2" w:rsidR="00FC23EE" w:rsidRDefault="00FC23EE" w:rsidP="00FC23EE">
      <w:pPr>
        <w:pStyle w:val="Bullet1"/>
      </w:pPr>
      <w:r w:rsidRPr="008861CA">
        <w:t>Retest for BBVs following the relevant window period where appropriate.</w:t>
      </w:r>
    </w:p>
    <w:p w14:paraId="4AB01967" w14:textId="116045F6" w:rsidR="00FC23EE" w:rsidRDefault="00FC23EE" w:rsidP="00FC23EE">
      <w:pPr>
        <w:pStyle w:val="Heading2"/>
      </w:pPr>
      <w:bookmarkStart w:id="5" w:name="_Toc190429742"/>
      <w:r w:rsidRPr="004A55D0">
        <w:t>How should contacts be managed?</w:t>
      </w:r>
      <w:bookmarkEnd w:id="5"/>
    </w:p>
    <w:p w14:paraId="07105CF0" w14:textId="77777777" w:rsidR="00FC23EE" w:rsidRPr="00FC23EE" w:rsidRDefault="00FC23EE" w:rsidP="00FC23EE">
      <w:pPr>
        <w:pStyle w:val="Bullet1"/>
      </w:pPr>
      <w:r w:rsidRPr="00FC23EE">
        <w:t xml:space="preserve">Treat all sexual contacts of syphilis cases without waiting for serological results if their exposure was in the last 90 days. </w:t>
      </w:r>
    </w:p>
    <w:p w14:paraId="19CA1E4F" w14:textId="77777777" w:rsidR="00FC23EE" w:rsidRPr="00FC23EE" w:rsidRDefault="00FC23EE" w:rsidP="00FC23EE">
      <w:pPr>
        <w:pStyle w:val="Bullet1"/>
      </w:pPr>
      <w:r w:rsidRPr="00FC23EE">
        <w:t xml:space="preserve">Treat with a single dose of intramuscular benzathine penicillin 1.8g (2.4mU). </w:t>
      </w:r>
    </w:p>
    <w:p w14:paraId="7769FEEF" w14:textId="79F97C3C" w:rsidR="00FC23EE" w:rsidRDefault="00FC23EE" w:rsidP="00FC23EE">
      <w:pPr>
        <w:pStyle w:val="Bullet1"/>
      </w:pPr>
      <w:r w:rsidRPr="00FC23EE">
        <w:t>Provide education regarding prevention.</w:t>
      </w:r>
    </w:p>
    <w:p w14:paraId="2A615984" w14:textId="77777777" w:rsidR="00FC23EE" w:rsidRDefault="00FC23EE" w:rsidP="00FC23EE">
      <w:pPr>
        <w:pStyle w:val="Body"/>
      </w:pPr>
    </w:p>
    <w:p w14:paraId="6C1C2CDE" w14:textId="77777777" w:rsidR="00C17468" w:rsidRPr="004E4DCD" w:rsidRDefault="00C17468" w:rsidP="00C17468">
      <w:pPr>
        <w:pStyle w:val="Heading1"/>
      </w:pPr>
      <w:bookmarkStart w:id="6" w:name="_Toc190429743"/>
      <w:r w:rsidRPr="004E4DCD">
        <w:t>Classification of syphilis</w:t>
      </w:r>
      <w:bookmarkEnd w:id="6"/>
    </w:p>
    <w:p w14:paraId="503A4AB5" w14:textId="77777777" w:rsidR="00873A47" w:rsidRPr="00630D74" w:rsidRDefault="00873A47" w:rsidP="00873A47">
      <w:pPr>
        <w:pStyle w:val="Body"/>
      </w:pPr>
      <w:bookmarkStart w:id="7" w:name="_Toc190429744"/>
      <w:r w:rsidRPr="00630D74">
        <w:rPr>
          <w:b/>
        </w:rPr>
        <w:t>Neurosyphilis:</w:t>
      </w:r>
      <w:r w:rsidRPr="00630D74">
        <w:t xml:space="preserve"> Can occur at any time after initial infection. CSF findings with raised protein and cell count in the absence of other causes of these abnormalities. A positive CSF VDRL is confirmatory. </w:t>
      </w:r>
    </w:p>
    <w:p w14:paraId="6750E6FB" w14:textId="77777777" w:rsidR="00873A47" w:rsidRPr="00630D74" w:rsidRDefault="00873A47" w:rsidP="00873A47">
      <w:pPr>
        <w:pStyle w:val="Body"/>
      </w:pPr>
      <w:r w:rsidRPr="00630D74">
        <w:rPr>
          <w:b/>
        </w:rPr>
        <w:t>Congenital syphilis</w:t>
      </w:r>
      <w:r w:rsidRPr="00630D74">
        <w:t xml:space="preserve">: A condition affecting an infant whose mother had untreated or inadequately treated syphilis during pregnancy or delivery. </w:t>
      </w:r>
    </w:p>
    <w:p w14:paraId="25CD4E1C" w14:textId="6EA70E99" w:rsidR="00873A47" w:rsidRDefault="00873A47" w:rsidP="00873A47">
      <w:pPr>
        <w:pStyle w:val="Body"/>
      </w:pPr>
      <w:r w:rsidRPr="00630D74">
        <w:rPr>
          <w:b/>
        </w:rPr>
        <w:t>Reinfection:</w:t>
      </w:r>
      <w:r w:rsidRPr="00630D74">
        <w:t xml:space="preserve"> Syphilis at any stage in a previously infected person with a fourfold or greater rise in RPR titre. Reinfection is common amongst </w:t>
      </w:r>
      <w:r>
        <w:t>GB</w:t>
      </w:r>
      <w:r w:rsidRPr="00630D74">
        <w:t xml:space="preserve">MSM, particularly in HIV positive </w:t>
      </w:r>
      <w:r>
        <w:t>GB</w:t>
      </w:r>
      <w:r w:rsidRPr="00630D74">
        <w:t>MSM.</w:t>
      </w:r>
    </w:p>
    <w:p w14:paraId="70319DE0" w14:textId="77777777" w:rsidR="00873A47" w:rsidRDefault="00873A47" w:rsidP="00873A47">
      <w:pPr>
        <w:pStyle w:val="Body"/>
      </w:pPr>
    </w:p>
    <w:p w14:paraId="5885CD22" w14:textId="3F1BBA77" w:rsidR="00FC23EE" w:rsidRPr="00FC23EE" w:rsidRDefault="00C17468" w:rsidP="00873A47">
      <w:pPr>
        <w:pStyle w:val="Heading2"/>
      </w:pPr>
      <w:r w:rsidRPr="008861CA">
        <w:t>Early infection acquired within last two years (infectious syphilis)</w:t>
      </w:r>
      <w:bookmarkEnd w:id="7"/>
    </w:p>
    <w:p w14:paraId="77A12BE6" w14:textId="7D1E02F9" w:rsidR="00C17468" w:rsidRDefault="00C17468" w:rsidP="00873A47">
      <w:pPr>
        <w:pStyle w:val="Heading3"/>
      </w:pPr>
      <w:r w:rsidRPr="00661087">
        <w:t>Primary</w:t>
      </w:r>
    </w:p>
    <w:p w14:paraId="7F79C5B4" w14:textId="77777777" w:rsidR="00C17468" w:rsidRPr="008861CA" w:rsidRDefault="00C17468" w:rsidP="00C17468">
      <w:pPr>
        <w:pStyle w:val="Bullet1"/>
      </w:pPr>
      <w:r w:rsidRPr="00C17468">
        <w:rPr>
          <w:b/>
          <w:bCs/>
        </w:rPr>
        <w:t>Clinical:</w:t>
      </w:r>
      <w:r w:rsidRPr="008861CA">
        <w:t xml:space="preserve"> One or more ano-genital ulcers (chancre) present which may vary in appearance. May be in an occult site (e.g. rectal or perivaginal). </w:t>
      </w:r>
    </w:p>
    <w:p w14:paraId="2BA75063" w14:textId="0A1D0970" w:rsidR="00C17468" w:rsidRDefault="00C17468" w:rsidP="00C17468">
      <w:pPr>
        <w:pStyle w:val="Bullet1"/>
      </w:pPr>
      <w:r w:rsidRPr="00C17468">
        <w:rPr>
          <w:b/>
          <w:bCs/>
        </w:rPr>
        <w:t>Laboratory:</w:t>
      </w:r>
      <w:r w:rsidRPr="008861CA">
        <w:t xml:space="preserve"> Serology may still be negative very early on. Repeat serology is recommended. Usually EIA, TPPA, TPHA and RPR will be positive. Presence of IgM can be a strong indicator for early infection. Swab from lesion likely to be PCR +. Demonstration of spirochaetes by dark field microscopy.</w:t>
      </w:r>
    </w:p>
    <w:p w14:paraId="3E3567AD" w14:textId="21D73CDA" w:rsidR="00C17468" w:rsidRDefault="00C17468" w:rsidP="00873A47">
      <w:pPr>
        <w:pStyle w:val="Heading3"/>
      </w:pPr>
      <w:r w:rsidRPr="00661087">
        <w:t>Secondary</w:t>
      </w:r>
    </w:p>
    <w:p w14:paraId="4627D0D1" w14:textId="77777777" w:rsidR="00C17468" w:rsidRPr="008861CA" w:rsidRDefault="00C17468" w:rsidP="00C17468">
      <w:pPr>
        <w:pStyle w:val="Bullet1"/>
      </w:pPr>
      <w:r w:rsidRPr="00C17468">
        <w:rPr>
          <w:b/>
          <w:bCs/>
        </w:rPr>
        <w:t>Clinical:</w:t>
      </w:r>
      <w:r w:rsidRPr="008861CA">
        <w:t xml:space="preserve"> Skin spots or rash, particularly on the trunk, palms and soles. Skin lesions are infectious. Symptoms that can be present include generalised lymphadenopathy, constitutional symptoms, headache, neurological symptoms (especially in HIV+ patients), elevated liver function tests. Primary chancre can still be present. </w:t>
      </w:r>
    </w:p>
    <w:p w14:paraId="167B3173" w14:textId="5F7E43E6" w:rsidR="00C17468" w:rsidRDefault="00C17468" w:rsidP="00C17468">
      <w:pPr>
        <w:pStyle w:val="Bullet1"/>
      </w:pPr>
      <w:r w:rsidRPr="00C17468">
        <w:rPr>
          <w:b/>
          <w:bCs/>
        </w:rPr>
        <w:t>Laboratory:</w:t>
      </w:r>
      <w:r w:rsidRPr="008861CA">
        <w:t xml:space="preserve"> Serology is positive (+EIA, +TTPA, +TPHA). Usually, +IgM. RPR is reactive (titre usually &gt; 1:4)</w:t>
      </w:r>
    </w:p>
    <w:p w14:paraId="46E2905D" w14:textId="54E40B96" w:rsidR="00C17468" w:rsidRDefault="00C17468" w:rsidP="00873A47">
      <w:pPr>
        <w:pStyle w:val="Heading3"/>
      </w:pPr>
      <w:r w:rsidRPr="00661087">
        <w:t>Early latent</w:t>
      </w:r>
    </w:p>
    <w:p w14:paraId="44D5CC69" w14:textId="77777777" w:rsidR="00C17468" w:rsidRPr="00C17468" w:rsidRDefault="00C17468" w:rsidP="00C17468">
      <w:pPr>
        <w:pStyle w:val="Bullet1"/>
      </w:pPr>
      <w:r w:rsidRPr="00C17468">
        <w:rPr>
          <w:b/>
          <w:bCs/>
        </w:rPr>
        <w:t>Clinical:</w:t>
      </w:r>
      <w:r w:rsidRPr="00C17468">
        <w:t xml:space="preserve"> No symptoms of syphilis. No history of adequate treatment. </w:t>
      </w:r>
    </w:p>
    <w:p w14:paraId="0FD42B70" w14:textId="590FC264" w:rsidR="00C17468" w:rsidRDefault="00C17468" w:rsidP="00C17468">
      <w:pPr>
        <w:pStyle w:val="Bullet1"/>
      </w:pPr>
      <w:r w:rsidRPr="00C17468">
        <w:rPr>
          <w:b/>
          <w:bCs/>
        </w:rPr>
        <w:t>Laboratory:</w:t>
      </w:r>
      <w:r w:rsidRPr="00C17468">
        <w:t xml:space="preserve"> Serology is positive (+EIA, +TTPA, +TPHA). IgM may be negative. RPR is reactive</w:t>
      </w:r>
    </w:p>
    <w:p w14:paraId="5760B2CB" w14:textId="77777777" w:rsidR="00873A47" w:rsidRPr="00C17468" w:rsidRDefault="00873A47" w:rsidP="00873A47">
      <w:pPr>
        <w:pStyle w:val="Bullet1"/>
        <w:numPr>
          <w:ilvl w:val="0"/>
          <w:numId w:val="0"/>
        </w:numPr>
        <w:ind w:left="284"/>
      </w:pPr>
    </w:p>
    <w:p w14:paraId="1F6E2F13" w14:textId="0CEE8C71" w:rsidR="00C17468" w:rsidRDefault="00C17468" w:rsidP="00873A47">
      <w:pPr>
        <w:pStyle w:val="Heading2"/>
      </w:pPr>
      <w:bookmarkStart w:id="8" w:name="_Toc190429745"/>
      <w:r w:rsidRPr="00661087">
        <w:t>Late syphilis acquired more than 2 years ago or at an unknown time (non-infectious)</w:t>
      </w:r>
      <w:bookmarkEnd w:id="8"/>
    </w:p>
    <w:p w14:paraId="57A7C7EC" w14:textId="1742C35B" w:rsidR="00C17468" w:rsidRDefault="00C17468" w:rsidP="00873A47">
      <w:pPr>
        <w:pStyle w:val="Heading3"/>
      </w:pPr>
      <w:r w:rsidRPr="007C4D41">
        <w:t>Late latent</w:t>
      </w:r>
    </w:p>
    <w:p w14:paraId="116E1329" w14:textId="77777777" w:rsidR="00C17468" w:rsidRPr="00661087" w:rsidRDefault="00C17468" w:rsidP="00C17468">
      <w:pPr>
        <w:pStyle w:val="Bullet1"/>
      </w:pPr>
      <w:r w:rsidRPr="00661087">
        <w:rPr>
          <w:b/>
        </w:rPr>
        <w:t>Clinical:</w:t>
      </w:r>
      <w:r w:rsidRPr="00661087">
        <w:t xml:space="preserve"> No symptoms of syphilis. No history of adequate treatment. </w:t>
      </w:r>
    </w:p>
    <w:p w14:paraId="5CAB1F3A" w14:textId="528FC99E" w:rsidR="00FC23EE" w:rsidRDefault="00C17468" w:rsidP="00FC23EE">
      <w:pPr>
        <w:pStyle w:val="Bullet1"/>
      </w:pPr>
      <w:r w:rsidRPr="00661087">
        <w:rPr>
          <w:b/>
        </w:rPr>
        <w:t>Laboratory:</w:t>
      </w:r>
      <w:r w:rsidRPr="00661087">
        <w:t xml:space="preserve"> Serology is positive (+EIA, +TTPA,</w:t>
      </w:r>
      <w:r>
        <w:t xml:space="preserve"> </w:t>
      </w:r>
      <w:r w:rsidRPr="00661087">
        <w:t>+TPHA). RPR may still be reactive at low titre.</w:t>
      </w:r>
    </w:p>
    <w:p w14:paraId="61277CD7" w14:textId="248165D0" w:rsidR="00C17468" w:rsidRPr="00FC23EE" w:rsidRDefault="00C17468" w:rsidP="00873A47">
      <w:pPr>
        <w:pStyle w:val="Heading3"/>
      </w:pPr>
      <w:r w:rsidRPr="007C4D41">
        <w:t>Tertiary</w:t>
      </w:r>
    </w:p>
    <w:p w14:paraId="0CAD33D6" w14:textId="77777777" w:rsidR="00C17468" w:rsidRPr="00661087" w:rsidRDefault="00C17468" w:rsidP="00C17468">
      <w:pPr>
        <w:pStyle w:val="Bullet1"/>
      </w:pPr>
      <w:r w:rsidRPr="00661087">
        <w:rPr>
          <w:b/>
        </w:rPr>
        <w:t>Clinical:</w:t>
      </w:r>
      <w:r w:rsidRPr="00661087">
        <w:t xml:space="preserve"> Characteristic abnormalities of the cardiovascular, skin, bone, brain or other system. </w:t>
      </w:r>
    </w:p>
    <w:p w14:paraId="150B2375" w14:textId="6BAA5774" w:rsidR="00200176" w:rsidRDefault="00C17468" w:rsidP="00C17468">
      <w:pPr>
        <w:pStyle w:val="Bullet1"/>
      </w:pPr>
      <w:r w:rsidRPr="00661087">
        <w:rPr>
          <w:b/>
        </w:rPr>
        <w:t>Laboratory:</w:t>
      </w:r>
      <w:r w:rsidRPr="00661087">
        <w:t xml:space="preserve"> Seek expert advice</w:t>
      </w:r>
    </w:p>
    <w:p w14:paraId="0BA8A7D8" w14:textId="77777777" w:rsidR="00C17468" w:rsidRDefault="00C17468" w:rsidP="00200176">
      <w:pPr>
        <w:pStyle w:val="Body"/>
      </w:pPr>
    </w:p>
    <w:p w14:paraId="7580A770" w14:textId="77777777" w:rsidR="00C17468" w:rsidRPr="00661087" w:rsidRDefault="00C17468" w:rsidP="00C17468">
      <w:pPr>
        <w:pStyle w:val="Heading1"/>
      </w:pPr>
      <w:bookmarkStart w:id="9" w:name="_Toc190429746"/>
      <w:r w:rsidRPr="00661087">
        <w:t>Additional resources</w:t>
      </w:r>
      <w:bookmarkEnd w:id="9"/>
    </w:p>
    <w:p w14:paraId="6F7801D5" w14:textId="77777777" w:rsidR="00C17468" w:rsidRPr="007C4D41" w:rsidRDefault="00C17468" w:rsidP="00C17468">
      <w:pPr>
        <w:pStyle w:val="Heading4"/>
      </w:pPr>
      <w:r w:rsidRPr="007C4D41">
        <w:t xml:space="preserve">Clinical information </w:t>
      </w:r>
    </w:p>
    <w:p w14:paraId="69EB491A" w14:textId="77777777" w:rsidR="00C17468" w:rsidRPr="00661087" w:rsidRDefault="00C17468" w:rsidP="00C17468">
      <w:pPr>
        <w:pStyle w:val="Bullet1"/>
        <w:numPr>
          <w:ilvl w:val="0"/>
          <w:numId w:val="41"/>
        </w:numPr>
        <w:rPr>
          <w:szCs w:val="21"/>
        </w:rPr>
      </w:pPr>
      <w:r w:rsidRPr="00661087">
        <w:rPr>
          <w:szCs w:val="21"/>
        </w:rPr>
        <w:t xml:space="preserve">Advice on the diagnosis and management of syphilis and other STIs can be obtained from Melbourne Sexual Health Centre through a doctor’s only information line, phone: 1800 009 903 (Mon–Fri 9:30am–12:30pm, 1:30pm–5:00pm) or through their website www.mshc.org.au </w:t>
      </w:r>
    </w:p>
    <w:p w14:paraId="02606D0D" w14:textId="0ADF3A86" w:rsidR="00C17468" w:rsidRDefault="00C17468" w:rsidP="00C17468">
      <w:pPr>
        <w:pStyle w:val="Bullet1"/>
        <w:numPr>
          <w:ilvl w:val="0"/>
          <w:numId w:val="41"/>
        </w:numPr>
        <w:rPr>
          <w:szCs w:val="21"/>
        </w:rPr>
      </w:pPr>
      <w:hyperlink r:id="rId21" w:history="1">
        <w:r w:rsidRPr="00C17468">
          <w:rPr>
            <w:rStyle w:val="Hyperlink"/>
            <w:szCs w:val="21"/>
          </w:rPr>
          <w:t>Australian STI Management Guidelines for Use in Primary Care</w:t>
        </w:r>
      </w:hyperlink>
      <w:r>
        <w:rPr>
          <w:szCs w:val="21"/>
        </w:rPr>
        <w:t xml:space="preserve"> &lt;</w:t>
      </w:r>
      <w:r w:rsidRPr="00C17468">
        <w:rPr>
          <w:szCs w:val="21"/>
        </w:rPr>
        <w:t>www.sti.guidelines.org.au</w:t>
      </w:r>
      <w:r>
        <w:rPr>
          <w:szCs w:val="21"/>
        </w:rPr>
        <w:t>&gt;</w:t>
      </w:r>
      <w:r w:rsidRPr="00661087">
        <w:rPr>
          <w:szCs w:val="21"/>
        </w:rPr>
        <w:t xml:space="preserve"> </w:t>
      </w:r>
    </w:p>
    <w:p w14:paraId="48442FD7" w14:textId="77777777" w:rsidR="00C17468" w:rsidRPr="00661087" w:rsidRDefault="00C17468" w:rsidP="00C17468">
      <w:pPr>
        <w:pStyle w:val="Bullet1"/>
        <w:numPr>
          <w:ilvl w:val="0"/>
          <w:numId w:val="41"/>
        </w:numPr>
        <w:rPr>
          <w:szCs w:val="21"/>
        </w:rPr>
      </w:pPr>
      <w:r w:rsidRPr="00661087">
        <w:rPr>
          <w:szCs w:val="21"/>
        </w:rPr>
        <w:t xml:space="preserve">Innovative partner notification tools are available to contact partners anonymously via SMS or email. You can undertake partner notification at the time of consultation or strongly encourage your patients to contact their partners themselves. Partner notification tools are available at: </w:t>
      </w:r>
    </w:p>
    <w:p w14:paraId="7AEC13B6" w14:textId="1FE62085" w:rsidR="00C17468" w:rsidRPr="00661087" w:rsidRDefault="00C17468" w:rsidP="00C17468">
      <w:pPr>
        <w:pStyle w:val="Bullet1"/>
        <w:numPr>
          <w:ilvl w:val="0"/>
          <w:numId w:val="0"/>
        </w:numPr>
        <w:ind w:left="284"/>
      </w:pPr>
      <w:r w:rsidRPr="00661087">
        <w:t xml:space="preserve">– </w:t>
      </w:r>
      <w:hyperlink r:id="rId22" w:history="1">
        <w:r w:rsidRPr="00C17468">
          <w:rPr>
            <w:rStyle w:val="Hyperlink"/>
          </w:rPr>
          <w:t>Let them know</w:t>
        </w:r>
      </w:hyperlink>
      <w:r w:rsidRPr="00661087">
        <w:t xml:space="preserve"> </w:t>
      </w:r>
      <w:r>
        <w:t>&lt;</w:t>
      </w:r>
      <w:r w:rsidRPr="00C17468">
        <w:rPr>
          <w:szCs w:val="21"/>
        </w:rPr>
        <w:t>https://letthemknow.org.au/</w:t>
      </w:r>
      <w:r>
        <w:t>&gt;</w:t>
      </w:r>
    </w:p>
    <w:p w14:paraId="4DBD1E55" w14:textId="6478413C" w:rsidR="00C17468" w:rsidRPr="00661087" w:rsidRDefault="00C17468" w:rsidP="00C17468">
      <w:pPr>
        <w:pStyle w:val="Bullet1"/>
        <w:numPr>
          <w:ilvl w:val="0"/>
          <w:numId w:val="0"/>
        </w:numPr>
        <w:ind w:left="284"/>
        <w:rPr>
          <w:szCs w:val="21"/>
        </w:rPr>
      </w:pPr>
      <w:r w:rsidRPr="00661087">
        <w:rPr>
          <w:szCs w:val="21"/>
        </w:rPr>
        <w:t xml:space="preserve">– </w:t>
      </w:r>
      <w:hyperlink r:id="rId23" w:history="1">
        <w:r w:rsidRPr="00C17468">
          <w:rPr>
            <w:rStyle w:val="Hyperlink"/>
            <w:szCs w:val="21"/>
          </w:rPr>
          <w:t>Drama Downunder</w:t>
        </w:r>
      </w:hyperlink>
      <w:r w:rsidRPr="00661087">
        <w:rPr>
          <w:szCs w:val="21"/>
        </w:rPr>
        <w:t xml:space="preserve"> </w:t>
      </w:r>
      <w:r>
        <w:rPr>
          <w:szCs w:val="21"/>
        </w:rPr>
        <w:t>&lt;</w:t>
      </w:r>
      <w:r w:rsidRPr="00C17468">
        <w:rPr>
          <w:szCs w:val="21"/>
        </w:rPr>
        <w:t>www.thedramadownunder.info/introduction</w:t>
      </w:r>
      <w:r>
        <w:rPr>
          <w:szCs w:val="21"/>
        </w:rPr>
        <w:t>&gt;</w:t>
      </w:r>
      <w:r w:rsidRPr="00661087">
        <w:rPr>
          <w:szCs w:val="21"/>
        </w:rPr>
        <w:t xml:space="preserve"> </w:t>
      </w:r>
    </w:p>
    <w:p w14:paraId="6B418E66" w14:textId="7598E89E" w:rsidR="00C17468" w:rsidRDefault="00C17468" w:rsidP="00C17468">
      <w:pPr>
        <w:pStyle w:val="Bullet1"/>
        <w:numPr>
          <w:ilvl w:val="0"/>
          <w:numId w:val="41"/>
        </w:numPr>
        <w:rPr>
          <w:szCs w:val="21"/>
        </w:rPr>
      </w:pPr>
      <w:hyperlink r:id="rId24" w:history="1">
        <w:r w:rsidRPr="00C17468">
          <w:rPr>
            <w:rStyle w:val="Hyperlink"/>
            <w:szCs w:val="21"/>
          </w:rPr>
          <w:t>Local Public Health Units</w:t>
        </w:r>
      </w:hyperlink>
      <w:r>
        <w:rPr>
          <w:szCs w:val="21"/>
        </w:rPr>
        <w:t xml:space="preserve"> &lt;</w:t>
      </w:r>
      <w:r w:rsidRPr="00C17468">
        <w:t xml:space="preserve"> </w:t>
      </w:r>
      <w:r w:rsidRPr="00C17468">
        <w:rPr>
          <w:szCs w:val="21"/>
        </w:rPr>
        <w:t>https://www.health.vic.gov.au/local-public-health-units</w:t>
      </w:r>
      <w:r>
        <w:rPr>
          <w:szCs w:val="21"/>
        </w:rPr>
        <w:t xml:space="preserve">&gt; and the </w:t>
      </w:r>
      <w:r w:rsidRPr="00661087">
        <w:rPr>
          <w:szCs w:val="21"/>
        </w:rPr>
        <w:t>Partner Notification Officers (PNOs) from the Department of Health are available to assist with partner notification</w:t>
      </w:r>
      <w:r>
        <w:rPr>
          <w:szCs w:val="21"/>
        </w:rPr>
        <w:t xml:space="preserve"> and can </w:t>
      </w:r>
      <w:r w:rsidRPr="00661087">
        <w:rPr>
          <w:szCs w:val="21"/>
        </w:rPr>
        <w:t xml:space="preserve">contact the sexual partners of a person diagnosed with an STI, provide advice and referral for testing. Any identifying information about your patients is kept confidential. The PNOs can be contacted on 9096 3367. </w:t>
      </w:r>
    </w:p>
    <w:p w14:paraId="4D00D1FF" w14:textId="5FE7F4F3" w:rsidR="00C17468" w:rsidRPr="00661087" w:rsidRDefault="00C17468" w:rsidP="00C17468">
      <w:pPr>
        <w:pStyle w:val="Bullet1"/>
        <w:numPr>
          <w:ilvl w:val="0"/>
          <w:numId w:val="41"/>
        </w:numPr>
        <w:rPr>
          <w:szCs w:val="21"/>
        </w:rPr>
      </w:pPr>
      <w:hyperlink r:id="rId25" w:history="1">
        <w:r w:rsidRPr="00C17468">
          <w:rPr>
            <w:rStyle w:val="Hyperlink"/>
            <w:szCs w:val="21"/>
          </w:rPr>
          <w:t>Australasian Contact Tracing Guidelines</w:t>
        </w:r>
      </w:hyperlink>
      <w:r>
        <w:rPr>
          <w:szCs w:val="21"/>
        </w:rPr>
        <w:t xml:space="preserve"> &lt;</w:t>
      </w:r>
      <w:r w:rsidRPr="00C17468">
        <w:t>https://contacttracing.ashm.org.au</w:t>
      </w:r>
      <w:r>
        <w:t xml:space="preserve">&gt; </w:t>
      </w:r>
    </w:p>
    <w:p w14:paraId="32E77BAF" w14:textId="77777777" w:rsidR="00C17468" w:rsidRDefault="00C17468" w:rsidP="00200176">
      <w:pPr>
        <w:pStyle w:val="Body"/>
      </w:pPr>
    </w:p>
    <w:p w14:paraId="2917C7C3" w14:textId="77777777" w:rsidR="00C17468" w:rsidRPr="007C4D41" w:rsidRDefault="00C17468" w:rsidP="00C17468">
      <w:pPr>
        <w:pStyle w:val="Heading4"/>
      </w:pPr>
      <w:r w:rsidRPr="007C4D41">
        <w:t xml:space="preserve">Patient information  </w:t>
      </w:r>
    </w:p>
    <w:p w14:paraId="105740FC" w14:textId="0FB2B185" w:rsidR="00C17468" w:rsidRPr="00CC70BD" w:rsidRDefault="00C17468" w:rsidP="00C17468">
      <w:pPr>
        <w:pStyle w:val="DHHSbullet1"/>
        <w:numPr>
          <w:ilvl w:val="0"/>
          <w:numId w:val="41"/>
        </w:numPr>
        <w:rPr>
          <w:color w:val="004C97"/>
          <w:sz w:val="21"/>
          <w:szCs w:val="21"/>
          <w:u w:val="dotted"/>
        </w:rPr>
      </w:pPr>
      <w:hyperlink r:id="rId26" w:history="1">
        <w:r w:rsidRPr="00C17468">
          <w:rPr>
            <w:rStyle w:val="Hyperlink"/>
            <w:sz w:val="21"/>
            <w:szCs w:val="21"/>
          </w:rPr>
          <w:t>Better Health Channel – Syphilis</w:t>
        </w:r>
      </w:hyperlink>
      <w:r w:rsidRPr="00CC70BD">
        <w:rPr>
          <w:sz w:val="21"/>
          <w:szCs w:val="21"/>
        </w:rPr>
        <w:t xml:space="preserve"> </w:t>
      </w:r>
      <w:r>
        <w:rPr>
          <w:sz w:val="21"/>
          <w:szCs w:val="21"/>
        </w:rPr>
        <w:t>&lt;</w:t>
      </w:r>
      <w:r w:rsidRPr="00C17468">
        <w:rPr>
          <w:sz w:val="21"/>
          <w:szCs w:val="21"/>
        </w:rPr>
        <w:t>https://www.betterhealth.vic.gov.au/health/ConditionsAndTreatments/syphilis</w:t>
      </w:r>
      <w:r>
        <w:rPr>
          <w:sz w:val="21"/>
          <w:szCs w:val="21"/>
        </w:rPr>
        <w:t>&gt;</w:t>
      </w:r>
    </w:p>
    <w:p w14:paraId="7E64BF69" w14:textId="27C7AEBD" w:rsidR="00C17468" w:rsidRPr="00CC70BD" w:rsidRDefault="00C17468" w:rsidP="00C17468">
      <w:pPr>
        <w:pStyle w:val="DHHSbullet1"/>
        <w:numPr>
          <w:ilvl w:val="0"/>
          <w:numId w:val="41"/>
        </w:numPr>
        <w:rPr>
          <w:color w:val="004C97"/>
          <w:sz w:val="21"/>
          <w:szCs w:val="21"/>
          <w:u w:val="dotted"/>
        </w:rPr>
      </w:pPr>
      <w:hyperlink r:id="rId27" w:history="1">
        <w:r w:rsidRPr="00C17468">
          <w:rPr>
            <w:rStyle w:val="Hyperlink"/>
            <w:sz w:val="21"/>
          </w:rPr>
          <w:t>Department of Health website - Congenital syphilis</w:t>
        </w:r>
      </w:hyperlink>
      <w:r w:rsidRPr="00CC70BD">
        <w:rPr>
          <w:rStyle w:val="BodyChar"/>
        </w:rPr>
        <w:t xml:space="preserve"> </w:t>
      </w:r>
      <w:r w:rsidRPr="00CC70BD">
        <w:rPr>
          <w:rStyle w:val="BodyChar"/>
        </w:rPr>
        <w:br/>
      </w:r>
      <w:r>
        <w:t>&lt;</w:t>
      </w:r>
      <w:r w:rsidRPr="00C17468">
        <w:t>https://www.health.vic.gov.au/infectious-diseases/congenital-syphilis</w:t>
      </w:r>
      <w:r>
        <w:t>&gt;</w:t>
      </w:r>
    </w:p>
    <w:p w14:paraId="6EC53917" w14:textId="77777777" w:rsidR="00C17468" w:rsidRDefault="00C17468" w:rsidP="00200176">
      <w:pPr>
        <w:pStyle w:val="Body"/>
      </w:pPr>
    </w:p>
    <w:p w14:paraId="23E1836C" w14:textId="77777777" w:rsidR="00C17468" w:rsidRPr="00200176" w:rsidRDefault="00C17468"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4B090F" w:rsidRPr="004B090F" w14:paraId="2C7C9F7E" w14:textId="77777777" w:rsidTr="00EC40D5">
        <w:tc>
          <w:tcPr>
            <w:tcW w:w="10194" w:type="dxa"/>
          </w:tcPr>
          <w:p w14:paraId="675C0748" w14:textId="670C170A" w:rsidR="0055119B" w:rsidRPr="00475733" w:rsidRDefault="0055119B" w:rsidP="0055119B">
            <w:pPr>
              <w:pStyle w:val="Accessibilitypara"/>
              <w:rPr>
                <w:szCs w:val="24"/>
              </w:rPr>
            </w:pPr>
            <w:bookmarkStart w:id="10" w:name="_Hlk37240926"/>
            <w:r w:rsidRPr="00475733">
              <w:rPr>
                <w:szCs w:val="24"/>
              </w:rPr>
              <w:t xml:space="preserve">To receive this document in another format, phone </w:t>
            </w:r>
            <w:r w:rsidR="00873A47" w:rsidRPr="00475733">
              <w:rPr>
                <w:szCs w:val="24"/>
              </w:rPr>
              <w:t>1300 651 160</w:t>
            </w:r>
            <w:r w:rsidRPr="00475733">
              <w:rPr>
                <w:szCs w:val="24"/>
              </w:rPr>
              <w:t xml:space="preserve">, using the National Relay Service 13 36 77 if required, or </w:t>
            </w:r>
            <w:hyperlink r:id="rId28" w:history="1">
              <w:r w:rsidRPr="00475733">
                <w:rPr>
                  <w:rStyle w:val="Hyperlink"/>
                  <w:szCs w:val="24"/>
                </w:rPr>
                <w:t xml:space="preserve">email </w:t>
              </w:r>
              <w:r w:rsidR="00873A47" w:rsidRPr="00475733">
                <w:rPr>
                  <w:rStyle w:val="Hyperlink"/>
                  <w:szCs w:val="24"/>
                </w:rPr>
                <w:t>the Communicable Disease Section</w:t>
              </w:r>
            </w:hyperlink>
            <w:r w:rsidR="00873A47" w:rsidRPr="00475733">
              <w:rPr>
                <w:szCs w:val="24"/>
              </w:rPr>
              <w:t xml:space="preserve"> &lt;infectious.diseases@dhhs.vic.gov.au&gt;.</w:t>
            </w:r>
          </w:p>
          <w:p w14:paraId="509055CF" w14:textId="77777777" w:rsidR="0055119B" w:rsidRPr="004B090F" w:rsidRDefault="0055119B" w:rsidP="00E33237">
            <w:pPr>
              <w:pStyle w:val="Imprint"/>
              <w:rPr>
                <w:color w:val="auto"/>
              </w:rPr>
            </w:pPr>
            <w:r w:rsidRPr="004B090F">
              <w:rPr>
                <w:color w:val="auto"/>
              </w:rPr>
              <w:t>Authorised and published by the Victorian Government, 1 Treasury Place, Melbourne.</w:t>
            </w:r>
          </w:p>
          <w:p w14:paraId="279D7E94" w14:textId="77777777" w:rsidR="0055119B" w:rsidRDefault="0055119B" w:rsidP="00E33237">
            <w:pPr>
              <w:pStyle w:val="Imprint"/>
              <w:rPr>
                <w:color w:val="auto"/>
              </w:rPr>
            </w:pPr>
            <w:r w:rsidRPr="004B090F">
              <w:rPr>
                <w:color w:val="auto"/>
              </w:rPr>
              <w:t xml:space="preserve">© State of Victoria, Australia, </w:t>
            </w:r>
            <w:r w:rsidR="001E2A36" w:rsidRPr="004B090F">
              <w:rPr>
                <w:color w:val="auto"/>
              </w:rPr>
              <w:t>Department of Health</w:t>
            </w:r>
            <w:r w:rsidRPr="004B090F">
              <w:rPr>
                <w:color w:val="auto"/>
              </w:rPr>
              <w:t xml:space="preserve">, </w:t>
            </w:r>
            <w:r w:rsidR="00873A47" w:rsidRPr="004B090F">
              <w:rPr>
                <w:color w:val="auto"/>
              </w:rPr>
              <w:t>February 2025.</w:t>
            </w:r>
          </w:p>
          <w:p w14:paraId="5A8E9F28" w14:textId="13514A49" w:rsidR="00475733" w:rsidRPr="004B090F" w:rsidRDefault="00475733" w:rsidP="00E33237">
            <w:pPr>
              <w:pStyle w:val="Imprint"/>
              <w:rPr>
                <w:color w:val="auto"/>
              </w:rPr>
            </w:pPr>
            <w:r>
              <w:rPr>
                <w:color w:val="auto"/>
              </w:rPr>
              <w:t>Available on</w:t>
            </w:r>
            <w:r>
              <w:t xml:space="preserve"> </w:t>
            </w:r>
            <w:hyperlink r:id="rId29" w:history="1">
              <w:r w:rsidRPr="00475733">
                <w:rPr>
                  <w:rStyle w:val="Hyperlink"/>
                </w:rPr>
                <w:t>Syphilis</w:t>
              </w:r>
            </w:hyperlink>
            <w:r>
              <w:t xml:space="preserve"> &lt;</w:t>
            </w:r>
            <w:r w:rsidRPr="00475733">
              <w:rPr>
                <w:color w:val="auto"/>
              </w:rPr>
              <w:t>https://www.health.vic.gov.au/infectious-diseases/syphilis</w:t>
            </w:r>
            <w:r>
              <w:rPr>
                <w:color w:val="auto"/>
              </w:rPr>
              <w:t>&gt;</w:t>
            </w:r>
          </w:p>
        </w:tc>
      </w:tr>
      <w:bookmarkEnd w:id="10"/>
    </w:tbl>
    <w:p w14:paraId="43FF7612" w14:textId="77777777" w:rsidR="00162CA9" w:rsidRDefault="00162CA9" w:rsidP="00162CA9">
      <w:pPr>
        <w:pStyle w:val="Body"/>
      </w:pPr>
    </w:p>
    <w:sectPr w:rsidR="00162CA9" w:rsidSect="00E62622">
      <w:footerReference w:type="even" r:id="rId30"/>
      <w:footerReference w:type="default" r:id="rId31"/>
      <w:footerReference w:type="firs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9983" w14:textId="77777777" w:rsidR="006121CC" w:rsidRDefault="006121CC">
      <w:r>
        <w:separator/>
      </w:r>
    </w:p>
  </w:endnote>
  <w:endnote w:type="continuationSeparator" w:id="0">
    <w:p w14:paraId="528475B0" w14:textId="77777777" w:rsidR="006121CC" w:rsidRDefault="0061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CD90" w14:textId="6EF7E89E" w:rsidR="007E55B9" w:rsidRDefault="007E55B9">
    <w:pPr>
      <w:pStyle w:val="Footer"/>
    </w:pPr>
    <w:r>
      <w:rPr>
        <w:noProof/>
      </w:rPr>
      <mc:AlternateContent>
        <mc:Choice Requires="wps">
          <w:drawing>
            <wp:anchor distT="0" distB="0" distL="0" distR="0" simplePos="0" relativeHeight="251659264" behindDoc="0" locked="0" layoutInCell="1" allowOverlap="1" wp14:anchorId="37A3F4ED" wp14:editId="74848F17">
              <wp:simplePos x="635" y="635"/>
              <wp:positionH relativeFrom="page">
                <wp:align>center</wp:align>
              </wp:positionH>
              <wp:positionV relativeFrom="page">
                <wp:align>bottom</wp:align>
              </wp:positionV>
              <wp:extent cx="656590" cy="369570"/>
              <wp:effectExtent l="0" t="0" r="10160" b="0"/>
              <wp:wrapNone/>
              <wp:docPr id="19984600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551B83" w14:textId="690D5990"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3F4ED"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71551B83" w14:textId="690D5990"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9F22" w14:textId="6CCE63C3" w:rsidR="007E55B9" w:rsidRDefault="007E55B9">
    <w:pPr>
      <w:pStyle w:val="Footer"/>
    </w:pPr>
    <w:r>
      <w:rPr>
        <w:noProof/>
      </w:rPr>
      <mc:AlternateContent>
        <mc:Choice Requires="wps">
          <w:drawing>
            <wp:anchor distT="0" distB="0" distL="0" distR="0" simplePos="0" relativeHeight="251660288" behindDoc="0" locked="0" layoutInCell="1" allowOverlap="1" wp14:anchorId="44D61A17" wp14:editId="2C6866A0">
              <wp:simplePos x="635" y="635"/>
              <wp:positionH relativeFrom="page">
                <wp:align>center</wp:align>
              </wp:positionH>
              <wp:positionV relativeFrom="page">
                <wp:align>bottom</wp:align>
              </wp:positionV>
              <wp:extent cx="656590" cy="369570"/>
              <wp:effectExtent l="0" t="0" r="10160" b="0"/>
              <wp:wrapNone/>
              <wp:docPr id="174691035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C1BF249" w14:textId="372ACC30"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61A17"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5C1BF249" w14:textId="372ACC30"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D6CF" w14:textId="4ED8C50F" w:rsidR="007E55B9" w:rsidRDefault="007E55B9">
    <w:pPr>
      <w:pStyle w:val="Footer"/>
    </w:pPr>
    <w:r>
      <w:rPr>
        <w:noProof/>
      </w:rPr>
      <mc:AlternateContent>
        <mc:Choice Requires="wps">
          <w:drawing>
            <wp:anchor distT="0" distB="0" distL="0" distR="0" simplePos="0" relativeHeight="251658240" behindDoc="0" locked="0" layoutInCell="1" allowOverlap="1" wp14:anchorId="6D0C9CE0" wp14:editId="2D771EB6">
              <wp:simplePos x="635" y="635"/>
              <wp:positionH relativeFrom="page">
                <wp:align>center</wp:align>
              </wp:positionH>
              <wp:positionV relativeFrom="page">
                <wp:align>bottom</wp:align>
              </wp:positionV>
              <wp:extent cx="656590" cy="369570"/>
              <wp:effectExtent l="0" t="0" r="10160" b="0"/>
              <wp:wrapNone/>
              <wp:docPr id="60708932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278D89F" w14:textId="611B2A9F"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C9CE0"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278D89F" w14:textId="611B2A9F"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32EC" w14:textId="3269DF3E" w:rsidR="007E55B9" w:rsidRDefault="007E55B9">
    <w:pPr>
      <w:pStyle w:val="Footer"/>
    </w:pPr>
    <w:r>
      <w:rPr>
        <w:noProof/>
      </w:rPr>
      <mc:AlternateContent>
        <mc:Choice Requires="wps">
          <w:drawing>
            <wp:anchor distT="0" distB="0" distL="0" distR="0" simplePos="0" relativeHeight="251662336" behindDoc="0" locked="0" layoutInCell="1" allowOverlap="1" wp14:anchorId="22A61216" wp14:editId="2E3F3894">
              <wp:simplePos x="635" y="635"/>
              <wp:positionH relativeFrom="page">
                <wp:align>center</wp:align>
              </wp:positionH>
              <wp:positionV relativeFrom="page">
                <wp:align>bottom</wp:align>
              </wp:positionV>
              <wp:extent cx="656590" cy="369570"/>
              <wp:effectExtent l="0" t="0" r="10160" b="0"/>
              <wp:wrapNone/>
              <wp:docPr id="3369627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72AAED4" w14:textId="3B81EFD4"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61216"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72AAED4" w14:textId="3B81EFD4"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6472" w14:textId="5237300B" w:rsidR="007E55B9" w:rsidRDefault="007E55B9">
    <w:pPr>
      <w:pStyle w:val="Footer"/>
    </w:pPr>
    <w:r>
      <w:rPr>
        <w:noProof/>
      </w:rPr>
      <mc:AlternateContent>
        <mc:Choice Requires="wps">
          <w:drawing>
            <wp:anchor distT="0" distB="0" distL="0" distR="0" simplePos="0" relativeHeight="251663360" behindDoc="0" locked="0" layoutInCell="1" allowOverlap="1" wp14:anchorId="2A3AF1DC" wp14:editId="2A930626">
              <wp:simplePos x="635" y="635"/>
              <wp:positionH relativeFrom="page">
                <wp:align>center</wp:align>
              </wp:positionH>
              <wp:positionV relativeFrom="page">
                <wp:align>bottom</wp:align>
              </wp:positionV>
              <wp:extent cx="656590" cy="369570"/>
              <wp:effectExtent l="0" t="0" r="10160" b="0"/>
              <wp:wrapNone/>
              <wp:docPr id="8355386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3219041" w14:textId="79A7ED5E"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3AF1DC"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43219041" w14:textId="79A7ED5E"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F2C9" w14:textId="6473ACF7" w:rsidR="007E55B9" w:rsidRDefault="007E55B9">
    <w:pPr>
      <w:pStyle w:val="Footer"/>
    </w:pPr>
    <w:r>
      <w:rPr>
        <w:noProof/>
      </w:rPr>
      <mc:AlternateContent>
        <mc:Choice Requires="wps">
          <w:drawing>
            <wp:anchor distT="0" distB="0" distL="0" distR="0" simplePos="0" relativeHeight="251661312" behindDoc="0" locked="0" layoutInCell="1" allowOverlap="1" wp14:anchorId="44BF63FC" wp14:editId="7B3CFFB1">
              <wp:simplePos x="635" y="635"/>
              <wp:positionH relativeFrom="page">
                <wp:align>center</wp:align>
              </wp:positionH>
              <wp:positionV relativeFrom="page">
                <wp:align>bottom</wp:align>
              </wp:positionV>
              <wp:extent cx="656590" cy="369570"/>
              <wp:effectExtent l="0" t="0" r="10160" b="0"/>
              <wp:wrapNone/>
              <wp:docPr id="18204422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1A997A3" w14:textId="022B1D30"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BF63FC"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1A997A3" w14:textId="022B1D30"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D87E" w14:textId="61B6D885" w:rsidR="007E55B9" w:rsidRDefault="007E55B9">
    <w:pPr>
      <w:pStyle w:val="Footer"/>
    </w:pPr>
    <w:r>
      <w:rPr>
        <w:noProof/>
      </w:rPr>
      <mc:AlternateContent>
        <mc:Choice Requires="wps">
          <w:drawing>
            <wp:anchor distT="0" distB="0" distL="0" distR="0" simplePos="0" relativeHeight="251665408" behindDoc="0" locked="0" layoutInCell="1" allowOverlap="1" wp14:anchorId="3E9D5104" wp14:editId="73800393">
              <wp:simplePos x="635" y="635"/>
              <wp:positionH relativeFrom="page">
                <wp:align>center</wp:align>
              </wp:positionH>
              <wp:positionV relativeFrom="page">
                <wp:align>bottom</wp:align>
              </wp:positionV>
              <wp:extent cx="656590" cy="369570"/>
              <wp:effectExtent l="0" t="0" r="10160" b="0"/>
              <wp:wrapNone/>
              <wp:docPr id="125253516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EDA3670" w14:textId="24673FA1"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D5104"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EDA3670" w14:textId="24673FA1"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852A" w14:textId="15007BC1" w:rsidR="00373890" w:rsidRPr="00F65AA9" w:rsidRDefault="007E55B9" w:rsidP="00F84FA0">
    <w:pPr>
      <w:pStyle w:val="Footer"/>
    </w:pPr>
    <w:r>
      <w:rPr>
        <w:noProof/>
      </w:rPr>
      <mc:AlternateContent>
        <mc:Choice Requires="wps">
          <w:drawing>
            <wp:anchor distT="0" distB="0" distL="0" distR="0" simplePos="0" relativeHeight="251666432" behindDoc="0" locked="0" layoutInCell="1" allowOverlap="1" wp14:anchorId="4E9868E3" wp14:editId="132384CC">
              <wp:simplePos x="541606" y="9819249"/>
              <wp:positionH relativeFrom="page">
                <wp:align>center</wp:align>
              </wp:positionH>
              <wp:positionV relativeFrom="page">
                <wp:align>bottom</wp:align>
              </wp:positionV>
              <wp:extent cx="656590" cy="369570"/>
              <wp:effectExtent l="0" t="0" r="10160" b="0"/>
              <wp:wrapNone/>
              <wp:docPr id="63325509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CA3B3B9" w14:textId="6F32837D"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868E3" id="_x0000_t202" coordsize="21600,21600" o:spt="202" path="m,l,21600r21600,l21600,xe">
              <v:stroke joinstyle="miter"/>
              <v:path gradientshapeok="t" o:connecttype="rect"/>
            </v:shapetype>
            <v:shape id="Text Box 9" o:spid="_x0000_s1033" type="#_x0000_t202" alt="OFFICIAL" style="position:absolute;left:0;text-align:left;margin-left:0;margin-top:0;width:51.7pt;height:29.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CA3B3B9" w14:textId="6F32837D"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56DC" w14:textId="21CDE0F3" w:rsidR="007E55B9" w:rsidRDefault="007E55B9">
    <w:pPr>
      <w:pStyle w:val="Footer"/>
    </w:pPr>
    <w:r>
      <w:rPr>
        <w:noProof/>
      </w:rPr>
      <mc:AlternateContent>
        <mc:Choice Requires="wps">
          <w:drawing>
            <wp:anchor distT="0" distB="0" distL="0" distR="0" simplePos="0" relativeHeight="251664384" behindDoc="0" locked="0" layoutInCell="1" allowOverlap="1" wp14:anchorId="723B8DEF" wp14:editId="66BD7B36">
              <wp:simplePos x="635" y="635"/>
              <wp:positionH relativeFrom="page">
                <wp:align>center</wp:align>
              </wp:positionH>
              <wp:positionV relativeFrom="page">
                <wp:align>bottom</wp:align>
              </wp:positionV>
              <wp:extent cx="656590" cy="369570"/>
              <wp:effectExtent l="0" t="0" r="10160" b="0"/>
              <wp:wrapNone/>
              <wp:docPr id="4373496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611E3FD" w14:textId="77640B9E"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B8DEF" id="_x0000_t202" coordsize="21600,21600" o:spt="202" path="m,l,21600r21600,l21600,xe">
              <v:stroke joinstyle="miter"/>
              <v:path gradientshapeok="t" o:connecttype="rect"/>
            </v:shapetype>
            <v:shape id="Text Box 7" o:spid="_x0000_s1034" type="#_x0000_t202" alt="OFFICIAL" style="position:absolute;left:0;text-align:left;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611E3FD" w14:textId="77640B9E" w:rsidR="007E55B9" w:rsidRPr="007E55B9" w:rsidRDefault="007E55B9" w:rsidP="007E55B9">
                    <w:pPr>
                      <w:spacing w:after="0"/>
                      <w:rPr>
                        <w:rFonts w:ascii="Arial Black" w:eastAsia="Arial Black" w:hAnsi="Arial Black" w:cs="Arial Black"/>
                        <w:noProof/>
                        <w:color w:val="000000"/>
                        <w:sz w:val="20"/>
                      </w:rPr>
                    </w:pPr>
                    <w:r w:rsidRPr="007E55B9">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A027" w14:textId="77777777" w:rsidR="006121CC" w:rsidRDefault="006121CC" w:rsidP="002862F1">
      <w:pPr>
        <w:spacing w:before="120"/>
      </w:pPr>
      <w:r>
        <w:separator/>
      </w:r>
    </w:p>
  </w:footnote>
  <w:footnote w:type="continuationSeparator" w:id="0">
    <w:p w14:paraId="6A5A1BB9" w14:textId="77777777" w:rsidR="006121CC" w:rsidRDefault="0061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9D3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596F" w14:textId="7A142407" w:rsidR="00E261B3" w:rsidRPr="007E55B9" w:rsidRDefault="00E261B3" w:rsidP="007E5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96827590">
    <w:abstractNumId w:val="10"/>
  </w:num>
  <w:num w:numId="2" w16cid:durableId="1068529267">
    <w:abstractNumId w:val="17"/>
  </w:num>
  <w:num w:numId="3" w16cid:durableId="16374444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8688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0746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22517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26516">
    <w:abstractNumId w:val="21"/>
  </w:num>
  <w:num w:numId="8" w16cid:durableId="1643459017">
    <w:abstractNumId w:val="16"/>
  </w:num>
  <w:num w:numId="9" w16cid:durableId="1368869331">
    <w:abstractNumId w:val="20"/>
  </w:num>
  <w:num w:numId="10" w16cid:durableId="8421619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0299856">
    <w:abstractNumId w:val="22"/>
  </w:num>
  <w:num w:numId="12" w16cid:durableId="2019394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132689">
    <w:abstractNumId w:val="18"/>
  </w:num>
  <w:num w:numId="14" w16cid:durableId="88817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63980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77727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21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1777973">
    <w:abstractNumId w:val="24"/>
  </w:num>
  <w:num w:numId="19" w16cid:durableId="21002462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9610587">
    <w:abstractNumId w:val="14"/>
  </w:num>
  <w:num w:numId="21" w16cid:durableId="280041603">
    <w:abstractNumId w:val="12"/>
  </w:num>
  <w:num w:numId="22" w16cid:durableId="624652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405630">
    <w:abstractNumId w:val="15"/>
  </w:num>
  <w:num w:numId="24" w16cid:durableId="1627614938">
    <w:abstractNumId w:val="25"/>
  </w:num>
  <w:num w:numId="25" w16cid:durableId="1772313018">
    <w:abstractNumId w:val="23"/>
  </w:num>
  <w:num w:numId="26" w16cid:durableId="1096681224">
    <w:abstractNumId w:val="19"/>
  </w:num>
  <w:num w:numId="27" w16cid:durableId="1714035094">
    <w:abstractNumId w:val="11"/>
  </w:num>
  <w:num w:numId="28" w16cid:durableId="283771960">
    <w:abstractNumId w:val="26"/>
  </w:num>
  <w:num w:numId="29" w16cid:durableId="1856839605">
    <w:abstractNumId w:val="9"/>
  </w:num>
  <w:num w:numId="30" w16cid:durableId="446200995">
    <w:abstractNumId w:val="7"/>
  </w:num>
  <w:num w:numId="31" w16cid:durableId="329144150">
    <w:abstractNumId w:val="6"/>
  </w:num>
  <w:num w:numId="32" w16cid:durableId="663163721">
    <w:abstractNumId w:val="5"/>
  </w:num>
  <w:num w:numId="33" w16cid:durableId="464273121">
    <w:abstractNumId w:val="4"/>
  </w:num>
  <w:num w:numId="34" w16cid:durableId="142625469">
    <w:abstractNumId w:val="8"/>
  </w:num>
  <w:num w:numId="35" w16cid:durableId="496387420">
    <w:abstractNumId w:val="3"/>
  </w:num>
  <w:num w:numId="36" w16cid:durableId="1050031589">
    <w:abstractNumId w:val="2"/>
  </w:num>
  <w:num w:numId="37" w16cid:durableId="995763084">
    <w:abstractNumId w:val="1"/>
  </w:num>
  <w:num w:numId="38" w16cid:durableId="963926733">
    <w:abstractNumId w:val="0"/>
  </w:num>
  <w:num w:numId="39" w16cid:durableId="1503231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8833140">
    <w:abstractNumId w:val="21"/>
  </w:num>
  <w:num w:numId="41" w16cid:durableId="1063990978">
    <w:abstractNumId w:val="21"/>
    <w:lvlOverride w:ilvl="0">
      <w:lvl w:ilvl="0">
        <w:start w:val="1"/>
        <w:numFmt w:val="bullet"/>
        <w:pStyle w:val="Bullet1"/>
        <w:lvlText w:val="•"/>
        <w:lvlJc w:val="left"/>
        <w:pPr>
          <w:ind w:left="284" w:hanging="284"/>
        </w:pPr>
        <w:rPr>
          <w:rFonts w:ascii="Calibri" w:hAnsi="Calibri" w:hint="default"/>
          <w:color w:val="auto"/>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1B89"/>
    <w:rsid w:val="00122FEA"/>
    <w:rsid w:val="001232BD"/>
    <w:rsid w:val="00124ED5"/>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5A6C"/>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D65"/>
    <w:rsid w:val="00426843"/>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5733"/>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090F"/>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21C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4100"/>
    <w:rsid w:val="00696F27"/>
    <w:rsid w:val="006A18C2"/>
    <w:rsid w:val="006A3383"/>
    <w:rsid w:val="006B077C"/>
    <w:rsid w:val="006B6803"/>
    <w:rsid w:val="006D0F16"/>
    <w:rsid w:val="006D112A"/>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55B9"/>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3A47"/>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5BF4"/>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7468"/>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3EE"/>
    <w:rsid w:val="00FC252F"/>
    <w:rsid w:val="00FC395C"/>
    <w:rsid w:val="00FC5E8E"/>
    <w:rsid w:val="00FD3766"/>
    <w:rsid w:val="00FD47C4"/>
    <w:rsid w:val="00FD722A"/>
    <w:rsid w:val="00FE2DCF"/>
    <w:rsid w:val="00FE3FA7"/>
    <w:rsid w:val="00FF2A4E"/>
    <w:rsid w:val="00FF2FCE"/>
    <w:rsid w:val="00FF4DE4"/>
    <w:rsid w:val="00FF4F7D"/>
    <w:rsid w:val="00FF54DF"/>
    <w:rsid w:val="00FF58A3"/>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C17468"/>
    <w:pPr>
      <w:spacing w:after="120" w:line="270" w:lineRule="atLeast"/>
    </w:pPr>
    <w:rPr>
      <w:rFonts w:ascii="Arial" w:eastAsia="Times" w:hAnsi="Arial"/>
      <w:lang w:eastAsia="en-US"/>
    </w:rPr>
  </w:style>
  <w:style w:type="paragraph" w:customStyle="1" w:styleId="DHHSbullet1">
    <w:name w:val="DHHS bullet 1"/>
    <w:basedOn w:val="DHHSbody"/>
    <w:qFormat/>
    <w:rsid w:val="00C17468"/>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sti.guidelines.org.au/sexually-transmissible-infections/syphilis" TargetMode="External"/><Relationship Id="rId26" Type="http://schemas.openxmlformats.org/officeDocument/2006/relationships/hyperlink" Target="https://www.betterhealth.vic.gov.au/health/ConditionsAndTreatments/syphilis" TargetMode="External"/><Relationship Id="rId3" Type="http://schemas.openxmlformats.org/officeDocument/2006/relationships/styles" Target="styles.xml"/><Relationship Id="rId21" Type="http://schemas.openxmlformats.org/officeDocument/2006/relationships/hyperlink" Target="http://www.sti.guidelines.org.au/sexually-transmissible-infections/syphili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ideas.health.vic.gov.au/notifying.asp" TargetMode="External"/><Relationship Id="rId25" Type="http://schemas.openxmlformats.org/officeDocument/2006/relationships/hyperlink" Target="https://contacttracing.ashm.org.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www.health.vic.gov.au/local-public-health-units" TargetMode="External"/><Relationship Id="rId29" Type="http://schemas.openxmlformats.org/officeDocument/2006/relationships/hyperlink" Target="https://www.health.vic.gov.au/infectious-diseases/syphil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health.vic.gov.au/local-public-health-units" TargetMode="Externa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thedramadownunder.info/introduction" TargetMode="External"/><Relationship Id="rId28" Type="http://schemas.openxmlformats.org/officeDocument/2006/relationships/hyperlink" Target="mailto:infectious.diseases@dhhs.vic.gov.au" TargetMode="External"/><Relationship Id="rId10" Type="http://schemas.openxmlformats.org/officeDocument/2006/relationships/footer" Target="footer1.xml"/><Relationship Id="rId19" Type="http://schemas.openxmlformats.org/officeDocument/2006/relationships/hyperlink" Target="http://www.sti.guidelines.org.au/sexually-transmissible-infections/syphilis"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letthemknow.org.au/" TargetMode="External"/><Relationship Id="rId27" Type="http://schemas.openxmlformats.org/officeDocument/2006/relationships/hyperlink" Target="https://www.health.vic.gov.au/infectious-diseases/congenital-syphilis" TargetMode="Externa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6723C-3B9E-49AD-8BB3-20A1D8FC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8969</Characters>
  <Application>Microsoft Office Word</Application>
  <DocSecurity>2</DocSecurity>
  <Lines>74</Lines>
  <Paragraphs>20</Paragraphs>
  <ScaleCrop>false</ScaleCrop>
  <HeadingPairs>
    <vt:vector size="2" baseType="variant">
      <vt:variant>
        <vt:lpstr>Title</vt:lpstr>
      </vt:variant>
      <vt:variant>
        <vt:i4>1</vt:i4>
      </vt:variant>
    </vt:vector>
  </HeadingPairs>
  <TitlesOfParts>
    <vt:vector size="1" baseType="lpstr">
      <vt:lpstr>Factsheet for clinicians - Syphilis </vt:lpstr>
    </vt:vector>
  </TitlesOfParts>
  <Manager/>
  <Company/>
  <LinksUpToDate>false</LinksUpToDate>
  <CharactersWithSpaces>10142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for clinicians - Syphilis </dc:title>
  <dc:subject/>
  <dc:creator/>
  <cp:keywords/>
  <dc:description/>
  <cp:lastModifiedBy/>
  <cp:revision>1</cp:revision>
  <dcterms:created xsi:type="dcterms:W3CDTF">2025-02-14T01:53:00Z</dcterms:created>
  <dcterms:modified xsi:type="dcterms:W3CDTF">2025-02-14T02:19:00Z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242f72b1,771e146b,681fbc95,6c81be61,1415a4c0,31cd4ee2,29b57b3,4aa82b7c,25beb4b5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2025-02-14T01:54:07Z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9f9441b6-f4e2-4016-8bde-b51d11b16742</vt:lpwstr>
  </property>
  <property fmtid="{D5CDD505-2E9C-101B-9397-08002B2CF9AE}" pid="11" name="MSIP_Label_43e64453-338c-4f93-8a4d-0039a0a41f2a_ContentBits">
    <vt:lpwstr>2</vt:lpwstr>
  </property>
</Properties>
</file>