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7C1B46ED" w:rsidR="003B5733" w:rsidRPr="003B5733" w:rsidRDefault="009E17AF" w:rsidP="003B5733">
            <w:pPr>
              <w:pStyle w:val="Documenttitle"/>
            </w:pPr>
            <w:r>
              <w:t>Perioperative service capability framework</w:t>
            </w:r>
          </w:p>
        </w:tc>
      </w:tr>
      <w:tr w:rsidR="003B5733" w14:paraId="2B0FB168" w14:textId="77777777" w:rsidTr="00B07FF7">
        <w:tc>
          <w:tcPr>
            <w:tcW w:w="10348" w:type="dxa"/>
          </w:tcPr>
          <w:p w14:paraId="6C198BA9" w14:textId="1D24BEA6" w:rsidR="003B5733" w:rsidRPr="00A1389F" w:rsidRDefault="00F67FBF" w:rsidP="00376164">
            <w:pPr>
              <w:pStyle w:val="Documentsubtitle"/>
            </w:pPr>
            <w:r>
              <w:t>Health service</w:t>
            </w:r>
            <w:r w:rsidR="0006092F">
              <w:t>s</w:t>
            </w:r>
            <w:r w:rsidR="009E17AF">
              <w:t xml:space="preserve"> </w:t>
            </w:r>
            <w:r w:rsidR="0006092F">
              <w:t>factsheet</w:t>
            </w:r>
          </w:p>
        </w:tc>
      </w:tr>
      <w:tr w:rsidR="003B5733" w14:paraId="1D099E71" w14:textId="77777777" w:rsidTr="00B07FF7">
        <w:tc>
          <w:tcPr>
            <w:tcW w:w="10348" w:type="dxa"/>
          </w:tcPr>
          <w:p w14:paraId="1415A28C" w14:textId="77777777" w:rsidR="003B5733" w:rsidRPr="001E5058" w:rsidRDefault="009F1300" w:rsidP="001E5058">
            <w:pPr>
              <w:pStyle w:val="Bannermarking"/>
            </w:pPr>
            <w:r>
              <w:t>OFFICIAL</w:t>
            </w:r>
          </w:p>
        </w:tc>
      </w:tr>
    </w:tbl>
    <w:p w14:paraId="1CDB2AC7" w14:textId="517E9F77" w:rsidR="009E17AF" w:rsidRPr="00B519CD" w:rsidRDefault="009E17AF" w:rsidP="007173CA">
      <w:pPr>
        <w:pStyle w:val="Body"/>
        <w:sectPr w:rsidR="009E17AF"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3FABD93" w14:textId="6C4A5D03" w:rsidR="00436EC9" w:rsidRPr="00997326" w:rsidRDefault="00436EC9" w:rsidP="004C6780">
      <w:pPr>
        <w:pStyle w:val="Heading3"/>
        <w:rPr>
          <w:rStyle w:val="normaltextrun"/>
          <w:color w:val="auto"/>
        </w:rPr>
      </w:pPr>
      <w:bookmarkStart w:id="0" w:name="_Toc150444251"/>
      <w:bookmarkStart w:id="1" w:name="_Toc203486403"/>
      <w:r w:rsidRPr="00997326">
        <w:rPr>
          <w:rStyle w:val="normaltextrun"/>
          <w:color w:val="auto"/>
        </w:rPr>
        <w:t>Perioperative service capability framework</w:t>
      </w:r>
      <w:bookmarkEnd w:id="0"/>
      <w:bookmarkEnd w:id="1"/>
      <w:r w:rsidRPr="00997326">
        <w:rPr>
          <w:rStyle w:val="normaltextrun"/>
          <w:color w:val="auto"/>
        </w:rPr>
        <w:t> </w:t>
      </w:r>
    </w:p>
    <w:p w14:paraId="7547A86F" w14:textId="77777777" w:rsidR="00436EC9" w:rsidRDefault="00436EC9" w:rsidP="7EDAD206">
      <w:pPr>
        <w:pStyle w:val="Body"/>
        <w:rPr>
          <w:rFonts w:ascii="Segoe UI" w:hAnsi="Segoe UI" w:cs="Segoe UI"/>
          <w:sz w:val="18"/>
          <w:szCs w:val="18"/>
        </w:rPr>
      </w:pPr>
      <w:r w:rsidRPr="7EDAD206">
        <w:rPr>
          <w:lang w:val="en-US"/>
        </w:rPr>
        <w:t>The Perioperative service capability framework is a structured guideline for delivering optimal perioperative care in Victoria's health system. </w:t>
      </w:r>
      <w:r>
        <w:t> </w:t>
      </w:r>
    </w:p>
    <w:p w14:paraId="5915AA3A" w14:textId="77777777" w:rsidR="00436EC9" w:rsidRDefault="00436EC9" w:rsidP="7EDAD206">
      <w:pPr>
        <w:pStyle w:val="Body"/>
        <w:rPr>
          <w:rFonts w:ascii="Segoe UI" w:hAnsi="Segoe UI" w:cs="Segoe UI"/>
          <w:sz w:val="18"/>
          <w:szCs w:val="18"/>
        </w:rPr>
      </w:pPr>
      <w:r w:rsidRPr="7EDAD206">
        <w:rPr>
          <w:lang w:val="en-US"/>
        </w:rPr>
        <w:t xml:space="preserve">It outlines the essential elements required for perioperative services to function effectively and </w:t>
      </w:r>
      <w:proofErr w:type="spellStart"/>
      <w:r w:rsidRPr="7EDAD206">
        <w:rPr>
          <w:lang w:val="en-US"/>
        </w:rPr>
        <w:t>categorises</w:t>
      </w:r>
      <w:proofErr w:type="spellEnd"/>
      <w:r w:rsidRPr="7EDAD206">
        <w:rPr>
          <w:lang w:val="en-US"/>
        </w:rPr>
        <w:t xml:space="preserve"> these services into six levels of capability.  The Perioperative capability framework achieves this through a cumulative design approach, systematically defining the requirements for workforce, infrastructure, equipment, clinical support services and clinical governance at each of the six levels.</w:t>
      </w:r>
      <w:r>
        <w:t> </w:t>
      </w:r>
    </w:p>
    <w:p w14:paraId="2F304F4F" w14:textId="77777777" w:rsidR="00436EC9" w:rsidRDefault="00436EC9" w:rsidP="00436E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5F542D" w14:textId="698E39CF" w:rsidR="00436EC9" w:rsidRPr="00997326" w:rsidRDefault="00436EC9" w:rsidP="00997326">
      <w:pPr>
        <w:pStyle w:val="Heading3"/>
        <w:rPr>
          <w:rStyle w:val="normaltextrun"/>
          <w:color w:val="auto"/>
        </w:rPr>
      </w:pPr>
      <w:bookmarkStart w:id="2" w:name="_Toc150444252"/>
      <w:bookmarkStart w:id="3" w:name="_Toc203486404"/>
      <w:r w:rsidRPr="00997326">
        <w:rPr>
          <w:rStyle w:val="normaltextrun"/>
          <w:color w:val="auto"/>
        </w:rPr>
        <w:t xml:space="preserve">Perioperative capability framework </w:t>
      </w:r>
      <w:bookmarkEnd w:id="2"/>
      <w:r w:rsidR="0006092F">
        <w:rPr>
          <w:rStyle w:val="normaltextrun"/>
          <w:color w:val="auto"/>
        </w:rPr>
        <w:t>purpose</w:t>
      </w:r>
      <w:bookmarkEnd w:id="3"/>
      <w:r w:rsidRPr="00997326">
        <w:rPr>
          <w:rStyle w:val="normaltextrun"/>
          <w:color w:val="auto"/>
        </w:rPr>
        <w:t> </w:t>
      </w:r>
    </w:p>
    <w:p w14:paraId="432D3151" w14:textId="77777777" w:rsidR="00436EC9" w:rsidRDefault="00436EC9" w:rsidP="7DB3D5C6">
      <w:pPr>
        <w:pStyle w:val="paragraph"/>
        <w:spacing w:before="0" w:beforeAutospacing="0" w:after="0" w:afterAutospacing="0"/>
        <w:textAlignment w:val="baseline"/>
        <w:rPr>
          <w:rFonts w:ascii="Arial" w:eastAsia="Arial" w:hAnsi="Arial" w:cs="Arial"/>
          <w:sz w:val="18"/>
          <w:szCs w:val="18"/>
        </w:rPr>
      </w:pPr>
      <w:r w:rsidRPr="7DB3D5C6">
        <w:rPr>
          <w:rStyle w:val="normaltextrun"/>
          <w:rFonts w:ascii="Arial" w:eastAsia="Arial" w:hAnsi="Arial" w:cs="Arial"/>
          <w:sz w:val="22"/>
          <w:szCs w:val="22"/>
          <w:lang w:val="en-US"/>
        </w:rPr>
        <w:t>The Perioperative service capability framework has been developed to: </w:t>
      </w:r>
      <w:r w:rsidRPr="7DB3D5C6">
        <w:rPr>
          <w:rStyle w:val="eop"/>
          <w:rFonts w:ascii="Arial" w:eastAsia="Arial" w:hAnsi="Arial" w:cs="Arial"/>
          <w:sz w:val="22"/>
          <w:szCs w:val="22"/>
        </w:rPr>
        <w:t> </w:t>
      </w:r>
    </w:p>
    <w:p w14:paraId="37C9CAB7" w14:textId="77777777" w:rsidR="00436EC9" w:rsidRDefault="00436EC9" w:rsidP="7EDAD206">
      <w:pPr>
        <w:pStyle w:val="Bullet1"/>
        <w:rPr>
          <w:rFonts w:ascii="Calibri" w:hAnsi="Calibri" w:cs="Calibri"/>
          <w:sz w:val="22"/>
          <w:szCs w:val="22"/>
        </w:rPr>
      </w:pPr>
      <w:r w:rsidRPr="7EDAD206">
        <w:rPr>
          <w:lang w:val="en-US"/>
        </w:rPr>
        <w:t>enable safe, high-quality perioperative care for patients by ensuring that services are provided in the right place and at the right time</w:t>
      </w:r>
      <w:r>
        <w:t> </w:t>
      </w:r>
    </w:p>
    <w:p w14:paraId="5372A399" w14:textId="77777777" w:rsidR="00436EC9" w:rsidRDefault="00436EC9" w:rsidP="7EDAD206">
      <w:pPr>
        <w:pStyle w:val="Bullet1"/>
        <w:rPr>
          <w:rFonts w:ascii="Calibri" w:hAnsi="Calibri" w:cs="Calibri"/>
          <w:sz w:val="22"/>
          <w:szCs w:val="22"/>
        </w:rPr>
      </w:pPr>
      <w:r w:rsidRPr="7EDAD206">
        <w:rPr>
          <w:lang w:val="en-US"/>
        </w:rPr>
        <w:t>enhance transparency in health service perioperative activities and functions, enabling the department of health to fulfill its role as a system steward</w:t>
      </w:r>
      <w:r>
        <w:t> </w:t>
      </w:r>
    </w:p>
    <w:p w14:paraId="6FFB0B9B" w14:textId="77777777" w:rsidR="00436EC9" w:rsidRDefault="00436EC9" w:rsidP="7EDAD206">
      <w:pPr>
        <w:pStyle w:val="Bullet1"/>
        <w:rPr>
          <w:rFonts w:ascii="Calibri" w:hAnsi="Calibri" w:cs="Calibri"/>
          <w:sz w:val="22"/>
          <w:szCs w:val="22"/>
        </w:rPr>
      </w:pPr>
      <w:r w:rsidRPr="7EDAD206">
        <w:rPr>
          <w:lang w:val="en-US"/>
        </w:rPr>
        <w:t>assist health services to make informed decisions regarding the resources, partnerships, and protocols needed to manage different levels of perioperative procedural and patient complexity</w:t>
      </w:r>
      <w:r>
        <w:t> </w:t>
      </w:r>
    </w:p>
    <w:p w14:paraId="4EB8D894" w14:textId="5AC5859F" w:rsidR="00436EC9" w:rsidRDefault="00436EC9" w:rsidP="7EDAD206">
      <w:pPr>
        <w:pStyle w:val="Bullet1"/>
        <w:rPr>
          <w:rStyle w:val="eop"/>
          <w:rFonts w:ascii="Calibri" w:hAnsi="Calibri" w:cs="Calibri"/>
          <w:sz w:val="22"/>
          <w:szCs w:val="22"/>
        </w:rPr>
      </w:pPr>
      <w:r w:rsidRPr="7EDAD206">
        <w:rPr>
          <w:lang w:val="en-US"/>
        </w:rPr>
        <w:t>support planning and development of perioperative services based on community needs.</w:t>
      </w:r>
      <w:r>
        <w:t> </w:t>
      </w:r>
    </w:p>
    <w:p w14:paraId="3C35E00E" w14:textId="77777777" w:rsidR="00997326" w:rsidRPr="00997326" w:rsidRDefault="00997326" w:rsidP="0006092F">
      <w:pPr>
        <w:pStyle w:val="paragraph"/>
        <w:spacing w:before="0" w:beforeAutospacing="0" w:after="0" w:afterAutospacing="0"/>
        <w:ind w:left="1080"/>
        <w:textAlignment w:val="baseline"/>
        <w:rPr>
          <w:rStyle w:val="normaltextrun"/>
          <w:rFonts w:ascii="Calibri" w:hAnsi="Calibri" w:cs="Calibri"/>
          <w:sz w:val="22"/>
          <w:szCs w:val="22"/>
        </w:rPr>
      </w:pPr>
    </w:p>
    <w:p w14:paraId="24597724" w14:textId="41D64351" w:rsidR="00436EC9" w:rsidRPr="00997326" w:rsidRDefault="00436EC9" w:rsidP="00997326">
      <w:pPr>
        <w:pStyle w:val="Heading3"/>
        <w:rPr>
          <w:rStyle w:val="normaltextrun"/>
          <w:color w:val="auto"/>
        </w:rPr>
      </w:pPr>
      <w:bookmarkStart w:id="4" w:name="_Toc150444253"/>
      <w:bookmarkStart w:id="5" w:name="_Toc203486405"/>
      <w:r w:rsidRPr="00997326">
        <w:rPr>
          <w:rStyle w:val="normaltextrun"/>
          <w:color w:val="auto"/>
        </w:rPr>
        <w:t xml:space="preserve">Perioperative capability framework </w:t>
      </w:r>
      <w:bookmarkEnd w:id="4"/>
      <w:r w:rsidR="0006092F">
        <w:rPr>
          <w:rStyle w:val="normaltextrun"/>
          <w:color w:val="auto"/>
        </w:rPr>
        <w:t>scope</w:t>
      </w:r>
      <w:bookmarkEnd w:id="5"/>
      <w:r w:rsidRPr="00997326">
        <w:rPr>
          <w:rStyle w:val="normaltextrun"/>
          <w:color w:val="auto"/>
        </w:rPr>
        <w:t> </w:t>
      </w:r>
    </w:p>
    <w:p w14:paraId="173C5D99" w14:textId="77777777" w:rsidR="00436EC9" w:rsidRDefault="00436EC9" w:rsidP="7EDAD206">
      <w:pPr>
        <w:pStyle w:val="Body"/>
        <w:rPr>
          <w:rFonts w:ascii="Segoe UI" w:hAnsi="Segoe UI" w:cs="Segoe UI"/>
          <w:sz w:val="18"/>
          <w:szCs w:val="18"/>
        </w:rPr>
      </w:pPr>
      <w:r w:rsidRPr="7EDAD206">
        <w:rPr>
          <w:lang w:val="en-US"/>
        </w:rPr>
        <w:t>The Perioperative Capability Framework applies to planned perioperative services delivered across the spectrum of Victorian health services.</w:t>
      </w:r>
      <w:r>
        <w:t> </w:t>
      </w:r>
    </w:p>
    <w:p w14:paraId="01DF6EEF" w14:textId="7BDF3F96" w:rsidR="00436EC9" w:rsidRDefault="00436EC9" w:rsidP="7EDAD206">
      <w:pPr>
        <w:pStyle w:val="Body"/>
        <w:rPr>
          <w:rFonts w:ascii="Segoe UI" w:hAnsi="Segoe UI" w:cs="Segoe UI"/>
          <w:sz w:val="18"/>
          <w:szCs w:val="18"/>
        </w:rPr>
      </w:pPr>
    </w:p>
    <w:p w14:paraId="73AF6AB6" w14:textId="144B579F" w:rsidR="00436EC9" w:rsidRPr="00997326" w:rsidRDefault="0006092F" w:rsidP="00997326">
      <w:pPr>
        <w:pStyle w:val="Heading3"/>
        <w:rPr>
          <w:rStyle w:val="normaltextrun"/>
          <w:color w:val="auto"/>
        </w:rPr>
      </w:pPr>
      <w:bookmarkStart w:id="6" w:name="_Toc150444254"/>
      <w:bookmarkStart w:id="7" w:name="_Toc203486406"/>
      <w:r>
        <w:rPr>
          <w:rStyle w:val="normaltextrun"/>
          <w:color w:val="auto"/>
        </w:rPr>
        <w:t>Determining p</w:t>
      </w:r>
      <w:r w:rsidR="00436EC9" w:rsidRPr="00997326">
        <w:rPr>
          <w:rStyle w:val="normaltextrun"/>
          <w:color w:val="auto"/>
        </w:rPr>
        <w:t>erioperative capability levels</w:t>
      </w:r>
      <w:bookmarkEnd w:id="6"/>
      <w:bookmarkEnd w:id="7"/>
      <w:r w:rsidR="00436EC9" w:rsidRPr="00997326">
        <w:rPr>
          <w:rStyle w:val="normaltextrun"/>
          <w:color w:val="auto"/>
        </w:rPr>
        <w:t> </w:t>
      </w:r>
    </w:p>
    <w:p w14:paraId="5F237A26" w14:textId="304FB2DA" w:rsidR="00436EC9" w:rsidRDefault="00436EC9" w:rsidP="00943E1A">
      <w:pPr>
        <w:pStyle w:val="Body"/>
        <w:rPr>
          <w:lang w:val="en-US"/>
        </w:rPr>
      </w:pPr>
      <w:r w:rsidRPr="7EDAD206">
        <w:rPr>
          <w:lang w:val="en-US"/>
        </w:rPr>
        <w:t>Every two years, health service campuses will be required to complete a self-assessment questionnaire via an online platform. This will help the Department of Health to work with each health service campus to confirm their perioperative capability level</w:t>
      </w:r>
      <w:r w:rsidRPr="00943E1A">
        <w:rPr>
          <w:lang w:val="en-US"/>
        </w:rPr>
        <w:t xml:space="preserve">.  </w:t>
      </w:r>
    </w:p>
    <w:p w14:paraId="73A1FDBF" w14:textId="77777777" w:rsidR="00BF1716" w:rsidRPr="00E719DB" w:rsidRDefault="00BF1716" w:rsidP="00943E1A">
      <w:pPr>
        <w:pStyle w:val="Body"/>
        <w:rPr>
          <w:rFonts w:ascii="Segoe UI" w:hAnsi="Segoe UI" w:cs="Segoe UI"/>
          <w:sz w:val="18"/>
          <w:szCs w:val="18"/>
        </w:rPr>
      </w:pPr>
    </w:p>
    <w:p w14:paraId="32976E97" w14:textId="742E996C" w:rsidR="00BF1716" w:rsidRPr="00997326" w:rsidRDefault="00BF1716" w:rsidP="00BF1716">
      <w:pPr>
        <w:pStyle w:val="Heading3"/>
        <w:rPr>
          <w:rStyle w:val="normaltextrun"/>
          <w:color w:val="auto"/>
        </w:rPr>
      </w:pPr>
      <w:bookmarkStart w:id="8" w:name="_Toc203486407"/>
      <w:r>
        <w:rPr>
          <w:rStyle w:val="normaltextrun"/>
          <w:color w:val="auto"/>
        </w:rPr>
        <w:t>D</w:t>
      </w:r>
      <w:r w:rsidRPr="00997326">
        <w:rPr>
          <w:rStyle w:val="normaltextrun"/>
          <w:color w:val="auto"/>
        </w:rPr>
        <w:t xml:space="preserve">ifferent perioperative capability levels for adult and </w:t>
      </w:r>
      <w:r w:rsidRPr="1E9AC44E">
        <w:rPr>
          <w:rStyle w:val="normaltextrun"/>
          <w:color w:val="auto"/>
        </w:rPr>
        <w:t>paediatric</w:t>
      </w:r>
      <w:r w:rsidRPr="00997326">
        <w:rPr>
          <w:rStyle w:val="normaltextrun"/>
          <w:color w:val="auto"/>
        </w:rPr>
        <w:t xml:space="preserve"> services</w:t>
      </w:r>
      <w:bookmarkEnd w:id="8"/>
      <w:r w:rsidRPr="00997326">
        <w:rPr>
          <w:rStyle w:val="normaltextrun"/>
          <w:color w:val="auto"/>
        </w:rPr>
        <w:t> </w:t>
      </w:r>
    </w:p>
    <w:p w14:paraId="767A5844" w14:textId="77777777" w:rsidR="00BF1716" w:rsidRDefault="00BF1716" w:rsidP="00BF1716">
      <w:pPr>
        <w:pStyle w:val="Body"/>
        <w:rPr>
          <w:rFonts w:ascii="Segoe UI" w:hAnsi="Segoe UI" w:cs="Segoe UI"/>
          <w:sz w:val="18"/>
          <w:szCs w:val="18"/>
        </w:rPr>
      </w:pPr>
      <w:r>
        <w:t xml:space="preserve">At a given health service </w:t>
      </w:r>
      <w:proofErr w:type="gramStart"/>
      <w:r>
        <w:t>site</w:t>
      </w:r>
      <w:proofErr w:type="gramEnd"/>
      <w:r>
        <w:t xml:space="preserve"> the perioperative capability levels may differ for adult and paediatric services.  </w:t>
      </w:r>
    </w:p>
    <w:p w14:paraId="4E99187F" w14:textId="77777777" w:rsidR="00BF1716" w:rsidRDefault="00BF1716" w:rsidP="00BF1716">
      <w:pPr>
        <w:pStyle w:val="Body"/>
        <w:rPr>
          <w:rFonts w:ascii="Segoe UI" w:hAnsi="Segoe UI" w:cs="Segoe UI"/>
          <w:sz w:val="18"/>
          <w:szCs w:val="18"/>
        </w:rPr>
      </w:pPr>
      <w:r>
        <w:lastRenderedPageBreak/>
        <w:t>The perioperative care needs for paediatric patients are different to adult patients. To determine levels, it is important to identify the required scope of healthcare, the workforce and clinical requirements for both adult and children’s services. For this reason, the framework has established separate capability levels for adult and children tailoring requirements to the specific needs of each group. </w:t>
      </w:r>
    </w:p>
    <w:p w14:paraId="6F11F518" w14:textId="624D9A46" w:rsidR="00436EC9" w:rsidRDefault="00436EC9" w:rsidP="7EDAD206">
      <w:pPr>
        <w:pStyle w:val="Body"/>
        <w:rPr>
          <w:rFonts w:ascii="Segoe UI" w:hAnsi="Segoe UI" w:cs="Segoe UI"/>
          <w:sz w:val="18"/>
          <w:szCs w:val="18"/>
        </w:rPr>
      </w:pPr>
    </w:p>
    <w:p w14:paraId="1EF48C23" w14:textId="7ABEADA5" w:rsidR="00436EC9" w:rsidRPr="00997326" w:rsidRDefault="0006092F" w:rsidP="00997326">
      <w:pPr>
        <w:pStyle w:val="Heading3"/>
        <w:rPr>
          <w:rStyle w:val="normaltextrun"/>
          <w:color w:val="auto"/>
        </w:rPr>
      </w:pPr>
      <w:bookmarkStart w:id="9" w:name="_Toc150444255"/>
      <w:bookmarkStart w:id="10" w:name="_Toc203486408"/>
      <w:r>
        <w:rPr>
          <w:rStyle w:val="normaltextrun"/>
          <w:color w:val="auto"/>
        </w:rPr>
        <w:t>Monitoring</w:t>
      </w:r>
      <w:r w:rsidR="00436EC9" w:rsidRPr="00997326">
        <w:rPr>
          <w:rStyle w:val="normaltextrun"/>
          <w:color w:val="auto"/>
        </w:rPr>
        <w:t xml:space="preserve"> perioperative capability levels</w:t>
      </w:r>
      <w:bookmarkEnd w:id="9"/>
      <w:bookmarkEnd w:id="10"/>
    </w:p>
    <w:p w14:paraId="26B0DC47" w14:textId="709927E8" w:rsidR="00436EC9" w:rsidRDefault="00436EC9" w:rsidP="7EDAD206">
      <w:pPr>
        <w:pStyle w:val="Body"/>
        <w:rPr>
          <w:rFonts w:ascii="Segoe UI" w:hAnsi="Segoe UI" w:cs="Segoe UI"/>
          <w:sz w:val="18"/>
          <w:szCs w:val="18"/>
        </w:rPr>
      </w:pPr>
      <w:r w:rsidRPr="7EDAD206">
        <w:rPr>
          <w:lang w:val="en-US"/>
        </w:rPr>
        <w:t xml:space="preserve">As the system steward, the Department of Health is responsible for regular performance monitoring of public health services. The perioperative capability levels will be monitored on an ongoing basis in partnership with </w:t>
      </w:r>
      <w:r w:rsidR="79BCA041" w:rsidRPr="7EDAD206">
        <w:rPr>
          <w:lang w:val="en-US"/>
        </w:rPr>
        <w:t>Safer Care Victoria</w:t>
      </w:r>
      <w:r w:rsidRPr="7EDAD206">
        <w:rPr>
          <w:lang w:val="en-US"/>
        </w:rPr>
        <w:t>, as part of routine performance conversations.</w:t>
      </w:r>
      <w:r>
        <w:t> </w:t>
      </w:r>
    </w:p>
    <w:p w14:paraId="69FF6728" w14:textId="77777777" w:rsidR="00436EC9" w:rsidRDefault="00436EC9" w:rsidP="00436E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2561CC" w14:textId="2436AD1A" w:rsidR="00436EC9" w:rsidRPr="00997326" w:rsidRDefault="0006092F" w:rsidP="00997326">
      <w:pPr>
        <w:pStyle w:val="Heading3"/>
        <w:rPr>
          <w:rStyle w:val="normaltextrun"/>
          <w:color w:val="auto"/>
        </w:rPr>
      </w:pPr>
      <w:bookmarkStart w:id="11" w:name="_Toc150444256"/>
      <w:bookmarkStart w:id="12" w:name="_Toc203486409"/>
      <w:r>
        <w:rPr>
          <w:rStyle w:val="normaltextrun"/>
          <w:color w:val="auto"/>
        </w:rPr>
        <w:t>Improving</w:t>
      </w:r>
      <w:r w:rsidR="00436EC9" w:rsidRPr="00997326">
        <w:rPr>
          <w:rStyle w:val="normaltextrun"/>
          <w:color w:val="auto"/>
        </w:rPr>
        <w:t xml:space="preserve"> perioperative services</w:t>
      </w:r>
      <w:bookmarkEnd w:id="11"/>
      <w:bookmarkEnd w:id="12"/>
      <w:r w:rsidR="00436EC9" w:rsidRPr="00997326">
        <w:rPr>
          <w:rStyle w:val="normaltextrun"/>
          <w:color w:val="auto"/>
        </w:rPr>
        <w:t> </w:t>
      </w:r>
    </w:p>
    <w:p w14:paraId="632570AD" w14:textId="77777777" w:rsidR="00436EC9" w:rsidRDefault="00436EC9" w:rsidP="7EDAD206">
      <w:pPr>
        <w:pStyle w:val="Body"/>
        <w:rPr>
          <w:rFonts w:ascii="Segoe UI" w:hAnsi="Segoe UI" w:cs="Segoe UI"/>
          <w:sz w:val="18"/>
          <w:szCs w:val="18"/>
        </w:rPr>
      </w:pPr>
      <w:r>
        <w:t>Capability frameworks aim to improve existing healthcare services rather than change them. The Perioperative service capability framework sets minimum standards and requirements for the delivery of high-quality safe perioperative care.  </w:t>
      </w:r>
    </w:p>
    <w:p w14:paraId="03DA2431" w14:textId="438DDE5E" w:rsidR="00C169FA" w:rsidRDefault="00A60ACF" w:rsidP="00436EC9">
      <w:pPr>
        <w:pStyle w:val="paragraph"/>
        <w:spacing w:before="0" w:beforeAutospacing="0" w:after="0" w:afterAutospacing="0"/>
        <w:textAlignment w:val="baseline"/>
        <w:rPr>
          <w:rFonts w:ascii="Arial" w:eastAsia="Times" w:hAnsi="Arial"/>
          <w:sz w:val="21"/>
          <w:szCs w:val="20"/>
          <w:lang w:eastAsia="en-US"/>
        </w:rPr>
      </w:pPr>
      <w:r w:rsidRPr="00C056E2">
        <w:rPr>
          <w:rFonts w:ascii="Arial" w:eastAsia="Times" w:hAnsi="Arial"/>
          <w:sz w:val="21"/>
          <w:szCs w:val="20"/>
          <w:lang w:eastAsia="en-US"/>
        </w:rPr>
        <w:t xml:space="preserve">Each Victorian health service </w:t>
      </w:r>
      <w:r w:rsidR="008A15C3" w:rsidRPr="00C056E2">
        <w:rPr>
          <w:rFonts w:ascii="Arial" w:eastAsia="Times" w:hAnsi="Arial"/>
          <w:sz w:val="21"/>
          <w:szCs w:val="20"/>
          <w:lang w:eastAsia="en-US"/>
        </w:rPr>
        <w:t>site</w:t>
      </w:r>
      <w:r w:rsidRPr="00C056E2">
        <w:rPr>
          <w:rFonts w:ascii="Arial" w:eastAsia="Times" w:hAnsi="Arial"/>
          <w:sz w:val="21"/>
          <w:szCs w:val="20"/>
          <w:lang w:eastAsia="en-US"/>
        </w:rPr>
        <w:t xml:space="preserve"> has an agreed perioperative capability level based on the procedural complexity and perioperative risk (patient and anaesthetic complexity) that can be safely managed at that site.</w:t>
      </w:r>
    </w:p>
    <w:p w14:paraId="6D4D0D6C" w14:textId="77777777" w:rsidR="00C056E2" w:rsidRPr="00C056E2" w:rsidRDefault="00C056E2" w:rsidP="00436EC9">
      <w:pPr>
        <w:pStyle w:val="paragraph"/>
        <w:spacing w:before="0" w:beforeAutospacing="0" w:after="0" w:afterAutospacing="0"/>
        <w:textAlignment w:val="baseline"/>
        <w:rPr>
          <w:rFonts w:ascii="Arial" w:eastAsia="Times" w:hAnsi="Arial"/>
          <w:sz w:val="21"/>
          <w:szCs w:val="20"/>
          <w:lang w:eastAsia="en-US"/>
        </w:rPr>
      </w:pPr>
    </w:p>
    <w:p w14:paraId="4E82A9A3" w14:textId="77777777" w:rsidR="00C169FA" w:rsidRPr="00C056E2" w:rsidRDefault="0C92BA7F" w:rsidP="00F570FB">
      <w:pPr>
        <w:pStyle w:val="Heading3"/>
        <w:rPr>
          <w:rStyle w:val="normaltextrun"/>
          <w:color w:val="auto"/>
        </w:rPr>
      </w:pPr>
      <w:bookmarkStart w:id="13" w:name="_Toc203486410"/>
      <w:r w:rsidRPr="00C056E2">
        <w:rPr>
          <w:rStyle w:val="normaltextrun"/>
          <w:color w:val="auto"/>
        </w:rPr>
        <w:t>Above level procedures</w:t>
      </w:r>
      <w:bookmarkEnd w:id="13"/>
    </w:p>
    <w:p w14:paraId="6EDB2AAD" w14:textId="77777777" w:rsidR="00C056E2" w:rsidRDefault="00C169FA" w:rsidP="009F1F61">
      <w:pPr>
        <w:pStyle w:val="Body"/>
      </w:pPr>
      <w:r w:rsidRPr="00F570FB">
        <w:t xml:space="preserve">The perioperative capability level indicates the minimum capability level across all </w:t>
      </w:r>
      <w:r>
        <w:t>s</w:t>
      </w:r>
      <w:r w:rsidRPr="00F570FB">
        <w:t>ubspecialties/perioperative service streams that a health service site delivers.</w:t>
      </w:r>
    </w:p>
    <w:p w14:paraId="793B3E1D" w14:textId="34137D47" w:rsidR="009F1F61" w:rsidRPr="00F570FB" w:rsidRDefault="009F1F61" w:rsidP="009F1F61">
      <w:pPr>
        <w:pStyle w:val="Body"/>
      </w:pPr>
      <w:r>
        <w:t>Each hospital offers a unique set of services and some have specialist clinicians, expertise and equipment to safely provide certain procedures that are above their agreed capability level. Safer Care Victoria has assessed the provision of these procedures. For more information on specific above-level procedures, please contact the relevant health service.</w:t>
      </w:r>
    </w:p>
    <w:p w14:paraId="47DDF6C7" w14:textId="353E081F" w:rsidR="00436EC9" w:rsidRDefault="00436EC9" w:rsidP="00436EC9">
      <w:pPr>
        <w:pStyle w:val="paragraph"/>
        <w:spacing w:before="0" w:beforeAutospacing="0" w:after="0" w:afterAutospacing="0"/>
        <w:textAlignment w:val="baseline"/>
        <w:rPr>
          <w:rFonts w:ascii="Segoe UI" w:hAnsi="Segoe UI" w:cs="Segoe UI"/>
          <w:sz w:val="18"/>
          <w:szCs w:val="18"/>
        </w:rPr>
      </w:pPr>
    </w:p>
    <w:p w14:paraId="29511812" w14:textId="05CD52D6" w:rsidR="00436EC9" w:rsidRPr="00997326" w:rsidRDefault="0006092F" w:rsidP="00997326">
      <w:pPr>
        <w:pStyle w:val="Heading3"/>
        <w:rPr>
          <w:rStyle w:val="normaltextrun"/>
          <w:color w:val="auto"/>
        </w:rPr>
      </w:pPr>
      <w:bookmarkStart w:id="14" w:name="_Toc150444257"/>
      <w:bookmarkStart w:id="15" w:name="_Toc203486411"/>
      <w:r>
        <w:rPr>
          <w:rStyle w:val="normaltextrun"/>
          <w:color w:val="auto"/>
        </w:rPr>
        <w:t>Inclusion of e</w:t>
      </w:r>
      <w:r w:rsidR="00436EC9" w:rsidRPr="00997326">
        <w:rPr>
          <w:rStyle w:val="normaltextrun"/>
          <w:color w:val="auto"/>
        </w:rPr>
        <w:t>mergency surgery</w:t>
      </w:r>
      <w:bookmarkEnd w:id="14"/>
      <w:bookmarkEnd w:id="15"/>
      <w:r w:rsidR="00436EC9" w:rsidRPr="00997326">
        <w:rPr>
          <w:rStyle w:val="normaltextrun"/>
          <w:color w:val="auto"/>
        </w:rPr>
        <w:t>  </w:t>
      </w:r>
    </w:p>
    <w:p w14:paraId="271533F8" w14:textId="37A5C8AC" w:rsidR="00436EC9" w:rsidRDefault="00436EC9" w:rsidP="7EDAD206">
      <w:pPr>
        <w:pStyle w:val="Body"/>
        <w:rPr>
          <w:rFonts w:ascii="Segoe UI" w:hAnsi="Segoe UI" w:cs="Segoe UI"/>
          <w:sz w:val="18"/>
          <w:szCs w:val="18"/>
        </w:rPr>
      </w:pPr>
      <w:r>
        <w:t>Emergency (unplanned) surgery to treat trauma or acute illness requires extra availability of staff (on-call rostering</w:t>
      </w:r>
      <w:r w:rsidR="00C056E2">
        <w:t>),</w:t>
      </w:r>
      <w:r>
        <w:t xml:space="preserve"> and a workforce complement that can accommodate this. The volume of planned procedures that are delivered at a campus can impact the availability and scope of practice of clinicians who are available to manage emergency perioperative care. Therefore, descriptors for managing emergency procedures commence at higher-level services and, where possible, patients should be transported to those services to receive appropriate care. </w:t>
      </w:r>
    </w:p>
    <w:p w14:paraId="4C2543FA" w14:textId="6E541CB2" w:rsidR="00436EC9" w:rsidRDefault="00436EC9" w:rsidP="7EDAD206">
      <w:pPr>
        <w:pStyle w:val="Body"/>
        <w:rPr>
          <w:rStyle w:val="eop"/>
          <w:rFonts w:ascii="Calibri" w:hAnsi="Calibri" w:cs="Calibri"/>
          <w:sz w:val="22"/>
          <w:szCs w:val="22"/>
        </w:rPr>
      </w:pPr>
      <w:r w:rsidRPr="7EDAD206">
        <w:rPr>
          <w:lang w:val="en-US"/>
        </w:rPr>
        <w:t>In exceptional circumstances, where a patient may be at risk of serious harm if urgent treatment is not provided at a given campus, it is expected that the best available care is provided.  </w:t>
      </w:r>
      <w:r>
        <w:t> </w:t>
      </w:r>
    </w:p>
    <w:p w14:paraId="7D9587E6" w14:textId="77777777" w:rsidR="00997326" w:rsidRPr="00997326" w:rsidRDefault="00997326" w:rsidP="7EDAD206">
      <w:pPr>
        <w:pStyle w:val="Body"/>
      </w:pPr>
    </w:p>
    <w:p w14:paraId="4CADBD3D" w14:textId="7CEBA5BD" w:rsidR="00436EC9" w:rsidRPr="00997326" w:rsidRDefault="00436EC9" w:rsidP="00997326">
      <w:pPr>
        <w:pStyle w:val="Heading3"/>
        <w:rPr>
          <w:rStyle w:val="normaltextrun"/>
          <w:color w:val="auto"/>
        </w:rPr>
      </w:pPr>
      <w:bookmarkStart w:id="16" w:name="_Toc150444258"/>
      <w:bookmarkStart w:id="17" w:name="_Toc203486412"/>
      <w:r w:rsidRPr="00997326">
        <w:rPr>
          <w:rStyle w:val="normaltextrun"/>
          <w:color w:val="auto"/>
        </w:rPr>
        <w:t xml:space="preserve">Surgery </w:t>
      </w:r>
      <w:r w:rsidR="0006092F">
        <w:rPr>
          <w:rStyle w:val="normaltextrun"/>
          <w:color w:val="auto"/>
        </w:rPr>
        <w:t>r</w:t>
      </w:r>
      <w:r w:rsidRPr="00997326">
        <w:rPr>
          <w:rStyle w:val="normaltextrun"/>
          <w:color w:val="auto"/>
        </w:rPr>
        <w:t>eform program</w:t>
      </w:r>
      <w:bookmarkEnd w:id="16"/>
      <w:bookmarkEnd w:id="17"/>
      <w:r w:rsidRPr="00997326">
        <w:rPr>
          <w:rStyle w:val="normaltextrun"/>
          <w:color w:val="auto"/>
        </w:rPr>
        <w:t> </w:t>
      </w:r>
    </w:p>
    <w:p w14:paraId="4041AAD2" w14:textId="6E103CC8" w:rsidR="00436EC9" w:rsidRDefault="00436EC9" w:rsidP="7EDAD206">
      <w:pPr>
        <w:pStyle w:val="Body"/>
        <w:rPr>
          <w:rFonts w:ascii="Segoe UI" w:hAnsi="Segoe UI" w:cs="Segoe UI"/>
          <w:sz w:val="18"/>
          <w:szCs w:val="18"/>
        </w:rPr>
      </w:pPr>
      <w:r w:rsidRPr="7DB3D5C6">
        <w:rPr>
          <w:lang w:val="en-US"/>
        </w:rPr>
        <w:t>This framework aligns with</w:t>
      </w:r>
      <w:r w:rsidR="00CE733F" w:rsidRPr="7DB3D5C6">
        <w:rPr>
          <w:lang w:val="en-US"/>
        </w:rPr>
        <w:t xml:space="preserve"> the</w:t>
      </w:r>
      <w:r w:rsidRPr="7DB3D5C6">
        <w:rPr>
          <w:lang w:val="en-US"/>
        </w:rPr>
        <w:t xml:space="preserve"> Victoria</w:t>
      </w:r>
      <w:r w:rsidR="00CE733F" w:rsidRPr="7DB3D5C6">
        <w:rPr>
          <w:lang w:val="en-US"/>
        </w:rPr>
        <w:t>n Government</w:t>
      </w:r>
      <w:r w:rsidRPr="7DB3D5C6">
        <w:rPr>
          <w:lang w:val="en-US"/>
        </w:rPr>
        <w:t xml:space="preserve">'s broader efforts, including the </w:t>
      </w:r>
      <w:r w:rsidR="1D774B6F" w:rsidRPr="7DB3D5C6">
        <w:rPr>
          <w:lang w:val="en-US"/>
        </w:rPr>
        <w:t xml:space="preserve">Planned </w:t>
      </w:r>
      <w:r w:rsidRPr="7DB3D5C6">
        <w:rPr>
          <w:lang w:val="en-US"/>
        </w:rPr>
        <w:t xml:space="preserve">Surgery Reform </w:t>
      </w:r>
      <w:r w:rsidR="00CE733F" w:rsidRPr="7DB3D5C6">
        <w:rPr>
          <w:lang w:val="en-US"/>
        </w:rPr>
        <w:t>B</w:t>
      </w:r>
      <w:r w:rsidRPr="7DB3D5C6">
        <w:rPr>
          <w:lang w:val="en-US"/>
        </w:rPr>
        <w:t xml:space="preserve">lueprint, which seeks to improve planned perioperative health services by promoting greater access, safety </w:t>
      </w:r>
      <w:r w:rsidRPr="7DB3D5C6">
        <w:rPr>
          <w:lang w:val="en-US"/>
        </w:rPr>
        <w:lastRenderedPageBreak/>
        <w:t xml:space="preserve">and equitable outcomes.  The Perioperative capability framework supports the </w:t>
      </w:r>
      <w:r w:rsidR="00B31122">
        <w:rPr>
          <w:lang w:val="en-US"/>
        </w:rPr>
        <w:t>s</w:t>
      </w:r>
      <w:r w:rsidRPr="7DB3D5C6">
        <w:rPr>
          <w:lang w:val="en-US"/>
        </w:rPr>
        <w:t>urgery reforms’ pillars of change by:</w:t>
      </w:r>
      <w:r>
        <w:t> </w:t>
      </w:r>
    </w:p>
    <w:p w14:paraId="32431614" w14:textId="7FF8BDBD" w:rsidR="00436EC9" w:rsidRDefault="00725E0D" w:rsidP="7EDAD206">
      <w:pPr>
        <w:pStyle w:val="Bullet1"/>
        <w:rPr>
          <w:rFonts w:ascii="Calibri" w:hAnsi="Calibri" w:cs="Calibri"/>
          <w:sz w:val="22"/>
          <w:szCs w:val="22"/>
        </w:rPr>
      </w:pPr>
      <w:r>
        <w:rPr>
          <w:lang w:val="en-US"/>
        </w:rPr>
        <w:t>E</w:t>
      </w:r>
      <w:r w:rsidR="00436EC9" w:rsidRPr="7EDAD206">
        <w:rPr>
          <w:lang w:val="en-US"/>
        </w:rPr>
        <w:t>nhancing safe and high-quality perioperative care</w:t>
      </w:r>
      <w:r>
        <w:rPr>
          <w:lang w:val="en-US"/>
        </w:rPr>
        <w:t>.</w:t>
      </w:r>
      <w:r w:rsidR="00436EC9" w:rsidRPr="7EDAD206">
        <w:rPr>
          <w:lang w:val="en-US"/>
        </w:rPr>
        <w:t> </w:t>
      </w:r>
      <w:r w:rsidR="00436EC9">
        <w:t> </w:t>
      </w:r>
    </w:p>
    <w:p w14:paraId="52B2C44C" w14:textId="0493E9E2" w:rsidR="00436EC9" w:rsidRDefault="00725E0D" w:rsidP="7EDAD206">
      <w:pPr>
        <w:pStyle w:val="Bullet1"/>
        <w:rPr>
          <w:rFonts w:ascii="Calibri" w:hAnsi="Calibri" w:cs="Calibri"/>
          <w:sz w:val="22"/>
          <w:szCs w:val="22"/>
        </w:rPr>
      </w:pPr>
      <w:proofErr w:type="spellStart"/>
      <w:r>
        <w:rPr>
          <w:lang w:val="en-US"/>
        </w:rPr>
        <w:t>O</w:t>
      </w:r>
      <w:r w:rsidR="00436EC9" w:rsidRPr="7EDAD206">
        <w:rPr>
          <w:lang w:val="en-US"/>
        </w:rPr>
        <w:t>ptimising</w:t>
      </w:r>
      <w:proofErr w:type="spellEnd"/>
      <w:r w:rsidR="00436EC9" w:rsidRPr="7EDAD206">
        <w:rPr>
          <w:lang w:val="en-US"/>
        </w:rPr>
        <w:t xml:space="preserve"> health service efficiency with improved partnerships and system planning development</w:t>
      </w:r>
      <w:r w:rsidR="00436EC9">
        <w:t> </w:t>
      </w:r>
    </w:p>
    <w:p w14:paraId="2F2178F1" w14:textId="39803E12" w:rsidR="00436EC9" w:rsidRDefault="00725E0D" w:rsidP="7EDAD206">
      <w:pPr>
        <w:pStyle w:val="Bullet1"/>
        <w:rPr>
          <w:rFonts w:ascii="Calibri" w:hAnsi="Calibri" w:cs="Calibri"/>
          <w:sz w:val="22"/>
          <w:szCs w:val="22"/>
        </w:rPr>
      </w:pPr>
      <w:r>
        <w:rPr>
          <w:lang w:val="en-US"/>
        </w:rPr>
        <w:t>S</w:t>
      </w:r>
      <w:r w:rsidR="00436EC9" w:rsidRPr="7EDAD206">
        <w:rPr>
          <w:lang w:val="en-US"/>
        </w:rPr>
        <w:t>trengthening system stewardship through increased transparency across the system.</w:t>
      </w:r>
      <w:r w:rsidR="00436EC9">
        <w:t> </w:t>
      </w:r>
    </w:p>
    <w:p w14:paraId="32298D85" w14:textId="07DA1082" w:rsidR="00436EC9" w:rsidRDefault="00436EC9" w:rsidP="7EDAD206">
      <w:pPr>
        <w:pStyle w:val="Body"/>
        <w:rPr>
          <w:rFonts w:ascii="Segoe UI" w:hAnsi="Segoe UI" w:cs="Segoe UI"/>
          <w:sz w:val="18"/>
          <w:szCs w:val="18"/>
        </w:rPr>
      </w:pPr>
      <w:r w:rsidRPr="7EDAD206">
        <w:rPr>
          <w:lang w:val="en-US"/>
        </w:rPr>
        <w:t xml:space="preserve">If through the surgery reform program, a </w:t>
      </w:r>
      <w:r w:rsidR="00725E0D">
        <w:rPr>
          <w:lang w:val="en-US"/>
        </w:rPr>
        <w:t>health service site</w:t>
      </w:r>
      <w:r w:rsidRPr="7EDAD206">
        <w:rPr>
          <w:lang w:val="en-US"/>
        </w:rPr>
        <w:t xml:space="preserve"> seeks to expand its complement of perioperative services, it should </w:t>
      </w:r>
      <w:proofErr w:type="gramStart"/>
      <w:r w:rsidRPr="7EDAD206">
        <w:rPr>
          <w:lang w:val="en-US"/>
        </w:rPr>
        <w:t>take into account</w:t>
      </w:r>
      <w:proofErr w:type="gramEnd"/>
      <w:r w:rsidRPr="7EDAD206">
        <w:rPr>
          <w:lang w:val="en-US"/>
        </w:rPr>
        <w:t xml:space="preserve"> the requirements of the capability framework.</w:t>
      </w:r>
      <w:r>
        <w:t> </w:t>
      </w:r>
    </w:p>
    <w:p w14:paraId="7F26E43B" w14:textId="77777777" w:rsidR="00436EC9" w:rsidRDefault="00436EC9" w:rsidP="00436E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0E9F20" w14:textId="535CFECA" w:rsidR="00436EC9" w:rsidRPr="00997326" w:rsidRDefault="0006092F" w:rsidP="00997326">
      <w:pPr>
        <w:pStyle w:val="Heading3"/>
        <w:rPr>
          <w:rStyle w:val="normaltextrun"/>
          <w:color w:val="auto"/>
        </w:rPr>
      </w:pPr>
      <w:bookmarkStart w:id="18" w:name="_Toc150444259"/>
      <w:bookmarkStart w:id="19" w:name="_Toc203486413"/>
      <w:r>
        <w:rPr>
          <w:rStyle w:val="normaltextrun"/>
          <w:color w:val="auto"/>
        </w:rPr>
        <w:t>E</w:t>
      </w:r>
      <w:r w:rsidR="00436EC9" w:rsidRPr="00997326">
        <w:rPr>
          <w:rStyle w:val="normaltextrun"/>
          <w:color w:val="auto"/>
        </w:rPr>
        <w:t>xisting legislation, standards, or accreditation processes</w:t>
      </w:r>
      <w:bookmarkEnd w:id="18"/>
      <w:bookmarkEnd w:id="19"/>
      <w:r w:rsidR="00436EC9" w:rsidRPr="00997326">
        <w:rPr>
          <w:rStyle w:val="normaltextrun"/>
          <w:color w:val="auto"/>
        </w:rPr>
        <w:t> </w:t>
      </w:r>
    </w:p>
    <w:p w14:paraId="55FB537C" w14:textId="77777777" w:rsidR="00436EC9" w:rsidRDefault="00436EC9" w:rsidP="7EDAD206">
      <w:pPr>
        <w:pStyle w:val="Body"/>
        <w:rPr>
          <w:rFonts w:ascii="Segoe UI" w:hAnsi="Segoe UI" w:cs="Segoe UI"/>
          <w:sz w:val="18"/>
          <w:szCs w:val="18"/>
        </w:rPr>
      </w:pPr>
      <w:r w:rsidRPr="7EDAD206">
        <w:rPr>
          <w:lang w:val="en-US"/>
        </w:rPr>
        <w:t xml:space="preserve">The framework does not replace or amend current legislation, mandatory standards, or accreditation processes. It assumes that health services provide care in accordance with the </w:t>
      </w:r>
      <w:hyperlink>
        <w:r w:rsidRPr="7EDAD206">
          <w:rPr>
            <w:lang w:val="en-US"/>
          </w:rPr>
          <w:t>National Safety and Quality Health Service (NSQHS) Standards</w:t>
        </w:r>
      </w:hyperlink>
      <w:r w:rsidRPr="7EDAD206">
        <w:rPr>
          <w:lang w:val="en-US"/>
        </w:rPr>
        <w:t>.</w:t>
      </w:r>
      <w:r>
        <w:t> </w:t>
      </w:r>
    </w:p>
    <w:p w14:paraId="6ADEF2E1" w14:textId="332BFCA4" w:rsidR="00436EC9" w:rsidRDefault="00436EC9" w:rsidP="00436EC9">
      <w:pPr>
        <w:pStyle w:val="paragraph"/>
        <w:spacing w:before="0" w:beforeAutospacing="0" w:after="0" w:afterAutospacing="0"/>
        <w:textAlignment w:val="baseline"/>
        <w:rPr>
          <w:rFonts w:ascii="Segoe UI" w:hAnsi="Segoe UI" w:cs="Segoe UI"/>
          <w:sz w:val="18"/>
          <w:szCs w:val="18"/>
        </w:rPr>
      </w:pPr>
    </w:p>
    <w:p w14:paraId="0618809A" w14:textId="3F49A677" w:rsidR="00436EC9" w:rsidRPr="00997326" w:rsidRDefault="0006092F" w:rsidP="00997326">
      <w:pPr>
        <w:pStyle w:val="Heading3"/>
        <w:rPr>
          <w:rStyle w:val="normaltextrun"/>
          <w:color w:val="auto"/>
        </w:rPr>
      </w:pPr>
      <w:bookmarkStart w:id="20" w:name="_Toc150444262"/>
      <w:bookmarkStart w:id="21" w:name="_Toc203486414"/>
      <w:r>
        <w:rPr>
          <w:rStyle w:val="normaltextrun"/>
          <w:color w:val="auto"/>
        </w:rPr>
        <w:t>S</w:t>
      </w:r>
      <w:r w:rsidR="00436EC9" w:rsidRPr="00997326">
        <w:rPr>
          <w:rStyle w:val="normaltextrun"/>
          <w:color w:val="auto"/>
        </w:rPr>
        <w:t>tatewide designated perioperative clinical services</w:t>
      </w:r>
      <w:bookmarkEnd w:id="20"/>
      <w:bookmarkEnd w:id="21"/>
      <w:r w:rsidR="00436EC9" w:rsidRPr="00997326">
        <w:rPr>
          <w:rStyle w:val="normaltextrun"/>
          <w:color w:val="auto"/>
        </w:rPr>
        <w:t> </w:t>
      </w:r>
    </w:p>
    <w:p w14:paraId="750A45EB" w14:textId="1616B167" w:rsidR="00436EC9" w:rsidRDefault="00436EC9" w:rsidP="7EDAD206">
      <w:pPr>
        <w:pStyle w:val="Body"/>
        <w:rPr>
          <w:rFonts w:ascii="Segoe UI" w:hAnsi="Segoe UI" w:cs="Segoe UI"/>
          <w:sz w:val="18"/>
          <w:szCs w:val="18"/>
        </w:rPr>
      </w:pPr>
      <w:r w:rsidRPr="7EDAD206">
        <w:rPr>
          <w:lang w:val="en-US"/>
        </w:rPr>
        <w:t xml:space="preserve">If your health service campus is a level 6 service, in addition to the expected perioperative services it may </w:t>
      </w:r>
      <w:r w:rsidR="7E8AB682" w:rsidRPr="7EDAD206">
        <w:rPr>
          <w:lang w:val="en-US"/>
        </w:rPr>
        <w:t xml:space="preserve">also </w:t>
      </w:r>
      <w:r w:rsidRPr="7EDAD206">
        <w:rPr>
          <w:lang w:val="en-US"/>
        </w:rPr>
        <w:t>offer statewide designated perioperative clinical services. </w:t>
      </w:r>
      <w:r>
        <w:t> </w:t>
      </w:r>
    </w:p>
    <w:p w14:paraId="26294E7F" w14:textId="77777777" w:rsidR="00436EC9" w:rsidRDefault="00436EC9" w:rsidP="7EDAD206">
      <w:pPr>
        <w:pStyle w:val="Body"/>
        <w:rPr>
          <w:rFonts w:ascii="Segoe UI" w:hAnsi="Segoe UI" w:cs="Segoe UI"/>
          <w:sz w:val="18"/>
          <w:szCs w:val="18"/>
        </w:rPr>
      </w:pPr>
      <w:r w:rsidRPr="7EDAD206">
        <w:rPr>
          <w:lang w:val="en-US"/>
        </w:rPr>
        <w:t>The scope of the Perioperative capability framework does not extend to the designation of highly specialised clinical services that have been agreed at a site level for state-wide service provision.  Rather, it relates to the minimum standard that is expected of all hospitals operating at a given capability level.</w:t>
      </w:r>
      <w:r>
        <w:t> </w:t>
      </w:r>
    </w:p>
    <w:p w14:paraId="19B51703" w14:textId="39880050" w:rsidR="00436EC9" w:rsidRDefault="00436EC9" w:rsidP="00436EC9">
      <w:pPr>
        <w:pStyle w:val="paragraph"/>
        <w:spacing w:before="0" w:beforeAutospacing="0" w:after="0" w:afterAutospacing="0"/>
        <w:textAlignment w:val="baseline"/>
        <w:rPr>
          <w:rFonts w:ascii="Segoe UI" w:hAnsi="Segoe UI" w:cs="Segoe UI"/>
          <w:sz w:val="18"/>
          <w:szCs w:val="18"/>
        </w:rPr>
      </w:pPr>
    </w:p>
    <w:p w14:paraId="53407C65" w14:textId="4EC17BA1" w:rsidR="00436EC9" w:rsidRPr="00997326" w:rsidRDefault="004C6780" w:rsidP="00997326">
      <w:pPr>
        <w:pStyle w:val="Heading3"/>
        <w:rPr>
          <w:color w:val="auto"/>
        </w:rPr>
      </w:pPr>
      <w:bookmarkStart w:id="22" w:name="_Toc203486415"/>
      <w:r>
        <w:rPr>
          <w:rStyle w:val="normaltextrun"/>
          <w:color w:val="auto"/>
        </w:rPr>
        <w:t>Further information</w:t>
      </w:r>
      <w:bookmarkEnd w:id="22"/>
      <w:r w:rsidR="00436EC9" w:rsidRPr="00997326">
        <w:rPr>
          <w:rStyle w:val="eop"/>
          <w:color w:val="auto"/>
        </w:rPr>
        <w:t> </w:t>
      </w:r>
    </w:p>
    <w:p w14:paraId="6BF11245" w14:textId="77777777" w:rsidR="00436EC9" w:rsidRDefault="00436EC9" w:rsidP="7EDAD206">
      <w:pPr>
        <w:pStyle w:val="Body"/>
        <w:rPr>
          <w:rFonts w:ascii="Segoe UI" w:hAnsi="Segoe UI" w:cs="Segoe UI"/>
          <w:sz w:val="18"/>
          <w:szCs w:val="18"/>
        </w:rPr>
      </w:pPr>
      <w:r w:rsidRPr="5C54EAB2">
        <w:rPr>
          <w:lang w:val="en-US"/>
        </w:rPr>
        <w:t>More information about the Perioperative Capability Framework, including specific requirements for each capability level, is available on the Department of Health website.</w:t>
      </w:r>
      <w:r>
        <w:t> </w:t>
      </w:r>
    </w:p>
    <w:p w14:paraId="3D60205B" w14:textId="77777777" w:rsidR="00200176" w:rsidRDefault="00200176" w:rsidP="00200176">
      <w:pPr>
        <w:pStyle w:val="Body"/>
      </w:pPr>
    </w:p>
    <w:tbl>
      <w:tblPr>
        <w:tblStyle w:val="TableGrid"/>
        <w:tblW w:w="0" w:type="auto"/>
        <w:tblLook w:val="04A0" w:firstRow="1" w:lastRow="0" w:firstColumn="1" w:lastColumn="0" w:noHBand="0" w:noVBand="1"/>
      </w:tblPr>
      <w:tblGrid>
        <w:gridCol w:w="3398"/>
        <w:gridCol w:w="3398"/>
        <w:gridCol w:w="3398"/>
      </w:tblGrid>
      <w:tr w:rsidR="00C80E84" w:rsidRPr="00843E1E" w14:paraId="2E84264D" w14:textId="77777777" w:rsidTr="6F90A8A5">
        <w:tc>
          <w:tcPr>
            <w:tcW w:w="10194" w:type="dxa"/>
            <w:gridSpan w:val="3"/>
          </w:tcPr>
          <w:p w14:paraId="1DBE7466" w14:textId="77777777" w:rsidR="00C80E84" w:rsidRPr="00843E1E" w:rsidRDefault="00C80E84" w:rsidP="00376164">
            <w:pPr>
              <w:pStyle w:val="Body"/>
              <w:jc w:val="center"/>
              <w:rPr>
                <w:b/>
                <w:bCs/>
              </w:rPr>
            </w:pPr>
            <w:r w:rsidRPr="00843E1E">
              <w:rPr>
                <w:b/>
                <w:bCs/>
              </w:rPr>
              <w:t>Version Control</w:t>
            </w:r>
          </w:p>
        </w:tc>
      </w:tr>
      <w:tr w:rsidR="00C80E84" w:rsidRPr="00986387" w14:paraId="56AA5D24" w14:textId="77777777" w:rsidTr="6F90A8A5">
        <w:tc>
          <w:tcPr>
            <w:tcW w:w="3398" w:type="dxa"/>
          </w:tcPr>
          <w:p w14:paraId="1EBE291F" w14:textId="77777777" w:rsidR="00C80E84" w:rsidRPr="00381A0E" w:rsidRDefault="00C80E84" w:rsidP="00376164">
            <w:pPr>
              <w:pStyle w:val="Body"/>
              <w:rPr>
                <w:b/>
                <w:bCs/>
              </w:rPr>
            </w:pPr>
            <w:r>
              <w:rPr>
                <w:b/>
                <w:bCs/>
              </w:rPr>
              <w:t>Version number</w:t>
            </w:r>
          </w:p>
        </w:tc>
        <w:tc>
          <w:tcPr>
            <w:tcW w:w="3398" w:type="dxa"/>
          </w:tcPr>
          <w:p w14:paraId="003C593E" w14:textId="77777777" w:rsidR="00C80E84" w:rsidRPr="00986387" w:rsidRDefault="00C80E84" w:rsidP="00376164">
            <w:pPr>
              <w:pStyle w:val="Body"/>
              <w:rPr>
                <w:b/>
                <w:bCs/>
              </w:rPr>
            </w:pPr>
            <w:r>
              <w:rPr>
                <w:b/>
                <w:bCs/>
              </w:rPr>
              <w:t>Author</w:t>
            </w:r>
          </w:p>
        </w:tc>
        <w:tc>
          <w:tcPr>
            <w:tcW w:w="3398" w:type="dxa"/>
          </w:tcPr>
          <w:p w14:paraId="26383DDF" w14:textId="77777777" w:rsidR="00C80E84" w:rsidRPr="00986387" w:rsidRDefault="00C80E84" w:rsidP="00376164">
            <w:pPr>
              <w:pStyle w:val="Body"/>
              <w:rPr>
                <w:b/>
                <w:bCs/>
              </w:rPr>
            </w:pPr>
            <w:r>
              <w:rPr>
                <w:b/>
                <w:bCs/>
              </w:rPr>
              <w:t>Date approved</w:t>
            </w:r>
          </w:p>
        </w:tc>
      </w:tr>
      <w:tr w:rsidR="00C80E84" w14:paraId="3F0B3F52" w14:textId="77777777" w:rsidTr="6F90A8A5">
        <w:tc>
          <w:tcPr>
            <w:tcW w:w="3398" w:type="dxa"/>
          </w:tcPr>
          <w:p w14:paraId="60C42117" w14:textId="49C40047" w:rsidR="00C80E84" w:rsidRDefault="00866B56" w:rsidP="00376164">
            <w:pPr>
              <w:pStyle w:val="Body"/>
            </w:pPr>
            <w:r>
              <w:t>2</w:t>
            </w:r>
            <w:r w:rsidR="00C80E84">
              <w:t>.0</w:t>
            </w:r>
          </w:p>
        </w:tc>
        <w:tc>
          <w:tcPr>
            <w:tcW w:w="3398" w:type="dxa"/>
          </w:tcPr>
          <w:p w14:paraId="5F366896" w14:textId="77777777" w:rsidR="00C80E84" w:rsidRDefault="00C80E84" w:rsidP="00376164">
            <w:pPr>
              <w:pStyle w:val="Body"/>
            </w:pPr>
            <w:r>
              <w:t>Mary Benson</w:t>
            </w:r>
          </w:p>
        </w:tc>
        <w:tc>
          <w:tcPr>
            <w:tcW w:w="3398" w:type="dxa"/>
          </w:tcPr>
          <w:p w14:paraId="45573EA6" w14:textId="0FB7AF2A" w:rsidR="00C80E84" w:rsidRDefault="00866B56" w:rsidP="00376164">
            <w:pPr>
              <w:pStyle w:val="Body"/>
            </w:pPr>
            <w:r>
              <w:t>11 July 2025</w:t>
            </w:r>
          </w:p>
        </w:tc>
      </w:tr>
    </w:tbl>
    <w:p w14:paraId="26A2A044" w14:textId="77777777" w:rsidR="00C80E84" w:rsidRPr="00200176" w:rsidRDefault="00C80E84"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5C54EAB2">
        <w:tc>
          <w:tcPr>
            <w:tcW w:w="10194" w:type="dxa"/>
          </w:tcPr>
          <w:p w14:paraId="3AE17F39" w14:textId="3752D0B6" w:rsidR="00540348" w:rsidRPr="00411CEB" w:rsidRDefault="69D1CDFC" w:rsidP="00540348">
            <w:pPr>
              <w:pStyle w:val="Accessibilitypara"/>
              <w:rPr>
                <w:sz w:val="23"/>
                <w:szCs w:val="23"/>
              </w:rPr>
            </w:pPr>
            <w:bookmarkStart w:id="23" w:name="_Hlk37240926"/>
            <w:r>
              <w:t>To receive this document in another format</w:t>
            </w:r>
            <w:r w:rsidR="59757E12">
              <w:t>,</w:t>
            </w:r>
            <w:r>
              <w:t xml:space="preserve"> us</w:t>
            </w:r>
            <w:r w:rsidR="24C0FE1D">
              <w:t>e</w:t>
            </w:r>
            <w:r>
              <w:t xml:space="preserve"> the National Relay Service 13 36 77 if required, or email</w:t>
            </w:r>
            <w:r w:rsidRPr="5325B976">
              <w:rPr>
                <w:color w:val="004C97"/>
              </w:rPr>
              <w:t xml:space="preserve"> </w:t>
            </w:r>
            <w:r>
              <w:t>&lt;</w:t>
            </w:r>
            <w:r w:rsidR="00436EC9">
              <w:t>perioperative</w:t>
            </w:r>
            <w:r>
              <w:t>framework@health.vic.gov.au&gt;.</w:t>
            </w:r>
          </w:p>
          <w:p w14:paraId="77DA78C8" w14:textId="77777777" w:rsidR="00540348" w:rsidRPr="0055119B" w:rsidRDefault="00540348" w:rsidP="00540348">
            <w:pPr>
              <w:pStyle w:val="Imprint"/>
            </w:pPr>
            <w:r w:rsidRPr="0055119B">
              <w:t>Authorised and published by the Victorian Government, 1 Treasury Place, Melbourne.</w:t>
            </w:r>
          </w:p>
          <w:p w14:paraId="13589103" w14:textId="77777777" w:rsidR="00540348" w:rsidRDefault="00540348" w:rsidP="00540348">
            <w:pPr>
              <w:pStyle w:val="Imprint"/>
            </w:pPr>
            <w:r w:rsidRPr="0055119B">
              <w:t xml:space="preserve">© State of Victoria, Australia, </w:t>
            </w:r>
            <w:r w:rsidRPr="001E2A36">
              <w:t>Department of Health</w:t>
            </w:r>
            <w:r w:rsidRPr="0055119B">
              <w:t xml:space="preserve">, </w:t>
            </w:r>
            <w:r>
              <w:t>November 2023</w:t>
            </w:r>
            <w:r w:rsidRPr="0055119B">
              <w:t>.</w:t>
            </w:r>
          </w:p>
          <w:p w14:paraId="78751FED" w14:textId="77777777" w:rsidR="002250FF" w:rsidRDefault="002250FF" w:rsidP="00540348">
            <w:pPr>
              <w:pStyle w:val="Imprint"/>
              <w:rPr>
                <w:rFonts w:cs="Arial"/>
                <w:color w:val="000000"/>
              </w:rPr>
            </w:pPr>
            <w:r>
              <w:rPr>
                <w:rFonts w:cs="Arial"/>
                <w:b/>
                <w:bCs/>
                <w:color w:val="000000"/>
              </w:rPr>
              <w:t xml:space="preserve">ISBN </w:t>
            </w:r>
            <w:r>
              <w:rPr>
                <w:rFonts w:cs="Arial"/>
                <w:color w:val="000000"/>
              </w:rPr>
              <w:t xml:space="preserve">978-1-76131-457-5 </w:t>
            </w:r>
            <w:r>
              <w:rPr>
                <w:rFonts w:cs="Arial"/>
                <w:b/>
                <w:bCs/>
                <w:color w:val="000000"/>
              </w:rPr>
              <w:t>(pdf/online/MS word)</w:t>
            </w:r>
            <w:r>
              <w:rPr>
                <w:rFonts w:cs="Arial"/>
                <w:color w:val="000000"/>
              </w:rPr>
              <w:t xml:space="preserve"> </w:t>
            </w:r>
          </w:p>
          <w:p w14:paraId="15C08E53" w14:textId="0221EFE3" w:rsidR="0055119B" w:rsidRDefault="48863D32" w:rsidP="5C54EAB2">
            <w:pPr>
              <w:pStyle w:val="Imprint"/>
            </w:pPr>
            <w:r>
              <w:t xml:space="preserve">Available at </w:t>
            </w:r>
            <w:hyperlink r:id="rId16" w:history="1">
              <w:r w:rsidRPr="5C54EAB2">
                <w:rPr>
                  <w:rStyle w:val="Hyperlink"/>
                  <w:rFonts w:eastAsia="Arial" w:cs="Arial"/>
                </w:rPr>
                <w:t>Perioperative service capability framework page</w:t>
              </w:r>
            </w:hyperlink>
            <w:r>
              <w:t xml:space="preserve"> &lt;https://www.health.vic.gov.au/health-system-design-planning/perioperative-service-capability-framework-for-victoria&gt;</w:t>
            </w:r>
          </w:p>
          <w:p w14:paraId="48D8B1D4" w14:textId="5B62A32B" w:rsidR="0055119B" w:rsidRDefault="0055119B" w:rsidP="5C54EAB2">
            <w:pPr>
              <w:pStyle w:val="Imprint"/>
              <w:rPr>
                <w:highlight w:val="yellow"/>
              </w:rPr>
            </w:pPr>
          </w:p>
        </w:tc>
      </w:tr>
      <w:bookmarkEnd w:id="23"/>
    </w:tbl>
    <w:p w14:paraId="5872C207"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9F5F" w14:textId="77777777" w:rsidR="0039016D" w:rsidRDefault="0039016D">
      <w:r>
        <w:separator/>
      </w:r>
    </w:p>
  </w:endnote>
  <w:endnote w:type="continuationSeparator" w:id="0">
    <w:p w14:paraId="75085F7C" w14:textId="77777777" w:rsidR="0039016D" w:rsidRDefault="0039016D">
      <w:r>
        <w:continuationSeparator/>
      </w:r>
    </w:p>
  </w:endnote>
  <w:endnote w:type="continuationNotice" w:id="1">
    <w:p w14:paraId="170A3085" w14:textId="77777777" w:rsidR="0039016D" w:rsidRDefault="00390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07A0" w14:textId="77777777" w:rsidR="0039016D" w:rsidRDefault="0039016D" w:rsidP="002862F1">
      <w:pPr>
        <w:spacing w:before="120"/>
      </w:pPr>
      <w:r>
        <w:separator/>
      </w:r>
    </w:p>
  </w:footnote>
  <w:footnote w:type="continuationSeparator" w:id="0">
    <w:p w14:paraId="5BD0A697" w14:textId="77777777" w:rsidR="0039016D" w:rsidRDefault="0039016D">
      <w:r>
        <w:continuationSeparator/>
      </w:r>
    </w:p>
  </w:footnote>
  <w:footnote w:type="continuationNotice" w:id="1">
    <w:p w14:paraId="38C60C79" w14:textId="77777777" w:rsidR="0039016D" w:rsidRDefault="003901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7D3609D9" w:rsidR="00E261B3" w:rsidRPr="0051568D" w:rsidRDefault="0051572F" w:rsidP="0011701A">
    <w:pPr>
      <w:pStyle w:val="Header"/>
    </w:pPr>
    <w:r>
      <w:t xml:space="preserve">Perioperative service capability framework </w:t>
    </w:r>
    <w:r w:rsidR="006C7CAD">
      <w:t xml:space="preserve">- </w:t>
    </w:r>
    <w:r w:rsidR="004065B7">
      <w:t>Health services</w:t>
    </w:r>
    <w:r w:rsidR="006C7CAD">
      <w:t xml:space="preserve"> </w:t>
    </w:r>
    <w:r w:rsidR="0006092F">
      <w:t>factsheet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256121"/>
    <w:multiLevelType w:val="multilevel"/>
    <w:tmpl w:val="F1A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E6070FE"/>
    <w:multiLevelType w:val="multilevel"/>
    <w:tmpl w:val="080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637010">
    <w:abstractNumId w:val="10"/>
  </w:num>
  <w:num w:numId="2" w16cid:durableId="21591339">
    <w:abstractNumId w:val="18"/>
  </w:num>
  <w:num w:numId="3" w16cid:durableId="1944609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404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10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8627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639267">
    <w:abstractNumId w:val="22"/>
  </w:num>
  <w:num w:numId="8" w16cid:durableId="1295214178">
    <w:abstractNumId w:val="17"/>
  </w:num>
  <w:num w:numId="9" w16cid:durableId="1567951458">
    <w:abstractNumId w:val="21"/>
  </w:num>
  <w:num w:numId="10" w16cid:durableId="396175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0166956">
    <w:abstractNumId w:val="23"/>
  </w:num>
  <w:num w:numId="12" w16cid:durableId="1281181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684839">
    <w:abstractNumId w:val="19"/>
  </w:num>
  <w:num w:numId="14" w16cid:durableId="441150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646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332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024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817951">
    <w:abstractNumId w:val="25"/>
  </w:num>
  <w:num w:numId="19" w16cid:durableId="1272392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372238">
    <w:abstractNumId w:val="14"/>
  </w:num>
  <w:num w:numId="21" w16cid:durableId="270091354">
    <w:abstractNumId w:val="12"/>
  </w:num>
  <w:num w:numId="22" w16cid:durableId="1270626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0243612">
    <w:abstractNumId w:val="16"/>
  </w:num>
  <w:num w:numId="24" w16cid:durableId="1777751676">
    <w:abstractNumId w:val="26"/>
  </w:num>
  <w:num w:numId="25" w16cid:durableId="218366008">
    <w:abstractNumId w:val="24"/>
  </w:num>
  <w:num w:numId="26" w16cid:durableId="700714657">
    <w:abstractNumId w:val="20"/>
  </w:num>
  <w:num w:numId="27" w16cid:durableId="1567450165">
    <w:abstractNumId w:val="11"/>
  </w:num>
  <w:num w:numId="28" w16cid:durableId="1356231649">
    <w:abstractNumId w:val="27"/>
  </w:num>
  <w:num w:numId="29" w16cid:durableId="156768022">
    <w:abstractNumId w:val="9"/>
  </w:num>
  <w:num w:numId="30" w16cid:durableId="1695154945">
    <w:abstractNumId w:val="7"/>
  </w:num>
  <w:num w:numId="31" w16cid:durableId="1684084672">
    <w:abstractNumId w:val="6"/>
  </w:num>
  <w:num w:numId="32" w16cid:durableId="1562591728">
    <w:abstractNumId w:val="5"/>
  </w:num>
  <w:num w:numId="33" w16cid:durableId="930351501">
    <w:abstractNumId w:val="4"/>
  </w:num>
  <w:num w:numId="34" w16cid:durableId="862011504">
    <w:abstractNumId w:val="8"/>
  </w:num>
  <w:num w:numId="35" w16cid:durableId="1694377838">
    <w:abstractNumId w:val="3"/>
  </w:num>
  <w:num w:numId="36" w16cid:durableId="127550722">
    <w:abstractNumId w:val="2"/>
  </w:num>
  <w:num w:numId="37" w16cid:durableId="577986800">
    <w:abstractNumId w:val="1"/>
  </w:num>
  <w:num w:numId="38" w16cid:durableId="478040839">
    <w:abstractNumId w:val="0"/>
  </w:num>
  <w:num w:numId="39" w16cid:durableId="847137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6789235">
    <w:abstractNumId w:val="28"/>
  </w:num>
  <w:num w:numId="41" w16cid:durableId="6517586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4852"/>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2F"/>
    <w:rsid w:val="00060959"/>
    <w:rsid w:val="00060C8F"/>
    <w:rsid w:val="0006298A"/>
    <w:rsid w:val="000663CD"/>
    <w:rsid w:val="000733FE"/>
    <w:rsid w:val="00074219"/>
    <w:rsid w:val="00074ED5"/>
    <w:rsid w:val="00077CC7"/>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0E70"/>
    <w:rsid w:val="001120C5"/>
    <w:rsid w:val="0011701A"/>
    <w:rsid w:val="00120BD3"/>
    <w:rsid w:val="00122FEA"/>
    <w:rsid w:val="001232BD"/>
    <w:rsid w:val="00124ED5"/>
    <w:rsid w:val="001276FA"/>
    <w:rsid w:val="0014255B"/>
    <w:rsid w:val="001447B3"/>
    <w:rsid w:val="00152073"/>
    <w:rsid w:val="00154E2D"/>
    <w:rsid w:val="00156598"/>
    <w:rsid w:val="001612E3"/>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220"/>
    <w:rsid w:val="001F7C91"/>
    <w:rsid w:val="00200176"/>
    <w:rsid w:val="002003E9"/>
    <w:rsid w:val="002019E5"/>
    <w:rsid w:val="002033B7"/>
    <w:rsid w:val="00206463"/>
    <w:rsid w:val="00206F2F"/>
    <w:rsid w:val="0021053D"/>
    <w:rsid w:val="00210A92"/>
    <w:rsid w:val="00216C03"/>
    <w:rsid w:val="00220C04"/>
    <w:rsid w:val="0022278D"/>
    <w:rsid w:val="002250FF"/>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503"/>
    <w:rsid w:val="002B1729"/>
    <w:rsid w:val="002B36C7"/>
    <w:rsid w:val="002B4DD4"/>
    <w:rsid w:val="002B5277"/>
    <w:rsid w:val="002B5375"/>
    <w:rsid w:val="002B77C1"/>
    <w:rsid w:val="002C0ED7"/>
    <w:rsid w:val="002C2728"/>
    <w:rsid w:val="002D1E0D"/>
    <w:rsid w:val="002D5006"/>
    <w:rsid w:val="002E01D0"/>
    <w:rsid w:val="002E161D"/>
    <w:rsid w:val="002E3100"/>
    <w:rsid w:val="002E32FF"/>
    <w:rsid w:val="002E4E91"/>
    <w:rsid w:val="002E6C95"/>
    <w:rsid w:val="002E7C36"/>
    <w:rsid w:val="002F0107"/>
    <w:rsid w:val="002F3D32"/>
    <w:rsid w:val="002F5F31"/>
    <w:rsid w:val="002F5F46"/>
    <w:rsid w:val="00302216"/>
    <w:rsid w:val="00303E53"/>
    <w:rsid w:val="00305CC1"/>
    <w:rsid w:val="00306E5F"/>
    <w:rsid w:val="00307E14"/>
    <w:rsid w:val="00314054"/>
    <w:rsid w:val="0031441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164"/>
    <w:rsid w:val="0037676C"/>
    <w:rsid w:val="00377A80"/>
    <w:rsid w:val="00381043"/>
    <w:rsid w:val="003829E5"/>
    <w:rsid w:val="00386109"/>
    <w:rsid w:val="00386944"/>
    <w:rsid w:val="00387225"/>
    <w:rsid w:val="0039016D"/>
    <w:rsid w:val="003956CC"/>
    <w:rsid w:val="00395C9A"/>
    <w:rsid w:val="003A0853"/>
    <w:rsid w:val="003A6B67"/>
    <w:rsid w:val="003B13B6"/>
    <w:rsid w:val="003B15E6"/>
    <w:rsid w:val="003B2F94"/>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5B7"/>
    <w:rsid w:val="004112C6"/>
    <w:rsid w:val="004148F9"/>
    <w:rsid w:val="00414D4A"/>
    <w:rsid w:val="0042084E"/>
    <w:rsid w:val="00421EEF"/>
    <w:rsid w:val="00424D65"/>
    <w:rsid w:val="00436EC9"/>
    <w:rsid w:val="00442C6C"/>
    <w:rsid w:val="00443CBE"/>
    <w:rsid w:val="00443E8A"/>
    <w:rsid w:val="004441BC"/>
    <w:rsid w:val="004468B4"/>
    <w:rsid w:val="0045230A"/>
    <w:rsid w:val="00452B7D"/>
    <w:rsid w:val="00454AD0"/>
    <w:rsid w:val="00457337"/>
    <w:rsid w:val="00462E3D"/>
    <w:rsid w:val="00466E79"/>
    <w:rsid w:val="0047076B"/>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780"/>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B77"/>
    <w:rsid w:val="00506F5D"/>
    <w:rsid w:val="00510C37"/>
    <w:rsid w:val="005126D0"/>
    <w:rsid w:val="0051568D"/>
    <w:rsid w:val="0051572F"/>
    <w:rsid w:val="00526AC7"/>
    <w:rsid w:val="00526C15"/>
    <w:rsid w:val="0053089F"/>
    <w:rsid w:val="00536395"/>
    <w:rsid w:val="00536499"/>
    <w:rsid w:val="00540348"/>
    <w:rsid w:val="00543620"/>
    <w:rsid w:val="00543903"/>
    <w:rsid w:val="00543F11"/>
    <w:rsid w:val="00546305"/>
    <w:rsid w:val="00547A95"/>
    <w:rsid w:val="0055119B"/>
    <w:rsid w:val="005548B5"/>
    <w:rsid w:val="00571780"/>
    <w:rsid w:val="00572031"/>
    <w:rsid w:val="00572282"/>
    <w:rsid w:val="00573CE3"/>
    <w:rsid w:val="00576E84"/>
    <w:rsid w:val="00580394"/>
    <w:rsid w:val="005809CD"/>
    <w:rsid w:val="00582B8C"/>
    <w:rsid w:val="0058757E"/>
    <w:rsid w:val="00587C1E"/>
    <w:rsid w:val="00596A4B"/>
    <w:rsid w:val="00597507"/>
    <w:rsid w:val="005A479D"/>
    <w:rsid w:val="005B1C6D"/>
    <w:rsid w:val="005B21B6"/>
    <w:rsid w:val="005B2931"/>
    <w:rsid w:val="005B3A08"/>
    <w:rsid w:val="005B7A63"/>
    <w:rsid w:val="005C0955"/>
    <w:rsid w:val="005C49DA"/>
    <w:rsid w:val="005C50F3"/>
    <w:rsid w:val="005C54B5"/>
    <w:rsid w:val="005C5D80"/>
    <w:rsid w:val="005C5D91"/>
    <w:rsid w:val="005D07B8"/>
    <w:rsid w:val="005D4A45"/>
    <w:rsid w:val="005D6597"/>
    <w:rsid w:val="005E14E7"/>
    <w:rsid w:val="005E26A3"/>
    <w:rsid w:val="005E2ECB"/>
    <w:rsid w:val="005E3DB7"/>
    <w:rsid w:val="005E447E"/>
    <w:rsid w:val="005E4FD1"/>
    <w:rsid w:val="005F0775"/>
    <w:rsid w:val="005F0CF5"/>
    <w:rsid w:val="005F21EB"/>
    <w:rsid w:val="00605908"/>
    <w:rsid w:val="00610D7C"/>
    <w:rsid w:val="00613414"/>
    <w:rsid w:val="00613838"/>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222"/>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C7CAD"/>
    <w:rsid w:val="006D0F16"/>
    <w:rsid w:val="006D2A3F"/>
    <w:rsid w:val="006D2FBC"/>
    <w:rsid w:val="006E0541"/>
    <w:rsid w:val="006E138B"/>
    <w:rsid w:val="006F0330"/>
    <w:rsid w:val="006F1FDC"/>
    <w:rsid w:val="006F6B8C"/>
    <w:rsid w:val="007013EF"/>
    <w:rsid w:val="007055BD"/>
    <w:rsid w:val="0070696A"/>
    <w:rsid w:val="007173CA"/>
    <w:rsid w:val="007216AA"/>
    <w:rsid w:val="00721AB5"/>
    <w:rsid w:val="00721CFB"/>
    <w:rsid w:val="00721DEF"/>
    <w:rsid w:val="0072251A"/>
    <w:rsid w:val="00724A43"/>
    <w:rsid w:val="00725E0D"/>
    <w:rsid w:val="007273AC"/>
    <w:rsid w:val="00731AD4"/>
    <w:rsid w:val="007346E4"/>
    <w:rsid w:val="00734FCA"/>
    <w:rsid w:val="0073582E"/>
    <w:rsid w:val="00737FC2"/>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B7596"/>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CDF"/>
    <w:rsid w:val="008338A2"/>
    <w:rsid w:val="00835FAF"/>
    <w:rsid w:val="00841AA9"/>
    <w:rsid w:val="008474FE"/>
    <w:rsid w:val="00853EE4"/>
    <w:rsid w:val="00855535"/>
    <w:rsid w:val="00855920"/>
    <w:rsid w:val="00857C5A"/>
    <w:rsid w:val="0086255E"/>
    <w:rsid w:val="008633F0"/>
    <w:rsid w:val="00866B56"/>
    <w:rsid w:val="00867D9D"/>
    <w:rsid w:val="00872E0A"/>
    <w:rsid w:val="00873594"/>
    <w:rsid w:val="00875285"/>
    <w:rsid w:val="00884B62"/>
    <w:rsid w:val="0088529C"/>
    <w:rsid w:val="00887903"/>
    <w:rsid w:val="0089270A"/>
    <w:rsid w:val="0089397F"/>
    <w:rsid w:val="00893AF6"/>
    <w:rsid w:val="00894BC4"/>
    <w:rsid w:val="008A15C3"/>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D760E"/>
    <w:rsid w:val="008D7831"/>
    <w:rsid w:val="008E3DE9"/>
    <w:rsid w:val="008E4376"/>
    <w:rsid w:val="008E544D"/>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3E1A"/>
    <w:rsid w:val="00945951"/>
    <w:rsid w:val="00950E2C"/>
    <w:rsid w:val="00951D50"/>
    <w:rsid w:val="009525EB"/>
    <w:rsid w:val="0095470B"/>
    <w:rsid w:val="00954874"/>
    <w:rsid w:val="0095615A"/>
    <w:rsid w:val="00961400"/>
    <w:rsid w:val="00963646"/>
    <w:rsid w:val="0096632D"/>
    <w:rsid w:val="009703BB"/>
    <w:rsid w:val="009718C7"/>
    <w:rsid w:val="0097559F"/>
    <w:rsid w:val="0097761E"/>
    <w:rsid w:val="00982454"/>
    <w:rsid w:val="00982CF0"/>
    <w:rsid w:val="009853E1"/>
    <w:rsid w:val="00986E6B"/>
    <w:rsid w:val="00990032"/>
    <w:rsid w:val="00990B19"/>
    <w:rsid w:val="0099153B"/>
    <w:rsid w:val="00991769"/>
    <w:rsid w:val="0099232C"/>
    <w:rsid w:val="00994386"/>
    <w:rsid w:val="00997326"/>
    <w:rsid w:val="009A13D8"/>
    <w:rsid w:val="009A279E"/>
    <w:rsid w:val="009A3015"/>
    <w:rsid w:val="009A3490"/>
    <w:rsid w:val="009A5D94"/>
    <w:rsid w:val="009B0A6F"/>
    <w:rsid w:val="009B0A94"/>
    <w:rsid w:val="009B2AE8"/>
    <w:rsid w:val="009B59E9"/>
    <w:rsid w:val="009B70AA"/>
    <w:rsid w:val="009C5E77"/>
    <w:rsid w:val="009C7A7E"/>
    <w:rsid w:val="009D02E8"/>
    <w:rsid w:val="009D51D0"/>
    <w:rsid w:val="009D70A4"/>
    <w:rsid w:val="009D7B14"/>
    <w:rsid w:val="009E08D1"/>
    <w:rsid w:val="009E17AF"/>
    <w:rsid w:val="009E1B95"/>
    <w:rsid w:val="009E496F"/>
    <w:rsid w:val="009E4B0D"/>
    <w:rsid w:val="009E5250"/>
    <w:rsid w:val="009E7F92"/>
    <w:rsid w:val="009F02A3"/>
    <w:rsid w:val="009F0505"/>
    <w:rsid w:val="009F1300"/>
    <w:rsid w:val="009F1F61"/>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0ACF"/>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5865"/>
    <w:rsid w:val="00AC6D36"/>
    <w:rsid w:val="00AD0CBA"/>
    <w:rsid w:val="00AD177A"/>
    <w:rsid w:val="00AD26E2"/>
    <w:rsid w:val="00AD784C"/>
    <w:rsid w:val="00AE126A"/>
    <w:rsid w:val="00AE1BAE"/>
    <w:rsid w:val="00AE3005"/>
    <w:rsid w:val="00AE3BD5"/>
    <w:rsid w:val="00AE59A0"/>
    <w:rsid w:val="00AF0C57"/>
    <w:rsid w:val="00AF121C"/>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1122"/>
    <w:rsid w:val="00B326B7"/>
    <w:rsid w:val="00B3588E"/>
    <w:rsid w:val="00B41F3D"/>
    <w:rsid w:val="00B431E8"/>
    <w:rsid w:val="00B45141"/>
    <w:rsid w:val="00B46DE7"/>
    <w:rsid w:val="00B519CD"/>
    <w:rsid w:val="00B5273A"/>
    <w:rsid w:val="00B535B8"/>
    <w:rsid w:val="00B57329"/>
    <w:rsid w:val="00B60E61"/>
    <w:rsid w:val="00B62B50"/>
    <w:rsid w:val="00B635B7"/>
    <w:rsid w:val="00B63AE8"/>
    <w:rsid w:val="00B65950"/>
    <w:rsid w:val="00B66D83"/>
    <w:rsid w:val="00B672C0"/>
    <w:rsid w:val="00B676FD"/>
    <w:rsid w:val="00B75646"/>
    <w:rsid w:val="00B826C1"/>
    <w:rsid w:val="00B90729"/>
    <w:rsid w:val="00B907DA"/>
    <w:rsid w:val="00B94CD5"/>
    <w:rsid w:val="00B950BC"/>
    <w:rsid w:val="00B95CBD"/>
    <w:rsid w:val="00B9714C"/>
    <w:rsid w:val="00BA29AD"/>
    <w:rsid w:val="00BA33CF"/>
    <w:rsid w:val="00BA3F8D"/>
    <w:rsid w:val="00BB7A10"/>
    <w:rsid w:val="00BC3E8F"/>
    <w:rsid w:val="00BC60BE"/>
    <w:rsid w:val="00BC63D9"/>
    <w:rsid w:val="00BC7468"/>
    <w:rsid w:val="00BC7D4F"/>
    <w:rsid w:val="00BC7ED7"/>
    <w:rsid w:val="00BD2850"/>
    <w:rsid w:val="00BE28D2"/>
    <w:rsid w:val="00BE48F2"/>
    <w:rsid w:val="00BE4A64"/>
    <w:rsid w:val="00BE5E43"/>
    <w:rsid w:val="00BF1716"/>
    <w:rsid w:val="00BF30B2"/>
    <w:rsid w:val="00BF557D"/>
    <w:rsid w:val="00BF7A6A"/>
    <w:rsid w:val="00BF7F58"/>
    <w:rsid w:val="00C01381"/>
    <w:rsid w:val="00C01AB1"/>
    <w:rsid w:val="00C026A0"/>
    <w:rsid w:val="00C056E2"/>
    <w:rsid w:val="00C06137"/>
    <w:rsid w:val="00C079B8"/>
    <w:rsid w:val="00C10037"/>
    <w:rsid w:val="00C123EA"/>
    <w:rsid w:val="00C12A49"/>
    <w:rsid w:val="00C133EE"/>
    <w:rsid w:val="00C149D0"/>
    <w:rsid w:val="00C169FA"/>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3D0C"/>
    <w:rsid w:val="00C74C5D"/>
    <w:rsid w:val="00C80E84"/>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733F"/>
    <w:rsid w:val="00CF0E51"/>
    <w:rsid w:val="00CF2F50"/>
    <w:rsid w:val="00CF303E"/>
    <w:rsid w:val="00CF6198"/>
    <w:rsid w:val="00D01B99"/>
    <w:rsid w:val="00D02919"/>
    <w:rsid w:val="00D04547"/>
    <w:rsid w:val="00D04C61"/>
    <w:rsid w:val="00D05B8D"/>
    <w:rsid w:val="00D065A2"/>
    <w:rsid w:val="00D079AA"/>
    <w:rsid w:val="00D07F00"/>
    <w:rsid w:val="00D1130F"/>
    <w:rsid w:val="00D17B72"/>
    <w:rsid w:val="00D26C64"/>
    <w:rsid w:val="00D3185C"/>
    <w:rsid w:val="00D31B65"/>
    <w:rsid w:val="00D3205F"/>
    <w:rsid w:val="00D3318E"/>
    <w:rsid w:val="00D33E72"/>
    <w:rsid w:val="00D35BD6"/>
    <w:rsid w:val="00D361B5"/>
    <w:rsid w:val="00D405AC"/>
    <w:rsid w:val="00D411A2"/>
    <w:rsid w:val="00D42F9B"/>
    <w:rsid w:val="00D4606D"/>
    <w:rsid w:val="00D46C92"/>
    <w:rsid w:val="00D50B9C"/>
    <w:rsid w:val="00D52D73"/>
    <w:rsid w:val="00D52E58"/>
    <w:rsid w:val="00D56B20"/>
    <w:rsid w:val="00D578B3"/>
    <w:rsid w:val="00D618F4"/>
    <w:rsid w:val="00D64317"/>
    <w:rsid w:val="00D714CC"/>
    <w:rsid w:val="00D730D6"/>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1DDB"/>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01"/>
    <w:rsid w:val="00DE6028"/>
    <w:rsid w:val="00DE78A3"/>
    <w:rsid w:val="00DF1A71"/>
    <w:rsid w:val="00DF50FC"/>
    <w:rsid w:val="00DF68C7"/>
    <w:rsid w:val="00DF731A"/>
    <w:rsid w:val="00E06B75"/>
    <w:rsid w:val="00E11332"/>
    <w:rsid w:val="00E11352"/>
    <w:rsid w:val="00E14A0A"/>
    <w:rsid w:val="00E170DC"/>
    <w:rsid w:val="00E17546"/>
    <w:rsid w:val="00E210B5"/>
    <w:rsid w:val="00E261B3"/>
    <w:rsid w:val="00E26818"/>
    <w:rsid w:val="00E27FFC"/>
    <w:rsid w:val="00E30B15"/>
    <w:rsid w:val="00E31A7D"/>
    <w:rsid w:val="00E33237"/>
    <w:rsid w:val="00E40181"/>
    <w:rsid w:val="00E54950"/>
    <w:rsid w:val="00E56A01"/>
    <w:rsid w:val="00E62622"/>
    <w:rsid w:val="00E629A1"/>
    <w:rsid w:val="00E6794C"/>
    <w:rsid w:val="00E71591"/>
    <w:rsid w:val="00E719DB"/>
    <w:rsid w:val="00E71CEB"/>
    <w:rsid w:val="00E7474F"/>
    <w:rsid w:val="00E80DE3"/>
    <w:rsid w:val="00E82C55"/>
    <w:rsid w:val="00E8787E"/>
    <w:rsid w:val="00E92AC3"/>
    <w:rsid w:val="00E958D9"/>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570FB"/>
    <w:rsid w:val="00F60082"/>
    <w:rsid w:val="00F61A9F"/>
    <w:rsid w:val="00F61B5F"/>
    <w:rsid w:val="00F6204E"/>
    <w:rsid w:val="00F64696"/>
    <w:rsid w:val="00F65AA9"/>
    <w:rsid w:val="00F6768F"/>
    <w:rsid w:val="00F67FBF"/>
    <w:rsid w:val="00F72C2C"/>
    <w:rsid w:val="00F76CAB"/>
    <w:rsid w:val="00F772C6"/>
    <w:rsid w:val="00F815B5"/>
    <w:rsid w:val="00F84FA0"/>
    <w:rsid w:val="00F85195"/>
    <w:rsid w:val="00F853C0"/>
    <w:rsid w:val="00F868E3"/>
    <w:rsid w:val="00F938BA"/>
    <w:rsid w:val="00F97919"/>
    <w:rsid w:val="00FA2C46"/>
    <w:rsid w:val="00FA3525"/>
    <w:rsid w:val="00FA5A53"/>
    <w:rsid w:val="00FB2551"/>
    <w:rsid w:val="00FB31B9"/>
    <w:rsid w:val="00FB3953"/>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586478E"/>
    <w:rsid w:val="060300D3"/>
    <w:rsid w:val="0C92BA7F"/>
    <w:rsid w:val="15A298DC"/>
    <w:rsid w:val="168E9F20"/>
    <w:rsid w:val="18518FE0"/>
    <w:rsid w:val="1ACBEC4E"/>
    <w:rsid w:val="1D774B6F"/>
    <w:rsid w:val="1E9AC44E"/>
    <w:rsid w:val="1FDE658F"/>
    <w:rsid w:val="24C0FE1D"/>
    <w:rsid w:val="2762B5E0"/>
    <w:rsid w:val="2BA741F2"/>
    <w:rsid w:val="2C163937"/>
    <w:rsid w:val="30986C50"/>
    <w:rsid w:val="31D1CC08"/>
    <w:rsid w:val="326E42F2"/>
    <w:rsid w:val="348500E7"/>
    <w:rsid w:val="354E2438"/>
    <w:rsid w:val="443965D9"/>
    <w:rsid w:val="48863D32"/>
    <w:rsid w:val="5325B976"/>
    <w:rsid w:val="54F8051F"/>
    <w:rsid w:val="563BDE05"/>
    <w:rsid w:val="56DABDC9"/>
    <w:rsid w:val="57D7AE66"/>
    <w:rsid w:val="59757E12"/>
    <w:rsid w:val="59A8401B"/>
    <w:rsid w:val="5C54EAB2"/>
    <w:rsid w:val="61F7660B"/>
    <w:rsid w:val="67F5BFB6"/>
    <w:rsid w:val="6804E8CB"/>
    <w:rsid w:val="69D1CDFC"/>
    <w:rsid w:val="6F90A8A5"/>
    <w:rsid w:val="77235C7F"/>
    <w:rsid w:val="79BCA041"/>
    <w:rsid w:val="7DB3D5C6"/>
    <w:rsid w:val="7E8AB682"/>
    <w:rsid w:val="7EDAD2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9F551C1D-0894-4FB5-944C-39D9E94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9"/>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9"/>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9"/>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9"/>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paragraph">
    <w:name w:val="paragraph"/>
    <w:basedOn w:val="Normal"/>
    <w:rsid w:val="009E17A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9E17AF"/>
  </w:style>
  <w:style w:type="character" w:customStyle="1" w:styleId="eop">
    <w:name w:val="eop"/>
    <w:basedOn w:val="DefaultParagraphFont"/>
    <w:rsid w:val="009E17AF"/>
  </w:style>
  <w:style w:type="paragraph" w:styleId="TOCHeading">
    <w:name w:val="TOC Heading"/>
    <w:basedOn w:val="Heading1"/>
    <w:next w:val="Normal"/>
    <w:uiPriority w:val="39"/>
    <w:unhideWhenUsed/>
    <w:qFormat/>
    <w:rsid w:val="004C678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3231778">
      <w:bodyDiv w:val="1"/>
      <w:marLeft w:val="0"/>
      <w:marRight w:val="0"/>
      <w:marTop w:val="0"/>
      <w:marBottom w:val="0"/>
      <w:divBdr>
        <w:top w:val="none" w:sz="0" w:space="0" w:color="auto"/>
        <w:left w:val="none" w:sz="0" w:space="0" w:color="auto"/>
        <w:bottom w:val="none" w:sz="0" w:space="0" w:color="auto"/>
        <w:right w:val="none" w:sz="0" w:space="0" w:color="auto"/>
      </w:divBdr>
    </w:div>
    <w:div w:id="20067668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0233236">
      <w:bodyDiv w:val="1"/>
      <w:marLeft w:val="0"/>
      <w:marRight w:val="0"/>
      <w:marTop w:val="0"/>
      <w:marBottom w:val="0"/>
      <w:divBdr>
        <w:top w:val="none" w:sz="0" w:space="0" w:color="auto"/>
        <w:left w:val="none" w:sz="0" w:space="0" w:color="auto"/>
        <w:bottom w:val="none" w:sz="0" w:space="0" w:color="auto"/>
        <w:right w:val="none" w:sz="0" w:space="0" w:color="auto"/>
      </w:divBdr>
      <w:divsChild>
        <w:div w:id="16080094">
          <w:marLeft w:val="0"/>
          <w:marRight w:val="0"/>
          <w:marTop w:val="0"/>
          <w:marBottom w:val="0"/>
          <w:divBdr>
            <w:top w:val="none" w:sz="0" w:space="0" w:color="auto"/>
            <w:left w:val="none" w:sz="0" w:space="0" w:color="auto"/>
            <w:bottom w:val="none" w:sz="0" w:space="0" w:color="auto"/>
            <w:right w:val="none" w:sz="0" w:space="0" w:color="auto"/>
          </w:divBdr>
        </w:div>
        <w:div w:id="136917542">
          <w:marLeft w:val="0"/>
          <w:marRight w:val="0"/>
          <w:marTop w:val="0"/>
          <w:marBottom w:val="0"/>
          <w:divBdr>
            <w:top w:val="none" w:sz="0" w:space="0" w:color="auto"/>
            <w:left w:val="none" w:sz="0" w:space="0" w:color="auto"/>
            <w:bottom w:val="none" w:sz="0" w:space="0" w:color="auto"/>
            <w:right w:val="none" w:sz="0" w:space="0" w:color="auto"/>
          </w:divBdr>
        </w:div>
        <w:div w:id="203520821">
          <w:marLeft w:val="0"/>
          <w:marRight w:val="0"/>
          <w:marTop w:val="0"/>
          <w:marBottom w:val="0"/>
          <w:divBdr>
            <w:top w:val="none" w:sz="0" w:space="0" w:color="auto"/>
            <w:left w:val="none" w:sz="0" w:space="0" w:color="auto"/>
            <w:bottom w:val="none" w:sz="0" w:space="0" w:color="auto"/>
            <w:right w:val="none" w:sz="0" w:space="0" w:color="auto"/>
          </w:divBdr>
        </w:div>
        <w:div w:id="309946708">
          <w:marLeft w:val="0"/>
          <w:marRight w:val="0"/>
          <w:marTop w:val="0"/>
          <w:marBottom w:val="0"/>
          <w:divBdr>
            <w:top w:val="none" w:sz="0" w:space="0" w:color="auto"/>
            <w:left w:val="none" w:sz="0" w:space="0" w:color="auto"/>
            <w:bottom w:val="none" w:sz="0" w:space="0" w:color="auto"/>
            <w:right w:val="none" w:sz="0" w:space="0" w:color="auto"/>
          </w:divBdr>
        </w:div>
        <w:div w:id="316881869">
          <w:marLeft w:val="0"/>
          <w:marRight w:val="0"/>
          <w:marTop w:val="0"/>
          <w:marBottom w:val="0"/>
          <w:divBdr>
            <w:top w:val="none" w:sz="0" w:space="0" w:color="auto"/>
            <w:left w:val="none" w:sz="0" w:space="0" w:color="auto"/>
            <w:bottom w:val="none" w:sz="0" w:space="0" w:color="auto"/>
            <w:right w:val="none" w:sz="0" w:space="0" w:color="auto"/>
          </w:divBdr>
        </w:div>
        <w:div w:id="823396865">
          <w:marLeft w:val="0"/>
          <w:marRight w:val="0"/>
          <w:marTop w:val="0"/>
          <w:marBottom w:val="0"/>
          <w:divBdr>
            <w:top w:val="none" w:sz="0" w:space="0" w:color="auto"/>
            <w:left w:val="none" w:sz="0" w:space="0" w:color="auto"/>
            <w:bottom w:val="none" w:sz="0" w:space="0" w:color="auto"/>
            <w:right w:val="none" w:sz="0" w:space="0" w:color="auto"/>
          </w:divBdr>
        </w:div>
        <w:div w:id="828054508">
          <w:marLeft w:val="0"/>
          <w:marRight w:val="0"/>
          <w:marTop w:val="0"/>
          <w:marBottom w:val="0"/>
          <w:divBdr>
            <w:top w:val="none" w:sz="0" w:space="0" w:color="auto"/>
            <w:left w:val="none" w:sz="0" w:space="0" w:color="auto"/>
            <w:bottom w:val="none" w:sz="0" w:space="0" w:color="auto"/>
            <w:right w:val="none" w:sz="0" w:space="0" w:color="auto"/>
          </w:divBdr>
        </w:div>
        <w:div w:id="1040712610">
          <w:marLeft w:val="0"/>
          <w:marRight w:val="0"/>
          <w:marTop w:val="0"/>
          <w:marBottom w:val="0"/>
          <w:divBdr>
            <w:top w:val="none" w:sz="0" w:space="0" w:color="auto"/>
            <w:left w:val="none" w:sz="0" w:space="0" w:color="auto"/>
            <w:bottom w:val="none" w:sz="0" w:space="0" w:color="auto"/>
            <w:right w:val="none" w:sz="0" w:space="0" w:color="auto"/>
          </w:divBdr>
        </w:div>
        <w:div w:id="1133593030">
          <w:marLeft w:val="0"/>
          <w:marRight w:val="0"/>
          <w:marTop w:val="0"/>
          <w:marBottom w:val="0"/>
          <w:divBdr>
            <w:top w:val="none" w:sz="0" w:space="0" w:color="auto"/>
            <w:left w:val="none" w:sz="0" w:space="0" w:color="auto"/>
            <w:bottom w:val="none" w:sz="0" w:space="0" w:color="auto"/>
            <w:right w:val="none" w:sz="0" w:space="0" w:color="auto"/>
          </w:divBdr>
        </w:div>
        <w:div w:id="1371759644">
          <w:marLeft w:val="0"/>
          <w:marRight w:val="0"/>
          <w:marTop w:val="0"/>
          <w:marBottom w:val="0"/>
          <w:divBdr>
            <w:top w:val="none" w:sz="0" w:space="0" w:color="auto"/>
            <w:left w:val="none" w:sz="0" w:space="0" w:color="auto"/>
            <w:bottom w:val="none" w:sz="0" w:space="0" w:color="auto"/>
            <w:right w:val="none" w:sz="0" w:space="0" w:color="auto"/>
          </w:divBdr>
        </w:div>
        <w:div w:id="1418094703">
          <w:marLeft w:val="0"/>
          <w:marRight w:val="0"/>
          <w:marTop w:val="0"/>
          <w:marBottom w:val="0"/>
          <w:divBdr>
            <w:top w:val="none" w:sz="0" w:space="0" w:color="auto"/>
            <w:left w:val="none" w:sz="0" w:space="0" w:color="auto"/>
            <w:bottom w:val="none" w:sz="0" w:space="0" w:color="auto"/>
            <w:right w:val="none" w:sz="0" w:space="0" w:color="auto"/>
          </w:divBdr>
        </w:div>
        <w:div w:id="1563835723">
          <w:marLeft w:val="0"/>
          <w:marRight w:val="0"/>
          <w:marTop w:val="0"/>
          <w:marBottom w:val="0"/>
          <w:divBdr>
            <w:top w:val="none" w:sz="0" w:space="0" w:color="auto"/>
            <w:left w:val="none" w:sz="0" w:space="0" w:color="auto"/>
            <w:bottom w:val="none" w:sz="0" w:space="0" w:color="auto"/>
            <w:right w:val="none" w:sz="0" w:space="0" w:color="auto"/>
          </w:divBdr>
        </w:div>
        <w:div w:id="1617061264">
          <w:marLeft w:val="0"/>
          <w:marRight w:val="0"/>
          <w:marTop w:val="0"/>
          <w:marBottom w:val="0"/>
          <w:divBdr>
            <w:top w:val="none" w:sz="0" w:space="0" w:color="auto"/>
            <w:left w:val="none" w:sz="0" w:space="0" w:color="auto"/>
            <w:bottom w:val="none" w:sz="0" w:space="0" w:color="auto"/>
            <w:right w:val="none" w:sz="0" w:space="0" w:color="auto"/>
          </w:divBdr>
        </w:div>
        <w:div w:id="1671250821">
          <w:marLeft w:val="0"/>
          <w:marRight w:val="0"/>
          <w:marTop w:val="0"/>
          <w:marBottom w:val="0"/>
          <w:divBdr>
            <w:top w:val="none" w:sz="0" w:space="0" w:color="auto"/>
            <w:left w:val="none" w:sz="0" w:space="0" w:color="auto"/>
            <w:bottom w:val="none" w:sz="0" w:space="0" w:color="auto"/>
            <w:right w:val="none" w:sz="0" w:space="0" w:color="auto"/>
          </w:divBdr>
        </w:div>
        <w:div w:id="1729761242">
          <w:marLeft w:val="0"/>
          <w:marRight w:val="0"/>
          <w:marTop w:val="0"/>
          <w:marBottom w:val="0"/>
          <w:divBdr>
            <w:top w:val="none" w:sz="0" w:space="0" w:color="auto"/>
            <w:left w:val="none" w:sz="0" w:space="0" w:color="auto"/>
            <w:bottom w:val="none" w:sz="0" w:space="0" w:color="auto"/>
            <w:right w:val="none" w:sz="0" w:space="0" w:color="auto"/>
          </w:divBdr>
        </w:div>
        <w:div w:id="1729955289">
          <w:marLeft w:val="0"/>
          <w:marRight w:val="0"/>
          <w:marTop w:val="0"/>
          <w:marBottom w:val="0"/>
          <w:divBdr>
            <w:top w:val="none" w:sz="0" w:space="0" w:color="auto"/>
            <w:left w:val="none" w:sz="0" w:space="0" w:color="auto"/>
            <w:bottom w:val="none" w:sz="0" w:space="0" w:color="auto"/>
            <w:right w:val="none" w:sz="0" w:space="0" w:color="auto"/>
          </w:divBdr>
        </w:div>
        <w:div w:id="1832867509">
          <w:marLeft w:val="0"/>
          <w:marRight w:val="0"/>
          <w:marTop w:val="0"/>
          <w:marBottom w:val="0"/>
          <w:divBdr>
            <w:top w:val="none" w:sz="0" w:space="0" w:color="auto"/>
            <w:left w:val="none" w:sz="0" w:space="0" w:color="auto"/>
            <w:bottom w:val="none" w:sz="0" w:space="0" w:color="auto"/>
            <w:right w:val="none" w:sz="0" w:space="0" w:color="auto"/>
          </w:divBdr>
        </w:div>
        <w:div w:id="1988128552">
          <w:marLeft w:val="0"/>
          <w:marRight w:val="0"/>
          <w:marTop w:val="0"/>
          <w:marBottom w:val="0"/>
          <w:divBdr>
            <w:top w:val="none" w:sz="0" w:space="0" w:color="auto"/>
            <w:left w:val="none" w:sz="0" w:space="0" w:color="auto"/>
            <w:bottom w:val="none" w:sz="0" w:space="0" w:color="auto"/>
            <w:right w:val="none" w:sz="0" w:space="0" w:color="auto"/>
          </w:divBdr>
        </w:div>
        <w:div w:id="200443281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157111">
      <w:bodyDiv w:val="1"/>
      <w:marLeft w:val="0"/>
      <w:marRight w:val="0"/>
      <w:marTop w:val="0"/>
      <w:marBottom w:val="0"/>
      <w:divBdr>
        <w:top w:val="none" w:sz="0" w:space="0" w:color="auto"/>
        <w:left w:val="none" w:sz="0" w:space="0" w:color="auto"/>
        <w:bottom w:val="none" w:sz="0" w:space="0" w:color="auto"/>
        <w:right w:val="none" w:sz="0" w:space="0" w:color="auto"/>
      </w:divBdr>
      <w:divsChild>
        <w:div w:id="391347401">
          <w:marLeft w:val="0"/>
          <w:marRight w:val="0"/>
          <w:marTop w:val="0"/>
          <w:marBottom w:val="0"/>
          <w:divBdr>
            <w:top w:val="none" w:sz="0" w:space="0" w:color="auto"/>
            <w:left w:val="none" w:sz="0" w:space="0" w:color="auto"/>
            <w:bottom w:val="none" w:sz="0" w:space="0" w:color="auto"/>
            <w:right w:val="none" w:sz="0" w:space="0" w:color="auto"/>
          </w:divBdr>
        </w:div>
        <w:div w:id="515585466">
          <w:marLeft w:val="0"/>
          <w:marRight w:val="0"/>
          <w:marTop w:val="0"/>
          <w:marBottom w:val="0"/>
          <w:divBdr>
            <w:top w:val="none" w:sz="0" w:space="0" w:color="auto"/>
            <w:left w:val="none" w:sz="0" w:space="0" w:color="auto"/>
            <w:bottom w:val="none" w:sz="0" w:space="0" w:color="auto"/>
            <w:right w:val="none" w:sz="0" w:space="0" w:color="auto"/>
          </w:divBdr>
        </w:div>
        <w:div w:id="755326313">
          <w:marLeft w:val="0"/>
          <w:marRight w:val="0"/>
          <w:marTop w:val="0"/>
          <w:marBottom w:val="0"/>
          <w:divBdr>
            <w:top w:val="none" w:sz="0" w:space="0" w:color="auto"/>
            <w:left w:val="none" w:sz="0" w:space="0" w:color="auto"/>
            <w:bottom w:val="none" w:sz="0" w:space="0" w:color="auto"/>
            <w:right w:val="none" w:sz="0" w:space="0" w:color="auto"/>
          </w:divBdr>
        </w:div>
        <w:div w:id="92507024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5425398">
      <w:bodyDiv w:val="1"/>
      <w:marLeft w:val="0"/>
      <w:marRight w:val="0"/>
      <w:marTop w:val="0"/>
      <w:marBottom w:val="0"/>
      <w:divBdr>
        <w:top w:val="none" w:sz="0" w:space="0" w:color="auto"/>
        <w:left w:val="none" w:sz="0" w:space="0" w:color="auto"/>
        <w:bottom w:val="none" w:sz="0" w:space="0" w:color="auto"/>
        <w:right w:val="none" w:sz="0" w:space="0" w:color="auto"/>
      </w:divBdr>
      <w:divsChild>
        <w:div w:id="285736985">
          <w:marLeft w:val="0"/>
          <w:marRight w:val="0"/>
          <w:marTop w:val="0"/>
          <w:marBottom w:val="0"/>
          <w:divBdr>
            <w:top w:val="none" w:sz="0" w:space="0" w:color="auto"/>
            <w:left w:val="none" w:sz="0" w:space="0" w:color="auto"/>
            <w:bottom w:val="none" w:sz="0" w:space="0" w:color="auto"/>
            <w:right w:val="none" w:sz="0" w:space="0" w:color="auto"/>
          </w:divBdr>
        </w:div>
        <w:div w:id="457846403">
          <w:marLeft w:val="0"/>
          <w:marRight w:val="0"/>
          <w:marTop w:val="0"/>
          <w:marBottom w:val="0"/>
          <w:divBdr>
            <w:top w:val="none" w:sz="0" w:space="0" w:color="auto"/>
            <w:left w:val="none" w:sz="0" w:space="0" w:color="auto"/>
            <w:bottom w:val="none" w:sz="0" w:space="0" w:color="auto"/>
            <w:right w:val="none" w:sz="0" w:space="0" w:color="auto"/>
          </w:divBdr>
        </w:div>
        <w:div w:id="707493533">
          <w:marLeft w:val="0"/>
          <w:marRight w:val="0"/>
          <w:marTop w:val="0"/>
          <w:marBottom w:val="0"/>
          <w:divBdr>
            <w:top w:val="none" w:sz="0" w:space="0" w:color="auto"/>
            <w:left w:val="none" w:sz="0" w:space="0" w:color="auto"/>
            <w:bottom w:val="none" w:sz="0" w:space="0" w:color="auto"/>
            <w:right w:val="none" w:sz="0" w:space="0" w:color="auto"/>
          </w:divBdr>
        </w:div>
        <w:div w:id="972830800">
          <w:marLeft w:val="0"/>
          <w:marRight w:val="0"/>
          <w:marTop w:val="0"/>
          <w:marBottom w:val="0"/>
          <w:divBdr>
            <w:top w:val="none" w:sz="0" w:space="0" w:color="auto"/>
            <w:left w:val="none" w:sz="0" w:space="0" w:color="auto"/>
            <w:bottom w:val="none" w:sz="0" w:space="0" w:color="auto"/>
            <w:right w:val="none" w:sz="0" w:space="0" w:color="auto"/>
          </w:divBdr>
        </w:div>
        <w:div w:id="979656043">
          <w:marLeft w:val="0"/>
          <w:marRight w:val="0"/>
          <w:marTop w:val="0"/>
          <w:marBottom w:val="0"/>
          <w:divBdr>
            <w:top w:val="none" w:sz="0" w:space="0" w:color="auto"/>
            <w:left w:val="none" w:sz="0" w:space="0" w:color="auto"/>
            <w:bottom w:val="none" w:sz="0" w:space="0" w:color="auto"/>
            <w:right w:val="none" w:sz="0" w:space="0" w:color="auto"/>
          </w:divBdr>
        </w:div>
        <w:div w:id="1369185518">
          <w:marLeft w:val="0"/>
          <w:marRight w:val="0"/>
          <w:marTop w:val="0"/>
          <w:marBottom w:val="0"/>
          <w:divBdr>
            <w:top w:val="none" w:sz="0" w:space="0" w:color="auto"/>
            <w:left w:val="none" w:sz="0" w:space="0" w:color="auto"/>
            <w:bottom w:val="none" w:sz="0" w:space="0" w:color="auto"/>
            <w:right w:val="none" w:sz="0" w:space="0" w:color="auto"/>
          </w:divBdr>
          <w:divsChild>
            <w:div w:id="40129125">
              <w:marLeft w:val="0"/>
              <w:marRight w:val="0"/>
              <w:marTop w:val="0"/>
              <w:marBottom w:val="0"/>
              <w:divBdr>
                <w:top w:val="none" w:sz="0" w:space="0" w:color="auto"/>
                <w:left w:val="none" w:sz="0" w:space="0" w:color="auto"/>
                <w:bottom w:val="none" w:sz="0" w:space="0" w:color="auto"/>
                <w:right w:val="none" w:sz="0" w:space="0" w:color="auto"/>
              </w:divBdr>
            </w:div>
            <w:div w:id="123356969">
              <w:marLeft w:val="0"/>
              <w:marRight w:val="0"/>
              <w:marTop w:val="0"/>
              <w:marBottom w:val="0"/>
              <w:divBdr>
                <w:top w:val="none" w:sz="0" w:space="0" w:color="auto"/>
                <w:left w:val="none" w:sz="0" w:space="0" w:color="auto"/>
                <w:bottom w:val="none" w:sz="0" w:space="0" w:color="auto"/>
                <w:right w:val="none" w:sz="0" w:space="0" w:color="auto"/>
              </w:divBdr>
            </w:div>
            <w:div w:id="187448958">
              <w:marLeft w:val="0"/>
              <w:marRight w:val="0"/>
              <w:marTop w:val="0"/>
              <w:marBottom w:val="0"/>
              <w:divBdr>
                <w:top w:val="none" w:sz="0" w:space="0" w:color="auto"/>
                <w:left w:val="none" w:sz="0" w:space="0" w:color="auto"/>
                <w:bottom w:val="none" w:sz="0" w:space="0" w:color="auto"/>
                <w:right w:val="none" w:sz="0" w:space="0" w:color="auto"/>
              </w:divBdr>
            </w:div>
            <w:div w:id="234439075">
              <w:marLeft w:val="0"/>
              <w:marRight w:val="0"/>
              <w:marTop w:val="0"/>
              <w:marBottom w:val="0"/>
              <w:divBdr>
                <w:top w:val="none" w:sz="0" w:space="0" w:color="auto"/>
                <w:left w:val="none" w:sz="0" w:space="0" w:color="auto"/>
                <w:bottom w:val="none" w:sz="0" w:space="0" w:color="auto"/>
                <w:right w:val="none" w:sz="0" w:space="0" w:color="auto"/>
              </w:divBdr>
            </w:div>
            <w:div w:id="348797865">
              <w:marLeft w:val="0"/>
              <w:marRight w:val="0"/>
              <w:marTop w:val="0"/>
              <w:marBottom w:val="0"/>
              <w:divBdr>
                <w:top w:val="none" w:sz="0" w:space="0" w:color="auto"/>
                <w:left w:val="none" w:sz="0" w:space="0" w:color="auto"/>
                <w:bottom w:val="none" w:sz="0" w:space="0" w:color="auto"/>
                <w:right w:val="none" w:sz="0" w:space="0" w:color="auto"/>
              </w:divBdr>
            </w:div>
            <w:div w:id="389231368">
              <w:marLeft w:val="0"/>
              <w:marRight w:val="0"/>
              <w:marTop w:val="0"/>
              <w:marBottom w:val="0"/>
              <w:divBdr>
                <w:top w:val="none" w:sz="0" w:space="0" w:color="auto"/>
                <w:left w:val="none" w:sz="0" w:space="0" w:color="auto"/>
                <w:bottom w:val="none" w:sz="0" w:space="0" w:color="auto"/>
                <w:right w:val="none" w:sz="0" w:space="0" w:color="auto"/>
              </w:divBdr>
            </w:div>
            <w:div w:id="420221351">
              <w:marLeft w:val="0"/>
              <w:marRight w:val="0"/>
              <w:marTop w:val="0"/>
              <w:marBottom w:val="0"/>
              <w:divBdr>
                <w:top w:val="none" w:sz="0" w:space="0" w:color="auto"/>
                <w:left w:val="none" w:sz="0" w:space="0" w:color="auto"/>
                <w:bottom w:val="none" w:sz="0" w:space="0" w:color="auto"/>
                <w:right w:val="none" w:sz="0" w:space="0" w:color="auto"/>
              </w:divBdr>
            </w:div>
            <w:div w:id="686373390">
              <w:marLeft w:val="0"/>
              <w:marRight w:val="0"/>
              <w:marTop w:val="0"/>
              <w:marBottom w:val="0"/>
              <w:divBdr>
                <w:top w:val="none" w:sz="0" w:space="0" w:color="auto"/>
                <w:left w:val="none" w:sz="0" w:space="0" w:color="auto"/>
                <w:bottom w:val="none" w:sz="0" w:space="0" w:color="auto"/>
                <w:right w:val="none" w:sz="0" w:space="0" w:color="auto"/>
              </w:divBdr>
            </w:div>
            <w:div w:id="848981192">
              <w:marLeft w:val="0"/>
              <w:marRight w:val="0"/>
              <w:marTop w:val="0"/>
              <w:marBottom w:val="0"/>
              <w:divBdr>
                <w:top w:val="none" w:sz="0" w:space="0" w:color="auto"/>
                <w:left w:val="none" w:sz="0" w:space="0" w:color="auto"/>
                <w:bottom w:val="none" w:sz="0" w:space="0" w:color="auto"/>
                <w:right w:val="none" w:sz="0" w:space="0" w:color="auto"/>
              </w:divBdr>
            </w:div>
            <w:div w:id="906918589">
              <w:marLeft w:val="0"/>
              <w:marRight w:val="0"/>
              <w:marTop w:val="0"/>
              <w:marBottom w:val="0"/>
              <w:divBdr>
                <w:top w:val="none" w:sz="0" w:space="0" w:color="auto"/>
                <w:left w:val="none" w:sz="0" w:space="0" w:color="auto"/>
                <w:bottom w:val="none" w:sz="0" w:space="0" w:color="auto"/>
                <w:right w:val="none" w:sz="0" w:space="0" w:color="auto"/>
              </w:divBdr>
            </w:div>
            <w:div w:id="1085342874">
              <w:marLeft w:val="0"/>
              <w:marRight w:val="0"/>
              <w:marTop w:val="0"/>
              <w:marBottom w:val="0"/>
              <w:divBdr>
                <w:top w:val="none" w:sz="0" w:space="0" w:color="auto"/>
                <w:left w:val="none" w:sz="0" w:space="0" w:color="auto"/>
                <w:bottom w:val="none" w:sz="0" w:space="0" w:color="auto"/>
                <w:right w:val="none" w:sz="0" w:space="0" w:color="auto"/>
              </w:divBdr>
            </w:div>
            <w:div w:id="1170869096">
              <w:marLeft w:val="0"/>
              <w:marRight w:val="0"/>
              <w:marTop w:val="0"/>
              <w:marBottom w:val="0"/>
              <w:divBdr>
                <w:top w:val="none" w:sz="0" w:space="0" w:color="auto"/>
                <w:left w:val="none" w:sz="0" w:space="0" w:color="auto"/>
                <w:bottom w:val="none" w:sz="0" w:space="0" w:color="auto"/>
                <w:right w:val="none" w:sz="0" w:space="0" w:color="auto"/>
              </w:divBdr>
            </w:div>
            <w:div w:id="1313756643">
              <w:marLeft w:val="0"/>
              <w:marRight w:val="0"/>
              <w:marTop w:val="0"/>
              <w:marBottom w:val="0"/>
              <w:divBdr>
                <w:top w:val="none" w:sz="0" w:space="0" w:color="auto"/>
                <w:left w:val="none" w:sz="0" w:space="0" w:color="auto"/>
                <w:bottom w:val="none" w:sz="0" w:space="0" w:color="auto"/>
                <w:right w:val="none" w:sz="0" w:space="0" w:color="auto"/>
              </w:divBdr>
            </w:div>
            <w:div w:id="1540363141">
              <w:marLeft w:val="0"/>
              <w:marRight w:val="0"/>
              <w:marTop w:val="0"/>
              <w:marBottom w:val="0"/>
              <w:divBdr>
                <w:top w:val="none" w:sz="0" w:space="0" w:color="auto"/>
                <w:left w:val="none" w:sz="0" w:space="0" w:color="auto"/>
                <w:bottom w:val="none" w:sz="0" w:space="0" w:color="auto"/>
                <w:right w:val="none" w:sz="0" w:space="0" w:color="auto"/>
              </w:divBdr>
            </w:div>
            <w:div w:id="1685932698">
              <w:marLeft w:val="0"/>
              <w:marRight w:val="0"/>
              <w:marTop w:val="0"/>
              <w:marBottom w:val="0"/>
              <w:divBdr>
                <w:top w:val="none" w:sz="0" w:space="0" w:color="auto"/>
                <w:left w:val="none" w:sz="0" w:space="0" w:color="auto"/>
                <w:bottom w:val="none" w:sz="0" w:space="0" w:color="auto"/>
                <w:right w:val="none" w:sz="0" w:space="0" w:color="auto"/>
              </w:divBdr>
            </w:div>
            <w:div w:id="1786802737">
              <w:marLeft w:val="0"/>
              <w:marRight w:val="0"/>
              <w:marTop w:val="0"/>
              <w:marBottom w:val="0"/>
              <w:divBdr>
                <w:top w:val="none" w:sz="0" w:space="0" w:color="auto"/>
                <w:left w:val="none" w:sz="0" w:space="0" w:color="auto"/>
                <w:bottom w:val="none" w:sz="0" w:space="0" w:color="auto"/>
                <w:right w:val="none" w:sz="0" w:space="0" w:color="auto"/>
              </w:divBdr>
            </w:div>
            <w:div w:id="1928952030">
              <w:marLeft w:val="0"/>
              <w:marRight w:val="0"/>
              <w:marTop w:val="0"/>
              <w:marBottom w:val="0"/>
              <w:divBdr>
                <w:top w:val="none" w:sz="0" w:space="0" w:color="auto"/>
                <w:left w:val="none" w:sz="0" w:space="0" w:color="auto"/>
                <w:bottom w:val="none" w:sz="0" w:space="0" w:color="auto"/>
                <w:right w:val="none" w:sz="0" w:space="0" w:color="auto"/>
              </w:divBdr>
            </w:div>
            <w:div w:id="2068449823">
              <w:marLeft w:val="0"/>
              <w:marRight w:val="0"/>
              <w:marTop w:val="0"/>
              <w:marBottom w:val="0"/>
              <w:divBdr>
                <w:top w:val="none" w:sz="0" w:space="0" w:color="auto"/>
                <w:left w:val="none" w:sz="0" w:space="0" w:color="auto"/>
                <w:bottom w:val="none" w:sz="0" w:space="0" w:color="auto"/>
                <w:right w:val="none" w:sz="0" w:space="0" w:color="auto"/>
              </w:divBdr>
            </w:div>
          </w:divsChild>
        </w:div>
        <w:div w:id="1455521263">
          <w:marLeft w:val="0"/>
          <w:marRight w:val="0"/>
          <w:marTop w:val="0"/>
          <w:marBottom w:val="0"/>
          <w:divBdr>
            <w:top w:val="none" w:sz="0" w:space="0" w:color="auto"/>
            <w:left w:val="none" w:sz="0" w:space="0" w:color="auto"/>
            <w:bottom w:val="none" w:sz="0" w:space="0" w:color="auto"/>
            <w:right w:val="none" w:sz="0" w:space="0" w:color="auto"/>
          </w:divBdr>
        </w:div>
        <w:div w:id="1473136733">
          <w:marLeft w:val="0"/>
          <w:marRight w:val="0"/>
          <w:marTop w:val="0"/>
          <w:marBottom w:val="0"/>
          <w:divBdr>
            <w:top w:val="none" w:sz="0" w:space="0" w:color="auto"/>
            <w:left w:val="none" w:sz="0" w:space="0" w:color="auto"/>
            <w:bottom w:val="none" w:sz="0" w:space="0" w:color="auto"/>
            <w:right w:val="none" w:sz="0" w:space="0" w:color="auto"/>
          </w:divBdr>
        </w:div>
        <w:div w:id="1534075276">
          <w:marLeft w:val="0"/>
          <w:marRight w:val="0"/>
          <w:marTop w:val="0"/>
          <w:marBottom w:val="0"/>
          <w:divBdr>
            <w:top w:val="none" w:sz="0" w:space="0" w:color="auto"/>
            <w:left w:val="none" w:sz="0" w:space="0" w:color="auto"/>
            <w:bottom w:val="none" w:sz="0" w:space="0" w:color="auto"/>
            <w:right w:val="none" w:sz="0" w:space="0" w:color="auto"/>
          </w:divBdr>
          <w:divsChild>
            <w:div w:id="137890248">
              <w:marLeft w:val="0"/>
              <w:marRight w:val="0"/>
              <w:marTop w:val="0"/>
              <w:marBottom w:val="0"/>
              <w:divBdr>
                <w:top w:val="none" w:sz="0" w:space="0" w:color="auto"/>
                <w:left w:val="none" w:sz="0" w:space="0" w:color="auto"/>
                <w:bottom w:val="none" w:sz="0" w:space="0" w:color="auto"/>
                <w:right w:val="none" w:sz="0" w:space="0" w:color="auto"/>
              </w:divBdr>
            </w:div>
            <w:div w:id="194538538">
              <w:marLeft w:val="0"/>
              <w:marRight w:val="0"/>
              <w:marTop w:val="0"/>
              <w:marBottom w:val="0"/>
              <w:divBdr>
                <w:top w:val="none" w:sz="0" w:space="0" w:color="auto"/>
                <w:left w:val="none" w:sz="0" w:space="0" w:color="auto"/>
                <w:bottom w:val="none" w:sz="0" w:space="0" w:color="auto"/>
                <w:right w:val="none" w:sz="0" w:space="0" w:color="auto"/>
              </w:divBdr>
            </w:div>
            <w:div w:id="494958317">
              <w:marLeft w:val="0"/>
              <w:marRight w:val="0"/>
              <w:marTop w:val="0"/>
              <w:marBottom w:val="0"/>
              <w:divBdr>
                <w:top w:val="none" w:sz="0" w:space="0" w:color="auto"/>
                <w:left w:val="none" w:sz="0" w:space="0" w:color="auto"/>
                <w:bottom w:val="none" w:sz="0" w:space="0" w:color="auto"/>
                <w:right w:val="none" w:sz="0" w:space="0" w:color="auto"/>
              </w:divBdr>
            </w:div>
            <w:div w:id="625353602">
              <w:marLeft w:val="0"/>
              <w:marRight w:val="0"/>
              <w:marTop w:val="0"/>
              <w:marBottom w:val="0"/>
              <w:divBdr>
                <w:top w:val="none" w:sz="0" w:space="0" w:color="auto"/>
                <w:left w:val="none" w:sz="0" w:space="0" w:color="auto"/>
                <w:bottom w:val="none" w:sz="0" w:space="0" w:color="auto"/>
                <w:right w:val="none" w:sz="0" w:space="0" w:color="auto"/>
              </w:divBdr>
            </w:div>
            <w:div w:id="693460881">
              <w:marLeft w:val="0"/>
              <w:marRight w:val="0"/>
              <w:marTop w:val="0"/>
              <w:marBottom w:val="0"/>
              <w:divBdr>
                <w:top w:val="none" w:sz="0" w:space="0" w:color="auto"/>
                <w:left w:val="none" w:sz="0" w:space="0" w:color="auto"/>
                <w:bottom w:val="none" w:sz="0" w:space="0" w:color="auto"/>
                <w:right w:val="none" w:sz="0" w:space="0" w:color="auto"/>
              </w:divBdr>
            </w:div>
            <w:div w:id="717122950">
              <w:marLeft w:val="0"/>
              <w:marRight w:val="0"/>
              <w:marTop w:val="0"/>
              <w:marBottom w:val="0"/>
              <w:divBdr>
                <w:top w:val="none" w:sz="0" w:space="0" w:color="auto"/>
                <w:left w:val="none" w:sz="0" w:space="0" w:color="auto"/>
                <w:bottom w:val="none" w:sz="0" w:space="0" w:color="auto"/>
                <w:right w:val="none" w:sz="0" w:space="0" w:color="auto"/>
              </w:divBdr>
            </w:div>
            <w:div w:id="1040593403">
              <w:marLeft w:val="0"/>
              <w:marRight w:val="0"/>
              <w:marTop w:val="0"/>
              <w:marBottom w:val="0"/>
              <w:divBdr>
                <w:top w:val="none" w:sz="0" w:space="0" w:color="auto"/>
                <w:left w:val="none" w:sz="0" w:space="0" w:color="auto"/>
                <w:bottom w:val="none" w:sz="0" w:space="0" w:color="auto"/>
                <w:right w:val="none" w:sz="0" w:space="0" w:color="auto"/>
              </w:divBdr>
            </w:div>
            <w:div w:id="1147236082">
              <w:marLeft w:val="0"/>
              <w:marRight w:val="0"/>
              <w:marTop w:val="0"/>
              <w:marBottom w:val="0"/>
              <w:divBdr>
                <w:top w:val="none" w:sz="0" w:space="0" w:color="auto"/>
                <w:left w:val="none" w:sz="0" w:space="0" w:color="auto"/>
                <w:bottom w:val="none" w:sz="0" w:space="0" w:color="auto"/>
                <w:right w:val="none" w:sz="0" w:space="0" w:color="auto"/>
              </w:divBdr>
            </w:div>
            <w:div w:id="1320303152">
              <w:marLeft w:val="0"/>
              <w:marRight w:val="0"/>
              <w:marTop w:val="0"/>
              <w:marBottom w:val="0"/>
              <w:divBdr>
                <w:top w:val="none" w:sz="0" w:space="0" w:color="auto"/>
                <w:left w:val="none" w:sz="0" w:space="0" w:color="auto"/>
                <w:bottom w:val="none" w:sz="0" w:space="0" w:color="auto"/>
                <w:right w:val="none" w:sz="0" w:space="0" w:color="auto"/>
              </w:divBdr>
            </w:div>
            <w:div w:id="1330401728">
              <w:marLeft w:val="0"/>
              <w:marRight w:val="0"/>
              <w:marTop w:val="0"/>
              <w:marBottom w:val="0"/>
              <w:divBdr>
                <w:top w:val="none" w:sz="0" w:space="0" w:color="auto"/>
                <w:left w:val="none" w:sz="0" w:space="0" w:color="auto"/>
                <w:bottom w:val="none" w:sz="0" w:space="0" w:color="auto"/>
                <w:right w:val="none" w:sz="0" w:space="0" w:color="auto"/>
              </w:divBdr>
            </w:div>
            <w:div w:id="1349991518">
              <w:marLeft w:val="0"/>
              <w:marRight w:val="0"/>
              <w:marTop w:val="0"/>
              <w:marBottom w:val="0"/>
              <w:divBdr>
                <w:top w:val="none" w:sz="0" w:space="0" w:color="auto"/>
                <w:left w:val="none" w:sz="0" w:space="0" w:color="auto"/>
                <w:bottom w:val="none" w:sz="0" w:space="0" w:color="auto"/>
                <w:right w:val="none" w:sz="0" w:space="0" w:color="auto"/>
              </w:divBdr>
            </w:div>
            <w:div w:id="1353334544">
              <w:marLeft w:val="0"/>
              <w:marRight w:val="0"/>
              <w:marTop w:val="0"/>
              <w:marBottom w:val="0"/>
              <w:divBdr>
                <w:top w:val="none" w:sz="0" w:space="0" w:color="auto"/>
                <w:left w:val="none" w:sz="0" w:space="0" w:color="auto"/>
                <w:bottom w:val="none" w:sz="0" w:space="0" w:color="auto"/>
                <w:right w:val="none" w:sz="0" w:space="0" w:color="auto"/>
              </w:divBdr>
            </w:div>
            <w:div w:id="1617325405">
              <w:marLeft w:val="0"/>
              <w:marRight w:val="0"/>
              <w:marTop w:val="0"/>
              <w:marBottom w:val="0"/>
              <w:divBdr>
                <w:top w:val="none" w:sz="0" w:space="0" w:color="auto"/>
                <w:left w:val="none" w:sz="0" w:space="0" w:color="auto"/>
                <w:bottom w:val="none" w:sz="0" w:space="0" w:color="auto"/>
                <w:right w:val="none" w:sz="0" w:space="0" w:color="auto"/>
              </w:divBdr>
            </w:div>
            <w:div w:id="1721973846">
              <w:marLeft w:val="0"/>
              <w:marRight w:val="0"/>
              <w:marTop w:val="0"/>
              <w:marBottom w:val="0"/>
              <w:divBdr>
                <w:top w:val="none" w:sz="0" w:space="0" w:color="auto"/>
                <w:left w:val="none" w:sz="0" w:space="0" w:color="auto"/>
                <w:bottom w:val="none" w:sz="0" w:space="0" w:color="auto"/>
                <w:right w:val="none" w:sz="0" w:space="0" w:color="auto"/>
              </w:divBdr>
            </w:div>
            <w:div w:id="1930575945">
              <w:marLeft w:val="0"/>
              <w:marRight w:val="0"/>
              <w:marTop w:val="0"/>
              <w:marBottom w:val="0"/>
              <w:divBdr>
                <w:top w:val="none" w:sz="0" w:space="0" w:color="auto"/>
                <w:left w:val="none" w:sz="0" w:space="0" w:color="auto"/>
                <w:bottom w:val="none" w:sz="0" w:space="0" w:color="auto"/>
                <w:right w:val="none" w:sz="0" w:space="0" w:color="auto"/>
              </w:divBdr>
            </w:div>
            <w:div w:id="1942058082">
              <w:marLeft w:val="0"/>
              <w:marRight w:val="0"/>
              <w:marTop w:val="0"/>
              <w:marBottom w:val="0"/>
              <w:divBdr>
                <w:top w:val="none" w:sz="0" w:space="0" w:color="auto"/>
                <w:left w:val="none" w:sz="0" w:space="0" w:color="auto"/>
                <w:bottom w:val="none" w:sz="0" w:space="0" w:color="auto"/>
                <w:right w:val="none" w:sz="0" w:space="0" w:color="auto"/>
              </w:divBdr>
            </w:div>
            <w:div w:id="2085953963">
              <w:marLeft w:val="0"/>
              <w:marRight w:val="0"/>
              <w:marTop w:val="0"/>
              <w:marBottom w:val="0"/>
              <w:divBdr>
                <w:top w:val="none" w:sz="0" w:space="0" w:color="auto"/>
                <w:left w:val="none" w:sz="0" w:space="0" w:color="auto"/>
                <w:bottom w:val="none" w:sz="0" w:space="0" w:color="auto"/>
                <w:right w:val="none" w:sz="0" w:space="0" w:color="auto"/>
              </w:divBdr>
            </w:div>
          </w:divsChild>
        </w:div>
        <w:div w:id="1613587771">
          <w:marLeft w:val="0"/>
          <w:marRight w:val="0"/>
          <w:marTop w:val="0"/>
          <w:marBottom w:val="0"/>
          <w:divBdr>
            <w:top w:val="none" w:sz="0" w:space="0" w:color="auto"/>
            <w:left w:val="none" w:sz="0" w:space="0" w:color="auto"/>
            <w:bottom w:val="none" w:sz="0" w:space="0" w:color="auto"/>
            <w:right w:val="none" w:sz="0" w:space="0" w:color="auto"/>
          </w:divBdr>
        </w:div>
        <w:div w:id="1826433635">
          <w:marLeft w:val="0"/>
          <w:marRight w:val="0"/>
          <w:marTop w:val="0"/>
          <w:marBottom w:val="0"/>
          <w:divBdr>
            <w:top w:val="none" w:sz="0" w:space="0" w:color="auto"/>
            <w:left w:val="none" w:sz="0" w:space="0" w:color="auto"/>
            <w:bottom w:val="none" w:sz="0" w:space="0" w:color="auto"/>
            <w:right w:val="none" w:sz="0" w:space="0" w:color="auto"/>
          </w:divBdr>
        </w:div>
        <w:div w:id="1873423381">
          <w:marLeft w:val="0"/>
          <w:marRight w:val="0"/>
          <w:marTop w:val="0"/>
          <w:marBottom w:val="0"/>
          <w:divBdr>
            <w:top w:val="none" w:sz="0" w:space="0" w:color="auto"/>
            <w:left w:val="none" w:sz="0" w:space="0" w:color="auto"/>
            <w:bottom w:val="none" w:sz="0" w:space="0" w:color="auto"/>
            <w:right w:val="none" w:sz="0" w:space="0" w:color="auto"/>
          </w:divBdr>
        </w:div>
        <w:div w:id="1873491141">
          <w:marLeft w:val="0"/>
          <w:marRight w:val="0"/>
          <w:marTop w:val="0"/>
          <w:marBottom w:val="0"/>
          <w:divBdr>
            <w:top w:val="none" w:sz="0" w:space="0" w:color="auto"/>
            <w:left w:val="none" w:sz="0" w:space="0" w:color="auto"/>
            <w:bottom w:val="none" w:sz="0" w:space="0" w:color="auto"/>
            <w:right w:val="none" w:sz="0" w:space="0" w:color="auto"/>
          </w:divBdr>
        </w:div>
        <w:div w:id="1928340721">
          <w:marLeft w:val="0"/>
          <w:marRight w:val="0"/>
          <w:marTop w:val="0"/>
          <w:marBottom w:val="0"/>
          <w:divBdr>
            <w:top w:val="none" w:sz="0" w:space="0" w:color="auto"/>
            <w:left w:val="none" w:sz="0" w:space="0" w:color="auto"/>
            <w:bottom w:val="none" w:sz="0" w:space="0" w:color="auto"/>
            <w:right w:val="none" w:sz="0" w:space="0" w:color="auto"/>
          </w:divBdr>
        </w:div>
        <w:div w:id="2044548639">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3486297">
      <w:bodyDiv w:val="1"/>
      <w:marLeft w:val="0"/>
      <w:marRight w:val="0"/>
      <w:marTop w:val="0"/>
      <w:marBottom w:val="0"/>
      <w:divBdr>
        <w:top w:val="none" w:sz="0" w:space="0" w:color="auto"/>
        <w:left w:val="none" w:sz="0" w:space="0" w:color="auto"/>
        <w:bottom w:val="none" w:sz="0" w:space="0" w:color="auto"/>
        <w:right w:val="none" w:sz="0" w:space="0" w:color="auto"/>
      </w:divBdr>
      <w:divsChild>
        <w:div w:id="813302796">
          <w:marLeft w:val="0"/>
          <w:marRight w:val="0"/>
          <w:marTop w:val="0"/>
          <w:marBottom w:val="0"/>
          <w:divBdr>
            <w:top w:val="none" w:sz="0" w:space="0" w:color="auto"/>
            <w:left w:val="none" w:sz="0" w:space="0" w:color="auto"/>
            <w:bottom w:val="none" w:sz="0" w:space="0" w:color="auto"/>
            <w:right w:val="none" w:sz="0" w:space="0" w:color="auto"/>
          </w:divBdr>
        </w:div>
        <w:div w:id="1041975898">
          <w:marLeft w:val="0"/>
          <w:marRight w:val="0"/>
          <w:marTop w:val="0"/>
          <w:marBottom w:val="0"/>
          <w:divBdr>
            <w:top w:val="none" w:sz="0" w:space="0" w:color="auto"/>
            <w:left w:val="none" w:sz="0" w:space="0" w:color="auto"/>
            <w:bottom w:val="none" w:sz="0" w:space="0" w:color="auto"/>
            <w:right w:val="none" w:sz="0" w:space="0" w:color="auto"/>
          </w:divBdr>
        </w:div>
        <w:div w:id="1240335586">
          <w:marLeft w:val="0"/>
          <w:marRight w:val="0"/>
          <w:marTop w:val="0"/>
          <w:marBottom w:val="0"/>
          <w:divBdr>
            <w:top w:val="none" w:sz="0" w:space="0" w:color="auto"/>
            <w:left w:val="none" w:sz="0" w:space="0" w:color="auto"/>
            <w:bottom w:val="none" w:sz="0" w:space="0" w:color="auto"/>
            <w:right w:val="none" w:sz="0" w:space="0" w:color="auto"/>
          </w:divBdr>
        </w:div>
        <w:div w:id="1310476315">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health-system-design-planning/perioperative-service-capability-framework-for-vic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Glyn Devlin (Health)</DisplayName>
        <AccountId>30</AccountId>
        <AccountType/>
      </UserInfo>
      <UserInfo>
        <DisplayName>Mary Benson (Health)</DisplayName>
        <AccountId>602</AccountId>
        <AccountType/>
      </UserInfo>
      <UserInfo>
        <DisplayName>Sonia Denisenko (Health)</DisplayName>
        <AccountId>16</AccountId>
        <AccountType/>
      </UserInfo>
      <UserInfo>
        <DisplayName>Isabella Ryan (Health)</DisplayName>
        <AccountId>698</AccountId>
        <AccountType/>
      </UserInfo>
      <UserInfo>
        <DisplayName>Capability Frameworks (Health)</DisplayName>
        <AccountId>230</AccountId>
        <AccountType/>
      </UserInfo>
      <UserInfo>
        <DisplayName>Miriam Brown (Health)</DisplayName>
        <AccountId>938</AccountId>
        <AccountType/>
      </UserInfo>
      <UserInfo>
        <DisplayName>Paul Aiken (Health)</DisplayName>
        <AccountId>787</AccountId>
        <AccountType/>
      </UserInfo>
      <UserInfo>
        <DisplayName>Claire East (Health)</DisplayName>
        <AccountId>1371</AccountId>
        <AccountType/>
      </UserInfo>
      <UserInfo>
        <DisplayName>Sarah Luscombe (Health)</DisplayName>
        <AccountId>1342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22c161df7444c8f344cc5551dfab2eb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e1ee8d882ed06038da88d0877216d0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b00e7b-332d-4610-8aa3-5c2971790d90}"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749039A-F374-4A85-893F-C0E62529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929</Words>
  <Characters>6276</Characters>
  <Application>Microsoft Office Word</Application>
  <DocSecurity>0</DocSecurity>
  <Lines>52</Lines>
  <Paragraphs>14</Paragraphs>
  <ScaleCrop>false</ScaleCrop>
  <Manager/>
  <Company>Victoria State Government, Department of Health</Company>
  <LinksUpToDate>false</LinksUpToDate>
  <CharactersWithSpaces>7191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Pperioperative service capability framework factsheet for health services</dc:title>
  <dc:subject/>
  <dc:creator>Microsoft Office User</dc:creator>
  <cp:keywords/>
  <dc:description/>
  <cp:lastModifiedBy>Clare Winter-Irving (Health)</cp:lastModifiedBy>
  <cp:revision>29</cp:revision>
  <cp:lastPrinted>2020-03-30T03:28:00Z</cp:lastPrinted>
  <dcterms:created xsi:type="dcterms:W3CDTF">2025-07-11T00:15:00Z</dcterms:created>
  <dcterms:modified xsi:type="dcterms:W3CDTF">2025-07-23T23:45:00Z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GrammarlyDocumentId">
    <vt:lpwstr>ecccd9be26e785dd2be5949807cff021a560b076e7cdfb25bcaba826ca628b24</vt:lpwstr>
  </property>
</Properties>
</file>