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5176" w14:textId="16DD7B93" w:rsidR="00A62D44" w:rsidRPr="004C6EEE" w:rsidRDefault="000E0970" w:rsidP="00031644">
      <w:pPr>
        <w:pStyle w:val="Spacerparatopoffirstpage"/>
        <w:sectPr w:rsidR="00A62D44" w:rsidRPr="004C6EEE" w:rsidSect="00AD784C">
          <w:footerReference w:type="even" r:id="rId10"/>
          <w:footerReference w:type="defaul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68C80845" wp14:editId="5CF22D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360"/>
            <wp:effectExtent l="0" t="0" r="0" b="635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7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B61">
        <w:t>safe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14:paraId="25F1106E" w14:textId="77777777" w:rsidTr="008A28A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0691E454" w14:textId="2E3F1705" w:rsidR="00AD784C" w:rsidRPr="00161AA0" w:rsidRDefault="00466868" w:rsidP="00A91406">
            <w:pPr>
              <w:pStyle w:val="DHHSmainheading"/>
            </w:pPr>
            <w:r>
              <w:t xml:space="preserve">Using </w:t>
            </w:r>
            <w:r w:rsidR="00031644">
              <w:t>SafeScript</w:t>
            </w:r>
            <w:r>
              <w:t xml:space="preserve"> -</w:t>
            </w:r>
            <w:r w:rsidR="00031644">
              <w:t xml:space="preserve"> </w:t>
            </w:r>
            <w:r>
              <w:t xml:space="preserve">most </w:t>
            </w:r>
            <w:r w:rsidR="00031644">
              <w:t>commonly asked questions</w:t>
            </w:r>
          </w:p>
        </w:tc>
      </w:tr>
      <w:tr w:rsidR="00AD784C" w14:paraId="0202C119" w14:textId="77777777" w:rsidTr="00EB0793">
        <w:trPr>
          <w:trHeight w:hRule="exact" w:val="767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2C10225B" w14:textId="4562F568" w:rsidR="00357B4E" w:rsidRPr="00AD784C" w:rsidRDefault="008005DC" w:rsidP="00357B4E">
            <w:pPr>
              <w:pStyle w:val="DHHSmainsubheading"/>
              <w:rPr>
                <w:szCs w:val="28"/>
              </w:rPr>
            </w:pPr>
            <w:r>
              <w:rPr>
                <w:sz w:val="36"/>
                <w:szCs w:val="36"/>
              </w:rPr>
              <w:t>F</w:t>
            </w:r>
            <w:r w:rsidRPr="00716471">
              <w:rPr>
                <w:sz w:val="36"/>
                <w:szCs w:val="36"/>
              </w:rPr>
              <w:t>or prescribers and pharmacists</w:t>
            </w:r>
            <w:r w:rsidDel="009475FF">
              <w:rPr>
                <w:szCs w:val="28"/>
              </w:rPr>
              <w:t xml:space="preserve"> </w:t>
            </w:r>
          </w:p>
        </w:tc>
      </w:tr>
    </w:tbl>
    <w:p w14:paraId="3EB68CDC" w14:textId="33F7451F" w:rsidR="00AD784C" w:rsidRPr="00B57329" w:rsidRDefault="008005DC" w:rsidP="00B57329">
      <w:pPr>
        <w:pStyle w:val="DHHSTOCheadingfactsheet"/>
      </w:pPr>
      <w:r>
        <w:br/>
      </w:r>
      <w:r w:rsidR="00716471">
        <w:t>Most commonly asked questions from prescribers and pharmacists</w:t>
      </w:r>
    </w:p>
    <w:p w14:paraId="6D43A430" w14:textId="4FD94D08" w:rsidR="00716471" w:rsidRPr="00716471" w:rsidRDefault="00716471" w:rsidP="00716471">
      <w:pPr>
        <w:pStyle w:val="Heading4"/>
      </w:pPr>
      <w:r w:rsidRPr="00716471">
        <w:t xml:space="preserve">I can’t find a patient on SafeScript, but I know that I hold a permit/this patient has had a </w:t>
      </w:r>
      <w:r w:rsidR="00D77938">
        <w:t>monitored medicine</w:t>
      </w:r>
      <w:r w:rsidRPr="00716471">
        <w:t xml:space="preserve"> dispensed recently?</w:t>
      </w:r>
    </w:p>
    <w:p w14:paraId="00E20D3E" w14:textId="6C79A35B" w:rsidR="00716471" w:rsidRDefault="00716471" w:rsidP="00EB0793">
      <w:pPr>
        <w:pStyle w:val="DHHSbody"/>
      </w:pPr>
      <w:r w:rsidRPr="6BCD4D7E">
        <w:t xml:space="preserve">The best way to search for patients is to type the </w:t>
      </w:r>
      <w:r w:rsidRPr="6BCD4D7E">
        <w:rPr>
          <w:b/>
          <w:bCs/>
        </w:rPr>
        <w:t>first letter</w:t>
      </w:r>
      <w:r w:rsidRPr="6BCD4D7E">
        <w:t xml:space="preserve"> of the patient’s first name and surname with the date of birth. This will ensure all potential matches are visible</w:t>
      </w:r>
      <w:r>
        <w:t xml:space="preserve"> </w:t>
      </w:r>
      <w:r w:rsidRPr="00881B3F">
        <w:t>and to reduce the possibility that variable spelling might affect the search. You will need to open and view each possible match to obtain the complete history of the patient.</w:t>
      </w:r>
    </w:p>
    <w:p w14:paraId="7B22AB28" w14:textId="77777777" w:rsidR="00716471" w:rsidRDefault="00716471" w:rsidP="00716471">
      <w:pPr>
        <w:pStyle w:val="DHHSbody"/>
      </w:pPr>
      <w:r w:rsidRPr="00881B3F">
        <w:t xml:space="preserve">Some patients are using slight variations of their names and different dates-of-birth (as well as completely false identities) in order to conceal the extent of their use of monitored drugs. </w:t>
      </w:r>
    </w:p>
    <w:p w14:paraId="77F4BDE7" w14:textId="7BA548E0" w:rsidR="00716471" w:rsidRDefault="00716471" w:rsidP="00EB0793">
      <w:pPr>
        <w:pStyle w:val="DHHSbody"/>
      </w:pPr>
      <w:r w:rsidRPr="00881B3F">
        <w:t xml:space="preserve">Prescribers are reminded of their </w:t>
      </w:r>
      <w:r w:rsidR="009475FF">
        <w:t>legislative</w:t>
      </w:r>
      <w:r w:rsidRPr="00881B3F">
        <w:t xml:space="preserve"> responsibility to take all reasonable steps to confirm a </w:t>
      </w:r>
      <w:r w:rsidR="009475FF">
        <w:t>patient’s</w:t>
      </w:r>
      <w:r w:rsidRPr="00881B3F">
        <w:t xml:space="preserve"> identity by carefully checking the name and date-of-birth plus photo-identification before issuing a prescription for a drug of dependence for any person who has not previously established their bona fides at the clinic.</w:t>
      </w:r>
    </w:p>
    <w:p w14:paraId="04775237" w14:textId="010DAA8F" w:rsidR="00716471" w:rsidRDefault="00716471" w:rsidP="005170AF">
      <w:pPr>
        <w:pStyle w:val="Heading4"/>
      </w:pPr>
      <w:r w:rsidRPr="6BCD4D7E">
        <w:t>I have applied for a permit a while ago but have not received any response, how do I know if it’s been approved?</w:t>
      </w:r>
    </w:p>
    <w:p w14:paraId="201B9001" w14:textId="77777777" w:rsidR="005170AF" w:rsidRDefault="005170AF" w:rsidP="00716471">
      <w:pPr>
        <w:pStyle w:val="NoSpacing"/>
        <w:rPr>
          <w:color w:val="1F497D" w:themeColor="text2"/>
        </w:rPr>
      </w:pPr>
    </w:p>
    <w:p w14:paraId="7099BF46" w14:textId="431F4846" w:rsidR="00716471" w:rsidRDefault="00716471" w:rsidP="005170AF">
      <w:pPr>
        <w:pStyle w:val="DHHSbody"/>
      </w:pPr>
      <w:r w:rsidRPr="14AAE809">
        <w:t xml:space="preserve">To check the status of your permit application(s), please visit the </w:t>
      </w:r>
      <w:hyperlink r:id="rId14" w:history="1">
        <w:r w:rsidRPr="00FD1F9B">
          <w:rPr>
            <w:rStyle w:val="Hyperlink"/>
          </w:rPr>
          <w:t>SafeScript portal</w:t>
        </w:r>
      </w:hyperlink>
      <w:r w:rsidRPr="14AAE809">
        <w:t xml:space="preserve"> </w:t>
      </w:r>
      <w:r w:rsidR="00FD1F9B">
        <w:t>&lt;</w:t>
      </w:r>
      <w:r w:rsidRPr="00FD1F9B">
        <w:t>www.safescript.vic.gov.au</w:t>
      </w:r>
      <w:r w:rsidR="00FD1F9B">
        <w:t>&gt;</w:t>
      </w:r>
      <w:r w:rsidRPr="14AAE809">
        <w:t xml:space="preserve">.  </w:t>
      </w:r>
      <w:r w:rsidRPr="640EB41B">
        <w:t xml:space="preserve">Once logged into the </w:t>
      </w:r>
      <w:r>
        <w:t xml:space="preserve">SafeScript </w:t>
      </w:r>
      <w:r w:rsidRPr="640EB41B">
        <w:t>portal,</w:t>
      </w:r>
      <w:r w:rsidRPr="009A0397">
        <w:t xml:space="preserve"> select </w:t>
      </w:r>
      <w:r w:rsidRPr="009A0397">
        <w:rPr>
          <w:b/>
          <w:bCs/>
        </w:rPr>
        <w:t xml:space="preserve">Permits </w:t>
      </w:r>
      <w:r w:rsidRPr="009A0397">
        <w:t>from the navigation menu. The Permits screen lists all your permits</w:t>
      </w:r>
      <w:r>
        <w:t xml:space="preserve"> and permit applications</w:t>
      </w:r>
      <w:r w:rsidRPr="009A0397">
        <w:t xml:space="preserve"> in SafeScript. </w:t>
      </w:r>
    </w:p>
    <w:p w14:paraId="5E60C299" w14:textId="149A937B" w:rsidR="00402AAB" w:rsidRDefault="00402AAB" w:rsidP="005170AF">
      <w:pPr>
        <w:pStyle w:val="NoSpacing"/>
      </w:pPr>
    </w:p>
    <w:p w14:paraId="49472719" w14:textId="37B4EE28" w:rsidR="00716471" w:rsidRDefault="00716471" w:rsidP="005170AF">
      <w:pPr>
        <w:pStyle w:val="NoSpacing"/>
      </w:pPr>
      <w:r>
        <w:rPr>
          <w:rFonts w:eastAsia="Times New Roman"/>
          <w:noProof/>
        </w:rPr>
        <w:drawing>
          <wp:anchor distT="0" distB="0" distL="114300" distR="114300" simplePos="0" relativeHeight="251658241" behindDoc="0" locked="0" layoutInCell="1" allowOverlap="1" wp14:anchorId="4AF3A2D7" wp14:editId="40EA5828">
            <wp:simplePos x="0" y="0"/>
            <wp:positionH relativeFrom="column">
              <wp:posOffset>635</wp:posOffset>
            </wp:positionH>
            <wp:positionV relativeFrom="paragraph">
              <wp:posOffset>-1905</wp:posOffset>
            </wp:positionV>
            <wp:extent cx="5731510" cy="1938655"/>
            <wp:effectExtent l="0" t="0" r="2540" b="4445"/>
            <wp:wrapTopAndBottom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status of each permit is shown as </w:t>
      </w:r>
      <w:r w:rsidRPr="21D5ABC8">
        <w:rPr>
          <w:i/>
          <w:iCs/>
        </w:rPr>
        <w:t>Active</w:t>
      </w:r>
      <w:r>
        <w:t xml:space="preserve"> (permit has been issued), </w:t>
      </w:r>
      <w:r w:rsidRPr="21D5ABC8">
        <w:rPr>
          <w:i/>
          <w:iCs/>
        </w:rPr>
        <w:t>Inactive</w:t>
      </w:r>
      <w:r>
        <w:t xml:space="preserve"> (permit has not been issued or has expired) or </w:t>
      </w:r>
      <w:r w:rsidRPr="21D5ABC8">
        <w:rPr>
          <w:i/>
          <w:iCs/>
        </w:rPr>
        <w:t>Pending</w:t>
      </w:r>
      <w:r>
        <w:t xml:space="preserve"> (application being processed). </w:t>
      </w:r>
    </w:p>
    <w:p w14:paraId="0D545BB8" w14:textId="5CA1E769" w:rsidR="008134EF" w:rsidRDefault="008134EF" w:rsidP="005170AF">
      <w:pPr>
        <w:pStyle w:val="NoSpacing"/>
      </w:pPr>
    </w:p>
    <w:p w14:paraId="5B244D52" w14:textId="2D7D0773" w:rsidR="006A2A56" w:rsidRDefault="0BB220B2" w:rsidP="005170AF">
      <w:pPr>
        <w:pStyle w:val="NoSpacing"/>
      </w:pPr>
      <w:r w:rsidRPr="008134EF">
        <w:rPr>
          <w:b/>
          <w:bCs/>
        </w:rPr>
        <w:t>Alternatively</w:t>
      </w:r>
      <w:r>
        <w:t xml:space="preserve">, you can find the permit status for </w:t>
      </w:r>
      <w:r w:rsidR="00307924">
        <w:t>a specific</w:t>
      </w:r>
      <w:r>
        <w:t xml:space="preserve"> patient in the </w:t>
      </w:r>
      <w:r w:rsidR="702EA12F">
        <w:t xml:space="preserve">relevant </w:t>
      </w:r>
      <w:r>
        <w:t>patient profile by clicking the “Permits” tab</w:t>
      </w:r>
      <w:r w:rsidR="1F9506A1">
        <w:t xml:space="preserve"> in the “Patient Details” screen. </w:t>
      </w:r>
    </w:p>
    <w:p w14:paraId="522664FC" w14:textId="2F67F944" w:rsidR="008134EF" w:rsidRDefault="008134EF" w:rsidP="005170AF">
      <w:pPr>
        <w:pStyle w:val="NoSpacing"/>
      </w:pPr>
    </w:p>
    <w:p w14:paraId="399B96E1" w14:textId="1D2B11FF" w:rsidR="006A2A56" w:rsidRDefault="0093005B" w:rsidP="005170AF">
      <w:pPr>
        <w:pStyle w:val="NoSpacing"/>
      </w:pPr>
      <w:r>
        <w:rPr>
          <w:noProof/>
        </w:rPr>
        <w:lastRenderedPageBreak/>
        <w:drawing>
          <wp:inline distT="0" distB="0" distL="0" distR="0" wp14:anchorId="5C290B60" wp14:editId="6DD5DF74">
            <wp:extent cx="5800725" cy="1017003"/>
            <wp:effectExtent l="0" t="0" r="0" b="0"/>
            <wp:docPr id="72561409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1409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01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C23D9" w14:textId="3CA93C52" w:rsidR="003F1817" w:rsidRDefault="003F1817" w:rsidP="005170AF">
      <w:pPr>
        <w:pStyle w:val="NoSpacing"/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7BC79FCE" wp14:editId="3A1FB7A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838190" cy="1506855"/>
            <wp:effectExtent l="0" t="0" r="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BDED" w14:textId="4F2A9C96" w:rsidR="00716471" w:rsidRDefault="00716471" w:rsidP="00716471">
      <w:pPr>
        <w:pStyle w:val="NoSpacing"/>
        <w:rPr>
          <w:color w:val="1F497D" w:themeColor="text2"/>
        </w:rPr>
      </w:pPr>
    </w:p>
    <w:p w14:paraId="421ACE9A" w14:textId="204BCA77" w:rsidR="00066AB0" w:rsidRDefault="00066AB0" w:rsidP="00C756FE">
      <w:pPr>
        <w:pStyle w:val="DHHSbody"/>
      </w:pPr>
    </w:p>
    <w:p w14:paraId="2C93C9B5" w14:textId="21AF75CA" w:rsidR="00066AB0" w:rsidRDefault="00066AB0" w:rsidP="00C756FE">
      <w:pPr>
        <w:pStyle w:val="DHHSbody"/>
      </w:pPr>
    </w:p>
    <w:p w14:paraId="75AEB132" w14:textId="4E608EA4" w:rsidR="00066AB0" w:rsidRDefault="00066AB0" w:rsidP="00C756FE">
      <w:pPr>
        <w:pStyle w:val="DHHSbody"/>
      </w:pPr>
    </w:p>
    <w:p w14:paraId="7AA65CFA" w14:textId="6ED16FBF" w:rsidR="00175B44" w:rsidRDefault="00175B44" w:rsidP="00C756FE">
      <w:pPr>
        <w:pStyle w:val="DHHSbody"/>
      </w:pPr>
    </w:p>
    <w:p w14:paraId="2609378A" w14:textId="7462BF93" w:rsidR="008730BB" w:rsidRDefault="008730BB" w:rsidP="00C756FE">
      <w:pPr>
        <w:pStyle w:val="DHHSbody"/>
      </w:pPr>
    </w:p>
    <w:p w14:paraId="03F3645C" w14:textId="37B4F22F" w:rsidR="009475FF" w:rsidRDefault="00EB40BC" w:rsidP="00C756FE">
      <w:pPr>
        <w:pStyle w:val="DHHSbody"/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1AF814BC" wp14:editId="46B8C9BA">
            <wp:simplePos x="0" y="0"/>
            <wp:positionH relativeFrom="margin">
              <wp:posOffset>51206</wp:posOffset>
            </wp:positionH>
            <wp:positionV relativeFrom="paragraph">
              <wp:posOffset>412192</wp:posOffset>
            </wp:positionV>
            <wp:extent cx="5756910" cy="1479550"/>
            <wp:effectExtent l="0" t="0" r="0" b="6350"/>
            <wp:wrapTopAndBottom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144" w:rsidRPr="009A0397">
        <w:t xml:space="preserve">Correspondence can be accessed from the Permits screen, or alternatively by selecting </w:t>
      </w:r>
      <w:r w:rsidR="00F90144" w:rsidRPr="21D5ABC8">
        <w:rPr>
          <w:b/>
          <w:bCs/>
        </w:rPr>
        <w:t>Correspondence</w:t>
      </w:r>
      <w:r w:rsidR="00F90144" w:rsidRPr="009A0397">
        <w:t xml:space="preserve"> from the navigation menu.</w:t>
      </w:r>
    </w:p>
    <w:p w14:paraId="5549834E" w14:textId="77777777" w:rsidR="009475FF" w:rsidRDefault="009475FF" w:rsidP="00C756FE">
      <w:pPr>
        <w:pStyle w:val="DHHSbody"/>
      </w:pPr>
    </w:p>
    <w:p w14:paraId="68CC15B1" w14:textId="0275C335" w:rsidR="00066AB0" w:rsidRDefault="00EB40BC" w:rsidP="00C756FE">
      <w:pPr>
        <w:pStyle w:val="DHHSbody"/>
      </w:pPr>
      <w:r>
        <w:rPr>
          <w:noProof/>
        </w:rPr>
        <w:drawing>
          <wp:inline distT="0" distB="0" distL="0" distR="0" wp14:anchorId="7ACE6A91" wp14:editId="507955D5">
            <wp:extent cx="5820326" cy="1016812"/>
            <wp:effectExtent l="0" t="0" r="0" b="0"/>
            <wp:docPr id="194460699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423" cy="104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6397D" w14:textId="77777777" w:rsidR="005170AF" w:rsidRDefault="005170AF" w:rsidP="005170AF">
      <w:pPr>
        <w:pStyle w:val="Heading4"/>
      </w:pPr>
      <w:r w:rsidRPr="00881B3F">
        <w:lastRenderedPageBreak/>
        <w:t>There is a lot</w:t>
      </w:r>
      <w:r w:rsidRPr="1BA6A6F7">
        <w:t xml:space="preserve"> of information showing on SafeScript, </w:t>
      </w:r>
      <w:r w:rsidRPr="3A0A11DA">
        <w:t>what</w:t>
      </w:r>
      <w:r>
        <w:t xml:space="preserve"> i</w:t>
      </w:r>
      <w:r w:rsidRPr="3A0A11DA">
        <w:t>s</w:t>
      </w:r>
      <w:r w:rsidRPr="1BA6A6F7">
        <w:t xml:space="preserve"> the </w:t>
      </w:r>
      <w:r w:rsidRPr="3A0A11DA">
        <w:t>easiest</w:t>
      </w:r>
      <w:r w:rsidRPr="76564BC3">
        <w:t xml:space="preserve"> way to </w:t>
      </w:r>
      <w:r w:rsidRPr="65CC2EDA">
        <w:t>a</w:t>
      </w:r>
      <w:r>
        <w:t>cc</w:t>
      </w:r>
      <w:r w:rsidRPr="65CC2EDA">
        <w:t xml:space="preserve">ess it? </w:t>
      </w:r>
    </w:p>
    <w:p w14:paraId="35385C28" w14:textId="77777777" w:rsidR="005170AF" w:rsidRDefault="005170AF" w:rsidP="005170AF">
      <w:pPr>
        <w:pStyle w:val="DHHS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1A7548" wp14:editId="3412005B">
                <wp:simplePos x="0" y="0"/>
                <wp:positionH relativeFrom="column">
                  <wp:posOffset>454381</wp:posOffset>
                </wp:positionH>
                <wp:positionV relativeFrom="paragraph">
                  <wp:posOffset>1278509</wp:posOffset>
                </wp:positionV>
                <wp:extent cx="1141171" cy="204394"/>
                <wp:effectExtent l="0" t="0" r="2095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171" cy="2043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6" style="position:absolute;margin-left:35.8pt;margin-top:100.65pt;width:89.85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pt" w14:anchorId="04D6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A47B8D" wp14:editId="0E24978F">
                <wp:simplePos x="0" y="0"/>
                <wp:positionH relativeFrom="column">
                  <wp:posOffset>2135530</wp:posOffset>
                </wp:positionH>
                <wp:positionV relativeFrom="paragraph">
                  <wp:posOffset>1256665</wp:posOffset>
                </wp:positionV>
                <wp:extent cx="1192378" cy="226771"/>
                <wp:effectExtent l="0" t="0" r="2730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378" cy="226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7" style="position:absolute;margin-left:168.15pt;margin-top:98.95pt;width:93.9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pt" w14:anchorId="1E5CF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2CD6F96E" wp14:editId="45436CFC">
            <wp:simplePos x="0" y="0"/>
            <wp:positionH relativeFrom="page">
              <wp:posOffset>387705</wp:posOffset>
            </wp:positionH>
            <wp:positionV relativeFrom="paragraph">
              <wp:posOffset>516839</wp:posOffset>
            </wp:positionV>
            <wp:extent cx="6908800" cy="3533140"/>
            <wp:effectExtent l="0" t="0" r="6350" b="0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4AAE809">
        <w:t xml:space="preserve">The green and blue </w:t>
      </w:r>
      <w:r>
        <w:t>colour coding</w:t>
      </w:r>
      <w:r w:rsidRPr="14AAE809">
        <w:t xml:space="preserve"> are there to help you identify whether it is a prescribing event or dispensing event. The green indicates a </w:t>
      </w:r>
      <w:r w:rsidRPr="00211F10">
        <w:rPr>
          <w:color w:val="00B050"/>
        </w:rPr>
        <w:t xml:space="preserve">dispensing event </w:t>
      </w:r>
      <w:r w:rsidRPr="14AAE809">
        <w:t xml:space="preserve">and the blue indicates a </w:t>
      </w:r>
      <w:r w:rsidRPr="00211F10">
        <w:rPr>
          <w:color w:val="548DD4" w:themeColor="text2" w:themeTint="99"/>
        </w:rPr>
        <w:t>prescribing event</w:t>
      </w:r>
      <w:r w:rsidRPr="14AAE809">
        <w:t>.</w:t>
      </w:r>
    </w:p>
    <w:p w14:paraId="4E344C03" w14:textId="77777777" w:rsidR="005170AF" w:rsidRDefault="005170AF" w:rsidP="005170AF">
      <w:pPr>
        <w:rPr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4FABD3" wp14:editId="517FC99E">
                <wp:simplePos x="0" y="0"/>
                <wp:positionH relativeFrom="column">
                  <wp:posOffset>511810</wp:posOffset>
                </wp:positionH>
                <wp:positionV relativeFrom="paragraph">
                  <wp:posOffset>620065</wp:posOffset>
                </wp:positionV>
                <wp:extent cx="980237" cy="190196"/>
                <wp:effectExtent l="0" t="0" r="1079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190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2" style="position:absolute;margin-left:40.3pt;margin-top:48.8pt;width:77.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pt" w14:anchorId="2D1BA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6697ED" wp14:editId="30DF3DA9">
                <wp:simplePos x="0" y="0"/>
                <wp:positionH relativeFrom="column">
                  <wp:posOffset>1960474</wp:posOffset>
                </wp:positionH>
                <wp:positionV relativeFrom="paragraph">
                  <wp:posOffset>612775</wp:posOffset>
                </wp:positionV>
                <wp:extent cx="914400" cy="190195"/>
                <wp:effectExtent l="0" t="0" r="1905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3" style="position:absolute;margin-left:154.35pt;margin-top:48.25pt;width:1in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w14:anchorId="7DF7ED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"/>
            </w:pict>
          </mc:Fallback>
        </mc:AlternateContent>
      </w:r>
    </w:p>
    <w:p w14:paraId="4754F4FE" w14:textId="77777777" w:rsidR="005170AF" w:rsidRPr="005170AF" w:rsidRDefault="005170AF" w:rsidP="005170AF">
      <w:pPr>
        <w:pStyle w:val="DHHSbody"/>
        <w:rPr>
          <w:rFonts w:cs="Arial"/>
        </w:rPr>
      </w:pPr>
      <w:r w:rsidRPr="005170AF">
        <w:rPr>
          <w:rFonts w:cs="Arial"/>
        </w:rPr>
        <w:t>Clicking on a row with a blue margin will expand to show the prescriber details. Clicking on a row with a green margin will expand to show the pharmacy details.</w:t>
      </w:r>
    </w:p>
    <w:p w14:paraId="21478F50" w14:textId="0620AEEA" w:rsidR="005170AF" w:rsidRPr="005170AF" w:rsidRDefault="005170AF" w:rsidP="005170AF">
      <w:pPr>
        <w:pStyle w:val="DHHSbody"/>
        <w:rPr>
          <w:rFonts w:cs="Arial"/>
        </w:rPr>
      </w:pPr>
      <w:r w:rsidRPr="21D5ABC8">
        <w:rPr>
          <w:rFonts w:cs="Arial"/>
        </w:rPr>
        <w:t>Please note that only recording of dispensing events are mandatory, so you can save time by only looking at the dispens</w:t>
      </w:r>
      <w:r w:rsidR="7BAE53EC" w:rsidRPr="21D5ABC8">
        <w:rPr>
          <w:rFonts w:cs="Arial"/>
        </w:rPr>
        <w:t>ing</w:t>
      </w:r>
      <w:r w:rsidRPr="21D5ABC8">
        <w:rPr>
          <w:rFonts w:cs="Arial"/>
        </w:rPr>
        <w:t xml:space="preserve"> events.</w:t>
      </w:r>
    </w:p>
    <w:p w14:paraId="5151BE23" w14:textId="77777777" w:rsidR="005170AF" w:rsidRPr="005170AF" w:rsidRDefault="005170AF" w:rsidP="005170AF">
      <w:pPr>
        <w:pStyle w:val="DHHSbody"/>
        <w:rPr>
          <w:rFonts w:cs="Arial"/>
        </w:rPr>
      </w:pPr>
      <w:r w:rsidRPr="00F063EC">
        <w:rPr>
          <w:rFonts w:cs="Arial"/>
          <w:b/>
          <w:bCs/>
        </w:rPr>
        <w:t>Alternatively</w:t>
      </w:r>
      <w:r w:rsidRPr="005170AF">
        <w:rPr>
          <w:rFonts w:cs="Arial"/>
        </w:rPr>
        <w:t xml:space="preserve">, you can select the Event Type to “Dispense” or search for a specific drug in “Drug Search” to review the use of a particular monitored medication.  </w:t>
      </w:r>
    </w:p>
    <w:p w14:paraId="47F828E5" w14:textId="77777777" w:rsidR="005170AF" w:rsidRPr="005170AF" w:rsidRDefault="005170AF" w:rsidP="005170AF">
      <w:pPr>
        <w:pStyle w:val="DHHSbody"/>
        <w:rPr>
          <w:rFonts w:cs="Arial"/>
        </w:rPr>
      </w:pPr>
      <w:r w:rsidRPr="005170AF">
        <w:rPr>
          <w:rFonts w:cs="Arial"/>
        </w:rPr>
        <w:t>The Dispensed column indicates the number of supplies of a prescription, e.g. “3 of 6” means three supplies out of six total supplies have been dispensed already and there are three repeats remaining.</w:t>
      </w:r>
    </w:p>
    <w:p w14:paraId="61548468" w14:textId="21B76B5A" w:rsidR="00345DDF" w:rsidRDefault="005170AF" w:rsidP="00EB0793">
      <w:pPr>
        <w:pStyle w:val="DHHSbody"/>
      </w:pPr>
      <w:r w:rsidRPr="005170AF">
        <w:rPr>
          <w:rFonts w:cs="Arial"/>
        </w:rPr>
        <w:t xml:space="preserve">For more details on the information included in the patient profile and to learn how to filter and sort the listed events, please visit </w:t>
      </w:r>
      <w:hyperlink r:id="rId24" w:history="1">
        <w:r w:rsidR="00FD1F9B" w:rsidRPr="00FD1F9B">
          <w:rPr>
            <w:rStyle w:val="Hyperlink"/>
            <w:rFonts w:cs="Arial"/>
          </w:rPr>
          <w:t>Patient Profile and Medication History</w:t>
        </w:r>
      </w:hyperlink>
      <w:r w:rsidR="00FD1F9B" w:rsidRPr="00FD1F9B">
        <w:rPr>
          <w:rFonts w:cs="Arial"/>
        </w:rPr>
        <w:t xml:space="preserve"> </w:t>
      </w:r>
      <w:r w:rsidR="00FD1F9B">
        <w:rPr>
          <w:rFonts w:cs="Arial"/>
        </w:rPr>
        <w:t>&lt;</w:t>
      </w:r>
      <w:r w:rsidR="00FD1F9B" w:rsidRPr="00FD1F9B">
        <w:rPr>
          <w:rFonts w:eastAsia="Calibri" w:cs="Arial"/>
        </w:rPr>
        <w:t>http</w:t>
      </w:r>
      <w:r w:rsidR="00FD1F9B" w:rsidRPr="00FD1F9B">
        <w:rPr>
          <w:rFonts w:eastAsia="Calibri" w:cs="Arial"/>
        </w:rPr>
        <w:t>s</w:t>
      </w:r>
      <w:r w:rsidR="00FD1F9B" w:rsidRPr="00FD1F9B">
        <w:rPr>
          <w:rFonts w:eastAsia="Calibri" w:cs="Arial"/>
        </w:rPr>
        <w:t>://help.safescript.vic.gov.au/help-topics/patients-medication-history.htm</w:t>
      </w:r>
      <w:r w:rsidR="00FD1F9B">
        <w:t>&gt;</w:t>
      </w:r>
    </w:p>
    <w:p w14:paraId="1AAD38E1" w14:textId="7C303B01" w:rsidR="00716471" w:rsidRDefault="00716471" w:rsidP="00C756FE">
      <w:pPr>
        <w:pStyle w:val="Heading4"/>
      </w:pPr>
      <w:r w:rsidRPr="6BCD4D7E">
        <w:t>Can I prescribe for a patient when another doctor holds the permit?</w:t>
      </w:r>
    </w:p>
    <w:p w14:paraId="026BDA25" w14:textId="77777777" w:rsidR="00716471" w:rsidRDefault="00716471" w:rsidP="00C756FE">
      <w:pPr>
        <w:pStyle w:val="DHHSbody"/>
      </w:pPr>
      <w:r w:rsidRPr="6BCD4D7E">
        <w:t xml:space="preserve">The decision to prescribe is at the </w:t>
      </w:r>
      <w:r>
        <w:t>prescriber</w:t>
      </w:r>
      <w:r w:rsidRPr="6BCD4D7E">
        <w:t xml:space="preserve">’s discretion based on clinical appropriateness and patient safety. SafeScript will provide real time information on recent supplies of monitored </w:t>
      </w:r>
      <w:r>
        <w:t>medicines</w:t>
      </w:r>
      <w:r w:rsidRPr="6BCD4D7E">
        <w:t xml:space="preserve"> to your patients as well as</w:t>
      </w:r>
      <w:r>
        <w:t xml:space="preserve"> Schedule 8</w:t>
      </w:r>
      <w:r w:rsidRPr="6BCD4D7E">
        <w:t xml:space="preserve"> permit information. </w:t>
      </w:r>
      <w:r w:rsidRPr="00B67C77">
        <w:t>Where SafeScript identifies concurrent or too-frequent supplies, especially on prescriptions from different prescribers, issuing a prescription may be difficult to justify for any more than a minimal quantity without repeats.</w:t>
      </w:r>
    </w:p>
    <w:p w14:paraId="54C4009A" w14:textId="11F492E5" w:rsidR="00716471" w:rsidRDefault="00716471" w:rsidP="00EB0793">
      <w:pPr>
        <w:pStyle w:val="DHHSbody"/>
      </w:pPr>
      <w:r w:rsidRPr="6BCD4D7E">
        <w:t xml:space="preserve">It is your responsibility to coordinate treatment with other prescribers and/or permit holder(s) identified on SafeScript. Good communication between prescribers ensures coordination of safe treatment and minimises the risk of a patient inadvertently receiving concurrent treatment by multiple prescribers. </w:t>
      </w:r>
    </w:p>
    <w:p w14:paraId="7E57F8B8" w14:textId="41BCB545" w:rsidR="00716471" w:rsidRDefault="00716471" w:rsidP="00C756FE">
      <w:pPr>
        <w:pStyle w:val="Heading4"/>
      </w:pPr>
      <w:r w:rsidRPr="6BCD4D7E">
        <w:lastRenderedPageBreak/>
        <w:t>I have found more than one SafeScript record for my patient. What should I do?</w:t>
      </w:r>
    </w:p>
    <w:p w14:paraId="49DAA621" w14:textId="6EB42239" w:rsidR="00716471" w:rsidRDefault="00716471" w:rsidP="00EB0793">
      <w:pPr>
        <w:pStyle w:val="DHHSbody"/>
      </w:pPr>
      <w:r w:rsidRPr="640EB41B">
        <w:t xml:space="preserve">Duplicate profiles may occur when </w:t>
      </w:r>
      <w:r>
        <w:t xml:space="preserve">the same </w:t>
      </w:r>
      <w:r w:rsidRPr="640EB41B">
        <w:t>patient details (</w:t>
      </w:r>
      <w:r>
        <w:t>Name, Date of Birth, Medicare or IHI</w:t>
      </w:r>
      <w:r w:rsidRPr="640EB41B">
        <w:t xml:space="preserve">) are entered </w:t>
      </w:r>
      <w:r>
        <w:t>differently by</w:t>
      </w:r>
      <w:r w:rsidRPr="640EB41B">
        <w:t xml:space="preserve"> different</w:t>
      </w:r>
      <w:r>
        <w:t xml:space="preserve"> prescribers and pharmacists</w:t>
      </w:r>
      <w:r w:rsidRPr="640EB41B">
        <w:t xml:space="preserve">.  If you </w:t>
      </w:r>
      <w:r>
        <w:t>identify</w:t>
      </w:r>
      <w:r w:rsidRPr="640EB41B">
        <w:t xml:space="preserve"> multiple profiles for the same patient, please contact SafeScript IT support on 1800 723 379 or email </w:t>
      </w:r>
      <w:hyperlink r:id="rId25">
        <w:r w:rsidRPr="640EB41B">
          <w:rPr>
            <w:rStyle w:val="Hyperlink"/>
            <w:rFonts w:ascii="Calibri" w:eastAsia="Calibri" w:hAnsi="Calibri" w:cs="Calibri"/>
            <w:color w:val="1F497D" w:themeColor="text2"/>
          </w:rPr>
          <w:t>it.safescript@dhhs.vic.gov.au</w:t>
        </w:r>
      </w:hyperlink>
      <w:r w:rsidRPr="640EB41B">
        <w:t xml:space="preserve"> so that records can be merged.</w:t>
      </w:r>
    </w:p>
    <w:p w14:paraId="5952DC6D" w14:textId="1F5CC57B" w:rsidR="00716471" w:rsidRDefault="00716471" w:rsidP="00C756FE">
      <w:pPr>
        <w:pStyle w:val="Heading4"/>
      </w:pPr>
      <w:r w:rsidRPr="14AAE809">
        <w:t>Why isn’t the prescription I wrote appearing on SafeSc</w:t>
      </w:r>
      <w:r w:rsidR="00C756FE">
        <w:t>r</w:t>
      </w:r>
      <w:r w:rsidRPr="14AAE809">
        <w:t xml:space="preserve">ipt? </w:t>
      </w:r>
    </w:p>
    <w:p w14:paraId="5ADF276D" w14:textId="77777777" w:rsidR="00716471" w:rsidRDefault="00716471" w:rsidP="00C756FE">
      <w:pPr>
        <w:pStyle w:val="DHHSbody"/>
      </w:pPr>
      <w:r w:rsidRPr="6BCD4D7E">
        <w:t>The data required for SafeScript is collected automatically from the Prescription Exchange Services (PES) which currently support the electronic transfer of prescriptions from medical clinics to pharmacies.</w:t>
      </w:r>
    </w:p>
    <w:p w14:paraId="3DF854AB" w14:textId="77777777" w:rsidR="00716471" w:rsidRDefault="00716471" w:rsidP="00C756FE">
      <w:pPr>
        <w:pStyle w:val="DHHSbody"/>
      </w:pPr>
      <w:r w:rsidRPr="6BCD4D7E">
        <w:t>When a prescription is issued at a medical clinic or dispensed at a pharmacy, the PES sends a record of the prescri</w:t>
      </w:r>
      <w:r>
        <w:t>bing or dispensing of the prescription</w:t>
      </w:r>
      <w:r w:rsidRPr="6BCD4D7E">
        <w:t xml:space="preserve"> in real-time to SafeScript.</w:t>
      </w:r>
    </w:p>
    <w:p w14:paraId="0EBBFF94" w14:textId="0F91C60B" w:rsidR="00E42A07" w:rsidRDefault="00716471" w:rsidP="00C756FE">
      <w:pPr>
        <w:pStyle w:val="DHHSbody"/>
      </w:pPr>
      <w:r w:rsidRPr="6BCD4D7E">
        <w:t xml:space="preserve">If you are unable to see </w:t>
      </w:r>
      <w:r w:rsidRPr="00B67C77">
        <w:t>one or more of</w:t>
      </w:r>
      <w:r w:rsidRPr="6BCD4D7E">
        <w:t xml:space="preserve"> your prescriptions in SafeScript, it </w:t>
      </w:r>
      <w:r>
        <w:t>is</w:t>
      </w:r>
      <w:r w:rsidRPr="6BCD4D7E">
        <w:t xml:space="preserve"> because your prescribing software is not</w:t>
      </w:r>
      <w:r>
        <w:t xml:space="preserve"> </w:t>
      </w:r>
      <w:r w:rsidRPr="6BCD4D7E">
        <w:t xml:space="preserve">connected to </w:t>
      </w:r>
      <w:r>
        <w:t>the</w:t>
      </w:r>
      <w:r w:rsidRPr="640EB41B">
        <w:t xml:space="preserve"> </w:t>
      </w:r>
      <w:r>
        <w:t xml:space="preserve">PES </w:t>
      </w:r>
      <w:r w:rsidRPr="00B67C77">
        <w:t>or the prescription was handwritten</w:t>
      </w:r>
      <w:r>
        <w:t xml:space="preserve">. </w:t>
      </w:r>
      <w:r w:rsidRPr="6BCD4D7E">
        <w:t xml:space="preserve">If this is the case, you will only be able to see </w:t>
      </w:r>
      <w:r>
        <w:t>your</w:t>
      </w:r>
      <w:r w:rsidRPr="6BCD4D7E">
        <w:t xml:space="preserve"> </w:t>
      </w:r>
      <w:r>
        <w:t>prescription</w:t>
      </w:r>
      <w:r w:rsidRPr="6BCD4D7E">
        <w:t xml:space="preserve"> </w:t>
      </w:r>
      <w:r>
        <w:t>when</w:t>
      </w:r>
      <w:r w:rsidRPr="6BCD4D7E">
        <w:t xml:space="preserve"> the pharmacy has dispensed the </w:t>
      </w:r>
      <w:r>
        <w:t>medicines you prescribed</w:t>
      </w:r>
      <w:r w:rsidRPr="6BCD4D7E">
        <w:t xml:space="preserve">. </w:t>
      </w:r>
    </w:p>
    <w:p w14:paraId="4D8D7DEE" w14:textId="15A47281" w:rsidR="007173CA" w:rsidRDefault="00D77938" w:rsidP="00D77938">
      <w:pPr>
        <w:pStyle w:val="Heading4"/>
      </w:pPr>
      <w:r>
        <w:t xml:space="preserve">For further information on SafeScript please visit </w:t>
      </w:r>
      <w:hyperlink r:id="rId26" w:history="1">
        <w:r w:rsidR="00FD1F9B" w:rsidRPr="00FD1F9B">
          <w:rPr>
            <w:rStyle w:val="Hyperlink"/>
          </w:rPr>
          <w:t>Safescript</w:t>
        </w:r>
      </w:hyperlink>
      <w:r w:rsidR="00FD1F9B">
        <w:t xml:space="preserve"> &lt;</w:t>
      </w:r>
      <w:r w:rsidR="00FD1F9B" w:rsidRPr="00FD1F9B">
        <w:t>https://www2.health.vic.gov.au/public-health/drugs-and-poisons/safe</w:t>
      </w:r>
      <w:r w:rsidR="00FD1F9B" w:rsidRPr="00FD1F9B">
        <w:t>s</w:t>
      </w:r>
      <w:r w:rsidR="00FD1F9B" w:rsidRPr="00FD1F9B">
        <w:t>cript</w:t>
      </w:r>
      <w:r w:rsidR="00FD1F9B">
        <w:t>&gt;</w:t>
      </w:r>
      <w:r>
        <w:t xml:space="preserve"> or email queries to </w:t>
      </w:r>
      <w:hyperlink r:id="rId27" w:history="1">
        <w:r w:rsidR="008005DC" w:rsidRPr="00D84071">
          <w:rPr>
            <w:rStyle w:val="Hyperlink"/>
          </w:rPr>
          <w:t>dpcs@health.vic.gov.au</w:t>
        </w:r>
      </w:hyperlink>
      <w:r w:rsidR="008005DC">
        <w:t xml:space="preserve"> </w:t>
      </w:r>
    </w:p>
    <w:tbl>
      <w:tblPr>
        <w:tblpPr w:leftFromText="180" w:rightFromText="180" w:vertAnchor="text" w:horzAnchor="margin" w:tblpY="1082"/>
        <w:tblW w:w="4895" w:type="pct"/>
        <w:tblCellMar>
          <w:top w:w="113" w:type="dxa"/>
          <w:bottom w:w="57" w:type="dxa"/>
        </w:tblCellMar>
        <w:tblLook w:val="0600" w:firstRow="0" w:lastRow="0" w:firstColumn="0" w:lastColumn="0" w:noHBand="1" w:noVBand="1"/>
      </w:tblPr>
      <w:tblGrid>
        <w:gridCol w:w="9980"/>
      </w:tblGrid>
      <w:tr w:rsidR="00E42A07" w:rsidRPr="002802E3" w14:paraId="3BF6BE54" w14:textId="77777777" w:rsidTr="00E42A0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DC85" w14:textId="77777777" w:rsidR="00446C70" w:rsidRPr="00446C70" w:rsidRDefault="00446C70" w:rsidP="00446C70">
            <w:pPr>
              <w:spacing w:after="60" w:line="270" w:lineRule="atLeast"/>
              <w:rPr>
                <w:rFonts w:ascii="Arial" w:eastAsia="Times" w:hAnsi="Arial" w:cs="Arial"/>
                <w:color w:val="004C97"/>
                <w:u w:val="dotted"/>
              </w:rPr>
            </w:pPr>
            <w:r w:rsidRPr="00446C70">
              <w:rPr>
                <w:rFonts w:ascii="Arial" w:eastAsia="Times" w:hAnsi="Arial" w:cs="Arial"/>
                <w:color w:val="000000" w:themeColor="text1"/>
              </w:rPr>
              <w:t xml:space="preserve">To receive this document in another format </w:t>
            </w:r>
            <w:hyperlink r:id="rId28" w:history="1">
              <w:r w:rsidRPr="00446C70">
                <w:rPr>
                  <w:rFonts w:ascii="Arial" w:eastAsia="Times" w:hAnsi="Arial" w:cs="Arial"/>
                  <w:color w:val="000000" w:themeColor="text1"/>
                  <w:u w:val="dotted"/>
                </w:rPr>
                <w:t xml:space="preserve">email </w:t>
              </w:r>
              <w:r w:rsidRPr="00446C70">
                <w:rPr>
                  <w:rFonts w:ascii="Arial" w:eastAsia="Times" w:hAnsi="Arial" w:cs="Arial"/>
                  <w:color w:val="004C97"/>
                  <w:u w:val="dotted"/>
                </w:rPr>
                <w:t>dpcs@health.vic.gov.au</w:t>
              </w:r>
            </w:hyperlink>
          </w:p>
          <w:p w14:paraId="4557A59F" w14:textId="77777777" w:rsidR="00446C70" w:rsidRPr="00446C70" w:rsidRDefault="00446C70" w:rsidP="00446C70">
            <w:pPr>
              <w:spacing w:after="60" w:line="270" w:lineRule="atLeast"/>
              <w:rPr>
                <w:rFonts w:ascii="Arial" w:eastAsia="Times" w:hAnsi="Arial" w:cs="Arial"/>
                <w:color w:val="000000" w:themeColor="text1"/>
              </w:rPr>
            </w:pPr>
            <w:r w:rsidRPr="00446C70">
              <w:rPr>
                <w:rFonts w:ascii="Arial" w:eastAsia="Times" w:hAnsi="Arial" w:cs="Arial"/>
                <w:color w:val="000000" w:themeColor="text1"/>
              </w:rPr>
              <w:t>Authorised and published by the Victorian Government, 1 Treasury Place, Melbourne.</w:t>
            </w:r>
          </w:p>
          <w:p w14:paraId="133F736C" w14:textId="77777777" w:rsidR="00E42A07" w:rsidRDefault="00446C70" w:rsidP="00EB0793">
            <w:pPr>
              <w:rPr>
                <w:rFonts w:ascii="Arial" w:hAnsi="Arial" w:cs="Arial"/>
              </w:rPr>
            </w:pPr>
            <w:r w:rsidRPr="00EB0793">
              <w:rPr>
                <w:rFonts w:ascii="Arial" w:hAnsi="Arial" w:cs="Arial"/>
              </w:rPr>
              <w:t xml:space="preserve">© State of Victoria, Australia, Department of Health, </w:t>
            </w:r>
            <w:r w:rsidRPr="00EB0793">
              <w:rPr>
                <w:rFonts w:ascii="Arial" w:hAnsi="Arial" w:cs="Arial"/>
                <w:color w:val="004C97"/>
              </w:rPr>
              <w:t>June 2025</w:t>
            </w:r>
            <w:r w:rsidRPr="00EB0793">
              <w:rPr>
                <w:rFonts w:ascii="Arial" w:hAnsi="Arial" w:cs="Arial"/>
              </w:rPr>
              <w:t>.</w:t>
            </w:r>
          </w:p>
          <w:p w14:paraId="7E918C4E" w14:textId="77777777" w:rsidR="00FD1F9B" w:rsidRDefault="00FD1F9B" w:rsidP="00EB0793">
            <w:pPr>
              <w:rPr>
                <w:rFonts w:ascii="Arial" w:hAnsi="Arial" w:cs="Arial"/>
              </w:rPr>
            </w:pPr>
          </w:p>
          <w:p w14:paraId="3902D01D" w14:textId="5D9521D6" w:rsidR="00FD1F9B" w:rsidRPr="008005DC" w:rsidRDefault="00FD1F9B" w:rsidP="00EB0793">
            <w:pPr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Available at </w:t>
            </w:r>
            <w:hyperlink r:id="rId29" w:history="1">
              <w:r w:rsidRPr="00FD1F9B">
                <w:rPr>
                  <w:rStyle w:val="Hyperlink"/>
                  <w:rFonts w:ascii="Arial" w:hAnsi="Arial" w:cs="Arial"/>
                </w:rPr>
                <w:t>SafeScript for prescribers and pharmacists</w:t>
              </w:r>
            </w:hyperlink>
            <w:r>
              <w:rPr>
                <w:rFonts w:ascii="Arial" w:hAnsi="Arial" w:cs="Arial"/>
              </w:rPr>
              <w:t xml:space="preserve"> &lt;</w:t>
            </w:r>
            <w:r w:rsidRPr="00FD1F9B">
              <w:rPr>
                <w:rFonts w:ascii="Arial" w:hAnsi="Arial" w:cs="Arial"/>
              </w:rPr>
              <w:t>https://www.health.vic.gov.au/safescript/safescript-for-prescribers-and-pharmacists</w:t>
            </w:r>
            <w:r>
              <w:rPr>
                <w:rFonts w:ascii="Arial" w:hAnsi="Arial" w:cs="Arial"/>
              </w:rPr>
              <w:t>&gt;</w:t>
            </w:r>
          </w:p>
        </w:tc>
      </w:tr>
    </w:tbl>
    <w:p w14:paraId="62A18068" w14:textId="77777777" w:rsidR="00B2752E" w:rsidRPr="00906490" w:rsidRDefault="00B2752E" w:rsidP="00446C70">
      <w:pPr>
        <w:pStyle w:val="DHHSbody"/>
      </w:pPr>
    </w:p>
    <w:sectPr w:rsidR="00B2752E" w:rsidRPr="00906490" w:rsidSect="004013C7">
      <w:headerReference w:type="default" r:id="rId30"/>
      <w:footerReference w:type="even" r:id="rId31"/>
      <w:footerReference w:type="default" r:id="rId32"/>
      <w:footerReference w:type="first" r:id="rId33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174" w14:textId="77777777" w:rsidR="001D663F" w:rsidRDefault="001D663F">
      <w:r>
        <w:separator/>
      </w:r>
    </w:p>
  </w:endnote>
  <w:endnote w:type="continuationSeparator" w:id="0">
    <w:p w14:paraId="0C048760" w14:textId="77777777" w:rsidR="001D663F" w:rsidRDefault="001D663F">
      <w:r>
        <w:continuationSeparator/>
      </w:r>
    </w:p>
  </w:endnote>
  <w:endnote w:type="continuationNotice" w:id="1">
    <w:p w14:paraId="7BD56FB0" w14:textId="77777777" w:rsidR="001D663F" w:rsidRDefault="001D6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740E" w14:textId="5450CB60" w:rsidR="009475FF" w:rsidRDefault="009475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9B9B" w14:textId="7B645D00"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188D8ACF" wp14:editId="0912DA6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0375" w14:textId="1A81AA06" w:rsidR="009475FF" w:rsidRDefault="009475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758F" w14:textId="26BF7895" w:rsidR="009475FF" w:rsidRDefault="009475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BBBA" w14:textId="40B97B64" w:rsidR="009D70A4" w:rsidRPr="00A11421" w:rsidRDefault="00D77938" w:rsidP="0051568D">
    <w:pPr>
      <w:pStyle w:val="DHHSfooter"/>
    </w:pPr>
    <w:r>
      <w:t>SafeScript commonly asked questions – for prescribers and pharmacists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F3C" w14:textId="2EEFCDDE" w:rsidR="009475FF" w:rsidRDefault="0094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FBD2" w14:textId="77777777" w:rsidR="001D663F" w:rsidRDefault="001D663F" w:rsidP="002862F1">
      <w:pPr>
        <w:spacing w:before="120"/>
      </w:pPr>
      <w:r>
        <w:separator/>
      </w:r>
    </w:p>
  </w:footnote>
  <w:footnote w:type="continuationSeparator" w:id="0">
    <w:p w14:paraId="20CB50D4" w14:textId="77777777" w:rsidR="001D663F" w:rsidRDefault="001D663F">
      <w:r>
        <w:continuationSeparator/>
      </w:r>
    </w:p>
  </w:footnote>
  <w:footnote w:type="continuationNotice" w:id="1">
    <w:p w14:paraId="20303FC6" w14:textId="77777777" w:rsidR="001D663F" w:rsidRDefault="001D6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2470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D870C08E"/>
    <w:numStyleLink w:val="ZZNumbersloweralpha"/>
  </w:abstractNum>
  <w:abstractNum w:abstractNumId="2" w15:restartNumberingAfterBreak="0">
    <w:nsid w:val="0B8D43DB"/>
    <w:multiLevelType w:val="multilevel"/>
    <w:tmpl w:val="633A4032"/>
    <w:numStyleLink w:val="ZZNumbersdigit"/>
  </w:abstractNum>
  <w:abstractNum w:abstractNumId="3" w15:restartNumberingAfterBreak="0">
    <w:nsid w:val="0BAD2E30"/>
    <w:multiLevelType w:val="multilevel"/>
    <w:tmpl w:val="D870C08E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205271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633A4032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3B84CAD0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803E5318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305A4A9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3A72729A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7E1EA1"/>
    <w:multiLevelType w:val="hybridMultilevel"/>
    <w:tmpl w:val="310E6E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67142489">
    <w:abstractNumId w:val="0"/>
  </w:num>
  <w:num w:numId="2" w16cid:durableId="1821001392">
    <w:abstractNumId w:val="5"/>
  </w:num>
  <w:num w:numId="3" w16cid:durableId="1926497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569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5378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411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0222641">
    <w:abstractNumId w:val="8"/>
  </w:num>
  <w:num w:numId="8" w16cid:durableId="1541288057">
    <w:abstractNumId w:val="4"/>
  </w:num>
  <w:num w:numId="9" w16cid:durableId="1586260155">
    <w:abstractNumId w:val="7"/>
  </w:num>
  <w:num w:numId="10" w16cid:durableId="619457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8775923">
    <w:abstractNumId w:val="9"/>
  </w:num>
  <w:num w:numId="12" w16cid:durableId="960302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6437245">
    <w:abstractNumId w:val="6"/>
  </w:num>
  <w:num w:numId="14" w16cid:durableId="1020930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0106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6750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1787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6472310">
    <w:abstractNumId w:val="11"/>
  </w:num>
  <w:num w:numId="19" w16cid:durableId="19284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9640181">
    <w:abstractNumId w:val="3"/>
  </w:num>
  <w:num w:numId="21" w16cid:durableId="294411320">
    <w:abstractNumId w:val="1"/>
  </w:num>
  <w:num w:numId="22" w16cid:durableId="795677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38923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44"/>
    <w:rsid w:val="000072B6"/>
    <w:rsid w:val="0001021B"/>
    <w:rsid w:val="00011D89"/>
    <w:rsid w:val="000154FD"/>
    <w:rsid w:val="00024D89"/>
    <w:rsid w:val="000250B6"/>
    <w:rsid w:val="00031644"/>
    <w:rsid w:val="00033D81"/>
    <w:rsid w:val="00041BF0"/>
    <w:rsid w:val="0004536B"/>
    <w:rsid w:val="00046B68"/>
    <w:rsid w:val="000527DD"/>
    <w:rsid w:val="000578B2"/>
    <w:rsid w:val="00060959"/>
    <w:rsid w:val="000663CD"/>
    <w:rsid w:val="00066AB0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A3ED8"/>
    <w:rsid w:val="000B3EDB"/>
    <w:rsid w:val="000B543D"/>
    <w:rsid w:val="000B5BF7"/>
    <w:rsid w:val="000B6BC8"/>
    <w:rsid w:val="000C0303"/>
    <w:rsid w:val="000C42EA"/>
    <w:rsid w:val="000C4546"/>
    <w:rsid w:val="000D0D20"/>
    <w:rsid w:val="000D1242"/>
    <w:rsid w:val="000D4B61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5B44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D663F"/>
    <w:rsid w:val="001E44DF"/>
    <w:rsid w:val="001E68A5"/>
    <w:rsid w:val="001E6BB0"/>
    <w:rsid w:val="001F3826"/>
    <w:rsid w:val="001F42C4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17F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104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5598"/>
    <w:rsid w:val="002E6C95"/>
    <w:rsid w:val="002E7C36"/>
    <w:rsid w:val="002F5DA0"/>
    <w:rsid w:val="002F5F31"/>
    <w:rsid w:val="002F5F46"/>
    <w:rsid w:val="00300AB1"/>
    <w:rsid w:val="00302216"/>
    <w:rsid w:val="00303E53"/>
    <w:rsid w:val="00304A12"/>
    <w:rsid w:val="00306E5F"/>
    <w:rsid w:val="00307924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45DDF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1817"/>
    <w:rsid w:val="003F3289"/>
    <w:rsid w:val="004013C7"/>
    <w:rsid w:val="00401FCF"/>
    <w:rsid w:val="00402AAB"/>
    <w:rsid w:val="00406285"/>
    <w:rsid w:val="004148F9"/>
    <w:rsid w:val="0042084E"/>
    <w:rsid w:val="00421EEF"/>
    <w:rsid w:val="00424D65"/>
    <w:rsid w:val="00435937"/>
    <w:rsid w:val="00442C6C"/>
    <w:rsid w:val="00443CBE"/>
    <w:rsid w:val="00443E8A"/>
    <w:rsid w:val="004441BC"/>
    <w:rsid w:val="004468B4"/>
    <w:rsid w:val="00446C70"/>
    <w:rsid w:val="0045230A"/>
    <w:rsid w:val="00457337"/>
    <w:rsid w:val="00466868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170AF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A7569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453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7DE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A2A56"/>
    <w:rsid w:val="006B077C"/>
    <w:rsid w:val="006B6803"/>
    <w:rsid w:val="006D0F16"/>
    <w:rsid w:val="006D2A3F"/>
    <w:rsid w:val="006D2FBC"/>
    <w:rsid w:val="006E138B"/>
    <w:rsid w:val="006E1C57"/>
    <w:rsid w:val="006F1FDC"/>
    <w:rsid w:val="006F6B8C"/>
    <w:rsid w:val="007013EF"/>
    <w:rsid w:val="00716471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6552E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05DC"/>
    <w:rsid w:val="0080587B"/>
    <w:rsid w:val="00806468"/>
    <w:rsid w:val="008134EF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30BB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3DF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54BA"/>
    <w:rsid w:val="009269B1"/>
    <w:rsid w:val="0092724D"/>
    <w:rsid w:val="0093005B"/>
    <w:rsid w:val="0093338F"/>
    <w:rsid w:val="00937BD9"/>
    <w:rsid w:val="009416C5"/>
    <w:rsid w:val="009475FF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25DA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1C8"/>
    <w:rsid w:val="009F02A3"/>
    <w:rsid w:val="009F2F27"/>
    <w:rsid w:val="009F34AA"/>
    <w:rsid w:val="009F6BCB"/>
    <w:rsid w:val="009F7B78"/>
    <w:rsid w:val="00A0057A"/>
    <w:rsid w:val="00A03983"/>
    <w:rsid w:val="00A0776B"/>
    <w:rsid w:val="00A11421"/>
    <w:rsid w:val="00A157B1"/>
    <w:rsid w:val="00A22229"/>
    <w:rsid w:val="00A32E52"/>
    <w:rsid w:val="00A330BB"/>
    <w:rsid w:val="00A44882"/>
    <w:rsid w:val="00A54715"/>
    <w:rsid w:val="00A6061C"/>
    <w:rsid w:val="00A62D44"/>
    <w:rsid w:val="00A67263"/>
    <w:rsid w:val="00A7161C"/>
    <w:rsid w:val="00A7294D"/>
    <w:rsid w:val="00A77AA3"/>
    <w:rsid w:val="00A854EB"/>
    <w:rsid w:val="00A86FBE"/>
    <w:rsid w:val="00A872E5"/>
    <w:rsid w:val="00A91406"/>
    <w:rsid w:val="00A96632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4446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756FE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6198"/>
    <w:rsid w:val="00D01643"/>
    <w:rsid w:val="00D02919"/>
    <w:rsid w:val="00D04C61"/>
    <w:rsid w:val="00D05B8D"/>
    <w:rsid w:val="00D065A2"/>
    <w:rsid w:val="00D07D40"/>
    <w:rsid w:val="00D07F00"/>
    <w:rsid w:val="00D17B72"/>
    <w:rsid w:val="00D3185C"/>
    <w:rsid w:val="00D3318E"/>
    <w:rsid w:val="00D33E72"/>
    <w:rsid w:val="00D35BD6"/>
    <w:rsid w:val="00D361B5"/>
    <w:rsid w:val="00D411A2"/>
    <w:rsid w:val="00D4562D"/>
    <w:rsid w:val="00D4606D"/>
    <w:rsid w:val="00D50B9C"/>
    <w:rsid w:val="00D52D73"/>
    <w:rsid w:val="00D52E58"/>
    <w:rsid w:val="00D56B20"/>
    <w:rsid w:val="00D714CC"/>
    <w:rsid w:val="00D75EA7"/>
    <w:rsid w:val="00D77938"/>
    <w:rsid w:val="00D803E4"/>
    <w:rsid w:val="00D81F21"/>
    <w:rsid w:val="00D85393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42A07"/>
    <w:rsid w:val="00E56A01"/>
    <w:rsid w:val="00E629A1"/>
    <w:rsid w:val="00E6794C"/>
    <w:rsid w:val="00E71591"/>
    <w:rsid w:val="00E80DE3"/>
    <w:rsid w:val="00E81E61"/>
    <w:rsid w:val="00E82C55"/>
    <w:rsid w:val="00E92AC3"/>
    <w:rsid w:val="00EB00E0"/>
    <w:rsid w:val="00EB0793"/>
    <w:rsid w:val="00EB40BC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063EC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4FB6"/>
    <w:rsid w:val="00F65AA9"/>
    <w:rsid w:val="00F6768F"/>
    <w:rsid w:val="00F72C2C"/>
    <w:rsid w:val="00F76CAB"/>
    <w:rsid w:val="00F772C6"/>
    <w:rsid w:val="00F815B5"/>
    <w:rsid w:val="00F84F07"/>
    <w:rsid w:val="00F85195"/>
    <w:rsid w:val="00F90144"/>
    <w:rsid w:val="00F938BA"/>
    <w:rsid w:val="00FA2C46"/>
    <w:rsid w:val="00FA3525"/>
    <w:rsid w:val="00FA5A53"/>
    <w:rsid w:val="00FB4769"/>
    <w:rsid w:val="00FB4CDA"/>
    <w:rsid w:val="00FC0F81"/>
    <w:rsid w:val="00FC395C"/>
    <w:rsid w:val="00FC7476"/>
    <w:rsid w:val="00FD1F9B"/>
    <w:rsid w:val="00FD3766"/>
    <w:rsid w:val="00FD47C4"/>
    <w:rsid w:val="00FE2DCF"/>
    <w:rsid w:val="00FE3FA7"/>
    <w:rsid w:val="00FF259C"/>
    <w:rsid w:val="00FF2A4E"/>
    <w:rsid w:val="00FF2FCE"/>
    <w:rsid w:val="00FF4F7D"/>
    <w:rsid w:val="00FF6D9D"/>
    <w:rsid w:val="0BB220B2"/>
    <w:rsid w:val="1F9506A1"/>
    <w:rsid w:val="21D5ABC8"/>
    <w:rsid w:val="2B6D13DB"/>
    <w:rsid w:val="2D60A3CA"/>
    <w:rsid w:val="50985412"/>
    <w:rsid w:val="702EA12F"/>
    <w:rsid w:val="71591614"/>
    <w:rsid w:val="72CE7836"/>
    <w:rsid w:val="7BAE53EC"/>
    <w:rsid w:val="7ED5E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8511375"/>
  <w15:docId w15:val="{8BA12DD6-1832-4B0E-9C51-979CBFF2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6552E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10C3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10C37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10C37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10C37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76552E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10C37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10C37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76552E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76552E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76552E"/>
    <w:pPr>
      <w:numPr>
        <w:numId w:val="9"/>
      </w:numPr>
    </w:pPr>
  </w:style>
  <w:style w:type="numbering" w:customStyle="1" w:styleId="ZZTablebullets">
    <w:name w:val="ZZ Table bullets"/>
    <w:basedOn w:val="NoList"/>
    <w:rsid w:val="0076552E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510C37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6552E"/>
    <w:pPr>
      <w:numPr>
        <w:ilvl w:val="2"/>
        <w:numId w:val="3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76552E"/>
    <w:pPr>
      <w:numPr>
        <w:numId w:val="7"/>
      </w:numPr>
    </w:pPr>
  </w:style>
  <w:style w:type="numbering" w:customStyle="1" w:styleId="ZZNumbersdigit">
    <w:name w:val="ZZ Numbers digit"/>
    <w:rsid w:val="0076552E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76552E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76552E"/>
    <w:pPr>
      <w:numPr>
        <w:ilvl w:val="1"/>
        <w:numId w:val="22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6552E"/>
    <w:pPr>
      <w:numPr>
        <w:numId w:val="3"/>
      </w:numPr>
    </w:pPr>
  </w:style>
  <w:style w:type="paragraph" w:customStyle="1" w:styleId="DHHSnumberloweralpha">
    <w:name w:val="DHHS number lower alpha"/>
    <w:basedOn w:val="DHHSbody"/>
    <w:uiPriority w:val="3"/>
    <w:rsid w:val="0076552E"/>
    <w:pPr>
      <w:numPr>
        <w:numId w:val="22"/>
      </w:numPr>
    </w:pPr>
  </w:style>
  <w:style w:type="paragraph" w:customStyle="1" w:styleId="DHHSnumberlowerroman">
    <w:name w:val="DHHS number lower roman"/>
    <w:basedOn w:val="DHHSbody"/>
    <w:uiPriority w:val="3"/>
    <w:rsid w:val="0076552E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6552E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6552E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6552E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6552E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76552E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76552E"/>
    <w:pPr>
      <w:numPr>
        <w:ilvl w:val="1"/>
        <w:numId w:val="11"/>
      </w:numPr>
    </w:pPr>
  </w:style>
  <w:style w:type="paragraph" w:styleId="NoSpacing">
    <w:name w:val="No Spacing"/>
    <w:uiPriority w:val="1"/>
    <w:qFormat/>
    <w:rsid w:val="007164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7164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938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9475FF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yperlink" Target="https://www2.health.vic.gov.au/public-health/drugs-and-poisons/safescrip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04.png@01D627B0.21A4E3B0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hyperlink" Target="mailto:it.safescript@dhhs.vic.gov.au" TargetMode="Externa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cid:4D9FF5FA-E825-48C5-9844-0159624BE591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health.vic.gov.au/safescript/safescript-for-prescribers-and-pharmacis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hyperlink" Target="https://help.safescript.vic.gov.au/help-topics/patients-medication-history.htm" TargetMode="External"/><Relationship Id="rId32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8.png"/><Relationship Id="rId28" Type="http://schemas.openxmlformats.org/officeDocument/2006/relationships/hyperlink" Target="mailto:email%20dpcs@health.vic.gov.au" TargetMode="External"/><Relationship Id="rId10" Type="http://schemas.openxmlformats.org/officeDocument/2006/relationships/footer" Target="footer1.xml"/><Relationship Id="rId19" Type="http://schemas.openxmlformats.org/officeDocument/2006/relationships/image" Target="cid:image001.png@01D627AF.CFC20F50" TargetMode="External"/><Relationship Id="rId31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afescript.vic.gov.au" TargetMode="External"/><Relationship Id="rId22" Type="http://schemas.openxmlformats.org/officeDocument/2006/relationships/image" Target="media/image7.png"/><Relationship Id="rId27" Type="http://schemas.openxmlformats.org/officeDocument/2006/relationships/hyperlink" Target="mailto:dpcs@health.vic.gov.a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0" ma:contentTypeDescription="Create a new document." ma:contentTypeScope="" ma:versionID="78677d87d671ea02e0d4e993ef00327f">
  <xsd:schema xmlns:xsd="http://www.w3.org/2001/XMLSchema" xmlns:xs="http://www.w3.org/2001/XMLSchema" xmlns:p="http://schemas.microsoft.com/office/2006/metadata/properties" xmlns:ns2="31b2e4f9-c376-4e2f-bd2e-796d1bcd5746" targetNamespace="http://schemas.microsoft.com/office/2006/metadata/properties" ma:root="true" ma:fieldsID="91d70c4be622f4b94984f1f55b876b42" ns2:_="">
    <xsd:import namespace="31b2e4f9-c376-4e2f-bd2e-796d1bcd5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73C5E-22C7-47DF-9F44-3C446AC61B00}">
  <ds:schemaRefs>
    <ds:schemaRef ds:uri="31b2e4f9-c376-4e2f-bd2e-796d1bcd574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E40BB0-6122-40BA-8318-2D185DD5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83E0-2E06-405F-9819-56F2F6738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867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SafeScript - most commonly asked questions</vt:lpstr>
    </vt:vector>
  </TitlesOfParts>
  <Company>Department of Health and Human Services</Company>
  <LinksUpToDate>false</LinksUpToDate>
  <CharactersWithSpaces>6314</CharactersWithSpaces>
  <SharedDoc>false</SharedDoc>
  <HyperlinkBase/>
  <HLinks>
    <vt:vector size="42" baseType="variant">
      <vt:variant>
        <vt:i4>5963885</vt:i4>
      </vt:variant>
      <vt:variant>
        <vt:i4>18</vt:i4>
      </vt:variant>
      <vt:variant>
        <vt:i4>0</vt:i4>
      </vt:variant>
      <vt:variant>
        <vt:i4>5</vt:i4>
      </vt:variant>
      <vt:variant>
        <vt:lpwstr>mailto:dpcs@dhhs.vic.gov.au</vt:lpwstr>
      </vt:variant>
      <vt:variant>
        <vt:lpwstr/>
      </vt:variant>
      <vt:variant>
        <vt:i4>3670036</vt:i4>
      </vt:variant>
      <vt:variant>
        <vt:i4>15</vt:i4>
      </vt:variant>
      <vt:variant>
        <vt:i4>0</vt:i4>
      </vt:variant>
      <vt:variant>
        <vt:i4>5</vt:i4>
      </vt:variant>
      <vt:variant>
        <vt:lpwstr>mailto:safescript@dhhs.vic.gov.au</vt:lpwstr>
      </vt:variant>
      <vt:variant>
        <vt:lpwstr/>
      </vt:variant>
      <vt:variant>
        <vt:i4>4522053</vt:i4>
      </vt:variant>
      <vt:variant>
        <vt:i4>12</vt:i4>
      </vt:variant>
      <vt:variant>
        <vt:i4>0</vt:i4>
      </vt:variant>
      <vt:variant>
        <vt:i4>5</vt:i4>
      </vt:variant>
      <vt:variant>
        <vt:lpwstr>https://www2.health.vic.gov.au/public-health/drugs-and-poisons/safescript</vt:lpwstr>
      </vt:variant>
      <vt:variant>
        <vt:lpwstr/>
      </vt:variant>
      <vt:variant>
        <vt:i4>917604</vt:i4>
      </vt:variant>
      <vt:variant>
        <vt:i4>9</vt:i4>
      </vt:variant>
      <vt:variant>
        <vt:i4>0</vt:i4>
      </vt:variant>
      <vt:variant>
        <vt:i4>5</vt:i4>
      </vt:variant>
      <vt:variant>
        <vt:lpwstr>mailto:it.safescript@dhhs.vic.gov.au</vt:lpwstr>
      </vt:variant>
      <vt:variant>
        <vt:lpwstr/>
      </vt:variant>
      <vt:variant>
        <vt:i4>3866747</vt:i4>
      </vt:variant>
      <vt:variant>
        <vt:i4>6</vt:i4>
      </vt:variant>
      <vt:variant>
        <vt:i4>0</vt:i4>
      </vt:variant>
      <vt:variant>
        <vt:i4>5</vt:i4>
      </vt:variant>
      <vt:variant>
        <vt:lpwstr>https://help.safescript.vic.gov.au/help-topics/patients-medication-history.htm</vt:lpwstr>
      </vt:variant>
      <vt:variant>
        <vt:lpwstr/>
      </vt:variant>
      <vt:variant>
        <vt:i4>1966091</vt:i4>
      </vt:variant>
      <vt:variant>
        <vt:i4>3</vt:i4>
      </vt:variant>
      <vt:variant>
        <vt:i4>0</vt:i4>
      </vt:variant>
      <vt:variant>
        <vt:i4>5</vt:i4>
      </vt:variant>
      <vt:variant>
        <vt:lpwstr>https://www2.health.vic.gov.au/about/publications/policiesandguidelines/schedule-8-treatment-permits-requirements-vic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http://www.safescript.vic.gov.au/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SafeScript - most commonly asked questions</dc:title>
  <dc:subject/>
  <dc:creator>safescript@health.vic.gov.au</dc:creator>
  <cp:keywords/>
  <cp:lastModifiedBy>Emily Hirst (Health)</cp:lastModifiedBy>
  <cp:revision>5</cp:revision>
  <cp:lastPrinted>2017-07-07T17:32:00Z</cp:lastPrinted>
  <dcterms:created xsi:type="dcterms:W3CDTF">2025-06-24T08:20:00Z</dcterms:created>
  <dcterms:modified xsi:type="dcterms:W3CDTF">2025-07-14T00:10:00Z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2025-06-24T08:14:24Z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0fd9332d-30e4-4b29-a81f-a80e07270215</vt:lpwstr>
  </property>
  <property fmtid="{D5CDD505-2E9C-101B-9397-08002B2CF9AE}" pid="10" name="MSIP_Label_efdf5488-3066-4b6c-8fea-9472b8a1f34c_ContentBits">
    <vt:lpwstr>0</vt:lpwstr>
  </property>
  <property fmtid="{D5CDD505-2E9C-101B-9397-08002B2CF9AE}" pid="11" name="MSIP_Label_efdf5488-3066-4b6c-8fea-9472b8a1f34c_Tag">
    <vt:lpwstr>10, 0, 1, 1</vt:lpwstr>
  </property>
</Properties>
</file>